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63D79" w14:textId="77777777" w:rsidR="00DD5BC7" w:rsidRDefault="00DD5BC7" w:rsidP="00DD5BC7">
      <w:pPr>
        <w:jc w:val="center"/>
      </w:pPr>
    </w:p>
    <w:p w14:paraId="4093C475" w14:textId="77777777" w:rsidR="00DD5BC7" w:rsidRDefault="00DD5BC7" w:rsidP="00DD5BC7">
      <w:pPr>
        <w:jc w:val="center"/>
      </w:pPr>
    </w:p>
    <w:p w14:paraId="7C9F9FB6" w14:textId="77777777" w:rsidR="00DD5BC7" w:rsidRDefault="00DD5BC7" w:rsidP="00DD5BC7">
      <w:pPr>
        <w:jc w:val="center"/>
      </w:pPr>
    </w:p>
    <w:p w14:paraId="43B8F8D9" w14:textId="0A22E1D3" w:rsidR="00DD5BC7" w:rsidRPr="00DD5BC7" w:rsidRDefault="00DD5BC7" w:rsidP="00DD5BC7">
      <w:pPr>
        <w:jc w:val="center"/>
        <w:rPr>
          <w:b/>
          <w:bCs/>
          <w:sz w:val="32"/>
          <w:szCs w:val="32"/>
        </w:rPr>
      </w:pPr>
      <w:r w:rsidRPr="00DD5BC7">
        <w:rPr>
          <w:b/>
          <w:bCs/>
          <w:color w:val="000000"/>
          <w:sz w:val="32"/>
          <w:szCs w:val="32"/>
        </w:rPr>
        <w:t xml:space="preserve">Applying the Social Norms Approach to </w:t>
      </w:r>
      <w:r w:rsidR="006A470C">
        <w:rPr>
          <w:b/>
          <w:bCs/>
          <w:color w:val="000000"/>
          <w:sz w:val="32"/>
          <w:szCs w:val="32"/>
        </w:rPr>
        <w:t>reduce unhealthy</w:t>
      </w:r>
      <w:r w:rsidR="00A27EA1">
        <w:rPr>
          <w:b/>
          <w:bCs/>
          <w:color w:val="000000"/>
          <w:sz w:val="32"/>
          <w:szCs w:val="32"/>
        </w:rPr>
        <w:t xml:space="preserve"> </w:t>
      </w:r>
      <w:r w:rsidRPr="00DD5BC7">
        <w:rPr>
          <w:b/>
          <w:bCs/>
          <w:color w:val="000000"/>
          <w:sz w:val="32"/>
          <w:szCs w:val="32"/>
        </w:rPr>
        <w:t>dietary behaviours amongst secondary school students.</w:t>
      </w:r>
    </w:p>
    <w:p w14:paraId="7C01FDF8" w14:textId="77777777" w:rsidR="00DD5BC7" w:rsidRDefault="00DD5BC7" w:rsidP="00DD5BC7">
      <w:pPr>
        <w:jc w:val="center"/>
      </w:pPr>
    </w:p>
    <w:p w14:paraId="065382E1" w14:textId="77777777" w:rsidR="00DD5BC7" w:rsidRDefault="00DD5BC7" w:rsidP="00DD5BC7">
      <w:pPr>
        <w:jc w:val="center"/>
      </w:pPr>
    </w:p>
    <w:p w14:paraId="5EF7FF8F" w14:textId="6A511A07" w:rsidR="00DD5BC7" w:rsidRDefault="00DD5BC7" w:rsidP="00DD5BC7">
      <w:pPr>
        <w:jc w:val="center"/>
      </w:pPr>
      <w:r>
        <w:t>Sian Calvert</w:t>
      </w:r>
    </w:p>
    <w:p w14:paraId="4460705C" w14:textId="42C34FE4" w:rsidR="00DD5BC7" w:rsidRDefault="00DD5BC7" w:rsidP="00DD5BC7">
      <w:pPr>
        <w:jc w:val="center"/>
      </w:pPr>
    </w:p>
    <w:p w14:paraId="7D34B0BF" w14:textId="696D83C0" w:rsidR="00DD5BC7" w:rsidRDefault="00DD5BC7" w:rsidP="00DD5BC7"/>
    <w:p w14:paraId="29643A0A" w14:textId="77777777" w:rsidR="00DD5BC7" w:rsidRDefault="00DD5BC7" w:rsidP="00DD5BC7">
      <w:pPr>
        <w:jc w:val="center"/>
      </w:pPr>
    </w:p>
    <w:p w14:paraId="4ADB452B" w14:textId="2850CC3E" w:rsidR="00DD5BC7" w:rsidRDefault="00DD5BC7" w:rsidP="00DD5BC7">
      <w:pPr>
        <w:jc w:val="both"/>
      </w:pPr>
      <w:r>
        <w:t>A thesis submitted in partial fulfilment of the requirement of Staffordshire University for the degree of Doctor of Philosophy.</w:t>
      </w:r>
    </w:p>
    <w:p w14:paraId="6CD91AC8" w14:textId="77777777" w:rsidR="00DD5BC7" w:rsidRDefault="00DD5BC7" w:rsidP="00DD5BC7">
      <w:pPr>
        <w:jc w:val="center"/>
      </w:pPr>
    </w:p>
    <w:p w14:paraId="7DE586C7" w14:textId="77777777" w:rsidR="00DD5BC7" w:rsidRDefault="00DD5BC7" w:rsidP="00DD5BC7">
      <w:pPr>
        <w:jc w:val="center"/>
      </w:pPr>
    </w:p>
    <w:p w14:paraId="46AFD717" w14:textId="77777777" w:rsidR="005140BD" w:rsidRDefault="005140BD" w:rsidP="005140BD">
      <w:pPr>
        <w:tabs>
          <w:tab w:val="left" w:pos="867"/>
          <w:tab w:val="center" w:pos="4513"/>
        </w:tabs>
      </w:pPr>
      <w:r>
        <w:tab/>
      </w:r>
    </w:p>
    <w:p w14:paraId="66DD1A12" w14:textId="6C7FFEE4" w:rsidR="00FE12E7" w:rsidRDefault="003F2FCB" w:rsidP="005140BD">
      <w:pPr>
        <w:tabs>
          <w:tab w:val="left" w:pos="867"/>
          <w:tab w:val="center" w:pos="4513"/>
        </w:tabs>
        <w:jc w:val="center"/>
      </w:pPr>
      <w:r>
        <w:t>October</w:t>
      </w:r>
      <w:r w:rsidR="00DD5BC7">
        <w:t xml:space="preserve"> 2021</w:t>
      </w:r>
    </w:p>
    <w:p w14:paraId="1BC1FCAD" w14:textId="3EB82204" w:rsidR="00DD5BC7" w:rsidRDefault="00DD5BC7" w:rsidP="00DD5BC7">
      <w:pPr>
        <w:jc w:val="center"/>
      </w:pPr>
    </w:p>
    <w:p w14:paraId="38FDD5D6" w14:textId="7D01392C" w:rsidR="00DD5BC7" w:rsidRDefault="00DD5BC7" w:rsidP="00DD5BC7">
      <w:pPr>
        <w:jc w:val="center"/>
      </w:pPr>
    </w:p>
    <w:p w14:paraId="32FB434C" w14:textId="6C518D41" w:rsidR="00DD5BC7" w:rsidRDefault="00DD5BC7" w:rsidP="00DD5BC7">
      <w:pPr>
        <w:jc w:val="center"/>
      </w:pPr>
    </w:p>
    <w:p w14:paraId="0FA4DDDE" w14:textId="42E04CD0" w:rsidR="00DD5BC7" w:rsidRDefault="00DD5BC7" w:rsidP="00DD5BC7">
      <w:pPr>
        <w:jc w:val="center"/>
      </w:pPr>
    </w:p>
    <w:p w14:paraId="31EFA620" w14:textId="51C4D5F1" w:rsidR="00DD5BC7" w:rsidRDefault="00DD5BC7" w:rsidP="00DD5BC7">
      <w:pPr>
        <w:jc w:val="center"/>
      </w:pPr>
    </w:p>
    <w:p w14:paraId="075060DC" w14:textId="2E0434C1" w:rsidR="00DD5BC7" w:rsidRDefault="00DD5BC7" w:rsidP="00DD5BC7">
      <w:pPr>
        <w:jc w:val="center"/>
      </w:pPr>
    </w:p>
    <w:p w14:paraId="72689A84" w14:textId="31FCA1F4" w:rsidR="00D56E79" w:rsidRDefault="00D56E79" w:rsidP="00DD5BC7">
      <w:pPr>
        <w:jc w:val="center"/>
      </w:pPr>
    </w:p>
    <w:p w14:paraId="43DDEBFA" w14:textId="33B2A399" w:rsidR="00D56E79" w:rsidRDefault="00D56E79" w:rsidP="00DD5BC7">
      <w:pPr>
        <w:jc w:val="center"/>
      </w:pPr>
    </w:p>
    <w:p w14:paraId="673AECE3" w14:textId="5A9EA52B" w:rsidR="00D56E79" w:rsidRDefault="00D56E79" w:rsidP="00DD5BC7">
      <w:pPr>
        <w:jc w:val="center"/>
      </w:pPr>
    </w:p>
    <w:p w14:paraId="13334142" w14:textId="305B4443" w:rsidR="00D56E79" w:rsidRDefault="00D56E79" w:rsidP="00DD5BC7">
      <w:pPr>
        <w:jc w:val="center"/>
      </w:pPr>
    </w:p>
    <w:p w14:paraId="6C71FCA6" w14:textId="77777777" w:rsidR="00D56E79" w:rsidRDefault="00D56E79" w:rsidP="00DD5BC7">
      <w:pPr>
        <w:jc w:val="center"/>
      </w:pPr>
    </w:p>
    <w:p w14:paraId="78DC8508" w14:textId="3EE87C77" w:rsidR="00DD5BC7" w:rsidRDefault="00DD5BC7" w:rsidP="00DD5BC7">
      <w:pPr>
        <w:jc w:val="center"/>
      </w:pPr>
    </w:p>
    <w:p w14:paraId="5B2A0277" w14:textId="77777777" w:rsidR="00F24683" w:rsidRDefault="00F24683" w:rsidP="00F24683"/>
    <w:p w14:paraId="1AC1E6D2" w14:textId="13BD2B12" w:rsidR="00D56E79" w:rsidRDefault="00D56E79" w:rsidP="00F24683">
      <w:pPr>
        <w:sectPr w:rsidR="00D56E79" w:rsidSect="000D1DD8">
          <w:footerReference w:type="default" r:id="rId11"/>
          <w:type w:val="continuous"/>
          <w:pgSz w:w="11906" w:h="16838"/>
          <w:pgMar w:top="1440" w:right="1440" w:bottom="1440" w:left="1440" w:header="708" w:footer="708" w:gutter="0"/>
          <w:pgNumType w:fmt="upperRoman"/>
          <w:cols w:space="708"/>
          <w:titlePg/>
          <w:docGrid w:linePitch="360"/>
        </w:sectPr>
      </w:pPr>
    </w:p>
    <w:p w14:paraId="7B8AE4D7" w14:textId="170C9E64" w:rsidR="00925293" w:rsidRPr="00F805D9" w:rsidRDefault="00925293" w:rsidP="00F02C72">
      <w:pPr>
        <w:rPr>
          <w:b/>
          <w:bCs/>
        </w:rPr>
      </w:pPr>
      <w:bookmarkStart w:id="0" w:name="_Toc84678887"/>
    </w:p>
    <w:p w14:paraId="646118B3" w14:textId="709BAD92" w:rsidR="00DD5BC7" w:rsidRPr="00F805D9" w:rsidRDefault="00F24F8B" w:rsidP="00F805D9">
      <w:pPr>
        <w:rPr>
          <w:b/>
          <w:bCs/>
        </w:rPr>
      </w:pPr>
      <w:r w:rsidRPr="00F805D9">
        <w:rPr>
          <w:b/>
          <w:bCs/>
        </w:rPr>
        <w:fldChar w:fldCharType="begin"/>
      </w:r>
      <w:r w:rsidRPr="00F805D9">
        <w:rPr>
          <w:b/>
          <w:bCs/>
        </w:rPr>
        <w:instrText xml:space="preserve"> TC  "</w:instrText>
      </w:r>
      <w:bookmarkStart w:id="1" w:name="_Toc97310395"/>
      <w:r w:rsidRPr="00F805D9">
        <w:rPr>
          <w:b/>
          <w:bCs/>
        </w:rPr>
        <w:instrText>Acknowledgements</w:instrText>
      </w:r>
      <w:bookmarkEnd w:id="1"/>
      <w:r w:rsidRPr="00F805D9">
        <w:rPr>
          <w:b/>
          <w:bCs/>
        </w:rPr>
        <w:instrText xml:space="preserve">" \f x\l 1 </w:instrText>
      </w:r>
      <w:r w:rsidRPr="00F805D9">
        <w:rPr>
          <w:b/>
          <w:bCs/>
        </w:rPr>
        <w:fldChar w:fldCharType="end"/>
      </w:r>
      <w:r w:rsidR="00DD5BC7" w:rsidRPr="00F805D9">
        <w:rPr>
          <w:b/>
          <w:bCs/>
        </w:rPr>
        <w:t>Acknowledgements</w:t>
      </w:r>
      <w:bookmarkEnd w:id="0"/>
    </w:p>
    <w:p w14:paraId="540CA94A" w14:textId="04C750DB" w:rsidR="00DD5BC7" w:rsidRPr="00F805D9" w:rsidRDefault="00DD5BC7" w:rsidP="00F02C72"/>
    <w:p w14:paraId="3DDD387F" w14:textId="2AD9F579" w:rsidR="00EC319F" w:rsidRPr="00F805D9" w:rsidRDefault="006F5107" w:rsidP="00CE3BEC">
      <w:pPr>
        <w:spacing w:before="240" w:line="480" w:lineRule="auto"/>
        <w:jc w:val="both"/>
      </w:pPr>
      <w:r w:rsidRPr="00F805D9">
        <w:t xml:space="preserve">Firstly, I want to express my thanks to the schools and all </w:t>
      </w:r>
      <w:r w:rsidR="00AF78A0" w:rsidRPr="00F805D9">
        <w:t xml:space="preserve">of </w:t>
      </w:r>
      <w:r w:rsidRPr="00F805D9">
        <w:t>the students and teachers who participated in the research.</w:t>
      </w:r>
    </w:p>
    <w:p w14:paraId="4F063AAA" w14:textId="22D99A91" w:rsidR="00126657" w:rsidRPr="00F805D9" w:rsidRDefault="006F5107" w:rsidP="00CE3BEC">
      <w:pPr>
        <w:spacing w:before="240" w:line="480" w:lineRule="auto"/>
        <w:jc w:val="both"/>
      </w:pPr>
      <w:r w:rsidRPr="00F805D9">
        <w:t>To my amazing supervisors Rob and Rachel, I want to thank you for your guidance, feedback, and patie</w:t>
      </w:r>
      <w:r w:rsidR="00A44501" w:rsidRPr="00F805D9">
        <w:t>nce</w:t>
      </w:r>
      <w:r w:rsidRPr="00F805D9">
        <w:t xml:space="preserve"> on what turn</w:t>
      </w:r>
      <w:r w:rsidR="00A44501" w:rsidRPr="00F805D9">
        <w:t>ed</w:t>
      </w:r>
      <w:r w:rsidRPr="00F805D9">
        <w:t xml:space="preserve"> out to be a longer journey than first anticipated.</w:t>
      </w:r>
    </w:p>
    <w:p w14:paraId="125F7889" w14:textId="19505FBA" w:rsidR="00126657" w:rsidRPr="00F805D9" w:rsidRDefault="006F5107" w:rsidP="00CE3BEC">
      <w:pPr>
        <w:spacing w:before="240" w:line="480" w:lineRule="auto"/>
        <w:jc w:val="both"/>
      </w:pPr>
      <w:r w:rsidRPr="00F805D9">
        <w:t xml:space="preserve">To Arron, my husband who has supported me through this whole process.  You have helped me to navigate this journey and your encouragement has helped me more than you know. </w:t>
      </w:r>
    </w:p>
    <w:p w14:paraId="3316319A" w14:textId="77777777" w:rsidR="00CE3BEC" w:rsidRDefault="006F5107" w:rsidP="00CE3BEC">
      <w:pPr>
        <w:spacing w:before="240" w:after="0" w:line="480" w:lineRule="auto"/>
        <w:jc w:val="both"/>
        <w:rPr>
          <w:rFonts w:cstheme="minorHAnsi"/>
          <w:shd w:val="clear" w:color="auto" w:fill="FFFFFF"/>
        </w:rPr>
      </w:pPr>
      <w:r w:rsidRPr="00F805D9">
        <w:t>My Mum and Dad, my biggest cheerleaders</w:t>
      </w:r>
      <w:r w:rsidR="00A44501" w:rsidRPr="00F805D9">
        <w:t>:</w:t>
      </w:r>
      <w:r w:rsidRPr="00F805D9">
        <w:t xml:space="preserve"> without your support I do not think I would be where I am tod</w:t>
      </w:r>
      <w:r w:rsidRPr="00F805D9">
        <w:rPr>
          <w:rFonts w:cstheme="minorHAnsi"/>
        </w:rPr>
        <w:t xml:space="preserve">ay. </w:t>
      </w:r>
      <w:r w:rsidRPr="00F805D9">
        <w:rPr>
          <w:rFonts w:cstheme="minorHAnsi"/>
          <w:shd w:val="clear" w:color="auto" w:fill="FFFFFF"/>
        </w:rPr>
        <w:t>I would also like to thank my sisters, who have giv</w:t>
      </w:r>
      <w:r w:rsidR="00212400" w:rsidRPr="00F805D9">
        <w:rPr>
          <w:rFonts w:cstheme="minorHAnsi"/>
          <w:shd w:val="clear" w:color="auto" w:fill="FFFFFF"/>
        </w:rPr>
        <w:t>en</w:t>
      </w:r>
      <w:r w:rsidRPr="00F805D9">
        <w:rPr>
          <w:rFonts w:cstheme="minorHAnsi"/>
          <w:shd w:val="clear" w:color="auto" w:fill="FFFFFF"/>
        </w:rPr>
        <w:t xml:space="preserve"> me </w:t>
      </w:r>
      <w:r w:rsidR="00212400" w:rsidRPr="00F805D9">
        <w:rPr>
          <w:rFonts w:cstheme="minorHAnsi"/>
          <w:shd w:val="clear" w:color="auto" w:fill="FFFFFF"/>
        </w:rPr>
        <w:t>endless</w:t>
      </w:r>
      <w:r w:rsidRPr="00F805D9">
        <w:rPr>
          <w:rFonts w:cstheme="minorHAnsi"/>
          <w:shd w:val="clear" w:color="auto" w:fill="FFFFFF"/>
        </w:rPr>
        <w:t xml:space="preserve"> support throughout my PhD. </w:t>
      </w:r>
    </w:p>
    <w:p w14:paraId="5C592F37" w14:textId="3FE4441F" w:rsidR="006F5107" w:rsidRPr="00CE3BEC" w:rsidRDefault="006F5107" w:rsidP="00CE3BEC">
      <w:pPr>
        <w:spacing w:before="240" w:after="0" w:line="480" w:lineRule="auto"/>
        <w:jc w:val="both"/>
        <w:rPr>
          <w:rFonts w:cstheme="minorHAnsi"/>
          <w:shd w:val="clear" w:color="auto" w:fill="FFFFFF"/>
        </w:rPr>
      </w:pPr>
      <w:r w:rsidRPr="00F805D9">
        <w:t>Finally, to my beautiful girls, who were my motivation for completing the PhD</w:t>
      </w:r>
      <w:r w:rsidR="008D4CAF" w:rsidRPr="00F805D9">
        <w:t>;</w:t>
      </w:r>
      <w:r w:rsidRPr="00F805D9">
        <w:t xml:space="preserve"> I hope one day you get chance to read this. </w:t>
      </w:r>
    </w:p>
    <w:p w14:paraId="6D759448" w14:textId="52C68D3C" w:rsidR="00DD5BC7" w:rsidRPr="006F5107" w:rsidRDefault="00DD5BC7" w:rsidP="00F805D9">
      <w:pPr>
        <w:spacing w:line="480" w:lineRule="auto"/>
        <w:jc w:val="both"/>
        <w:rPr>
          <w:color w:val="00B050"/>
        </w:rPr>
      </w:pPr>
    </w:p>
    <w:p w14:paraId="26251309" w14:textId="77580ABF" w:rsidR="00DD5BC7" w:rsidRPr="00F02C72" w:rsidRDefault="00DD5BC7" w:rsidP="00126657">
      <w:pPr>
        <w:spacing w:line="360" w:lineRule="auto"/>
      </w:pPr>
    </w:p>
    <w:p w14:paraId="07A1305C" w14:textId="4DC8ED59" w:rsidR="00DD5BC7" w:rsidRPr="00F02C72" w:rsidRDefault="00DD5BC7" w:rsidP="00126657">
      <w:pPr>
        <w:spacing w:line="360" w:lineRule="auto"/>
      </w:pPr>
    </w:p>
    <w:p w14:paraId="30464474" w14:textId="12BCD6CF" w:rsidR="00DD5BC7" w:rsidRPr="00F02C72" w:rsidRDefault="00DD5BC7" w:rsidP="00126657">
      <w:pPr>
        <w:spacing w:line="360" w:lineRule="auto"/>
      </w:pPr>
    </w:p>
    <w:p w14:paraId="71896D4E" w14:textId="40334CB0" w:rsidR="00DD5BC7" w:rsidRPr="00F02C72" w:rsidRDefault="00DD5BC7" w:rsidP="00126657">
      <w:pPr>
        <w:spacing w:line="360" w:lineRule="auto"/>
      </w:pPr>
    </w:p>
    <w:p w14:paraId="0B11BF74" w14:textId="42EA6B81" w:rsidR="00DD5BC7" w:rsidRPr="00F02C72" w:rsidRDefault="00DD5BC7" w:rsidP="00126657">
      <w:pPr>
        <w:spacing w:line="360" w:lineRule="auto"/>
      </w:pPr>
    </w:p>
    <w:p w14:paraId="362B0DB4" w14:textId="2CB98410" w:rsidR="00DD5BC7" w:rsidRPr="00F02C72" w:rsidRDefault="00DD5BC7" w:rsidP="00126657">
      <w:pPr>
        <w:spacing w:line="360" w:lineRule="auto"/>
      </w:pPr>
    </w:p>
    <w:p w14:paraId="640C3333" w14:textId="4775730B" w:rsidR="00DD5BC7" w:rsidRDefault="00DD5BC7" w:rsidP="00F02C72"/>
    <w:p w14:paraId="7FCB4555" w14:textId="77777777" w:rsidR="00442C7D" w:rsidRPr="00F02C72" w:rsidRDefault="00442C7D" w:rsidP="00F02C72"/>
    <w:p w14:paraId="154D26BB" w14:textId="77777777" w:rsidR="00CE3BEC" w:rsidRDefault="00CE3BEC" w:rsidP="00F02C72"/>
    <w:p w14:paraId="712ED8FA" w14:textId="44EEB972" w:rsidR="00DC6036" w:rsidRPr="00533BA0" w:rsidRDefault="00F24F8B" w:rsidP="00F02C72">
      <w:pPr>
        <w:rPr>
          <w:b/>
          <w:bCs/>
        </w:rPr>
      </w:pPr>
      <w:r w:rsidRPr="00533BA0">
        <w:rPr>
          <w:b/>
          <w:bCs/>
        </w:rPr>
        <w:lastRenderedPageBreak/>
        <w:fldChar w:fldCharType="begin"/>
      </w:r>
      <w:r w:rsidRPr="00533BA0">
        <w:rPr>
          <w:b/>
          <w:bCs/>
        </w:rPr>
        <w:instrText xml:space="preserve"> TC  "</w:instrText>
      </w:r>
      <w:bookmarkStart w:id="2" w:name="_Toc97310396"/>
      <w:r w:rsidRPr="00533BA0">
        <w:rPr>
          <w:b/>
          <w:bCs/>
        </w:rPr>
        <w:instrText>Contents</w:instrText>
      </w:r>
      <w:bookmarkEnd w:id="2"/>
      <w:r w:rsidRPr="00533BA0">
        <w:rPr>
          <w:b/>
          <w:bCs/>
        </w:rPr>
        <w:instrText xml:space="preserve">" \f x\l 1 </w:instrText>
      </w:r>
      <w:r w:rsidRPr="00533BA0">
        <w:rPr>
          <w:b/>
          <w:bCs/>
        </w:rPr>
        <w:fldChar w:fldCharType="end"/>
      </w:r>
      <w:r w:rsidR="004F7789" w:rsidRPr="00533BA0">
        <w:rPr>
          <w:b/>
          <w:bCs/>
        </w:rPr>
        <w:t>Contents</w:t>
      </w:r>
    </w:p>
    <w:p w14:paraId="73C9DC66" w14:textId="3F049503" w:rsidR="00F63169" w:rsidRDefault="00D65ABC">
      <w:pPr>
        <w:pStyle w:val="TOC1"/>
        <w:tabs>
          <w:tab w:val="right" w:leader="dot" w:pos="9016"/>
        </w:tabs>
        <w:rPr>
          <w:rFonts w:cstheme="minorBidi"/>
          <w:noProof/>
          <w:lang w:val="en-GB" w:eastAsia="en-GB"/>
        </w:rPr>
      </w:pPr>
      <w:r>
        <w:fldChar w:fldCharType="begin"/>
      </w:r>
      <w:r>
        <w:instrText xml:space="preserve"> TOC \f </w:instrText>
      </w:r>
      <w:r w:rsidR="00424C5D">
        <w:instrText>x</w:instrText>
      </w:r>
      <w:r>
        <w:instrText xml:space="preserve">\h \z </w:instrText>
      </w:r>
      <w:r>
        <w:fldChar w:fldCharType="separate"/>
      </w:r>
      <w:hyperlink w:anchor="_Toc97310395" w:history="1">
        <w:r w:rsidR="00F63169" w:rsidRPr="00670586">
          <w:rPr>
            <w:rStyle w:val="Hyperlink"/>
            <w:b/>
            <w:bCs/>
            <w:noProof/>
          </w:rPr>
          <w:t>Acknowledgements</w:t>
        </w:r>
        <w:r w:rsidR="00F63169">
          <w:rPr>
            <w:noProof/>
            <w:webHidden/>
          </w:rPr>
          <w:tab/>
        </w:r>
        <w:r w:rsidR="00F63169">
          <w:rPr>
            <w:noProof/>
            <w:webHidden/>
          </w:rPr>
          <w:fldChar w:fldCharType="begin"/>
        </w:r>
        <w:r w:rsidR="00F63169">
          <w:rPr>
            <w:noProof/>
            <w:webHidden/>
          </w:rPr>
          <w:instrText xml:space="preserve"> PAGEREF _Toc97310395 \h </w:instrText>
        </w:r>
        <w:r w:rsidR="00F63169">
          <w:rPr>
            <w:noProof/>
            <w:webHidden/>
          </w:rPr>
        </w:r>
        <w:r w:rsidR="00F63169">
          <w:rPr>
            <w:noProof/>
            <w:webHidden/>
          </w:rPr>
          <w:fldChar w:fldCharType="separate"/>
        </w:r>
        <w:r w:rsidR="002809AA">
          <w:rPr>
            <w:noProof/>
            <w:webHidden/>
          </w:rPr>
          <w:t>I</w:t>
        </w:r>
        <w:r w:rsidR="00F63169">
          <w:rPr>
            <w:noProof/>
            <w:webHidden/>
          </w:rPr>
          <w:fldChar w:fldCharType="end"/>
        </w:r>
      </w:hyperlink>
    </w:p>
    <w:p w14:paraId="2219247A" w14:textId="308FBDCA" w:rsidR="00F63169" w:rsidRDefault="00322DCE">
      <w:pPr>
        <w:pStyle w:val="TOC1"/>
        <w:tabs>
          <w:tab w:val="right" w:leader="dot" w:pos="9016"/>
        </w:tabs>
        <w:rPr>
          <w:rFonts w:cstheme="minorBidi"/>
          <w:noProof/>
          <w:lang w:val="en-GB" w:eastAsia="en-GB"/>
        </w:rPr>
      </w:pPr>
      <w:hyperlink w:anchor="_Toc97310396" w:history="1">
        <w:r w:rsidR="00F63169" w:rsidRPr="00670586">
          <w:rPr>
            <w:rStyle w:val="Hyperlink"/>
            <w:b/>
            <w:bCs/>
            <w:noProof/>
          </w:rPr>
          <w:t>Contents</w:t>
        </w:r>
        <w:r w:rsidR="00F63169">
          <w:rPr>
            <w:noProof/>
            <w:webHidden/>
          </w:rPr>
          <w:tab/>
        </w:r>
        <w:r w:rsidR="00F63169">
          <w:rPr>
            <w:noProof/>
            <w:webHidden/>
          </w:rPr>
          <w:fldChar w:fldCharType="begin"/>
        </w:r>
        <w:r w:rsidR="00F63169">
          <w:rPr>
            <w:noProof/>
            <w:webHidden/>
          </w:rPr>
          <w:instrText xml:space="preserve"> PAGEREF _Toc97310396 \h </w:instrText>
        </w:r>
        <w:r w:rsidR="00F63169">
          <w:rPr>
            <w:noProof/>
            <w:webHidden/>
          </w:rPr>
        </w:r>
        <w:r w:rsidR="00F63169">
          <w:rPr>
            <w:noProof/>
            <w:webHidden/>
          </w:rPr>
          <w:fldChar w:fldCharType="separate"/>
        </w:r>
        <w:r w:rsidR="002809AA">
          <w:rPr>
            <w:noProof/>
            <w:webHidden/>
          </w:rPr>
          <w:t>II</w:t>
        </w:r>
        <w:r w:rsidR="00F63169">
          <w:rPr>
            <w:noProof/>
            <w:webHidden/>
          </w:rPr>
          <w:fldChar w:fldCharType="end"/>
        </w:r>
      </w:hyperlink>
    </w:p>
    <w:p w14:paraId="399913B1" w14:textId="513A90D0" w:rsidR="00F63169" w:rsidRDefault="00322DCE">
      <w:pPr>
        <w:pStyle w:val="TOC1"/>
        <w:tabs>
          <w:tab w:val="right" w:leader="dot" w:pos="9016"/>
        </w:tabs>
        <w:rPr>
          <w:rFonts w:cstheme="minorBidi"/>
          <w:noProof/>
          <w:lang w:val="en-GB" w:eastAsia="en-GB"/>
        </w:rPr>
      </w:pPr>
      <w:hyperlink w:anchor="_Toc97310397" w:history="1">
        <w:r w:rsidR="00F63169" w:rsidRPr="00670586">
          <w:rPr>
            <w:rStyle w:val="Hyperlink"/>
            <w:b/>
            <w:bCs/>
            <w:noProof/>
          </w:rPr>
          <w:t>Abstract</w:t>
        </w:r>
        <w:r w:rsidR="00F63169">
          <w:rPr>
            <w:noProof/>
            <w:webHidden/>
          </w:rPr>
          <w:tab/>
        </w:r>
        <w:r w:rsidR="00F63169">
          <w:rPr>
            <w:noProof/>
            <w:webHidden/>
          </w:rPr>
          <w:fldChar w:fldCharType="begin"/>
        </w:r>
        <w:r w:rsidR="00F63169">
          <w:rPr>
            <w:noProof/>
            <w:webHidden/>
          </w:rPr>
          <w:instrText xml:space="preserve"> PAGEREF _Toc97310397 \h </w:instrText>
        </w:r>
        <w:r w:rsidR="00F63169">
          <w:rPr>
            <w:noProof/>
            <w:webHidden/>
          </w:rPr>
        </w:r>
        <w:r w:rsidR="00F63169">
          <w:rPr>
            <w:noProof/>
            <w:webHidden/>
          </w:rPr>
          <w:fldChar w:fldCharType="separate"/>
        </w:r>
        <w:r w:rsidR="002809AA">
          <w:rPr>
            <w:noProof/>
            <w:webHidden/>
          </w:rPr>
          <w:t>VII</w:t>
        </w:r>
        <w:r w:rsidR="00F63169">
          <w:rPr>
            <w:noProof/>
            <w:webHidden/>
          </w:rPr>
          <w:fldChar w:fldCharType="end"/>
        </w:r>
      </w:hyperlink>
    </w:p>
    <w:p w14:paraId="4095500E" w14:textId="718FF3A5" w:rsidR="00F63169" w:rsidRDefault="00322DCE">
      <w:pPr>
        <w:pStyle w:val="TOC1"/>
        <w:tabs>
          <w:tab w:val="right" w:leader="dot" w:pos="9016"/>
        </w:tabs>
        <w:rPr>
          <w:rFonts w:cstheme="minorBidi"/>
          <w:noProof/>
          <w:lang w:val="en-GB" w:eastAsia="en-GB"/>
        </w:rPr>
      </w:pPr>
      <w:hyperlink w:anchor="_Toc97310398" w:history="1">
        <w:r w:rsidR="00F63169" w:rsidRPr="00670586">
          <w:rPr>
            <w:rStyle w:val="Hyperlink"/>
            <w:b/>
            <w:bCs/>
            <w:noProof/>
          </w:rPr>
          <w:t>List of Tables</w:t>
        </w:r>
        <w:r w:rsidR="00F63169">
          <w:rPr>
            <w:noProof/>
            <w:webHidden/>
          </w:rPr>
          <w:tab/>
        </w:r>
        <w:r w:rsidR="00F63169">
          <w:rPr>
            <w:noProof/>
            <w:webHidden/>
          </w:rPr>
          <w:fldChar w:fldCharType="begin"/>
        </w:r>
        <w:r w:rsidR="00F63169">
          <w:rPr>
            <w:noProof/>
            <w:webHidden/>
          </w:rPr>
          <w:instrText xml:space="preserve"> PAGEREF _Toc97310398 \h </w:instrText>
        </w:r>
        <w:r w:rsidR="00F63169">
          <w:rPr>
            <w:noProof/>
            <w:webHidden/>
          </w:rPr>
        </w:r>
        <w:r w:rsidR="00F63169">
          <w:rPr>
            <w:noProof/>
            <w:webHidden/>
          </w:rPr>
          <w:fldChar w:fldCharType="separate"/>
        </w:r>
        <w:r w:rsidR="002809AA">
          <w:rPr>
            <w:noProof/>
            <w:webHidden/>
          </w:rPr>
          <w:t>IX</w:t>
        </w:r>
        <w:r w:rsidR="00F63169">
          <w:rPr>
            <w:noProof/>
            <w:webHidden/>
          </w:rPr>
          <w:fldChar w:fldCharType="end"/>
        </w:r>
      </w:hyperlink>
    </w:p>
    <w:p w14:paraId="3B2D125C" w14:textId="0B0787F9" w:rsidR="00F63169" w:rsidRDefault="00322DCE">
      <w:pPr>
        <w:pStyle w:val="TOC1"/>
        <w:tabs>
          <w:tab w:val="right" w:leader="dot" w:pos="9016"/>
        </w:tabs>
        <w:rPr>
          <w:rFonts w:cstheme="minorBidi"/>
          <w:noProof/>
          <w:lang w:val="en-GB" w:eastAsia="en-GB"/>
        </w:rPr>
      </w:pPr>
      <w:hyperlink w:anchor="_Toc97310399" w:history="1">
        <w:r w:rsidR="00F63169" w:rsidRPr="00670586">
          <w:rPr>
            <w:rStyle w:val="Hyperlink"/>
            <w:b/>
            <w:bCs/>
            <w:noProof/>
          </w:rPr>
          <w:t>List of Figures</w:t>
        </w:r>
        <w:r w:rsidR="00F63169">
          <w:rPr>
            <w:noProof/>
            <w:webHidden/>
          </w:rPr>
          <w:tab/>
        </w:r>
        <w:r w:rsidR="00F63169">
          <w:rPr>
            <w:noProof/>
            <w:webHidden/>
          </w:rPr>
          <w:fldChar w:fldCharType="begin"/>
        </w:r>
        <w:r w:rsidR="00F63169">
          <w:rPr>
            <w:noProof/>
            <w:webHidden/>
          </w:rPr>
          <w:instrText xml:space="preserve"> PAGEREF _Toc97310399 \h </w:instrText>
        </w:r>
        <w:r w:rsidR="00F63169">
          <w:rPr>
            <w:noProof/>
            <w:webHidden/>
          </w:rPr>
        </w:r>
        <w:r w:rsidR="00F63169">
          <w:rPr>
            <w:noProof/>
            <w:webHidden/>
          </w:rPr>
          <w:fldChar w:fldCharType="separate"/>
        </w:r>
        <w:r w:rsidR="002809AA">
          <w:rPr>
            <w:noProof/>
            <w:webHidden/>
          </w:rPr>
          <w:t>XI</w:t>
        </w:r>
        <w:r w:rsidR="00F63169">
          <w:rPr>
            <w:noProof/>
            <w:webHidden/>
          </w:rPr>
          <w:fldChar w:fldCharType="end"/>
        </w:r>
      </w:hyperlink>
    </w:p>
    <w:p w14:paraId="4B263521" w14:textId="2EE0716D" w:rsidR="00F63169" w:rsidRDefault="00322DCE">
      <w:pPr>
        <w:pStyle w:val="TOC1"/>
        <w:tabs>
          <w:tab w:val="right" w:leader="dot" w:pos="9016"/>
        </w:tabs>
        <w:rPr>
          <w:rFonts w:cstheme="minorBidi"/>
          <w:noProof/>
          <w:lang w:val="en-GB" w:eastAsia="en-GB"/>
        </w:rPr>
      </w:pPr>
      <w:hyperlink w:anchor="_Toc97310400" w:history="1">
        <w:r w:rsidR="00F63169" w:rsidRPr="00670586">
          <w:rPr>
            <w:rStyle w:val="Hyperlink"/>
            <w:b/>
            <w:bCs/>
            <w:noProof/>
          </w:rPr>
          <w:t>List of Appendices</w:t>
        </w:r>
        <w:r w:rsidR="00F63169">
          <w:rPr>
            <w:noProof/>
            <w:webHidden/>
          </w:rPr>
          <w:tab/>
        </w:r>
        <w:r w:rsidR="00F63169">
          <w:rPr>
            <w:noProof/>
            <w:webHidden/>
          </w:rPr>
          <w:fldChar w:fldCharType="begin"/>
        </w:r>
        <w:r w:rsidR="00F63169">
          <w:rPr>
            <w:noProof/>
            <w:webHidden/>
          </w:rPr>
          <w:instrText xml:space="preserve"> PAGEREF _Toc97310400 \h </w:instrText>
        </w:r>
        <w:r w:rsidR="00F63169">
          <w:rPr>
            <w:noProof/>
            <w:webHidden/>
          </w:rPr>
        </w:r>
        <w:r w:rsidR="00F63169">
          <w:rPr>
            <w:noProof/>
            <w:webHidden/>
          </w:rPr>
          <w:fldChar w:fldCharType="separate"/>
        </w:r>
        <w:r w:rsidR="002809AA">
          <w:rPr>
            <w:noProof/>
            <w:webHidden/>
          </w:rPr>
          <w:t>XII</w:t>
        </w:r>
        <w:r w:rsidR="00F63169">
          <w:rPr>
            <w:noProof/>
            <w:webHidden/>
          </w:rPr>
          <w:fldChar w:fldCharType="end"/>
        </w:r>
      </w:hyperlink>
    </w:p>
    <w:p w14:paraId="13D1076F" w14:textId="7CB7BB5E" w:rsidR="00F63169" w:rsidRDefault="00322DCE">
      <w:pPr>
        <w:pStyle w:val="TOC1"/>
        <w:tabs>
          <w:tab w:val="right" w:leader="dot" w:pos="9016"/>
        </w:tabs>
        <w:rPr>
          <w:rFonts w:cstheme="minorBidi"/>
          <w:noProof/>
          <w:lang w:val="en-GB" w:eastAsia="en-GB"/>
        </w:rPr>
      </w:pPr>
      <w:hyperlink w:anchor="_Toc97310401" w:history="1">
        <w:r w:rsidR="00F63169" w:rsidRPr="00670586">
          <w:rPr>
            <w:rStyle w:val="Hyperlink"/>
            <w:b/>
            <w:bCs/>
            <w:noProof/>
          </w:rPr>
          <w:t>List of Acronyms</w:t>
        </w:r>
        <w:r w:rsidR="00F63169">
          <w:rPr>
            <w:noProof/>
            <w:webHidden/>
          </w:rPr>
          <w:tab/>
        </w:r>
        <w:r w:rsidR="00F63169">
          <w:rPr>
            <w:noProof/>
            <w:webHidden/>
          </w:rPr>
          <w:fldChar w:fldCharType="begin"/>
        </w:r>
        <w:r w:rsidR="00F63169">
          <w:rPr>
            <w:noProof/>
            <w:webHidden/>
          </w:rPr>
          <w:instrText xml:space="preserve"> PAGEREF _Toc97310401 \h </w:instrText>
        </w:r>
        <w:r w:rsidR="00F63169">
          <w:rPr>
            <w:noProof/>
            <w:webHidden/>
          </w:rPr>
        </w:r>
        <w:r w:rsidR="00F63169">
          <w:rPr>
            <w:noProof/>
            <w:webHidden/>
          </w:rPr>
          <w:fldChar w:fldCharType="separate"/>
        </w:r>
        <w:r w:rsidR="002809AA">
          <w:rPr>
            <w:noProof/>
            <w:webHidden/>
          </w:rPr>
          <w:t>XIV</w:t>
        </w:r>
        <w:r w:rsidR="00F63169">
          <w:rPr>
            <w:noProof/>
            <w:webHidden/>
          </w:rPr>
          <w:fldChar w:fldCharType="end"/>
        </w:r>
      </w:hyperlink>
    </w:p>
    <w:p w14:paraId="5516FBFF" w14:textId="23FDC1BC" w:rsidR="00F63169" w:rsidRDefault="00322DCE">
      <w:pPr>
        <w:pStyle w:val="TOC1"/>
        <w:tabs>
          <w:tab w:val="right" w:leader="dot" w:pos="9016"/>
        </w:tabs>
        <w:rPr>
          <w:rFonts w:cstheme="minorBidi"/>
          <w:noProof/>
          <w:lang w:val="en-GB" w:eastAsia="en-GB"/>
        </w:rPr>
      </w:pPr>
      <w:hyperlink r:id="rId12" w:anchor="_Toc97310402" w:history="1">
        <w:r w:rsidR="00F63169" w:rsidRPr="00670586">
          <w:rPr>
            <w:rStyle w:val="Hyperlink"/>
            <w:b/>
            <w:bCs/>
            <w:noProof/>
          </w:rPr>
          <w:t>Chapter 1. Background and Context</w:t>
        </w:r>
        <w:r w:rsidR="00F63169">
          <w:rPr>
            <w:noProof/>
            <w:webHidden/>
          </w:rPr>
          <w:tab/>
        </w:r>
        <w:r w:rsidR="00F63169">
          <w:rPr>
            <w:noProof/>
            <w:webHidden/>
          </w:rPr>
          <w:fldChar w:fldCharType="begin"/>
        </w:r>
        <w:r w:rsidR="00F63169">
          <w:rPr>
            <w:noProof/>
            <w:webHidden/>
          </w:rPr>
          <w:instrText xml:space="preserve"> PAGEREF _Toc97310402 \h </w:instrText>
        </w:r>
        <w:r w:rsidR="00F63169">
          <w:rPr>
            <w:noProof/>
            <w:webHidden/>
          </w:rPr>
        </w:r>
        <w:r w:rsidR="00F63169">
          <w:rPr>
            <w:noProof/>
            <w:webHidden/>
          </w:rPr>
          <w:fldChar w:fldCharType="separate"/>
        </w:r>
        <w:r w:rsidR="002809AA">
          <w:rPr>
            <w:noProof/>
            <w:webHidden/>
          </w:rPr>
          <w:t>1</w:t>
        </w:r>
        <w:r w:rsidR="00F63169">
          <w:rPr>
            <w:noProof/>
            <w:webHidden/>
          </w:rPr>
          <w:fldChar w:fldCharType="end"/>
        </w:r>
      </w:hyperlink>
    </w:p>
    <w:p w14:paraId="6DCE5B32" w14:textId="7F3F394D" w:rsidR="00F63169" w:rsidRDefault="00322DCE">
      <w:pPr>
        <w:pStyle w:val="TOC2"/>
        <w:rPr>
          <w:rFonts w:eastAsiaTheme="minorEastAsia"/>
          <w:noProof/>
          <w:lang w:eastAsia="en-GB"/>
        </w:rPr>
      </w:pPr>
      <w:hyperlink w:anchor="_Toc97310403" w:history="1">
        <w:r w:rsidR="00F63169" w:rsidRPr="00670586">
          <w:rPr>
            <w:rStyle w:val="Hyperlink"/>
            <w:noProof/>
          </w:rPr>
          <w:t>1.1 Adolescents’ dietary behaviours</w:t>
        </w:r>
        <w:r w:rsidR="00F63169">
          <w:rPr>
            <w:noProof/>
            <w:webHidden/>
          </w:rPr>
          <w:tab/>
        </w:r>
        <w:r w:rsidR="00F63169">
          <w:rPr>
            <w:noProof/>
            <w:webHidden/>
          </w:rPr>
          <w:fldChar w:fldCharType="begin"/>
        </w:r>
        <w:r w:rsidR="00F63169">
          <w:rPr>
            <w:noProof/>
            <w:webHidden/>
          </w:rPr>
          <w:instrText xml:space="preserve"> PAGEREF _Toc97310403 \h </w:instrText>
        </w:r>
        <w:r w:rsidR="00F63169">
          <w:rPr>
            <w:noProof/>
            <w:webHidden/>
          </w:rPr>
        </w:r>
        <w:r w:rsidR="00F63169">
          <w:rPr>
            <w:noProof/>
            <w:webHidden/>
          </w:rPr>
          <w:fldChar w:fldCharType="separate"/>
        </w:r>
        <w:r w:rsidR="002809AA">
          <w:rPr>
            <w:noProof/>
            <w:webHidden/>
          </w:rPr>
          <w:t>2</w:t>
        </w:r>
        <w:r w:rsidR="00F63169">
          <w:rPr>
            <w:noProof/>
            <w:webHidden/>
          </w:rPr>
          <w:fldChar w:fldCharType="end"/>
        </w:r>
      </w:hyperlink>
    </w:p>
    <w:p w14:paraId="208D8D25" w14:textId="5D1A25BF" w:rsidR="00F63169" w:rsidRDefault="00322DCE">
      <w:pPr>
        <w:pStyle w:val="TOC2"/>
        <w:rPr>
          <w:rFonts w:eastAsiaTheme="minorEastAsia"/>
          <w:noProof/>
          <w:lang w:eastAsia="en-GB"/>
        </w:rPr>
      </w:pPr>
      <w:hyperlink w:anchor="_Toc97310404" w:history="1">
        <w:r w:rsidR="00F63169" w:rsidRPr="00670586">
          <w:rPr>
            <w:rStyle w:val="Hyperlink"/>
            <w:noProof/>
          </w:rPr>
          <w:t>1.2 The Social Norms Approach</w:t>
        </w:r>
        <w:r w:rsidR="00F63169">
          <w:rPr>
            <w:noProof/>
            <w:webHidden/>
          </w:rPr>
          <w:tab/>
        </w:r>
        <w:r w:rsidR="00F63169">
          <w:rPr>
            <w:noProof/>
            <w:webHidden/>
          </w:rPr>
          <w:fldChar w:fldCharType="begin"/>
        </w:r>
        <w:r w:rsidR="00F63169">
          <w:rPr>
            <w:noProof/>
            <w:webHidden/>
          </w:rPr>
          <w:instrText xml:space="preserve"> PAGEREF _Toc97310404 \h </w:instrText>
        </w:r>
        <w:r w:rsidR="00F63169">
          <w:rPr>
            <w:noProof/>
            <w:webHidden/>
          </w:rPr>
        </w:r>
        <w:r w:rsidR="00F63169">
          <w:rPr>
            <w:noProof/>
            <w:webHidden/>
          </w:rPr>
          <w:fldChar w:fldCharType="separate"/>
        </w:r>
        <w:r w:rsidR="002809AA">
          <w:rPr>
            <w:noProof/>
            <w:webHidden/>
          </w:rPr>
          <w:t>2</w:t>
        </w:r>
        <w:r w:rsidR="00F63169">
          <w:rPr>
            <w:noProof/>
            <w:webHidden/>
          </w:rPr>
          <w:fldChar w:fldCharType="end"/>
        </w:r>
      </w:hyperlink>
    </w:p>
    <w:p w14:paraId="716C8135" w14:textId="7BD6C662" w:rsidR="00F63169" w:rsidRDefault="00322DCE">
      <w:pPr>
        <w:pStyle w:val="TOC2"/>
        <w:rPr>
          <w:rFonts w:eastAsiaTheme="minorEastAsia"/>
          <w:noProof/>
          <w:lang w:eastAsia="en-GB"/>
        </w:rPr>
      </w:pPr>
      <w:hyperlink w:anchor="_Toc97310405" w:history="1">
        <w:r w:rsidR="00F63169" w:rsidRPr="00670586">
          <w:rPr>
            <w:rStyle w:val="Hyperlink"/>
            <w:noProof/>
          </w:rPr>
          <w:t>1.3 School based intervention</w:t>
        </w:r>
        <w:r w:rsidR="00F63169">
          <w:rPr>
            <w:noProof/>
            <w:webHidden/>
          </w:rPr>
          <w:tab/>
        </w:r>
        <w:r w:rsidR="00F63169">
          <w:rPr>
            <w:noProof/>
            <w:webHidden/>
          </w:rPr>
          <w:fldChar w:fldCharType="begin"/>
        </w:r>
        <w:r w:rsidR="00F63169">
          <w:rPr>
            <w:noProof/>
            <w:webHidden/>
          </w:rPr>
          <w:instrText xml:space="preserve"> PAGEREF _Toc97310405 \h </w:instrText>
        </w:r>
        <w:r w:rsidR="00F63169">
          <w:rPr>
            <w:noProof/>
            <w:webHidden/>
          </w:rPr>
        </w:r>
        <w:r w:rsidR="00F63169">
          <w:rPr>
            <w:noProof/>
            <w:webHidden/>
          </w:rPr>
          <w:fldChar w:fldCharType="separate"/>
        </w:r>
        <w:r w:rsidR="002809AA">
          <w:rPr>
            <w:noProof/>
            <w:webHidden/>
          </w:rPr>
          <w:t>4</w:t>
        </w:r>
        <w:r w:rsidR="00F63169">
          <w:rPr>
            <w:noProof/>
            <w:webHidden/>
          </w:rPr>
          <w:fldChar w:fldCharType="end"/>
        </w:r>
      </w:hyperlink>
    </w:p>
    <w:p w14:paraId="6AA5B401" w14:textId="41C7E43A" w:rsidR="00F63169" w:rsidRDefault="00322DCE">
      <w:pPr>
        <w:pStyle w:val="TOC2"/>
        <w:rPr>
          <w:rFonts w:eastAsiaTheme="minorEastAsia"/>
          <w:noProof/>
          <w:lang w:eastAsia="en-GB"/>
        </w:rPr>
      </w:pPr>
      <w:hyperlink w:anchor="_Toc97310406" w:history="1">
        <w:r w:rsidR="00F63169" w:rsidRPr="00670586">
          <w:rPr>
            <w:rStyle w:val="Hyperlink"/>
            <w:noProof/>
          </w:rPr>
          <w:t>1.4 Overview of the Thesis</w:t>
        </w:r>
        <w:r w:rsidR="00F63169">
          <w:rPr>
            <w:noProof/>
            <w:webHidden/>
          </w:rPr>
          <w:tab/>
        </w:r>
        <w:r w:rsidR="00F63169">
          <w:rPr>
            <w:noProof/>
            <w:webHidden/>
          </w:rPr>
          <w:fldChar w:fldCharType="begin"/>
        </w:r>
        <w:r w:rsidR="00F63169">
          <w:rPr>
            <w:noProof/>
            <w:webHidden/>
          </w:rPr>
          <w:instrText xml:space="preserve"> PAGEREF _Toc97310406 \h </w:instrText>
        </w:r>
        <w:r w:rsidR="00F63169">
          <w:rPr>
            <w:noProof/>
            <w:webHidden/>
          </w:rPr>
        </w:r>
        <w:r w:rsidR="00F63169">
          <w:rPr>
            <w:noProof/>
            <w:webHidden/>
          </w:rPr>
          <w:fldChar w:fldCharType="separate"/>
        </w:r>
        <w:r w:rsidR="002809AA">
          <w:rPr>
            <w:noProof/>
            <w:webHidden/>
          </w:rPr>
          <w:t>4</w:t>
        </w:r>
        <w:r w:rsidR="00F63169">
          <w:rPr>
            <w:noProof/>
            <w:webHidden/>
          </w:rPr>
          <w:fldChar w:fldCharType="end"/>
        </w:r>
      </w:hyperlink>
    </w:p>
    <w:p w14:paraId="71F77DFA" w14:textId="07C7BF9B" w:rsidR="00F63169" w:rsidRDefault="00322DCE">
      <w:pPr>
        <w:pStyle w:val="TOC2"/>
        <w:rPr>
          <w:rFonts w:eastAsiaTheme="minorEastAsia"/>
          <w:noProof/>
          <w:lang w:eastAsia="en-GB"/>
        </w:rPr>
      </w:pPr>
      <w:hyperlink w:anchor="_Toc97310407" w:history="1">
        <w:r w:rsidR="00F63169" w:rsidRPr="00670586">
          <w:rPr>
            <w:rStyle w:val="Hyperlink"/>
            <w:noProof/>
          </w:rPr>
          <w:t>1.5 Published and under review publications emerging from the present thesis</w:t>
        </w:r>
        <w:r w:rsidR="00F63169">
          <w:rPr>
            <w:noProof/>
            <w:webHidden/>
          </w:rPr>
          <w:tab/>
        </w:r>
        <w:r w:rsidR="00F63169">
          <w:rPr>
            <w:noProof/>
            <w:webHidden/>
          </w:rPr>
          <w:fldChar w:fldCharType="begin"/>
        </w:r>
        <w:r w:rsidR="00F63169">
          <w:rPr>
            <w:noProof/>
            <w:webHidden/>
          </w:rPr>
          <w:instrText xml:space="preserve"> PAGEREF _Toc97310407 \h </w:instrText>
        </w:r>
        <w:r w:rsidR="00F63169">
          <w:rPr>
            <w:noProof/>
            <w:webHidden/>
          </w:rPr>
        </w:r>
        <w:r w:rsidR="00F63169">
          <w:rPr>
            <w:noProof/>
            <w:webHidden/>
          </w:rPr>
          <w:fldChar w:fldCharType="separate"/>
        </w:r>
        <w:r w:rsidR="002809AA">
          <w:rPr>
            <w:noProof/>
            <w:webHidden/>
          </w:rPr>
          <w:t>7</w:t>
        </w:r>
        <w:r w:rsidR="00F63169">
          <w:rPr>
            <w:noProof/>
            <w:webHidden/>
          </w:rPr>
          <w:fldChar w:fldCharType="end"/>
        </w:r>
      </w:hyperlink>
    </w:p>
    <w:p w14:paraId="3EA8C413" w14:textId="5595E6A2" w:rsidR="00F63169" w:rsidRDefault="00322DCE">
      <w:pPr>
        <w:pStyle w:val="TOC1"/>
        <w:tabs>
          <w:tab w:val="right" w:leader="dot" w:pos="9016"/>
        </w:tabs>
        <w:rPr>
          <w:rFonts w:cstheme="minorBidi"/>
          <w:noProof/>
          <w:lang w:val="en-GB" w:eastAsia="en-GB"/>
        </w:rPr>
      </w:pPr>
      <w:hyperlink r:id="rId13" w:anchor="_Toc97310408" w:history="1">
        <w:r w:rsidR="00F63169" w:rsidRPr="00670586">
          <w:rPr>
            <w:rStyle w:val="Hyperlink"/>
            <w:b/>
            <w:bCs/>
            <w:noProof/>
          </w:rPr>
          <w:t>Chapter 2. Delivering in-school interventions to improve dietary behaviours amongst 11- to 16-year-olds: A systematic review</w:t>
        </w:r>
        <w:r w:rsidR="00F63169">
          <w:rPr>
            <w:noProof/>
            <w:webHidden/>
          </w:rPr>
          <w:tab/>
        </w:r>
        <w:r w:rsidR="00F63169">
          <w:rPr>
            <w:noProof/>
            <w:webHidden/>
          </w:rPr>
          <w:fldChar w:fldCharType="begin"/>
        </w:r>
        <w:r w:rsidR="00F63169">
          <w:rPr>
            <w:noProof/>
            <w:webHidden/>
          </w:rPr>
          <w:instrText xml:space="preserve"> PAGEREF _Toc97310408 \h </w:instrText>
        </w:r>
        <w:r w:rsidR="00F63169">
          <w:rPr>
            <w:noProof/>
            <w:webHidden/>
          </w:rPr>
        </w:r>
        <w:r w:rsidR="00F63169">
          <w:rPr>
            <w:noProof/>
            <w:webHidden/>
          </w:rPr>
          <w:fldChar w:fldCharType="separate"/>
        </w:r>
        <w:r w:rsidR="002809AA">
          <w:rPr>
            <w:noProof/>
            <w:webHidden/>
          </w:rPr>
          <w:t>8</w:t>
        </w:r>
        <w:r w:rsidR="00F63169">
          <w:rPr>
            <w:noProof/>
            <w:webHidden/>
          </w:rPr>
          <w:fldChar w:fldCharType="end"/>
        </w:r>
      </w:hyperlink>
    </w:p>
    <w:p w14:paraId="6B76E83D" w14:textId="6EDF2090" w:rsidR="00F63169" w:rsidRDefault="00322DCE">
      <w:pPr>
        <w:pStyle w:val="TOC2"/>
        <w:rPr>
          <w:rFonts w:eastAsiaTheme="minorEastAsia"/>
          <w:noProof/>
          <w:lang w:eastAsia="en-GB"/>
        </w:rPr>
      </w:pPr>
      <w:hyperlink w:anchor="_Toc97310409" w:history="1">
        <w:r w:rsidR="00F63169" w:rsidRPr="00670586">
          <w:rPr>
            <w:rStyle w:val="Hyperlink"/>
            <w:noProof/>
          </w:rPr>
          <w:t>2.1 Chapter overview</w:t>
        </w:r>
        <w:r w:rsidR="00F63169">
          <w:rPr>
            <w:noProof/>
            <w:webHidden/>
          </w:rPr>
          <w:tab/>
        </w:r>
        <w:r w:rsidR="00F63169">
          <w:rPr>
            <w:noProof/>
            <w:webHidden/>
          </w:rPr>
          <w:fldChar w:fldCharType="begin"/>
        </w:r>
        <w:r w:rsidR="00F63169">
          <w:rPr>
            <w:noProof/>
            <w:webHidden/>
          </w:rPr>
          <w:instrText xml:space="preserve"> PAGEREF _Toc97310409 \h </w:instrText>
        </w:r>
        <w:r w:rsidR="00F63169">
          <w:rPr>
            <w:noProof/>
            <w:webHidden/>
          </w:rPr>
        </w:r>
        <w:r w:rsidR="00F63169">
          <w:rPr>
            <w:noProof/>
            <w:webHidden/>
          </w:rPr>
          <w:fldChar w:fldCharType="separate"/>
        </w:r>
        <w:r w:rsidR="002809AA">
          <w:rPr>
            <w:noProof/>
            <w:webHidden/>
          </w:rPr>
          <w:t>9</w:t>
        </w:r>
        <w:r w:rsidR="00F63169">
          <w:rPr>
            <w:noProof/>
            <w:webHidden/>
          </w:rPr>
          <w:fldChar w:fldCharType="end"/>
        </w:r>
      </w:hyperlink>
    </w:p>
    <w:p w14:paraId="4BB8561C" w14:textId="7747CD42" w:rsidR="00F63169" w:rsidRDefault="00322DCE">
      <w:pPr>
        <w:pStyle w:val="TOC2"/>
        <w:rPr>
          <w:rFonts w:eastAsiaTheme="minorEastAsia"/>
          <w:noProof/>
          <w:lang w:eastAsia="en-GB"/>
        </w:rPr>
      </w:pPr>
      <w:hyperlink w:anchor="_Toc97310410" w:history="1">
        <w:r w:rsidR="00F63169" w:rsidRPr="00670586">
          <w:rPr>
            <w:rStyle w:val="Hyperlink"/>
            <w:noProof/>
          </w:rPr>
          <w:t>2.2 Introduction</w:t>
        </w:r>
        <w:r w:rsidR="00F63169">
          <w:rPr>
            <w:noProof/>
            <w:webHidden/>
          </w:rPr>
          <w:tab/>
        </w:r>
        <w:r w:rsidR="00F63169">
          <w:rPr>
            <w:noProof/>
            <w:webHidden/>
          </w:rPr>
          <w:fldChar w:fldCharType="begin"/>
        </w:r>
        <w:r w:rsidR="00F63169">
          <w:rPr>
            <w:noProof/>
            <w:webHidden/>
          </w:rPr>
          <w:instrText xml:space="preserve"> PAGEREF _Toc97310410 \h </w:instrText>
        </w:r>
        <w:r w:rsidR="00F63169">
          <w:rPr>
            <w:noProof/>
            <w:webHidden/>
          </w:rPr>
        </w:r>
        <w:r w:rsidR="00F63169">
          <w:rPr>
            <w:noProof/>
            <w:webHidden/>
          </w:rPr>
          <w:fldChar w:fldCharType="separate"/>
        </w:r>
        <w:r w:rsidR="002809AA">
          <w:rPr>
            <w:noProof/>
            <w:webHidden/>
          </w:rPr>
          <w:t>9</w:t>
        </w:r>
        <w:r w:rsidR="00F63169">
          <w:rPr>
            <w:noProof/>
            <w:webHidden/>
          </w:rPr>
          <w:fldChar w:fldCharType="end"/>
        </w:r>
      </w:hyperlink>
    </w:p>
    <w:p w14:paraId="79CC4403" w14:textId="407C4C57" w:rsidR="00F63169" w:rsidRDefault="00322DCE">
      <w:pPr>
        <w:pStyle w:val="TOC2"/>
        <w:rPr>
          <w:rFonts w:eastAsiaTheme="minorEastAsia"/>
          <w:noProof/>
          <w:lang w:eastAsia="en-GB"/>
        </w:rPr>
      </w:pPr>
      <w:hyperlink w:anchor="_Toc97310411" w:history="1">
        <w:r w:rsidR="00F63169" w:rsidRPr="00670586">
          <w:rPr>
            <w:rStyle w:val="Hyperlink"/>
            <w:noProof/>
          </w:rPr>
          <w:t>2.3 Methods</w:t>
        </w:r>
        <w:r w:rsidR="00F63169">
          <w:rPr>
            <w:noProof/>
            <w:webHidden/>
          </w:rPr>
          <w:tab/>
        </w:r>
        <w:r w:rsidR="00F63169">
          <w:rPr>
            <w:noProof/>
            <w:webHidden/>
          </w:rPr>
          <w:fldChar w:fldCharType="begin"/>
        </w:r>
        <w:r w:rsidR="00F63169">
          <w:rPr>
            <w:noProof/>
            <w:webHidden/>
          </w:rPr>
          <w:instrText xml:space="preserve"> PAGEREF _Toc97310411 \h </w:instrText>
        </w:r>
        <w:r w:rsidR="00F63169">
          <w:rPr>
            <w:noProof/>
            <w:webHidden/>
          </w:rPr>
        </w:r>
        <w:r w:rsidR="00F63169">
          <w:rPr>
            <w:noProof/>
            <w:webHidden/>
          </w:rPr>
          <w:fldChar w:fldCharType="separate"/>
        </w:r>
        <w:r w:rsidR="002809AA">
          <w:rPr>
            <w:noProof/>
            <w:webHidden/>
          </w:rPr>
          <w:t>11</w:t>
        </w:r>
        <w:r w:rsidR="00F63169">
          <w:rPr>
            <w:noProof/>
            <w:webHidden/>
          </w:rPr>
          <w:fldChar w:fldCharType="end"/>
        </w:r>
      </w:hyperlink>
    </w:p>
    <w:p w14:paraId="2C5A311C" w14:textId="7F052955" w:rsidR="00F63169" w:rsidRDefault="00322DCE">
      <w:pPr>
        <w:pStyle w:val="TOC3"/>
        <w:tabs>
          <w:tab w:val="right" w:leader="dot" w:pos="9016"/>
        </w:tabs>
        <w:rPr>
          <w:rFonts w:cstheme="minorBidi"/>
          <w:noProof/>
          <w:lang w:val="en-GB" w:eastAsia="en-GB"/>
        </w:rPr>
      </w:pPr>
      <w:hyperlink w:anchor="_Toc97310412" w:history="1">
        <w:r w:rsidR="00F63169" w:rsidRPr="00670586">
          <w:rPr>
            <w:rStyle w:val="Hyperlink"/>
            <w:noProof/>
          </w:rPr>
          <w:t>2.3.1 Identification of studies</w:t>
        </w:r>
        <w:r w:rsidR="00F63169">
          <w:rPr>
            <w:noProof/>
            <w:webHidden/>
          </w:rPr>
          <w:tab/>
        </w:r>
        <w:r w:rsidR="00F63169">
          <w:rPr>
            <w:noProof/>
            <w:webHidden/>
          </w:rPr>
          <w:fldChar w:fldCharType="begin"/>
        </w:r>
        <w:r w:rsidR="00F63169">
          <w:rPr>
            <w:noProof/>
            <w:webHidden/>
          </w:rPr>
          <w:instrText xml:space="preserve"> PAGEREF _Toc97310412 \h </w:instrText>
        </w:r>
        <w:r w:rsidR="00F63169">
          <w:rPr>
            <w:noProof/>
            <w:webHidden/>
          </w:rPr>
        </w:r>
        <w:r w:rsidR="00F63169">
          <w:rPr>
            <w:noProof/>
            <w:webHidden/>
          </w:rPr>
          <w:fldChar w:fldCharType="separate"/>
        </w:r>
        <w:r w:rsidR="002809AA">
          <w:rPr>
            <w:noProof/>
            <w:webHidden/>
          </w:rPr>
          <w:t>11</w:t>
        </w:r>
        <w:r w:rsidR="00F63169">
          <w:rPr>
            <w:noProof/>
            <w:webHidden/>
          </w:rPr>
          <w:fldChar w:fldCharType="end"/>
        </w:r>
      </w:hyperlink>
    </w:p>
    <w:p w14:paraId="1B1AC921" w14:textId="0F135BC6" w:rsidR="00F63169" w:rsidRDefault="00322DCE">
      <w:pPr>
        <w:pStyle w:val="TOC3"/>
        <w:tabs>
          <w:tab w:val="right" w:leader="dot" w:pos="9016"/>
        </w:tabs>
        <w:rPr>
          <w:rFonts w:cstheme="minorBidi"/>
          <w:noProof/>
          <w:lang w:val="en-GB" w:eastAsia="en-GB"/>
        </w:rPr>
      </w:pPr>
      <w:hyperlink w:anchor="_Toc97310413" w:history="1">
        <w:r w:rsidR="00F63169" w:rsidRPr="00670586">
          <w:rPr>
            <w:rStyle w:val="Hyperlink"/>
            <w:noProof/>
          </w:rPr>
          <w:t>2.3.2 Data extraction and analysis</w:t>
        </w:r>
        <w:r w:rsidR="00F63169">
          <w:rPr>
            <w:noProof/>
            <w:webHidden/>
          </w:rPr>
          <w:tab/>
        </w:r>
        <w:r w:rsidR="00F63169">
          <w:rPr>
            <w:noProof/>
            <w:webHidden/>
          </w:rPr>
          <w:fldChar w:fldCharType="begin"/>
        </w:r>
        <w:r w:rsidR="00F63169">
          <w:rPr>
            <w:noProof/>
            <w:webHidden/>
          </w:rPr>
          <w:instrText xml:space="preserve"> PAGEREF _Toc97310413 \h </w:instrText>
        </w:r>
        <w:r w:rsidR="00F63169">
          <w:rPr>
            <w:noProof/>
            <w:webHidden/>
          </w:rPr>
        </w:r>
        <w:r w:rsidR="00F63169">
          <w:rPr>
            <w:noProof/>
            <w:webHidden/>
          </w:rPr>
          <w:fldChar w:fldCharType="separate"/>
        </w:r>
        <w:r w:rsidR="002809AA">
          <w:rPr>
            <w:noProof/>
            <w:webHidden/>
          </w:rPr>
          <w:t>14</w:t>
        </w:r>
        <w:r w:rsidR="00F63169">
          <w:rPr>
            <w:noProof/>
            <w:webHidden/>
          </w:rPr>
          <w:fldChar w:fldCharType="end"/>
        </w:r>
      </w:hyperlink>
    </w:p>
    <w:p w14:paraId="6DA2B52D" w14:textId="4D7571E1" w:rsidR="00F63169" w:rsidRDefault="00322DCE">
      <w:pPr>
        <w:pStyle w:val="TOC2"/>
        <w:rPr>
          <w:rFonts w:eastAsiaTheme="minorEastAsia"/>
          <w:noProof/>
          <w:lang w:eastAsia="en-GB"/>
        </w:rPr>
      </w:pPr>
      <w:hyperlink w:anchor="_Toc97310414" w:history="1">
        <w:r w:rsidR="00F63169" w:rsidRPr="00670586">
          <w:rPr>
            <w:rStyle w:val="Hyperlink"/>
            <w:noProof/>
          </w:rPr>
          <w:t>2.4 Results</w:t>
        </w:r>
        <w:r w:rsidR="00F63169">
          <w:rPr>
            <w:noProof/>
            <w:webHidden/>
          </w:rPr>
          <w:tab/>
        </w:r>
        <w:r w:rsidR="00F63169">
          <w:rPr>
            <w:noProof/>
            <w:webHidden/>
          </w:rPr>
          <w:fldChar w:fldCharType="begin"/>
        </w:r>
        <w:r w:rsidR="00F63169">
          <w:rPr>
            <w:noProof/>
            <w:webHidden/>
          </w:rPr>
          <w:instrText xml:space="preserve"> PAGEREF _Toc97310414 \h </w:instrText>
        </w:r>
        <w:r w:rsidR="00F63169">
          <w:rPr>
            <w:noProof/>
            <w:webHidden/>
          </w:rPr>
        </w:r>
        <w:r w:rsidR="00F63169">
          <w:rPr>
            <w:noProof/>
            <w:webHidden/>
          </w:rPr>
          <w:fldChar w:fldCharType="separate"/>
        </w:r>
        <w:r w:rsidR="002809AA">
          <w:rPr>
            <w:noProof/>
            <w:webHidden/>
          </w:rPr>
          <w:t>18</w:t>
        </w:r>
        <w:r w:rsidR="00F63169">
          <w:rPr>
            <w:noProof/>
            <w:webHidden/>
          </w:rPr>
          <w:fldChar w:fldCharType="end"/>
        </w:r>
      </w:hyperlink>
    </w:p>
    <w:p w14:paraId="160D7669" w14:textId="41B190C0" w:rsidR="00F63169" w:rsidRDefault="00322DCE">
      <w:pPr>
        <w:pStyle w:val="TOC3"/>
        <w:tabs>
          <w:tab w:val="right" w:leader="dot" w:pos="9016"/>
        </w:tabs>
        <w:rPr>
          <w:rFonts w:cstheme="minorBidi"/>
          <w:noProof/>
          <w:lang w:val="en-GB" w:eastAsia="en-GB"/>
        </w:rPr>
      </w:pPr>
      <w:hyperlink w:anchor="_Toc97310415" w:history="1">
        <w:r w:rsidR="00F63169" w:rsidRPr="00670586">
          <w:rPr>
            <w:rStyle w:val="Hyperlink"/>
            <w:noProof/>
          </w:rPr>
          <w:t>2.4.1 General characteristics of the studies</w:t>
        </w:r>
        <w:r w:rsidR="00F63169">
          <w:rPr>
            <w:noProof/>
            <w:webHidden/>
          </w:rPr>
          <w:tab/>
        </w:r>
        <w:r w:rsidR="00F63169">
          <w:rPr>
            <w:noProof/>
            <w:webHidden/>
          </w:rPr>
          <w:fldChar w:fldCharType="begin"/>
        </w:r>
        <w:r w:rsidR="00F63169">
          <w:rPr>
            <w:noProof/>
            <w:webHidden/>
          </w:rPr>
          <w:instrText xml:space="preserve"> PAGEREF _Toc97310415 \h </w:instrText>
        </w:r>
        <w:r w:rsidR="00F63169">
          <w:rPr>
            <w:noProof/>
            <w:webHidden/>
          </w:rPr>
        </w:r>
        <w:r w:rsidR="00F63169">
          <w:rPr>
            <w:noProof/>
            <w:webHidden/>
          </w:rPr>
          <w:fldChar w:fldCharType="separate"/>
        </w:r>
        <w:r w:rsidR="002809AA">
          <w:rPr>
            <w:noProof/>
            <w:webHidden/>
          </w:rPr>
          <w:t>19</w:t>
        </w:r>
        <w:r w:rsidR="00F63169">
          <w:rPr>
            <w:noProof/>
            <w:webHidden/>
          </w:rPr>
          <w:fldChar w:fldCharType="end"/>
        </w:r>
      </w:hyperlink>
    </w:p>
    <w:p w14:paraId="1D8465C0" w14:textId="4B743CBD" w:rsidR="00F63169" w:rsidRDefault="00322DCE">
      <w:pPr>
        <w:pStyle w:val="TOC3"/>
        <w:tabs>
          <w:tab w:val="right" w:leader="dot" w:pos="9016"/>
        </w:tabs>
        <w:rPr>
          <w:rFonts w:cstheme="minorBidi"/>
          <w:noProof/>
          <w:lang w:val="en-GB" w:eastAsia="en-GB"/>
        </w:rPr>
      </w:pPr>
      <w:hyperlink w:anchor="_Toc97310416" w:history="1">
        <w:r w:rsidR="00F63169" w:rsidRPr="00670586">
          <w:rPr>
            <w:rStyle w:val="Hyperlink"/>
            <w:noProof/>
          </w:rPr>
          <w:t>2.4.2 Target behaviours and measurements</w:t>
        </w:r>
        <w:r w:rsidR="00F63169">
          <w:rPr>
            <w:noProof/>
            <w:webHidden/>
          </w:rPr>
          <w:tab/>
        </w:r>
        <w:r w:rsidR="00F63169">
          <w:rPr>
            <w:noProof/>
            <w:webHidden/>
          </w:rPr>
          <w:fldChar w:fldCharType="begin"/>
        </w:r>
        <w:r w:rsidR="00F63169">
          <w:rPr>
            <w:noProof/>
            <w:webHidden/>
          </w:rPr>
          <w:instrText xml:space="preserve"> PAGEREF _Toc97310416 \h </w:instrText>
        </w:r>
        <w:r w:rsidR="00F63169">
          <w:rPr>
            <w:noProof/>
            <w:webHidden/>
          </w:rPr>
        </w:r>
        <w:r w:rsidR="00F63169">
          <w:rPr>
            <w:noProof/>
            <w:webHidden/>
          </w:rPr>
          <w:fldChar w:fldCharType="separate"/>
        </w:r>
        <w:r w:rsidR="002809AA">
          <w:rPr>
            <w:noProof/>
            <w:webHidden/>
          </w:rPr>
          <w:t>19</w:t>
        </w:r>
        <w:r w:rsidR="00F63169">
          <w:rPr>
            <w:noProof/>
            <w:webHidden/>
          </w:rPr>
          <w:fldChar w:fldCharType="end"/>
        </w:r>
      </w:hyperlink>
    </w:p>
    <w:p w14:paraId="7B4034CA" w14:textId="4B2410E5" w:rsidR="00F63169" w:rsidRDefault="00322DCE">
      <w:pPr>
        <w:pStyle w:val="TOC3"/>
        <w:tabs>
          <w:tab w:val="right" w:leader="dot" w:pos="9016"/>
        </w:tabs>
        <w:rPr>
          <w:rFonts w:cstheme="minorBidi"/>
          <w:noProof/>
          <w:lang w:val="en-GB" w:eastAsia="en-GB"/>
        </w:rPr>
      </w:pPr>
      <w:hyperlink w:anchor="_Toc97310417" w:history="1">
        <w:r w:rsidR="00F63169" w:rsidRPr="00670586">
          <w:rPr>
            <w:rStyle w:val="Hyperlink"/>
            <w:rFonts w:cstheme="minorHAnsi"/>
            <w:noProof/>
          </w:rPr>
          <w:t>2.4.3 Intervention components</w:t>
        </w:r>
        <w:r w:rsidR="00F63169">
          <w:rPr>
            <w:noProof/>
            <w:webHidden/>
          </w:rPr>
          <w:tab/>
        </w:r>
        <w:r w:rsidR="00F63169">
          <w:rPr>
            <w:noProof/>
            <w:webHidden/>
          </w:rPr>
          <w:fldChar w:fldCharType="begin"/>
        </w:r>
        <w:r w:rsidR="00F63169">
          <w:rPr>
            <w:noProof/>
            <w:webHidden/>
          </w:rPr>
          <w:instrText xml:space="preserve"> PAGEREF _Toc97310417 \h </w:instrText>
        </w:r>
        <w:r w:rsidR="00F63169">
          <w:rPr>
            <w:noProof/>
            <w:webHidden/>
          </w:rPr>
        </w:r>
        <w:r w:rsidR="00F63169">
          <w:rPr>
            <w:noProof/>
            <w:webHidden/>
          </w:rPr>
          <w:fldChar w:fldCharType="separate"/>
        </w:r>
        <w:r w:rsidR="002809AA">
          <w:rPr>
            <w:noProof/>
            <w:webHidden/>
          </w:rPr>
          <w:t>44</w:t>
        </w:r>
        <w:r w:rsidR="00F63169">
          <w:rPr>
            <w:noProof/>
            <w:webHidden/>
          </w:rPr>
          <w:fldChar w:fldCharType="end"/>
        </w:r>
      </w:hyperlink>
    </w:p>
    <w:p w14:paraId="69361281" w14:textId="44C42EB1" w:rsidR="00F63169" w:rsidRDefault="00322DCE">
      <w:pPr>
        <w:pStyle w:val="TOC3"/>
        <w:tabs>
          <w:tab w:val="right" w:leader="dot" w:pos="9016"/>
        </w:tabs>
        <w:rPr>
          <w:rFonts w:cstheme="minorBidi"/>
          <w:noProof/>
          <w:lang w:val="en-GB" w:eastAsia="en-GB"/>
        </w:rPr>
      </w:pPr>
      <w:hyperlink w:anchor="_Toc97310418" w:history="1">
        <w:r w:rsidR="00F63169" w:rsidRPr="00670586">
          <w:rPr>
            <w:rStyle w:val="Hyperlink"/>
            <w:noProof/>
          </w:rPr>
          <w:t>2.4.4 Intervention delivery</w:t>
        </w:r>
        <w:r w:rsidR="00F63169">
          <w:rPr>
            <w:noProof/>
            <w:webHidden/>
          </w:rPr>
          <w:tab/>
        </w:r>
        <w:r w:rsidR="00F63169">
          <w:rPr>
            <w:noProof/>
            <w:webHidden/>
          </w:rPr>
          <w:fldChar w:fldCharType="begin"/>
        </w:r>
        <w:r w:rsidR="00F63169">
          <w:rPr>
            <w:noProof/>
            <w:webHidden/>
          </w:rPr>
          <w:instrText xml:space="preserve"> PAGEREF _Toc97310418 \h </w:instrText>
        </w:r>
        <w:r w:rsidR="00F63169">
          <w:rPr>
            <w:noProof/>
            <w:webHidden/>
          </w:rPr>
        </w:r>
        <w:r w:rsidR="00F63169">
          <w:rPr>
            <w:noProof/>
            <w:webHidden/>
          </w:rPr>
          <w:fldChar w:fldCharType="separate"/>
        </w:r>
        <w:r w:rsidR="002809AA">
          <w:rPr>
            <w:noProof/>
            <w:webHidden/>
          </w:rPr>
          <w:t>45</w:t>
        </w:r>
        <w:r w:rsidR="00F63169">
          <w:rPr>
            <w:noProof/>
            <w:webHidden/>
          </w:rPr>
          <w:fldChar w:fldCharType="end"/>
        </w:r>
      </w:hyperlink>
    </w:p>
    <w:p w14:paraId="5A70D912" w14:textId="3DB0C0C2" w:rsidR="00F63169" w:rsidRDefault="00322DCE">
      <w:pPr>
        <w:pStyle w:val="TOC3"/>
        <w:tabs>
          <w:tab w:val="right" w:leader="dot" w:pos="9016"/>
        </w:tabs>
        <w:rPr>
          <w:rFonts w:cstheme="minorBidi"/>
          <w:noProof/>
          <w:lang w:val="en-GB" w:eastAsia="en-GB"/>
        </w:rPr>
      </w:pPr>
      <w:hyperlink w:anchor="_Toc97310419" w:history="1">
        <w:r w:rsidR="00F63169" w:rsidRPr="00670586">
          <w:rPr>
            <w:rStyle w:val="Hyperlink"/>
            <w:noProof/>
          </w:rPr>
          <w:t>2.4.5 Intervention effectiveness</w:t>
        </w:r>
        <w:r w:rsidR="00F63169">
          <w:rPr>
            <w:noProof/>
            <w:webHidden/>
          </w:rPr>
          <w:tab/>
        </w:r>
        <w:r w:rsidR="00F63169">
          <w:rPr>
            <w:noProof/>
            <w:webHidden/>
          </w:rPr>
          <w:fldChar w:fldCharType="begin"/>
        </w:r>
        <w:r w:rsidR="00F63169">
          <w:rPr>
            <w:noProof/>
            <w:webHidden/>
          </w:rPr>
          <w:instrText xml:space="preserve"> PAGEREF _Toc97310419 \h </w:instrText>
        </w:r>
        <w:r w:rsidR="00F63169">
          <w:rPr>
            <w:noProof/>
            <w:webHidden/>
          </w:rPr>
        </w:r>
        <w:r w:rsidR="00F63169">
          <w:rPr>
            <w:noProof/>
            <w:webHidden/>
          </w:rPr>
          <w:fldChar w:fldCharType="separate"/>
        </w:r>
        <w:r w:rsidR="002809AA">
          <w:rPr>
            <w:noProof/>
            <w:webHidden/>
          </w:rPr>
          <w:t>47</w:t>
        </w:r>
        <w:r w:rsidR="00F63169">
          <w:rPr>
            <w:noProof/>
            <w:webHidden/>
          </w:rPr>
          <w:fldChar w:fldCharType="end"/>
        </w:r>
      </w:hyperlink>
    </w:p>
    <w:p w14:paraId="36446B32" w14:textId="7B7F2C77" w:rsidR="00F63169" w:rsidRDefault="00322DCE">
      <w:pPr>
        <w:pStyle w:val="TOC2"/>
        <w:rPr>
          <w:rFonts w:eastAsiaTheme="minorEastAsia"/>
          <w:noProof/>
          <w:lang w:eastAsia="en-GB"/>
        </w:rPr>
      </w:pPr>
      <w:hyperlink w:anchor="_Toc97310420" w:history="1">
        <w:r w:rsidR="00F63169" w:rsidRPr="00670586">
          <w:rPr>
            <w:rStyle w:val="Hyperlink"/>
            <w:noProof/>
          </w:rPr>
          <w:t>2.5 Discussion</w:t>
        </w:r>
        <w:r w:rsidR="00F63169">
          <w:rPr>
            <w:noProof/>
            <w:webHidden/>
          </w:rPr>
          <w:tab/>
        </w:r>
        <w:r w:rsidR="00F63169">
          <w:rPr>
            <w:noProof/>
            <w:webHidden/>
          </w:rPr>
          <w:fldChar w:fldCharType="begin"/>
        </w:r>
        <w:r w:rsidR="00F63169">
          <w:rPr>
            <w:noProof/>
            <w:webHidden/>
          </w:rPr>
          <w:instrText xml:space="preserve"> PAGEREF _Toc97310420 \h </w:instrText>
        </w:r>
        <w:r w:rsidR="00F63169">
          <w:rPr>
            <w:noProof/>
            <w:webHidden/>
          </w:rPr>
        </w:r>
        <w:r w:rsidR="00F63169">
          <w:rPr>
            <w:noProof/>
            <w:webHidden/>
          </w:rPr>
          <w:fldChar w:fldCharType="separate"/>
        </w:r>
        <w:r w:rsidR="002809AA">
          <w:rPr>
            <w:noProof/>
            <w:webHidden/>
          </w:rPr>
          <w:t>48</w:t>
        </w:r>
        <w:r w:rsidR="00F63169">
          <w:rPr>
            <w:noProof/>
            <w:webHidden/>
          </w:rPr>
          <w:fldChar w:fldCharType="end"/>
        </w:r>
      </w:hyperlink>
    </w:p>
    <w:p w14:paraId="79D126F7" w14:textId="45773DFB" w:rsidR="00F63169" w:rsidRDefault="00322DCE">
      <w:pPr>
        <w:pStyle w:val="TOC3"/>
        <w:tabs>
          <w:tab w:val="right" w:leader="dot" w:pos="9016"/>
        </w:tabs>
        <w:rPr>
          <w:rFonts w:cstheme="minorBidi"/>
          <w:noProof/>
          <w:lang w:val="en-GB" w:eastAsia="en-GB"/>
        </w:rPr>
      </w:pPr>
      <w:hyperlink w:anchor="_Toc97310421" w:history="1">
        <w:r w:rsidR="00F63169" w:rsidRPr="00670586">
          <w:rPr>
            <w:rStyle w:val="Hyperlink"/>
            <w:noProof/>
          </w:rPr>
          <w:t>2.5.1 Summary of main findings</w:t>
        </w:r>
        <w:r w:rsidR="00F63169">
          <w:rPr>
            <w:noProof/>
            <w:webHidden/>
          </w:rPr>
          <w:tab/>
        </w:r>
        <w:r w:rsidR="00F63169">
          <w:rPr>
            <w:noProof/>
            <w:webHidden/>
          </w:rPr>
          <w:fldChar w:fldCharType="begin"/>
        </w:r>
        <w:r w:rsidR="00F63169">
          <w:rPr>
            <w:noProof/>
            <w:webHidden/>
          </w:rPr>
          <w:instrText xml:space="preserve"> PAGEREF _Toc97310421 \h </w:instrText>
        </w:r>
        <w:r w:rsidR="00F63169">
          <w:rPr>
            <w:noProof/>
            <w:webHidden/>
          </w:rPr>
        </w:r>
        <w:r w:rsidR="00F63169">
          <w:rPr>
            <w:noProof/>
            <w:webHidden/>
          </w:rPr>
          <w:fldChar w:fldCharType="separate"/>
        </w:r>
        <w:r w:rsidR="002809AA">
          <w:rPr>
            <w:noProof/>
            <w:webHidden/>
          </w:rPr>
          <w:t>48</w:t>
        </w:r>
        <w:r w:rsidR="00F63169">
          <w:rPr>
            <w:noProof/>
            <w:webHidden/>
          </w:rPr>
          <w:fldChar w:fldCharType="end"/>
        </w:r>
      </w:hyperlink>
    </w:p>
    <w:p w14:paraId="67D0CEB5" w14:textId="140A084F" w:rsidR="00F63169" w:rsidRDefault="00322DCE">
      <w:pPr>
        <w:pStyle w:val="TOC3"/>
        <w:tabs>
          <w:tab w:val="right" w:leader="dot" w:pos="9016"/>
        </w:tabs>
        <w:rPr>
          <w:rFonts w:cstheme="minorBidi"/>
          <w:noProof/>
          <w:lang w:val="en-GB" w:eastAsia="en-GB"/>
        </w:rPr>
      </w:pPr>
      <w:hyperlink w:anchor="_Toc97310422" w:history="1">
        <w:r w:rsidR="00F63169" w:rsidRPr="00670586">
          <w:rPr>
            <w:rStyle w:val="Hyperlink"/>
            <w:noProof/>
          </w:rPr>
          <w:t>2.5.2 Dietary behaviours targeted and types of intervention delivered</w:t>
        </w:r>
        <w:r w:rsidR="00F63169">
          <w:rPr>
            <w:noProof/>
            <w:webHidden/>
          </w:rPr>
          <w:tab/>
        </w:r>
        <w:r w:rsidR="00F63169">
          <w:rPr>
            <w:noProof/>
            <w:webHidden/>
          </w:rPr>
          <w:fldChar w:fldCharType="begin"/>
        </w:r>
        <w:r w:rsidR="00F63169">
          <w:rPr>
            <w:noProof/>
            <w:webHidden/>
          </w:rPr>
          <w:instrText xml:space="preserve"> PAGEREF _Toc97310422 \h </w:instrText>
        </w:r>
        <w:r w:rsidR="00F63169">
          <w:rPr>
            <w:noProof/>
            <w:webHidden/>
          </w:rPr>
        </w:r>
        <w:r w:rsidR="00F63169">
          <w:rPr>
            <w:noProof/>
            <w:webHidden/>
          </w:rPr>
          <w:fldChar w:fldCharType="separate"/>
        </w:r>
        <w:r w:rsidR="002809AA">
          <w:rPr>
            <w:noProof/>
            <w:webHidden/>
          </w:rPr>
          <w:t>48</w:t>
        </w:r>
        <w:r w:rsidR="00F63169">
          <w:rPr>
            <w:noProof/>
            <w:webHidden/>
          </w:rPr>
          <w:fldChar w:fldCharType="end"/>
        </w:r>
      </w:hyperlink>
    </w:p>
    <w:p w14:paraId="5096F50E" w14:textId="5DC159C0" w:rsidR="00F63169" w:rsidRDefault="00322DCE">
      <w:pPr>
        <w:pStyle w:val="TOC3"/>
        <w:tabs>
          <w:tab w:val="right" w:leader="dot" w:pos="9016"/>
        </w:tabs>
        <w:rPr>
          <w:rFonts w:cstheme="minorBidi"/>
          <w:noProof/>
          <w:lang w:val="en-GB" w:eastAsia="en-GB"/>
        </w:rPr>
      </w:pPr>
      <w:hyperlink w:anchor="_Toc97310423" w:history="1">
        <w:r w:rsidR="00F63169" w:rsidRPr="00670586">
          <w:rPr>
            <w:rStyle w:val="Hyperlink"/>
            <w:noProof/>
          </w:rPr>
          <w:t>2.5.3 Duration of interventions and how they were measured</w:t>
        </w:r>
        <w:r w:rsidR="00F63169">
          <w:rPr>
            <w:noProof/>
            <w:webHidden/>
          </w:rPr>
          <w:tab/>
        </w:r>
        <w:r w:rsidR="00F63169">
          <w:rPr>
            <w:noProof/>
            <w:webHidden/>
          </w:rPr>
          <w:fldChar w:fldCharType="begin"/>
        </w:r>
        <w:r w:rsidR="00F63169">
          <w:rPr>
            <w:noProof/>
            <w:webHidden/>
          </w:rPr>
          <w:instrText xml:space="preserve"> PAGEREF _Toc97310423 \h </w:instrText>
        </w:r>
        <w:r w:rsidR="00F63169">
          <w:rPr>
            <w:noProof/>
            <w:webHidden/>
          </w:rPr>
        </w:r>
        <w:r w:rsidR="00F63169">
          <w:rPr>
            <w:noProof/>
            <w:webHidden/>
          </w:rPr>
          <w:fldChar w:fldCharType="separate"/>
        </w:r>
        <w:r w:rsidR="002809AA">
          <w:rPr>
            <w:noProof/>
            <w:webHidden/>
          </w:rPr>
          <w:t>50</w:t>
        </w:r>
        <w:r w:rsidR="00F63169">
          <w:rPr>
            <w:noProof/>
            <w:webHidden/>
          </w:rPr>
          <w:fldChar w:fldCharType="end"/>
        </w:r>
      </w:hyperlink>
    </w:p>
    <w:p w14:paraId="4A440B3A" w14:textId="299E6622" w:rsidR="00F63169" w:rsidRDefault="00322DCE">
      <w:pPr>
        <w:pStyle w:val="TOC3"/>
        <w:tabs>
          <w:tab w:val="right" w:leader="dot" w:pos="9016"/>
        </w:tabs>
        <w:rPr>
          <w:rFonts w:cstheme="minorBidi"/>
          <w:noProof/>
          <w:lang w:val="en-GB" w:eastAsia="en-GB"/>
        </w:rPr>
      </w:pPr>
      <w:hyperlink w:anchor="_Toc97310424" w:history="1">
        <w:r w:rsidR="00F63169" w:rsidRPr="00670586">
          <w:rPr>
            <w:rStyle w:val="Hyperlink"/>
            <w:noProof/>
          </w:rPr>
          <w:t>2.5.4 Effectiveness of improving dietary behaviour for 11- to 16-year-olds</w:t>
        </w:r>
        <w:r w:rsidR="00F63169">
          <w:rPr>
            <w:noProof/>
            <w:webHidden/>
          </w:rPr>
          <w:tab/>
        </w:r>
        <w:r w:rsidR="00F63169">
          <w:rPr>
            <w:noProof/>
            <w:webHidden/>
          </w:rPr>
          <w:fldChar w:fldCharType="begin"/>
        </w:r>
        <w:r w:rsidR="00F63169">
          <w:rPr>
            <w:noProof/>
            <w:webHidden/>
          </w:rPr>
          <w:instrText xml:space="preserve"> PAGEREF _Toc97310424 \h </w:instrText>
        </w:r>
        <w:r w:rsidR="00F63169">
          <w:rPr>
            <w:noProof/>
            <w:webHidden/>
          </w:rPr>
        </w:r>
        <w:r w:rsidR="00F63169">
          <w:rPr>
            <w:noProof/>
            <w:webHidden/>
          </w:rPr>
          <w:fldChar w:fldCharType="separate"/>
        </w:r>
        <w:r w:rsidR="002809AA">
          <w:rPr>
            <w:noProof/>
            <w:webHidden/>
          </w:rPr>
          <w:t>52</w:t>
        </w:r>
        <w:r w:rsidR="00F63169">
          <w:rPr>
            <w:noProof/>
            <w:webHidden/>
          </w:rPr>
          <w:fldChar w:fldCharType="end"/>
        </w:r>
      </w:hyperlink>
    </w:p>
    <w:p w14:paraId="2F6F948D" w14:textId="33D077A1" w:rsidR="00F63169" w:rsidRDefault="00322DCE">
      <w:pPr>
        <w:pStyle w:val="TOC3"/>
        <w:tabs>
          <w:tab w:val="right" w:leader="dot" w:pos="9016"/>
        </w:tabs>
        <w:rPr>
          <w:rFonts w:cstheme="minorBidi"/>
          <w:noProof/>
          <w:lang w:val="en-GB" w:eastAsia="en-GB"/>
        </w:rPr>
      </w:pPr>
      <w:hyperlink w:anchor="_Toc97310425" w:history="1">
        <w:r w:rsidR="00F63169" w:rsidRPr="00670586">
          <w:rPr>
            <w:rStyle w:val="Hyperlink"/>
            <w:noProof/>
          </w:rPr>
          <w:t>2.5.5 Gender differneces</w:t>
        </w:r>
        <w:r w:rsidR="00F63169">
          <w:rPr>
            <w:noProof/>
            <w:webHidden/>
          </w:rPr>
          <w:tab/>
        </w:r>
        <w:r w:rsidR="00F63169">
          <w:rPr>
            <w:noProof/>
            <w:webHidden/>
          </w:rPr>
          <w:fldChar w:fldCharType="begin"/>
        </w:r>
        <w:r w:rsidR="00F63169">
          <w:rPr>
            <w:noProof/>
            <w:webHidden/>
          </w:rPr>
          <w:instrText xml:space="preserve"> PAGEREF _Toc97310425 \h </w:instrText>
        </w:r>
        <w:r w:rsidR="00F63169">
          <w:rPr>
            <w:noProof/>
            <w:webHidden/>
          </w:rPr>
        </w:r>
        <w:r w:rsidR="00F63169">
          <w:rPr>
            <w:noProof/>
            <w:webHidden/>
          </w:rPr>
          <w:fldChar w:fldCharType="separate"/>
        </w:r>
        <w:r w:rsidR="002809AA">
          <w:rPr>
            <w:noProof/>
            <w:webHidden/>
          </w:rPr>
          <w:t>52</w:t>
        </w:r>
        <w:r w:rsidR="00F63169">
          <w:rPr>
            <w:noProof/>
            <w:webHidden/>
          </w:rPr>
          <w:fldChar w:fldCharType="end"/>
        </w:r>
      </w:hyperlink>
    </w:p>
    <w:p w14:paraId="66A2AEF3" w14:textId="6E7F472C" w:rsidR="00F63169" w:rsidRDefault="00322DCE">
      <w:pPr>
        <w:pStyle w:val="TOC3"/>
        <w:tabs>
          <w:tab w:val="right" w:leader="dot" w:pos="9016"/>
        </w:tabs>
        <w:rPr>
          <w:rFonts w:cstheme="minorBidi"/>
          <w:noProof/>
          <w:lang w:val="en-GB" w:eastAsia="en-GB"/>
        </w:rPr>
      </w:pPr>
      <w:hyperlink w:anchor="_Toc97310426" w:history="1">
        <w:r w:rsidR="00F63169" w:rsidRPr="00670586">
          <w:rPr>
            <w:rStyle w:val="Hyperlink"/>
            <w:noProof/>
          </w:rPr>
          <w:t>2.5.6 Effective intervention characeristics</w:t>
        </w:r>
        <w:r w:rsidR="00F63169">
          <w:rPr>
            <w:noProof/>
            <w:webHidden/>
          </w:rPr>
          <w:tab/>
        </w:r>
        <w:r w:rsidR="00F63169">
          <w:rPr>
            <w:noProof/>
            <w:webHidden/>
          </w:rPr>
          <w:fldChar w:fldCharType="begin"/>
        </w:r>
        <w:r w:rsidR="00F63169">
          <w:rPr>
            <w:noProof/>
            <w:webHidden/>
          </w:rPr>
          <w:instrText xml:space="preserve"> PAGEREF _Toc97310426 \h </w:instrText>
        </w:r>
        <w:r w:rsidR="00F63169">
          <w:rPr>
            <w:noProof/>
            <w:webHidden/>
          </w:rPr>
        </w:r>
        <w:r w:rsidR="00F63169">
          <w:rPr>
            <w:noProof/>
            <w:webHidden/>
          </w:rPr>
          <w:fldChar w:fldCharType="separate"/>
        </w:r>
        <w:r w:rsidR="002809AA">
          <w:rPr>
            <w:noProof/>
            <w:webHidden/>
          </w:rPr>
          <w:t>53</w:t>
        </w:r>
        <w:r w:rsidR="00F63169">
          <w:rPr>
            <w:noProof/>
            <w:webHidden/>
          </w:rPr>
          <w:fldChar w:fldCharType="end"/>
        </w:r>
      </w:hyperlink>
    </w:p>
    <w:p w14:paraId="0A1E964B" w14:textId="20BE2D2E" w:rsidR="00F63169" w:rsidRDefault="00322DCE">
      <w:pPr>
        <w:pStyle w:val="TOC3"/>
        <w:tabs>
          <w:tab w:val="right" w:leader="dot" w:pos="9016"/>
        </w:tabs>
        <w:rPr>
          <w:rFonts w:cstheme="minorBidi"/>
          <w:noProof/>
          <w:lang w:val="en-GB" w:eastAsia="en-GB"/>
        </w:rPr>
      </w:pPr>
      <w:hyperlink w:anchor="_Toc97310427" w:history="1">
        <w:r w:rsidR="00F63169" w:rsidRPr="00670586">
          <w:rPr>
            <w:rStyle w:val="Hyperlink"/>
            <w:noProof/>
          </w:rPr>
          <w:t>2.5.7 Strengths and Limitations</w:t>
        </w:r>
        <w:r w:rsidR="00F63169">
          <w:rPr>
            <w:noProof/>
            <w:webHidden/>
          </w:rPr>
          <w:tab/>
        </w:r>
        <w:r w:rsidR="00F63169">
          <w:rPr>
            <w:noProof/>
            <w:webHidden/>
          </w:rPr>
          <w:fldChar w:fldCharType="begin"/>
        </w:r>
        <w:r w:rsidR="00F63169">
          <w:rPr>
            <w:noProof/>
            <w:webHidden/>
          </w:rPr>
          <w:instrText xml:space="preserve"> PAGEREF _Toc97310427 \h </w:instrText>
        </w:r>
        <w:r w:rsidR="00F63169">
          <w:rPr>
            <w:noProof/>
            <w:webHidden/>
          </w:rPr>
        </w:r>
        <w:r w:rsidR="00F63169">
          <w:rPr>
            <w:noProof/>
            <w:webHidden/>
          </w:rPr>
          <w:fldChar w:fldCharType="separate"/>
        </w:r>
        <w:r w:rsidR="002809AA">
          <w:rPr>
            <w:noProof/>
            <w:webHidden/>
          </w:rPr>
          <w:t>56</w:t>
        </w:r>
        <w:r w:rsidR="00F63169">
          <w:rPr>
            <w:noProof/>
            <w:webHidden/>
          </w:rPr>
          <w:fldChar w:fldCharType="end"/>
        </w:r>
      </w:hyperlink>
    </w:p>
    <w:p w14:paraId="527871F1" w14:textId="571C3D48" w:rsidR="00F63169" w:rsidRDefault="00322DCE">
      <w:pPr>
        <w:pStyle w:val="TOC3"/>
        <w:tabs>
          <w:tab w:val="right" w:leader="dot" w:pos="9016"/>
        </w:tabs>
        <w:rPr>
          <w:rFonts w:cstheme="minorBidi"/>
          <w:noProof/>
          <w:lang w:val="en-GB" w:eastAsia="en-GB"/>
        </w:rPr>
      </w:pPr>
      <w:hyperlink w:anchor="_Toc97310428" w:history="1">
        <w:r w:rsidR="00F63169" w:rsidRPr="00670586">
          <w:rPr>
            <w:rStyle w:val="Hyperlink"/>
            <w:noProof/>
          </w:rPr>
          <w:t>2.5.8 Conclusion</w:t>
        </w:r>
        <w:r w:rsidR="00F63169">
          <w:rPr>
            <w:noProof/>
            <w:webHidden/>
          </w:rPr>
          <w:tab/>
        </w:r>
        <w:r w:rsidR="00F63169">
          <w:rPr>
            <w:noProof/>
            <w:webHidden/>
          </w:rPr>
          <w:fldChar w:fldCharType="begin"/>
        </w:r>
        <w:r w:rsidR="00F63169">
          <w:rPr>
            <w:noProof/>
            <w:webHidden/>
          </w:rPr>
          <w:instrText xml:space="preserve"> PAGEREF _Toc97310428 \h </w:instrText>
        </w:r>
        <w:r w:rsidR="00F63169">
          <w:rPr>
            <w:noProof/>
            <w:webHidden/>
          </w:rPr>
        </w:r>
        <w:r w:rsidR="00F63169">
          <w:rPr>
            <w:noProof/>
            <w:webHidden/>
          </w:rPr>
          <w:fldChar w:fldCharType="separate"/>
        </w:r>
        <w:r w:rsidR="002809AA">
          <w:rPr>
            <w:noProof/>
            <w:webHidden/>
          </w:rPr>
          <w:t>57</w:t>
        </w:r>
        <w:r w:rsidR="00F63169">
          <w:rPr>
            <w:noProof/>
            <w:webHidden/>
          </w:rPr>
          <w:fldChar w:fldCharType="end"/>
        </w:r>
      </w:hyperlink>
    </w:p>
    <w:p w14:paraId="71B81B51" w14:textId="20920FBA" w:rsidR="00F63169" w:rsidRDefault="00322DCE">
      <w:pPr>
        <w:pStyle w:val="TOC2"/>
        <w:rPr>
          <w:rFonts w:eastAsiaTheme="minorEastAsia"/>
          <w:noProof/>
          <w:lang w:eastAsia="en-GB"/>
        </w:rPr>
      </w:pPr>
      <w:hyperlink w:anchor="_Toc97310429" w:history="1">
        <w:r w:rsidR="00F63169" w:rsidRPr="00C35B79">
          <w:rPr>
            <w:rStyle w:val="Hyperlink"/>
            <w:noProof/>
          </w:rPr>
          <w:t>2.6 Top-up search</w:t>
        </w:r>
        <w:r w:rsidR="00F63169" w:rsidRPr="00C35B79">
          <w:rPr>
            <w:noProof/>
            <w:webHidden/>
          </w:rPr>
          <w:tab/>
        </w:r>
        <w:r w:rsidR="00F63169" w:rsidRPr="00C35B79">
          <w:rPr>
            <w:noProof/>
            <w:webHidden/>
          </w:rPr>
          <w:fldChar w:fldCharType="begin"/>
        </w:r>
        <w:r w:rsidR="00F63169" w:rsidRPr="00C35B79">
          <w:rPr>
            <w:noProof/>
            <w:webHidden/>
          </w:rPr>
          <w:instrText xml:space="preserve"> PAGEREF _Toc97310429 \h </w:instrText>
        </w:r>
        <w:r w:rsidR="00F63169" w:rsidRPr="00C35B79">
          <w:rPr>
            <w:noProof/>
            <w:webHidden/>
          </w:rPr>
        </w:r>
        <w:r w:rsidR="00F63169" w:rsidRPr="00C35B79">
          <w:rPr>
            <w:noProof/>
            <w:webHidden/>
          </w:rPr>
          <w:fldChar w:fldCharType="separate"/>
        </w:r>
        <w:r w:rsidR="002809AA">
          <w:rPr>
            <w:noProof/>
            <w:webHidden/>
          </w:rPr>
          <w:t>58</w:t>
        </w:r>
        <w:r w:rsidR="00F63169" w:rsidRPr="00C35B79">
          <w:rPr>
            <w:noProof/>
            <w:webHidden/>
          </w:rPr>
          <w:fldChar w:fldCharType="end"/>
        </w:r>
      </w:hyperlink>
    </w:p>
    <w:p w14:paraId="3EFCDA6D" w14:textId="4272A4D0" w:rsidR="00F63169" w:rsidRDefault="00322DCE">
      <w:pPr>
        <w:pStyle w:val="TOC1"/>
        <w:tabs>
          <w:tab w:val="right" w:leader="dot" w:pos="9016"/>
        </w:tabs>
        <w:rPr>
          <w:rFonts w:cstheme="minorBidi"/>
          <w:noProof/>
          <w:lang w:val="en-GB" w:eastAsia="en-GB"/>
        </w:rPr>
      </w:pPr>
      <w:hyperlink r:id="rId14" w:anchor="_Toc97310430" w:history="1">
        <w:r w:rsidR="00F63169" w:rsidRPr="00670586">
          <w:rPr>
            <w:rStyle w:val="Hyperlink"/>
            <w:b/>
            <w:bCs/>
            <w:noProof/>
          </w:rPr>
          <w:t>Chapter 3. A review of the Social Norms Approach as a strategy to reduce unhealthy dietary behaviours of adolescents</w:t>
        </w:r>
        <w:r w:rsidR="00F63169">
          <w:rPr>
            <w:noProof/>
            <w:webHidden/>
          </w:rPr>
          <w:tab/>
        </w:r>
        <w:r w:rsidR="00F63169">
          <w:rPr>
            <w:noProof/>
            <w:webHidden/>
          </w:rPr>
          <w:fldChar w:fldCharType="begin"/>
        </w:r>
        <w:r w:rsidR="00F63169">
          <w:rPr>
            <w:noProof/>
            <w:webHidden/>
          </w:rPr>
          <w:instrText xml:space="preserve"> PAGEREF _Toc97310430 \h </w:instrText>
        </w:r>
        <w:r w:rsidR="00F63169">
          <w:rPr>
            <w:noProof/>
            <w:webHidden/>
          </w:rPr>
        </w:r>
        <w:r w:rsidR="00F63169">
          <w:rPr>
            <w:noProof/>
            <w:webHidden/>
          </w:rPr>
          <w:fldChar w:fldCharType="separate"/>
        </w:r>
        <w:r w:rsidR="002809AA">
          <w:rPr>
            <w:noProof/>
            <w:webHidden/>
          </w:rPr>
          <w:t>60</w:t>
        </w:r>
        <w:r w:rsidR="00F63169">
          <w:rPr>
            <w:noProof/>
            <w:webHidden/>
          </w:rPr>
          <w:fldChar w:fldCharType="end"/>
        </w:r>
      </w:hyperlink>
    </w:p>
    <w:p w14:paraId="055465F0" w14:textId="70545B43" w:rsidR="00F63169" w:rsidRDefault="00322DCE">
      <w:pPr>
        <w:pStyle w:val="TOC2"/>
        <w:rPr>
          <w:rFonts w:eastAsiaTheme="minorEastAsia"/>
          <w:noProof/>
          <w:lang w:eastAsia="en-GB"/>
        </w:rPr>
      </w:pPr>
      <w:hyperlink w:anchor="_Toc97310431" w:history="1">
        <w:r w:rsidR="00F63169" w:rsidRPr="00670586">
          <w:rPr>
            <w:rStyle w:val="Hyperlink"/>
            <w:noProof/>
          </w:rPr>
          <w:t>3.1 Chapter overview</w:t>
        </w:r>
        <w:r w:rsidR="00F63169">
          <w:rPr>
            <w:noProof/>
            <w:webHidden/>
          </w:rPr>
          <w:tab/>
        </w:r>
        <w:r w:rsidR="00F63169">
          <w:rPr>
            <w:noProof/>
            <w:webHidden/>
          </w:rPr>
          <w:fldChar w:fldCharType="begin"/>
        </w:r>
        <w:r w:rsidR="00F63169">
          <w:rPr>
            <w:noProof/>
            <w:webHidden/>
          </w:rPr>
          <w:instrText xml:space="preserve"> PAGEREF _Toc97310431 \h </w:instrText>
        </w:r>
        <w:r w:rsidR="00F63169">
          <w:rPr>
            <w:noProof/>
            <w:webHidden/>
          </w:rPr>
        </w:r>
        <w:r w:rsidR="00F63169">
          <w:rPr>
            <w:noProof/>
            <w:webHidden/>
          </w:rPr>
          <w:fldChar w:fldCharType="separate"/>
        </w:r>
        <w:r w:rsidR="002809AA">
          <w:rPr>
            <w:noProof/>
            <w:webHidden/>
          </w:rPr>
          <w:t>61</w:t>
        </w:r>
        <w:r w:rsidR="00F63169">
          <w:rPr>
            <w:noProof/>
            <w:webHidden/>
          </w:rPr>
          <w:fldChar w:fldCharType="end"/>
        </w:r>
      </w:hyperlink>
    </w:p>
    <w:p w14:paraId="11D74F9A" w14:textId="26B3CC70" w:rsidR="00F63169" w:rsidRDefault="00322DCE">
      <w:pPr>
        <w:pStyle w:val="TOC2"/>
        <w:rPr>
          <w:rFonts w:eastAsiaTheme="minorEastAsia"/>
          <w:noProof/>
          <w:lang w:eastAsia="en-GB"/>
        </w:rPr>
      </w:pPr>
      <w:hyperlink w:anchor="_Toc97310432" w:history="1">
        <w:r w:rsidR="00F63169" w:rsidRPr="00670586">
          <w:rPr>
            <w:rStyle w:val="Hyperlink"/>
            <w:noProof/>
          </w:rPr>
          <w:t>3.2 Introduction</w:t>
        </w:r>
        <w:r w:rsidR="00F63169">
          <w:rPr>
            <w:noProof/>
            <w:webHidden/>
          </w:rPr>
          <w:tab/>
        </w:r>
        <w:r w:rsidR="00F63169">
          <w:rPr>
            <w:noProof/>
            <w:webHidden/>
          </w:rPr>
          <w:fldChar w:fldCharType="begin"/>
        </w:r>
        <w:r w:rsidR="00F63169">
          <w:rPr>
            <w:noProof/>
            <w:webHidden/>
          </w:rPr>
          <w:instrText xml:space="preserve"> PAGEREF _Toc97310432 \h </w:instrText>
        </w:r>
        <w:r w:rsidR="00F63169">
          <w:rPr>
            <w:noProof/>
            <w:webHidden/>
          </w:rPr>
        </w:r>
        <w:r w:rsidR="00F63169">
          <w:rPr>
            <w:noProof/>
            <w:webHidden/>
          </w:rPr>
          <w:fldChar w:fldCharType="separate"/>
        </w:r>
        <w:r w:rsidR="002809AA">
          <w:rPr>
            <w:noProof/>
            <w:webHidden/>
          </w:rPr>
          <w:t>61</w:t>
        </w:r>
        <w:r w:rsidR="00F63169">
          <w:rPr>
            <w:noProof/>
            <w:webHidden/>
          </w:rPr>
          <w:fldChar w:fldCharType="end"/>
        </w:r>
      </w:hyperlink>
    </w:p>
    <w:p w14:paraId="0C158F41" w14:textId="7105C7BA" w:rsidR="00F63169" w:rsidRDefault="00322DCE">
      <w:pPr>
        <w:pStyle w:val="TOC2"/>
        <w:rPr>
          <w:rFonts w:eastAsiaTheme="minorEastAsia"/>
          <w:noProof/>
          <w:lang w:eastAsia="en-GB"/>
        </w:rPr>
      </w:pPr>
      <w:hyperlink w:anchor="_Toc97310433" w:history="1">
        <w:r w:rsidR="00F63169" w:rsidRPr="00670586">
          <w:rPr>
            <w:rStyle w:val="Hyperlink"/>
            <w:noProof/>
          </w:rPr>
          <w:t>3.4 Formation of misperceptions</w:t>
        </w:r>
        <w:r w:rsidR="00F63169">
          <w:rPr>
            <w:noProof/>
            <w:webHidden/>
          </w:rPr>
          <w:tab/>
        </w:r>
        <w:r w:rsidR="00F63169">
          <w:rPr>
            <w:noProof/>
            <w:webHidden/>
          </w:rPr>
          <w:fldChar w:fldCharType="begin"/>
        </w:r>
        <w:r w:rsidR="00F63169">
          <w:rPr>
            <w:noProof/>
            <w:webHidden/>
          </w:rPr>
          <w:instrText xml:space="preserve"> PAGEREF _Toc97310433 \h </w:instrText>
        </w:r>
        <w:r w:rsidR="00F63169">
          <w:rPr>
            <w:noProof/>
            <w:webHidden/>
          </w:rPr>
        </w:r>
        <w:r w:rsidR="00F63169">
          <w:rPr>
            <w:noProof/>
            <w:webHidden/>
          </w:rPr>
          <w:fldChar w:fldCharType="separate"/>
        </w:r>
        <w:r w:rsidR="002809AA">
          <w:rPr>
            <w:noProof/>
            <w:webHidden/>
          </w:rPr>
          <w:t>64</w:t>
        </w:r>
        <w:r w:rsidR="00F63169">
          <w:rPr>
            <w:noProof/>
            <w:webHidden/>
          </w:rPr>
          <w:fldChar w:fldCharType="end"/>
        </w:r>
      </w:hyperlink>
    </w:p>
    <w:p w14:paraId="32256EF4" w14:textId="046FEA73" w:rsidR="00F63169" w:rsidRDefault="00322DCE">
      <w:pPr>
        <w:pStyle w:val="TOC2"/>
        <w:rPr>
          <w:rFonts w:eastAsiaTheme="minorEastAsia"/>
          <w:noProof/>
          <w:lang w:eastAsia="en-GB"/>
        </w:rPr>
      </w:pPr>
      <w:hyperlink w:anchor="_Toc97310434" w:history="1">
        <w:r w:rsidR="00F63169" w:rsidRPr="00670586">
          <w:rPr>
            <w:rStyle w:val="Hyperlink"/>
            <w:noProof/>
          </w:rPr>
          <w:t>3.5 Challenging misperceptions using SNA interventions</w:t>
        </w:r>
        <w:r w:rsidR="00F63169">
          <w:rPr>
            <w:noProof/>
            <w:webHidden/>
          </w:rPr>
          <w:tab/>
        </w:r>
        <w:r w:rsidR="00F63169">
          <w:rPr>
            <w:noProof/>
            <w:webHidden/>
          </w:rPr>
          <w:fldChar w:fldCharType="begin"/>
        </w:r>
        <w:r w:rsidR="00F63169">
          <w:rPr>
            <w:noProof/>
            <w:webHidden/>
          </w:rPr>
          <w:instrText xml:space="preserve"> PAGEREF _Toc97310434 \h </w:instrText>
        </w:r>
        <w:r w:rsidR="00F63169">
          <w:rPr>
            <w:noProof/>
            <w:webHidden/>
          </w:rPr>
        </w:r>
        <w:r w:rsidR="00F63169">
          <w:rPr>
            <w:noProof/>
            <w:webHidden/>
          </w:rPr>
          <w:fldChar w:fldCharType="separate"/>
        </w:r>
        <w:r w:rsidR="002809AA">
          <w:rPr>
            <w:noProof/>
            <w:webHidden/>
          </w:rPr>
          <w:t>65</w:t>
        </w:r>
        <w:r w:rsidR="00F63169">
          <w:rPr>
            <w:noProof/>
            <w:webHidden/>
          </w:rPr>
          <w:fldChar w:fldCharType="end"/>
        </w:r>
      </w:hyperlink>
    </w:p>
    <w:p w14:paraId="611E6546" w14:textId="2D91306B" w:rsidR="00F63169" w:rsidRDefault="00322DCE">
      <w:pPr>
        <w:pStyle w:val="TOC3"/>
        <w:tabs>
          <w:tab w:val="right" w:leader="dot" w:pos="9016"/>
        </w:tabs>
        <w:rPr>
          <w:rFonts w:cstheme="minorBidi"/>
          <w:noProof/>
          <w:lang w:val="en-GB" w:eastAsia="en-GB"/>
        </w:rPr>
      </w:pPr>
      <w:hyperlink w:anchor="_Toc97310435" w:history="1">
        <w:r w:rsidR="00F63169" w:rsidRPr="00670586">
          <w:rPr>
            <w:rStyle w:val="Hyperlink"/>
            <w:noProof/>
          </w:rPr>
          <w:t>3.5.1 Communicating SNA feedback</w:t>
        </w:r>
        <w:r w:rsidR="00F63169">
          <w:rPr>
            <w:noProof/>
            <w:webHidden/>
          </w:rPr>
          <w:tab/>
        </w:r>
        <w:r w:rsidR="00F63169">
          <w:rPr>
            <w:noProof/>
            <w:webHidden/>
          </w:rPr>
          <w:fldChar w:fldCharType="begin"/>
        </w:r>
        <w:r w:rsidR="00F63169">
          <w:rPr>
            <w:noProof/>
            <w:webHidden/>
          </w:rPr>
          <w:instrText xml:space="preserve"> PAGEREF _Toc97310435 \h </w:instrText>
        </w:r>
        <w:r w:rsidR="00F63169">
          <w:rPr>
            <w:noProof/>
            <w:webHidden/>
          </w:rPr>
        </w:r>
        <w:r w:rsidR="00F63169">
          <w:rPr>
            <w:noProof/>
            <w:webHidden/>
          </w:rPr>
          <w:fldChar w:fldCharType="separate"/>
        </w:r>
        <w:r w:rsidR="002809AA">
          <w:rPr>
            <w:noProof/>
            <w:webHidden/>
          </w:rPr>
          <w:t>67</w:t>
        </w:r>
        <w:r w:rsidR="00F63169">
          <w:rPr>
            <w:noProof/>
            <w:webHidden/>
          </w:rPr>
          <w:fldChar w:fldCharType="end"/>
        </w:r>
      </w:hyperlink>
    </w:p>
    <w:p w14:paraId="66201814" w14:textId="452885AD" w:rsidR="00F63169" w:rsidRDefault="00322DCE">
      <w:pPr>
        <w:pStyle w:val="TOC2"/>
        <w:rPr>
          <w:rFonts w:eastAsiaTheme="minorEastAsia"/>
          <w:noProof/>
          <w:lang w:eastAsia="en-GB"/>
        </w:rPr>
      </w:pPr>
      <w:hyperlink w:anchor="_Toc97310436" w:history="1">
        <w:r w:rsidR="00F63169" w:rsidRPr="00670586">
          <w:rPr>
            <w:rStyle w:val="Hyperlink"/>
            <w:noProof/>
          </w:rPr>
          <w:t>3.6 Different forms of ‘ social norm’ interventional studies</w:t>
        </w:r>
        <w:r w:rsidR="00F63169">
          <w:rPr>
            <w:noProof/>
            <w:webHidden/>
          </w:rPr>
          <w:tab/>
        </w:r>
        <w:r w:rsidR="00F63169">
          <w:rPr>
            <w:noProof/>
            <w:webHidden/>
          </w:rPr>
          <w:fldChar w:fldCharType="begin"/>
        </w:r>
        <w:r w:rsidR="00F63169">
          <w:rPr>
            <w:noProof/>
            <w:webHidden/>
          </w:rPr>
          <w:instrText xml:space="preserve"> PAGEREF _Toc97310436 \h </w:instrText>
        </w:r>
        <w:r w:rsidR="00F63169">
          <w:rPr>
            <w:noProof/>
            <w:webHidden/>
          </w:rPr>
        </w:r>
        <w:r w:rsidR="00F63169">
          <w:rPr>
            <w:noProof/>
            <w:webHidden/>
          </w:rPr>
          <w:fldChar w:fldCharType="separate"/>
        </w:r>
        <w:r w:rsidR="002809AA">
          <w:rPr>
            <w:noProof/>
            <w:webHidden/>
          </w:rPr>
          <w:t>69</w:t>
        </w:r>
        <w:r w:rsidR="00F63169">
          <w:rPr>
            <w:noProof/>
            <w:webHidden/>
          </w:rPr>
          <w:fldChar w:fldCharType="end"/>
        </w:r>
      </w:hyperlink>
    </w:p>
    <w:p w14:paraId="78489573" w14:textId="0FE7128D" w:rsidR="00F63169" w:rsidRDefault="00322DCE">
      <w:pPr>
        <w:pStyle w:val="TOC2"/>
        <w:rPr>
          <w:rFonts w:eastAsiaTheme="minorEastAsia"/>
          <w:noProof/>
          <w:lang w:eastAsia="en-GB"/>
        </w:rPr>
      </w:pPr>
      <w:hyperlink w:anchor="_Toc97310437" w:history="1">
        <w:r w:rsidR="00F63169" w:rsidRPr="00670586">
          <w:rPr>
            <w:rStyle w:val="Hyperlink"/>
            <w:noProof/>
          </w:rPr>
          <w:t>3.7 SNA as a strategy to address a range of unhealthy behaviours</w:t>
        </w:r>
        <w:r w:rsidR="00F63169">
          <w:rPr>
            <w:noProof/>
            <w:webHidden/>
          </w:rPr>
          <w:tab/>
        </w:r>
        <w:r w:rsidR="00F63169">
          <w:rPr>
            <w:noProof/>
            <w:webHidden/>
          </w:rPr>
          <w:fldChar w:fldCharType="begin"/>
        </w:r>
        <w:r w:rsidR="00F63169">
          <w:rPr>
            <w:noProof/>
            <w:webHidden/>
          </w:rPr>
          <w:instrText xml:space="preserve"> PAGEREF _Toc97310437 \h </w:instrText>
        </w:r>
        <w:r w:rsidR="00F63169">
          <w:rPr>
            <w:noProof/>
            <w:webHidden/>
          </w:rPr>
        </w:r>
        <w:r w:rsidR="00F63169">
          <w:rPr>
            <w:noProof/>
            <w:webHidden/>
          </w:rPr>
          <w:fldChar w:fldCharType="separate"/>
        </w:r>
        <w:r w:rsidR="002809AA">
          <w:rPr>
            <w:noProof/>
            <w:webHidden/>
          </w:rPr>
          <w:t>70</w:t>
        </w:r>
        <w:r w:rsidR="00F63169">
          <w:rPr>
            <w:noProof/>
            <w:webHidden/>
          </w:rPr>
          <w:fldChar w:fldCharType="end"/>
        </w:r>
      </w:hyperlink>
    </w:p>
    <w:p w14:paraId="139A42FC" w14:textId="1690DFCE" w:rsidR="00F63169" w:rsidRDefault="00322DCE">
      <w:pPr>
        <w:pStyle w:val="TOC2"/>
        <w:rPr>
          <w:rFonts w:eastAsiaTheme="minorEastAsia"/>
          <w:noProof/>
          <w:lang w:eastAsia="en-GB"/>
        </w:rPr>
      </w:pPr>
      <w:hyperlink w:anchor="_Toc97310438" w:history="1">
        <w:r w:rsidR="00F63169" w:rsidRPr="00670586">
          <w:rPr>
            <w:rStyle w:val="Hyperlink"/>
            <w:noProof/>
          </w:rPr>
          <w:t>3.8 The potential of the SNA to improve unhealthy dietary behaviours</w:t>
        </w:r>
        <w:r w:rsidR="00F63169">
          <w:rPr>
            <w:noProof/>
            <w:webHidden/>
          </w:rPr>
          <w:tab/>
        </w:r>
        <w:r w:rsidR="00F63169">
          <w:rPr>
            <w:noProof/>
            <w:webHidden/>
          </w:rPr>
          <w:fldChar w:fldCharType="begin"/>
        </w:r>
        <w:r w:rsidR="00F63169">
          <w:rPr>
            <w:noProof/>
            <w:webHidden/>
          </w:rPr>
          <w:instrText xml:space="preserve"> PAGEREF _Toc97310438 \h </w:instrText>
        </w:r>
        <w:r w:rsidR="00F63169">
          <w:rPr>
            <w:noProof/>
            <w:webHidden/>
          </w:rPr>
        </w:r>
        <w:r w:rsidR="00F63169">
          <w:rPr>
            <w:noProof/>
            <w:webHidden/>
          </w:rPr>
          <w:fldChar w:fldCharType="separate"/>
        </w:r>
        <w:r w:rsidR="002809AA">
          <w:rPr>
            <w:noProof/>
            <w:webHidden/>
          </w:rPr>
          <w:t>71</w:t>
        </w:r>
        <w:r w:rsidR="00F63169">
          <w:rPr>
            <w:noProof/>
            <w:webHidden/>
          </w:rPr>
          <w:fldChar w:fldCharType="end"/>
        </w:r>
      </w:hyperlink>
    </w:p>
    <w:p w14:paraId="200867BC" w14:textId="3207BAD2" w:rsidR="00F63169" w:rsidRDefault="00322DCE">
      <w:pPr>
        <w:pStyle w:val="TOC2"/>
        <w:rPr>
          <w:rFonts w:eastAsiaTheme="minorEastAsia"/>
          <w:noProof/>
          <w:lang w:eastAsia="en-GB"/>
        </w:rPr>
      </w:pPr>
      <w:hyperlink w:anchor="_Toc97310439" w:history="1">
        <w:r w:rsidR="00F63169" w:rsidRPr="00670586">
          <w:rPr>
            <w:rStyle w:val="Hyperlink"/>
            <w:noProof/>
          </w:rPr>
          <w:t>3.9 Conclusion</w:t>
        </w:r>
        <w:r w:rsidR="00F63169">
          <w:rPr>
            <w:noProof/>
            <w:webHidden/>
          </w:rPr>
          <w:tab/>
        </w:r>
        <w:r w:rsidR="00F63169">
          <w:rPr>
            <w:noProof/>
            <w:webHidden/>
          </w:rPr>
          <w:fldChar w:fldCharType="begin"/>
        </w:r>
        <w:r w:rsidR="00F63169">
          <w:rPr>
            <w:noProof/>
            <w:webHidden/>
          </w:rPr>
          <w:instrText xml:space="preserve"> PAGEREF _Toc97310439 \h </w:instrText>
        </w:r>
        <w:r w:rsidR="00F63169">
          <w:rPr>
            <w:noProof/>
            <w:webHidden/>
          </w:rPr>
        </w:r>
        <w:r w:rsidR="00F63169">
          <w:rPr>
            <w:noProof/>
            <w:webHidden/>
          </w:rPr>
          <w:fldChar w:fldCharType="separate"/>
        </w:r>
        <w:r w:rsidR="002809AA">
          <w:rPr>
            <w:noProof/>
            <w:webHidden/>
          </w:rPr>
          <w:t>73</w:t>
        </w:r>
        <w:r w:rsidR="00F63169">
          <w:rPr>
            <w:noProof/>
            <w:webHidden/>
          </w:rPr>
          <w:fldChar w:fldCharType="end"/>
        </w:r>
      </w:hyperlink>
    </w:p>
    <w:p w14:paraId="7D8054E2" w14:textId="7FBE34EE" w:rsidR="00F63169" w:rsidRDefault="00322DCE">
      <w:pPr>
        <w:pStyle w:val="TOC1"/>
        <w:tabs>
          <w:tab w:val="right" w:leader="dot" w:pos="9016"/>
        </w:tabs>
        <w:rPr>
          <w:rFonts w:cstheme="minorBidi"/>
          <w:noProof/>
          <w:lang w:val="en-GB" w:eastAsia="en-GB"/>
        </w:rPr>
      </w:pPr>
      <w:hyperlink r:id="rId15" w:anchor="_Toc97310440" w:history="1">
        <w:r w:rsidR="00F63169" w:rsidRPr="00670586">
          <w:rPr>
            <w:rStyle w:val="Hyperlink"/>
            <w:b/>
            <w:bCs/>
            <w:noProof/>
          </w:rPr>
          <w:t>Chapter 4. Aims and Methodology</w:t>
        </w:r>
        <w:r w:rsidR="00F63169">
          <w:rPr>
            <w:noProof/>
            <w:webHidden/>
          </w:rPr>
          <w:tab/>
        </w:r>
        <w:r w:rsidR="00F63169">
          <w:rPr>
            <w:noProof/>
            <w:webHidden/>
          </w:rPr>
          <w:fldChar w:fldCharType="begin"/>
        </w:r>
        <w:r w:rsidR="00F63169">
          <w:rPr>
            <w:noProof/>
            <w:webHidden/>
          </w:rPr>
          <w:instrText xml:space="preserve"> PAGEREF _Toc97310440 \h </w:instrText>
        </w:r>
        <w:r w:rsidR="00F63169">
          <w:rPr>
            <w:noProof/>
            <w:webHidden/>
          </w:rPr>
        </w:r>
        <w:r w:rsidR="00F63169">
          <w:rPr>
            <w:noProof/>
            <w:webHidden/>
          </w:rPr>
          <w:fldChar w:fldCharType="separate"/>
        </w:r>
        <w:r w:rsidR="002809AA">
          <w:rPr>
            <w:noProof/>
            <w:webHidden/>
          </w:rPr>
          <w:t>75</w:t>
        </w:r>
        <w:r w:rsidR="00F63169">
          <w:rPr>
            <w:noProof/>
            <w:webHidden/>
          </w:rPr>
          <w:fldChar w:fldCharType="end"/>
        </w:r>
      </w:hyperlink>
    </w:p>
    <w:p w14:paraId="3F456E25" w14:textId="7E4247A2" w:rsidR="00F63169" w:rsidRDefault="00322DCE">
      <w:pPr>
        <w:pStyle w:val="TOC2"/>
        <w:rPr>
          <w:rFonts w:eastAsiaTheme="minorEastAsia"/>
          <w:noProof/>
          <w:lang w:eastAsia="en-GB"/>
        </w:rPr>
      </w:pPr>
      <w:hyperlink w:anchor="_Toc97310441" w:history="1">
        <w:r w:rsidR="00F63169" w:rsidRPr="00670586">
          <w:rPr>
            <w:rStyle w:val="Hyperlink"/>
            <w:noProof/>
          </w:rPr>
          <w:t>4.1 Chapter overview</w:t>
        </w:r>
        <w:r w:rsidR="00F63169">
          <w:rPr>
            <w:noProof/>
            <w:webHidden/>
          </w:rPr>
          <w:tab/>
        </w:r>
        <w:r w:rsidR="00F63169">
          <w:rPr>
            <w:noProof/>
            <w:webHidden/>
          </w:rPr>
          <w:fldChar w:fldCharType="begin"/>
        </w:r>
        <w:r w:rsidR="00F63169">
          <w:rPr>
            <w:noProof/>
            <w:webHidden/>
          </w:rPr>
          <w:instrText xml:space="preserve"> PAGEREF _Toc97310441 \h </w:instrText>
        </w:r>
        <w:r w:rsidR="00F63169">
          <w:rPr>
            <w:noProof/>
            <w:webHidden/>
          </w:rPr>
        </w:r>
        <w:r w:rsidR="00F63169">
          <w:rPr>
            <w:noProof/>
            <w:webHidden/>
          </w:rPr>
          <w:fldChar w:fldCharType="separate"/>
        </w:r>
        <w:r w:rsidR="002809AA">
          <w:rPr>
            <w:noProof/>
            <w:webHidden/>
          </w:rPr>
          <w:t>76</w:t>
        </w:r>
        <w:r w:rsidR="00F63169">
          <w:rPr>
            <w:noProof/>
            <w:webHidden/>
          </w:rPr>
          <w:fldChar w:fldCharType="end"/>
        </w:r>
      </w:hyperlink>
    </w:p>
    <w:p w14:paraId="659F47A6" w14:textId="01D26675" w:rsidR="00F63169" w:rsidRDefault="00322DCE">
      <w:pPr>
        <w:pStyle w:val="TOC2"/>
        <w:rPr>
          <w:rFonts w:eastAsiaTheme="minorEastAsia"/>
          <w:noProof/>
          <w:lang w:eastAsia="en-GB"/>
        </w:rPr>
      </w:pPr>
      <w:hyperlink w:anchor="_Toc97310442" w:history="1">
        <w:r w:rsidR="00F63169" w:rsidRPr="00670586">
          <w:rPr>
            <w:rStyle w:val="Hyperlink"/>
            <w:noProof/>
          </w:rPr>
          <w:t>4.2 Aims and objectives</w:t>
        </w:r>
        <w:r w:rsidR="00F63169">
          <w:rPr>
            <w:noProof/>
            <w:webHidden/>
          </w:rPr>
          <w:tab/>
        </w:r>
        <w:r w:rsidR="00F63169">
          <w:rPr>
            <w:noProof/>
            <w:webHidden/>
          </w:rPr>
          <w:fldChar w:fldCharType="begin"/>
        </w:r>
        <w:r w:rsidR="00F63169">
          <w:rPr>
            <w:noProof/>
            <w:webHidden/>
          </w:rPr>
          <w:instrText xml:space="preserve"> PAGEREF _Toc97310442 \h </w:instrText>
        </w:r>
        <w:r w:rsidR="00F63169">
          <w:rPr>
            <w:noProof/>
            <w:webHidden/>
          </w:rPr>
        </w:r>
        <w:r w:rsidR="00F63169">
          <w:rPr>
            <w:noProof/>
            <w:webHidden/>
          </w:rPr>
          <w:fldChar w:fldCharType="separate"/>
        </w:r>
        <w:r w:rsidR="002809AA">
          <w:rPr>
            <w:noProof/>
            <w:webHidden/>
          </w:rPr>
          <w:t>76</w:t>
        </w:r>
        <w:r w:rsidR="00F63169">
          <w:rPr>
            <w:noProof/>
            <w:webHidden/>
          </w:rPr>
          <w:fldChar w:fldCharType="end"/>
        </w:r>
      </w:hyperlink>
    </w:p>
    <w:p w14:paraId="2A8C8CB7" w14:textId="19354595" w:rsidR="00F63169" w:rsidRDefault="00322DCE">
      <w:pPr>
        <w:pStyle w:val="TOC2"/>
        <w:rPr>
          <w:rFonts w:eastAsiaTheme="minorEastAsia"/>
          <w:noProof/>
          <w:lang w:eastAsia="en-GB"/>
        </w:rPr>
      </w:pPr>
      <w:hyperlink w:anchor="_Toc97310443" w:history="1">
        <w:r w:rsidR="00F63169" w:rsidRPr="00670586">
          <w:rPr>
            <w:rStyle w:val="Hyperlink"/>
            <w:noProof/>
          </w:rPr>
          <w:t>4.3 Research paradigm</w:t>
        </w:r>
        <w:r w:rsidR="00F63169">
          <w:rPr>
            <w:noProof/>
            <w:webHidden/>
          </w:rPr>
          <w:tab/>
        </w:r>
        <w:r w:rsidR="00F63169">
          <w:rPr>
            <w:noProof/>
            <w:webHidden/>
          </w:rPr>
          <w:fldChar w:fldCharType="begin"/>
        </w:r>
        <w:r w:rsidR="00F63169">
          <w:rPr>
            <w:noProof/>
            <w:webHidden/>
          </w:rPr>
          <w:instrText xml:space="preserve"> PAGEREF _Toc97310443 \h </w:instrText>
        </w:r>
        <w:r w:rsidR="00F63169">
          <w:rPr>
            <w:noProof/>
            <w:webHidden/>
          </w:rPr>
        </w:r>
        <w:r w:rsidR="00F63169">
          <w:rPr>
            <w:noProof/>
            <w:webHidden/>
          </w:rPr>
          <w:fldChar w:fldCharType="separate"/>
        </w:r>
        <w:r w:rsidR="002809AA">
          <w:rPr>
            <w:noProof/>
            <w:webHidden/>
          </w:rPr>
          <w:t>78</w:t>
        </w:r>
        <w:r w:rsidR="00F63169">
          <w:rPr>
            <w:noProof/>
            <w:webHidden/>
          </w:rPr>
          <w:fldChar w:fldCharType="end"/>
        </w:r>
      </w:hyperlink>
    </w:p>
    <w:p w14:paraId="6CFF010D" w14:textId="1723226B" w:rsidR="00F63169" w:rsidRDefault="00322DCE">
      <w:pPr>
        <w:pStyle w:val="TOC2"/>
        <w:rPr>
          <w:rFonts w:eastAsiaTheme="minorEastAsia"/>
          <w:noProof/>
          <w:lang w:eastAsia="en-GB"/>
        </w:rPr>
      </w:pPr>
      <w:hyperlink w:anchor="_Toc97310444" w:history="1">
        <w:r w:rsidR="00F63169" w:rsidRPr="00670586">
          <w:rPr>
            <w:rStyle w:val="Hyperlink"/>
            <w:noProof/>
          </w:rPr>
          <w:t>4.4 Qualitative versus Quantitative research</w:t>
        </w:r>
        <w:r w:rsidR="00F63169">
          <w:rPr>
            <w:noProof/>
            <w:webHidden/>
          </w:rPr>
          <w:tab/>
        </w:r>
        <w:r w:rsidR="00F63169">
          <w:rPr>
            <w:noProof/>
            <w:webHidden/>
          </w:rPr>
          <w:fldChar w:fldCharType="begin"/>
        </w:r>
        <w:r w:rsidR="00F63169">
          <w:rPr>
            <w:noProof/>
            <w:webHidden/>
          </w:rPr>
          <w:instrText xml:space="preserve"> PAGEREF _Toc97310444 \h </w:instrText>
        </w:r>
        <w:r w:rsidR="00F63169">
          <w:rPr>
            <w:noProof/>
            <w:webHidden/>
          </w:rPr>
        </w:r>
        <w:r w:rsidR="00F63169">
          <w:rPr>
            <w:noProof/>
            <w:webHidden/>
          </w:rPr>
          <w:fldChar w:fldCharType="separate"/>
        </w:r>
        <w:r w:rsidR="002809AA">
          <w:rPr>
            <w:noProof/>
            <w:webHidden/>
          </w:rPr>
          <w:t>80</w:t>
        </w:r>
        <w:r w:rsidR="00F63169">
          <w:rPr>
            <w:noProof/>
            <w:webHidden/>
          </w:rPr>
          <w:fldChar w:fldCharType="end"/>
        </w:r>
      </w:hyperlink>
    </w:p>
    <w:p w14:paraId="0DD82EE3" w14:textId="20F780DD" w:rsidR="00F63169" w:rsidRDefault="00322DCE">
      <w:pPr>
        <w:pStyle w:val="TOC2"/>
        <w:rPr>
          <w:rFonts w:eastAsiaTheme="minorEastAsia"/>
          <w:noProof/>
          <w:lang w:eastAsia="en-GB"/>
        </w:rPr>
      </w:pPr>
      <w:hyperlink w:anchor="_Toc97310445" w:history="1">
        <w:r w:rsidR="00F63169" w:rsidRPr="00670586">
          <w:rPr>
            <w:rStyle w:val="Hyperlink"/>
            <w:noProof/>
          </w:rPr>
          <w:t>4.5 Methods</w:t>
        </w:r>
        <w:r w:rsidR="00F63169">
          <w:rPr>
            <w:noProof/>
            <w:webHidden/>
          </w:rPr>
          <w:tab/>
        </w:r>
        <w:r w:rsidR="00F63169">
          <w:rPr>
            <w:noProof/>
            <w:webHidden/>
          </w:rPr>
          <w:fldChar w:fldCharType="begin"/>
        </w:r>
        <w:r w:rsidR="00F63169">
          <w:rPr>
            <w:noProof/>
            <w:webHidden/>
          </w:rPr>
          <w:instrText xml:space="preserve"> PAGEREF _Toc97310445 \h </w:instrText>
        </w:r>
        <w:r w:rsidR="00F63169">
          <w:rPr>
            <w:noProof/>
            <w:webHidden/>
          </w:rPr>
        </w:r>
        <w:r w:rsidR="00F63169">
          <w:rPr>
            <w:noProof/>
            <w:webHidden/>
          </w:rPr>
          <w:fldChar w:fldCharType="separate"/>
        </w:r>
        <w:r w:rsidR="002809AA">
          <w:rPr>
            <w:noProof/>
            <w:webHidden/>
          </w:rPr>
          <w:t>82</w:t>
        </w:r>
        <w:r w:rsidR="00F63169">
          <w:rPr>
            <w:noProof/>
            <w:webHidden/>
          </w:rPr>
          <w:fldChar w:fldCharType="end"/>
        </w:r>
      </w:hyperlink>
    </w:p>
    <w:p w14:paraId="398B61F4" w14:textId="6C39C068" w:rsidR="00F63169" w:rsidRDefault="00322DCE">
      <w:pPr>
        <w:pStyle w:val="TOC3"/>
        <w:tabs>
          <w:tab w:val="right" w:leader="dot" w:pos="9016"/>
        </w:tabs>
        <w:rPr>
          <w:rFonts w:cstheme="minorBidi"/>
          <w:noProof/>
          <w:lang w:val="en-GB" w:eastAsia="en-GB"/>
        </w:rPr>
      </w:pPr>
      <w:hyperlink w:anchor="_Toc97310446" w:history="1">
        <w:r w:rsidR="00F63169" w:rsidRPr="00670586">
          <w:rPr>
            <w:rStyle w:val="Hyperlink"/>
            <w:noProof/>
          </w:rPr>
          <w:t>4.5.1 Focus groups</w:t>
        </w:r>
        <w:r w:rsidR="00F63169">
          <w:rPr>
            <w:noProof/>
            <w:webHidden/>
          </w:rPr>
          <w:tab/>
        </w:r>
        <w:r w:rsidR="00F63169">
          <w:rPr>
            <w:noProof/>
            <w:webHidden/>
          </w:rPr>
          <w:fldChar w:fldCharType="begin"/>
        </w:r>
        <w:r w:rsidR="00F63169">
          <w:rPr>
            <w:noProof/>
            <w:webHidden/>
          </w:rPr>
          <w:instrText xml:space="preserve"> PAGEREF _Toc97310446 \h </w:instrText>
        </w:r>
        <w:r w:rsidR="00F63169">
          <w:rPr>
            <w:noProof/>
            <w:webHidden/>
          </w:rPr>
        </w:r>
        <w:r w:rsidR="00F63169">
          <w:rPr>
            <w:noProof/>
            <w:webHidden/>
          </w:rPr>
          <w:fldChar w:fldCharType="separate"/>
        </w:r>
        <w:r w:rsidR="002809AA">
          <w:rPr>
            <w:noProof/>
            <w:webHidden/>
          </w:rPr>
          <w:t>82</w:t>
        </w:r>
        <w:r w:rsidR="00F63169">
          <w:rPr>
            <w:noProof/>
            <w:webHidden/>
          </w:rPr>
          <w:fldChar w:fldCharType="end"/>
        </w:r>
      </w:hyperlink>
    </w:p>
    <w:p w14:paraId="33399CEA" w14:textId="320B82BB" w:rsidR="00F63169" w:rsidRDefault="00322DCE">
      <w:pPr>
        <w:pStyle w:val="TOC3"/>
        <w:tabs>
          <w:tab w:val="right" w:leader="dot" w:pos="9016"/>
        </w:tabs>
        <w:rPr>
          <w:rFonts w:cstheme="minorBidi"/>
          <w:noProof/>
          <w:lang w:val="en-GB" w:eastAsia="en-GB"/>
        </w:rPr>
      </w:pPr>
      <w:hyperlink w:anchor="_Toc97310447" w:history="1">
        <w:r w:rsidR="00F63169" w:rsidRPr="00670586">
          <w:rPr>
            <w:rStyle w:val="Hyperlink"/>
            <w:noProof/>
          </w:rPr>
          <w:t>4.5.2 Questionnaire</w:t>
        </w:r>
        <w:r w:rsidR="00F63169">
          <w:rPr>
            <w:noProof/>
            <w:webHidden/>
          </w:rPr>
          <w:tab/>
        </w:r>
        <w:r w:rsidR="00F63169">
          <w:rPr>
            <w:noProof/>
            <w:webHidden/>
          </w:rPr>
          <w:fldChar w:fldCharType="begin"/>
        </w:r>
        <w:r w:rsidR="00F63169">
          <w:rPr>
            <w:noProof/>
            <w:webHidden/>
          </w:rPr>
          <w:instrText xml:space="preserve"> PAGEREF _Toc97310447 \h </w:instrText>
        </w:r>
        <w:r w:rsidR="00F63169">
          <w:rPr>
            <w:noProof/>
            <w:webHidden/>
          </w:rPr>
        </w:r>
        <w:r w:rsidR="00F63169">
          <w:rPr>
            <w:noProof/>
            <w:webHidden/>
          </w:rPr>
          <w:fldChar w:fldCharType="separate"/>
        </w:r>
        <w:r w:rsidR="002809AA">
          <w:rPr>
            <w:noProof/>
            <w:webHidden/>
          </w:rPr>
          <w:t>84</w:t>
        </w:r>
        <w:r w:rsidR="00F63169">
          <w:rPr>
            <w:noProof/>
            <w:webHidden/>
          </w:rPr>
          <w:fldChar w:fldCharType="end"/>
        </w:r>
      </w:hyperlink>
    </w:p>
    <w:p w14:paraId="44459D97" w14:textId="585E8D85" w:rsidR="00F63169" w:rsidRDefault="00322DCE">
      <w:pPr>
        <w:pStyle w:val="TOC2"/>
        <w:rPr>
          <w:rFonts w:eastAsiaTheme="minorEastAsia"/>
          <w:noProof/>
          <w:lang w:eastAsia="en-GB"/>
        </w:rPr>
      </w:pPr>
      <w:hyperlink w:anchor="_Toc97310448" w:history="1">
        <w:r w:rsidR="00F63169" w:rsidRPr="00670586">
          <w:rPr>
            <w:rStyle w:val="Hyperlink"/>
            <w:noProof/>
          </w:rPr>
          <w:t>4.6 Ethical considerations</w:t>
        </w:r>
        <w:r w:rsidR="00F63169">
          <w:rPr>
            <w:noProof/>
            <w:webHidden/>
          </w:rPr>
          <w:tab/>
        </w:r>
        <w:r w:rsidR="00F63169">
          <w:rPr>
            <w:noProof/>
            <w:webHidden/>
          </w:rPr>
          <w:fldChar w:fldCharType="begin"/>
        </w:r>
        <w:r w:rsidR="00F63169">
          <w:rPr>
            <w:noProof/>
            <w:webHidden/>
          </w:rPr>
          <w:instrText xml:space="preserve"> PAGEREF _Toc97310448 \h </w:instrText>
        </w:r>
        <w:r w:rsidR="00F63169">
          <w:rPr>
            <w:noProof/>
            <w:webHidden/>
          </w:rPr>
        </w:r>
        <w:r w:rsidR="00F63169">
          <w:rPr>
            <w:noProof/>
            <w:webHidden/>
          </w:rPr>
          <w:fldChar w:fldCharType="separate"/>
        </w:r>
        <w:r w:rsidR="002809AA">
          <w:rPr>
            <w:noProof/>
            <w:webHidden/>
          </w:rPr>
          <w:t>86</w:t>
        </w:r>
        <w:r w:rsidR="00F63169">
          <w:rPr>
            <w:noProof/>
            <w:webHidden/>
          </w:rPr>
          <w:fldChar w:fldCharType="end"/>
        </w:r>
      </w:hyperlink>
    </w:p>
    <w:p w14:paraId="3DBB88DD" w14:textId="66C2469B" w:rsidR="00F63169" w:rsidRDefault="00322DCE">
      <w:pPr>
        <w:pStyle w:val="TOC2"/>
        <w:rPr>
          <w:rFonts w:eastAsiaTheme="minorEastAsia"/>
          <w:noProof/>
          <w:lang w:eastAsia="en-GB"/>
        </w:rPr>
      </w:pPr>
      <w:hyperlink w:anchor="_Toc97310449" w:history="1">
        <w:r w:rsidR="00F63169" w:rsidRPr="00670586">
          <w:rPr>
            <w:rStyle w:val="Hyperlink"/>
            <w:noProof/>
          </w:rPr>
          <w:t>4.7 Summary</w:t>
        </w:r>
        <w:r w:rsidR="00F63169">
          <w:rPr>
            <w:noProof/>
            <w:webHidden/>
          </w:rPr>
          <w:tab/>
        </w:r>
        <w:r w:rsidR="00F63169">
          <w:rPr>
            <w:noProof/>
            <w:webHidden/>
          </w:rPr>
          <w:fldChar w:fldCharType="begin"/>
        </w:r>
        <w:r w:rsidR="00F63169">
          <w:rPr>
            <w:noProof/>
            <w:webHidden/>
          </w:rPr>
          <w:instrText xml:space="preserve"> PAGEREF _Toc97310449 \h </w:instrText>
        </w:r>
        <w:r w:rsidR="00F63169">
          <w:rPr>
            <w:noProof/>
            <w:webHidden/>
          </w:rPr>
        </w:r>
        <w:r w:rsidR="00F63169">
          <w:rPr>
            <w:noProof/>
            <w:webHidden/>
          </w:rPr>
          <w:fldChar w:fldCharType="separate"/>
        </w:r>
        <w:r w:rsidR="002809AA">
          <w:rPr>
            <w:noProof/>
            <w:webHidden/>
          </w:rPr>
          <w:t>87</w:t>
        </w:r>
        <w:r w:rsidR="00F63169">
          <w:rPr>
            <w:noProof/>
            <w:webHidden/>
          </w:rPr>
          <w:fldChar w:fldCharType="end"/>
        </w:r>
      </w:hyperlink>
    </w:p>
    <w:p w14:paraId="5E7E6C69" w14:textId="02EAE44F" w:rsidR="00F63169" w:rsidRDefault="00322DCE">
      <w:pPr>
        <w:pStyle w:val="TOC1"/>
        <w:tabs>
          <w:tab w:val="right" w:leader="dot" w:pos="9016"/>
        </w:tabs>
        <w:rPr>
          <w:rFonts w:cstheme="minorBidi"/>
          <w:noProof/>
          <w:lang w:val="en-GB" w:eastAsia="en-GB"/>
        </w:rPr>
      </w:pPr>
      <w:hyperlink r:id="rId16" w:anchor="_Toc97310450" w:history="1">
        <w:r w:rsidR="00F63169" w:rsidRPr="00670586">
          <w:rPr>
            <w:rStyle w:val="Hyperlink"/>
            <w:b/>
            <w:bCs/>
            <w:noProof/>
          </w:rPr>
          <w:t>Chapter 5. A qualitative study investigating food choices and perceived psychosocial influences on eating behaviours in secondary school students</w:t>
        </w:r>
        <w:r w:rsidR="00F63169">
          <w:rPr>
            <w:noProof/>
            <w:webHidden/>
          </w:rPr>
          <w:tab/>
        </w:r>
        <w:r w:rsidR="00F63169">
          <w:rPr>
            <w:noProof/>
            <w:webHidden/>
          </w:rPr>
          <w:fldChar w:fldCharType="begin"/>
        </w:r>
        <w:r w:rsidR="00F63169">
          <w:rPr>
            <w:noProof/>
            <w:webHidden/>
          </w:rPr>
          <w:instrText xml:space="preserve"> PAGEREF _Toc97310450 \h </w:instrText>
        </w:r>
        <w:r w:rsidR="00F63169">
          <w:rPr>
            <w:noProof/>
            <w:webHidden/>
          </w:rPr>
        </w:r>
        <w:r w:rsidR="00F63169">
          <w:rPr>
            <w:noProof/>
            <w:webHidden/>
          </w:rPr>
          <w:fldChar w:fldCharType="separate"/>
        </w:r>
        <w:r w:rsidR="002809AA">
          <w:rPr>
            <w:noProof/>
            <w:webHidden/>
          </w:rPr>
          <w:t>89</w:t>
        </w:r>
        <w:r w:rsidR="00F63169">
          <w:rPr>
            <w:noProof/>
            <w:webHidden/>
          </w:rPr>
          <w:fldChar w:fldCharType="end"/>
        </w:r>
      </w:hyperlink>
    </w:p>
    <w:p w14:paraId="3311E817" w14:textId="4D05311F" w:rsidR="00F63169" w:rsidRDefault="00322DCE">
      <w:pPr>
        <w:pStyle w:val="TOC2"/>
        <w:rPr>
          <w:rFonts w:eastAsiaTheme="minorEastAsia"/>
          <w:noProof/>
          <w:lang w:eastAsia="en-GB"/>
        </w:rPr>
      </w:pPr>
      <w:hyperlink w:anchor="_Toc97310451" w:history="1">
        <w:r w:rsidR="00F63169" w:rsidRPr="00670586">
          <w:rPr>
            <w:rStyle w:val="Hyperlink"/>
            <w:noProof/>
          </w:rPr>
          <w:t>5.1 Chapter overview</w:t>
        </w:r>
        <w:r w:rsidR="00F63169">
          <w:rPr>
            <w:noProof/>
            <w:webHidden/>
          </w:rPr>
          <w:tab/>
        </w:r>
        <w:r w:rsidR="00F63169">
          <w:rPr>
            <w:noProof/>
            <w:webHidden/>
          </w:rPr>
          <w:fldChar w:fldCharType="begin"/>
        </w:r>
        <w:r w:rsidR="00F63169">
          <w:rPr>
            <w:noProof/>
            <w:webHidden/>
          </w:rPr>
          <w:instrText xml:space="preserve"> PAGEREF _Toc97310451 \h </w:instrText>
        </w:r>
        <w:r w:rsidR="00F63169">
          <w:rPr>
            <w:noProof/>
            <w:webHidden/>
          </w:rPr>
        </w:r>
        <w:r w:rsidR="00F63169">
          <w:rPr>
            <w:noProof/>
            <w:webHidden/>
          </w:rPr>
          <w:fldChar w:fldCharType="separate"/>
        </w:r>
        <w:r w:rsidR="002809AA">
          <w:rPr>
            <w:noProof/>
            <w:webHidden/>
          </w:rPr>
          <w:t>90</w:t>
        </w:r>
        <w:r w:rsidR="00F63169">
          <w:rPr>
            <w:noProof/>
            <w:webHidden/>
          </w:rPr>
          <w:fldChar w:fldCharType="end"/>
        </w:r>
      </w:hyperlink>
    </w:p>
    <w:p w14:paraId="51017C11" w14:textId="2719AA64" w:rsidR="00F63169" w:rsidRDefault="00322DCE">
      <w:pPr>
        <w:pStyle w:val="TOC2"/>
        <w:rPr>
          <w:rFonts w:eastAsiaTheme="minorEastAsia"/>
          <w:noProof/>
          <w:lang w:eastAsia="en-GB"/>
        </w:rPr>
      </w:pPr>
      <w:hyperlink w:anchor="_Toc97310452" w:history="1">
        <w:r w:rsidR="00F63169" w:rsidRPr="00670586">
          <w:rPr>
            <w:rStyle w:val="Hyperlink"/>
            <w:noProof/>
          </w:rPr>
          <w:t>5.2 Introduction</w:t>
        </w:r>
        <w:r w:rsidR="00F63169">
          <w:rPr>
            <w:noProof/>
            <w:webHidden/>
          </w:rPr>
          <w:tab/>
        </w:r>
        <w:r w:rsidR="00F63169">
          <w:rPr>
            <w:noProof/>
            <w:webHidden/>
          </w:rPr>
          <w:fldChar w:fldCharType="begin"/>
        </w:r>
        <w:r w:rsidR="00F63169">
          <w:rPr>
            <w:noProof/>
            <w:webHidden/>
          </w:rPr>
          <w:instrText xml:space="preserve"> PAGEREF _Toc97310452 \h </w:instrText>
        </w:r>
        <w:r w:rsidR="00F63169">
          <w:rPr>
            <w:noProof/>
            <w:webHidden/>
          </w:rPr>
        </w:r>
        <w:r w:rsidR="00F63169">
          <w:rPr>
            <w:noProof/>
            <w:webHidden/>
          </w:rPr>
          <w:fldChar w:fldCharType="separate"/>
        </w:r>
        <w:r w:rsidR="002809AA">
          <w:rPr>
            <w:noProof/>
            <w:webHidden/>
          </w:rPr>
          <w:t>90</w:t>
        </w:r>
        <w:r w:rsidR="00F63169">
          <w:rPr>
            <w:noProof/>
            <w:webHidden/>
          </w:rPr>
          <w:fldChar w:fldCharType="end"/>
        </w:r>
      </w:hyperlink>
    </w:p>
    <w:p w14:paraId="41017D7B" w14:textId="60CB1021" w:rsidR="00F63169" w:rsidRDefault="00322DCE">
      <w:pPr>
        <w:pStyle w:val="TOC2"/>
        <w:rPr>
          <w:rFonts w:eastAsiaTheme="minorEastAsia"/>
          <w:noProof/>
          <w:lang w:eastAsia="en-GB"/>
        </w:rPr>
      </w:pPr>
      <w:hyperlink w:anchor="_Toc97310453" w:history="1">
        <w:r w:rsidR="00F63169" w:rsidRPr="00670586">
          <w:rPr>
            <w:rStyle w:val="Hyperlink"/>
            <w:noProof/>
          </w:rPr>
          <w:t>5.3 Methods</w:t>
        </w:r>
        <w:r w:rsidR="00F63169">
          <w:rPr>
            <w:noProof/>
            <w:webHidden/>
          </w:rPr>
          <w:tab/>
        </w:r>
        <w:r w:rsidR="00F63169">
          <w:rPr>
            <w:noProof/>
            <w:webHidden/>
          </w:rPr>
          <w:fldChar w:fldCharType="begin"/>
        </w:r>
        <w:r w:rsidR="00F63169">
          <w:rPr>
            <w:noProof/>
            <w:webHidden/>
          </w:rPr>
          <w:instrText xml:space="preserve"> PAGEREF _Toc97310453 \h </w:instrText>
        </w:r>
        <w:r w:rsidR="00F63169">
          <w:rPr>
            <w:noProof/>
            <w:webHidden/>
          </w:rPr>
        </w:r>
        <w:r w:rsidR="00F63169">
          <w:rPr>
            <w:noProof/>
            <w:webHidden/>
          </w:rPr>
          <w:fldChar w:fldCharType="separate"/>
        </w:r>
        <w:r w:rsidR="002809AA">
          <w:rPr>
            <w:noProof/>
            <w:webHidden/>
          </w:rPr>
          <w:t>92</w:t>
        </w:r>
        <w:r w:rsidR="00F63169">
          <w:rPr>
            <w:noProof/>
            <w:webHidden/>
          </w:rPr>
          <w:fldChar w:fldCharType="end"/>
        </w:r>
      </w:hyperlink>
    </w:p>
    <w:p w14:paraId="7137A156" w14:textId="3AEB51CC" w:rsidR="00F63169" w:rsidRDefault="00322DCE">
      <w:pPr>
        <w:pStyle w:val="TOC3"/>
        <w:tabs>
          <w:tab w:val="right" w:leader="dot" w:pos="9016"/>
        </w:tabs>
        <w:rPr>
          <w:rFonts w:cstheme="minorBidi"/>
          <w:noProof/>
          <w:lang w:val="en-GB" w:eastAsia="en-GB"/>
        </w:rPr>
      </w:pPr>
      <w:hyperlink w:anchor="_Toc97310454" w:history="1">
        <w:r w:rsidR="00F63169" w:rsidRPr="00670586">
          <w:rPr>
            <w:rStyle w:val="Hyperlink"/>
            <w:noProof/>
          </w:rPr>
          <w:t>5.3.1 Design</w:t>
        </w:r>
        <w:r w:rsidR="00F63169">
          <w:rPr>
            <w:noProof/>
            <w:webHidden/>
          </w:rPr>
          <w:tab/>
        </w:r>
        <w:r w:rsidR="00F63169">
          <w:rPr>
            <w:noProof/>
            <w:webHidden/>
          </w:rPr>
          <w:fldChar w:fldCharType="begin"/>
        </w:r>
        <w:r w:rsidR="00F63169">
          <w:rPr>
            <w:noProof/>
            <w:webHidden/>
          </w:rPr>
          <w:instrText xml:space="preserve"> PAGEREF _Toc97310454 \h </w:instrText>
        </w:r>
        <w:r w:rsidR="00F63169">
          <w:rPr>
            <w:noProof/>
            <w:webHidden/>
          </w:rPr>
        </w:r>
        <w:r w:rsidR="00F63169">
          <w:rPr>
            <w:noProof/>
            <w:webHidden/>
          </w:rPr>
          <w:fldChar w:fldCharType="separate"/>
        </w:r>
        <w:r w:rsidR="002809AA">
          <w:rPr>
            <w:noProof/>
            <w:webHidden/>
          </w:rPr>
          <w:t>92</w:t>
        </w:r>
        <w:r w:rsidR="00F63169">
          <w:rPr>
            <w:noProof/>
            <w:webHidden/>
          </w:rPr>
          <w:fldChar w:fldCharType="end"/>
        </w:r>
      </w:hyperlink>
    </w:p>
    <w:p w14:paraId="7E354F48" w14:textId="7D6266CE" w:rsidR="00F63169" w:rsidRDefault="00322DCE">
      <w:pPr>
        <w:pStyle w:val="TOC3"/>
        <w:tabs>
          <w:tab w:val="right" w:leader="dot" w:pos="9016"/>
        </w:tabs>
        <w:rPr>
          <w:rFonts w:cstheme="minorBidi"/>
          <w:noProof/>
          <w:lang w:val="en-GB" w:eastAsia="en-GB"/>
        </w:rPr>
      </w:pPr>
      <w:hyperlink w:anchor="_Toc97310455" w:history="1">
        <w:r w:rsidR="00F63169" w:rsidRPr="00670586">
          <w:rPr>
            <w:rStyle w:val="Hyperlink"/>
            <w:noProof/>
          </w:rPr>
          <w:t>5.3.2 Participants</w:t>
        </w:r>
        <w:r w:rsidR="00F63169">
          <w:rPr>
            <w:noProof/>
            <w:webHidden/>
          </w:rPr>
          <w:tab/>
        </w:r>
        <w:r w:rsidR="00F63169">
          <w:rPr>
            <w:noProof/>
            <w:webHidden/>
          </w:rPr>
          <w:fldChar w:fldCharType="begin"/>
        </w:r>
        <w:r w:rsidR="00F63169">
          <w:rPr>
            <w:noProof/>
            <w:webHidden/>
          </w:rPr>
          <w:instrText xml:space="preserve"> PAGEREF _Toc97310455 \h </w:instrText>
        </w:r>
        <w:r w:rsidR="00F63169">
          <w:rPr>
            <w:noProof/>
            <w:webHidden/>
          </w:rPr>
        </w:r>
        <w:r w:rsidR="00F63169">
          <w:rPr>
            <w:noProof/>
            <w:webHidden/>
          </w:rPr>
          <w:fldChar w:fldCharType="separate"/>
        </w:r>
        <w:r w:rsidR="002809AA">
          <w:rPr>
            <w:noProof/>
            <w:webHidden/>
          </w:rPr>
          <w:t>93</w:t>
        </w:r>
        <w:r w:rsidR="00F63169">
          <w:rPr>
            <w:noProof/>
            <w:webHidden/>
          </w:rPr>
          <w:fldChar w:fldCharType="end"/>
        </w:r>
      </w:hyperlink>
    </w:p>
    <w:p w14:paraId="5E2F84DA" w14:textId="2225BA12" w:rsidR="00F63169" w:rsidRDefault="00322DCE">
      <w:pPr>
        <w:pStyle w:val="TOC3"/>
        <w:tabs>
          <w:tab w:val="right" w:leader="dot" w:pos="9016"/>
        </w:tabs>
        <w:rPr>
          <w:rFonts w:cstheme="minorBidi"/>
          <w:noProof/>
          <w:lang w:val="en-GB" w:eastAsia="en-GB"/>
        </w:rPr>
      </w:pPr>
      <w:hyperlink w:anchor="_Toc97310456" w:history="1">
        <w:r w:rsidR="00F63169" w:rsidRPr="00670586">
          <w:rPr>
            <w:rStyle w:val="Hyperlink"/>
            <w:noProof/>
          </w:rPr>
          <w:t>5.3.3 Materials</w:t>
        </w:r>
        <w:r w:rsidR="00F63169">
          <w:rPr>
            <w:noProof/>
            <w:webHidden/>
          </w:rPr>
          <w:tab/>
        </w:r>
        <w:r w:rsidR="00F63169">
          <w:rPr>
            <w:noProof/>
            <w:webHidden/>
          </w:rPr>
          <w:fldChar w:fldCharType="begin"/>
        </w:r>
        <w:r w:rsidR="00F63169">
          <w:rPr>
            <w:noProof/>
            <w:webHidden/>
          </w:rPr>
          <w:instrText xml:space="preserve"> PAGEREF _Toc97310456 \h </w:instrText>
        </w:r>
        <w:r w:rsidR="00F63169">
          <w:rPr>
            <w:noProof/>
            <w:webHidden/>
          </w:rPr>
        </w:r>
        <w:r w:rsidR="00F63169">
          <w:rPr>
            <w:noProof/>
            <w:webHidden/>
          </w:rPr>
          <w:fldChar w:fldCharType="separate"/>
        </w:r>
        <w:r w:rsidR="002809AA">
          <w:rPr>
            <w:noProof/>
            <w:webHidden/>
          </w:rPr>
          <w:t>93</w:t>
        </w:r>
        <w:r w:rsidR="00F63169">
          <w:rPr>
            <w:noProof/>
            <w:webHidden/>
          </w:rPr>
          <w:fldChar w:fldCharType="end"/>
        </w:r>
      </w:hyperlink>
    </w:p>
    <w:p w14:paraId="6008773C" w14:textId="7A6DA00C" w:rsidR="00F63169" w:rsidRDefault="00322DCE">
      <w:pPr>
        <w:pStyle w:val="TOC3"/>
        <w:tabs>
          <w:tab w:val="right" w:leader="dot" w:pos="9016"/>
        </w:tabs>
        <w:rPr>
          <w:rFonts w:cstheme="minorBidi"/>
          <w:noProof/>
          <w:lang w:val="en-GB" w:eastAsia="en-GB"/>
        </w:rPr>
      </w:pPr>
      <w:hyperlink w:anchor="_Toc97310457" w:history="1">
        <w:r w:rsidR="00F63169" w:rsidRPr="00670586">
          <w:rPr>
            <w:rStyle w:val="Hyperlink"/>
            <w:noProof/>
          </w:rPr>
          <w:t>5.3.4 Procedure</w:t>
        </w:r>
        <w:r w:rsidR="00F63169">
          <w:rPr>
            <w:noProof/>
            <w:webHidden/>
          </w:rPr>
          <w:tab/>
        </w:r>
        <w:r w:rsidR="00F63169">
          <w:rPr>
            <w:noProof/>
            <w:webHidden/>
          </w:rPr>
          <w:fldChar w:fldCharType="begin"/>
        </w:r>
        <w:r w:rsidR="00F63169">
          <w:rPr>
            <w:noProof/>
            <w:webHidden/>
          </w:rPr>
          <w:instrText xml:space="preserve"> PAGEREF _Toc97310457 \h </w:instrText>
        </w:r>
        <w:r w:rsidR="00F63169">
          <w:rPr>
            <w:noProof/>
            <w:webHidden/>
          </w:rPr>
        </w:r>
        <w:r w:rsidR="00F63169">
          <w:rPr>
            <w:noProof/>
            <w:webHidden/>
          </w:rPr>
          <w:fldChar w:fldCharType="separate"/>
        </w:r>
        <w:r w:rsidR="002809AA">
          <w:rPr>
            <w:noProof/>
            <w:webHidden/>
          </w:rPr>
          <w:t>93</w:t>
        </w:r>
        <w:r w:rsidR="00F63169">
          <w:rPr>
            <w:noProof/>
            <w:webHidden/>
          </w:rPr>
          <w:fldChar w:fldCharType="end"/>
        </w:r>
      </w:hyperlink>
    </w:p>
    <w:p w14:paraId="3FD3230C" w14:textId="7D6768C9" w:rsidR="00F63169" w:rsidRDefault="00322DCE">
      <w:pPr>
        <w:pStyle w:val="TOC3"/>
        <w:tabs>
          <w:tab w:val="right" w:leader="dot" w:pos="9016"/>
        </w:tabs>
        <w:rPr>
          <w:rFonts w:cstheme="minorBidi"/>
          <w:noProof/>
          <w:lang w:val="en-GB" w:eastAsia="en-GB"/>
        </w:rPr>
      </w:pPr>
      <w:hyperlink w:anchor="_Toc97310458" w:history="1">
        <w:r w:rsidR="00F63169" w:rsidRPr="00670586">
          <w:rPr>
            <w:rStyle w:val="Hyperlink"/>
            <w:noProof/>
          </w:rPr>
          <w:t>5.3.5 Data Analysis</w:t>
        </w:r>
        <w:r w:rsidR="00F63169">
          <w:rPr>
            <w:noProof/>
            <w:webHidden/>
          </w:rPr>
          <w:tab/>
        </w:r>
        <w:r w:rsidR="00F63169">
          <w:rPr>
            <w:noProof/>
            <w:webHidden/>
          </w:rPr>
          <w:fldChar w:fldCharType="begin"/>
        </w:r>
        <w:r w:rsidR="00F63169">
          <w:rPr>
            <w:noProof/>
            <w:webHidden/>
          </w:rPr>
          <w:instrText xml:space="preserve"> PAGEREF _Toc97310458 \h </w:instrText>
        </w:r>
        <w:r w:rsidR="00F63169">
          <w:rPr>
            <w:noProof/>
            <w:webHidden/>
          </w:rPr>
        </w:r>
        <w:r w:rsidR="00F63169">
          <w:rPr>
            <w:noProof/>
            <w:webHidden/>
          </w:rPr>
          <w:fldChar w:fldCharType="separate"/>
        </w:r>
        <w:r w:rsidR="002809AA">
          <w:rPr>
            <w:noProof/>
            <w:webHidden/>
          </w:rPr>
          <w:t>94</w:t>
        </w:r>
        <w:r w:rsidR="00F63169">
          <w:rPr>
            <w:noProof/>
            <w:webHidden/>
          </w:rPr>
          <w:fldChar w:fldCharType="end"/>
        </w:r>
      </w:hyperlink>
    </w:p>
    <w:p w14:paraId="21F44C91" w14:textId="674CBC08" w:rsidR="00F63169" w:rsidRDefault="00322DCE">
      <w:pPr>
        <w:pStyle w:val="TOC2"/>
        <w:rPr>
          <w:rFonts w:eastAsiaTheme="minorEastAsia"/>
          <w:noProof/>
          <w:lang w:eastAsia="en-GB"/>
        </w:rPr>
      </w:pPr>
      <w:hyperlink w:anchor="_Toc97310459" w:history="1">
        <w:r w:rsidR="00F63169" w:rsidRPr="00670586">
          <w:rPr>
            <w:rStyle w:val="Hyperlink"/>
            <w:noProof/>
          </w:rPr>
          <w:t>5.4 Results</w:t>
        </w:r>
        <w:r w:rsidR="00F63169">
          <w:rPr>
            <w:noProof/>
            <w:webHidden/>
          </w:rPr>
          <w:tab/>
        </w:r>
        <w:r w:rsidR="00F63169">
          <w:rPr>
            <w:noProof/>
            <w:webHidden/>
          </w:rPr>
          <w:fldChar w:fldCharType="begin"/>
        </w:r>
        <w:r w:rsidR="00F63169">
          <w:rPr>
            <w:noProof/>
            <w:webHidden/>
          </w:rPr>
          <w:instrText xml:space="preserve"> PAGEREF _Toc97310459 \h </w:instrText>
        </w:r>
        <w:r w:rsidR="00F63169">
          <w:rPr>
            <w:noProof/>
            <w:webHidden/>
          </w:rPr>
        </w:r>
        <w:r w:rsidR="00F63169">
          <w:rPr>
            <w:noProof/>
            <w:webHidden/>
          </w:rPr>
          <w:fldChar w:fldCharType="separate"/>
        </w:r>
        <w:r w:rsidR="002809AA">
          <w:rPr>
            <w:noProof/>
            <w:webHidden/>
          </w:rPr>
          <w:t>95</w:t>
        </w:r>
        <w:r w:rsidR="00F63169">
          <w:rPr>
            <w:noProof/>
            <w:webHidden/>
          </w:rPr>
          <w:fldChar w:fldCharType="end"/>
        </w:r>
      </w:hyperlink>
    </w:p>
    <w:p w14:paraId="342A1BE9" w14:textId="1597C5E7" w:rsidR="00F63169" w:rsidRDefault="00322DCE">
      <w:pPr>
        <w:pStyle w:val="TOC3"/>
        <w:tabs>
          <w:tab w:val="right" w:leader="dot" w:pos="9016"/>
        </w:tabs>
        <w:rPr>
          <w:rFonts w:cstheme="minorBidi"/>
          <w:noProof/>
          <w:lang w:val="en-GB" w:eastAsia="en-GB"/>
        </w:rPr>
      </w:pPr>
      <w:hyperlink w:anchor="_Toc97310460" w:history="1">
        <w:r w:rsidR="00F63169" w:rsidRPr="00670586">
          <w:rPr>
            <w:rStyle w:val="Hyperlink"/>
            <w:noProof/>
          </w:rPr>
          <w:t>5.4.1 Eating patterns and lifestyle</w:t>
        </w:r>
        <w:r w:rsidR="00F63169">
          <w:rPr>
            <w:noProof/>
            <w:webHidden/>
          </w:rPr>
          <w:tab/>
        </w:r>
        <w:r w:rsidR="00F63169">
          <w:rPr>
            <w:noProof/>
            <w:webHidden/>
          </w:rPr>
          <w:fldChar w:fldCharType="begin"/>
        </w:r>
        <w:r w:rsidR="00F63169">
          <w:rPr>
            <w:noProof/>
            <w:webHidden/>
          </w:rPr>
          <w:instrText xml:space="preserve"> PAGEREF _Toc97310460 \h </w:instrText>
        </w:r>
        <w:r w:rsidR="00F63169">
          <w:rPr>
            <w:noProof/>
            <w:webHidden/>
          </w:rPr>
        </w:r>
        <w:r w:rsidR="00F63169">
          <w:rPr>
            <w:noProof/>
            <w:webHidden/>
          </w:rPr>
          <w:fldChar w:fldCharType="separate"/>
        </w:r>
        <w:r w:rsidR="002809AA">
          <w:rPr>
            <w:noProof/>
            <w:webHidden/>
          </w:rPr>
          <w:t>95</w:t>
        </w:r>
        <w:r w:rsidR="00F63169">
          <w:rPr>
            <w:noProof/>
            <w:webHidden/>
          </w:rPr>
          <w:fldChar w:fldCharType="end"/>
        </w:r>
      </w:hyperlink>
    </w:p>
    <w:p w14:paraId="4E7D8D30" w14:textId="21671284" w:rsidR="00F63169" w:rsidRDefault="00322DCE">
      <w:pPr>
        <w:pStyle w:val="TOC3"/>
        <w:tabs>
          <w:tab w:val="right" w:leader="dot" w:pos="9016"/>
        </w:tabs>
        <w:rPr>
          <w:rFonts w:cstheme="minorBidi"/>
          <w:noProof/>
          <w:lang w:val="en-GB" w:eastAsia="en-GB"/>
        </w:rPr>
      </w:pPr>
      <w:hyperlink w:anchor="_Toc97310461" w:history="1">
        <w:r w:rsidR="00F63169" w:rsidRPr="00670586">
          <w:rPr>
            <w:rStyle w:val="Hyperlink"/>
            <w:noProof/>
          </w:rPr>
          <w:t>5.4.2 Social inlfluences</w:t>
        </w:r>
        <w:r w:rsidR="00F63169">
          <w:rPr>
            <w:noProof/>
            <w:webHidden/>
          </w:rPr>
          <w:tab/>
        </w:r>
        <w:r w:rsidR="00F63169">
          <w:rPr>
            <w:noProof/>
            <w:webHidden/>
          </w:rPr>
          <w:fldChar w:fldCharType="begin"/>
        </w:r>
        <w:r w:rsidR="00F63169">
          <w:rPr>
            <w:noProof/>
            <w:webHidden/>
          </w:rPr>
          <w:instrText xml:space="preserve"> PAGEREF _Toc97310461 \h </w:instrText>
        </w:r>
        <w:r w:rsidR="00F63169">
          <w:rPr>
            <w:noProof/>
            <w:webHidden/>
          </w:rPr>
        </w:r>
        <w:r w:rsidR="00F63169">
          <w:rPr>
            <w:noProof/>
            <w:webHidden/>
          </w:rPr>
          <w:fldChar w:fldCharType="separate"/>
        </w:r>
        <w:r w:rsidR="002809AA">
          <w:rPr>
            <w:noProof/>
            <w:webHidden/>
          </w:rPr>
          <w:t>97</w:t>
        </w:r>
        <w:r w:rsidR="00F63169">
          <w:rPr>
            <w:noProof/>
            <w:webHidden/>
          </w:rPr>
          <w:fldChar w:fldCharType="end"/>
        </w:r>
      </w:hyperlink>
    </w:p>
    <w:p w14:paraId="419E5895" w14:textId="6AEB42B0" w:rsidR="00F63169" w:rsidRDefault="00322DCE">
      <w:pPr>
        <w:pStyle w:val="TOC3"/>
        <w:tabs>
          <w:tab w:val="right" w:leader="dot" w:pos="9016"/>
        </w:tabs>
        <w:rPr>
          <w:rFonts w:cstheme="minorBidi"/>
          <w:noProof/>
          <w:lang w:val="en-GB" w:eastAsia="en-GB"/>
        </w:rPr>
      </w:pPr>
      <w:hyperlink w:anchor="_Toc97310462" w:history="1">
        <w:r w:rsidR="00F63169" w:rsidRPr="00670586">
          <w:rPr>
            <w:rStyle w:val="Hyperlink"/>
            <w:noProof/>
          </w:rPr>
          <w:t>5.3.3 Environmental factors</w:t>
        </w:r>
        <w:r w:rsidR="00F63169">
          <w:rPr>
            <w:noProof/>
            <w:webHidden/>
          </w:rPr>
          <w:tab/>
        </w:r>
        <w:r w:rsidR="00F63169">
          <w:rPr>
            <w:noProof/>
            <w:webHidden/>
          </w:rPr>
          <w:fldChar w:fldCharType="begin"/>
        </w:r>
        <w:r w:rsidR="00F63169">
          <w:rPr>
            <w:noProof/>
            <w:webHidden/>
          </w:rPr>
          <w:instrText xml:space="preserve"> PAGEREF _Toc97310462 \h </w:instrText>
        </w:r>
        <w:r w:rsidR="00F63169">
          <w:rPr>
            <w:noProof/>
            <w:webHidden/>
          </w:rPr>
        </w:r>
        <w:r w:rsidR="00F63169">
          <w:rPr>
            <w:noProof/>
            <w:webHidden/>
          </w:rPr>
          <w:fldChar w:fldCharType="separate"/>
        </w:r>
        <w:r w:rsidR="002809AA">
          <w:rPr>
            <w:noProof/>
            <w:webHidden/>
          </w:rPr>
          <w:t>100</w:t>
        </w:r>
        <w:r w:rsidR="00F63169">
          <w:rPr>
            <w:noProof/>
            <w:webHidden/>
          </w:rPr>
          <w:fldChar w:fldCharType="end"/>
        </w:r>
      </w:hyperlink>
    </w:p>
    <w:p w14:paraId="72B9266A" w14:textId="4831A043" w:rsidR="00F63169" w:rsidRDefault="00322DCE">
      <w:pPr>
        <w:pStyle w:val="TOC2"/>
        <w:rPr>
          <w:rFonts w:eastAsiaTheme="minorEastAsia"/>
          <w:noProof/>
          <w:lang w:eastAsia="en-GB"/>
        </w:rPr>
      </w:pPr>
      <w:hyperlink w:anchor="_Toc97310463" w:history="1">
        <w:r w:rsidR="00F63169" w:rsidRPr="00670586">
          <w:rPr>
            <w:rStyle w:val="Hyperlink"/>
            <w:noProof/>
          </w:rPr>
          <w:t>5.5 Discussion</w:t>
        </w:r>
        <w:r w:rsidR="00F63169">
          <w:rPr>
            <w:noProof/>
            <w:webHidden/>
          </w:rPr>
          <w:tab/>
        </w:r>
        <w:r w:rsidR="00F63169">
          <w:rPr>
            <w:noProof/>
            <w:webHidden/>
          </w:rPr>
          <w:fldChar w:fldCharType="begin"/>
        </w:r>
        <w:r w:rsidR="00F63169">
          <w:rPr>
            <w:noProof/>
            <w:webHidden/>
          </w:rPr>
          <w:instrText xml:space="preserve"> PAGEREF _Toc97310463 \h </w:instrText>
        </w:r>
        <w:r w:rsidR="00F63169">
          <w:rPr>
            <w:noProof/>
            <w:webHidden/>
          </w:rPr>
        </w:r>
        <w:r w:rsidR="00F63169">
          <w:rPr>
            <w:noProof/>
            <w:webHidden/>
          </w:rPr>
          <w:fldChar w:fldCharType="separate"/>
        </w:r>
        <w:r w:rsidR="002809AA">
          <w:rPr>
            <w:noProof/>
            <w:webHidden/>
          </w:rPr>
          <w:t>103</w:t>
        </w:r>
        <w:r w:rsidR="00F63169">
          <w:rPr>
            <w:noProof/>
            <w:webHidden/>
          </w:rPr>
          <w:fldChar w:fldCharType="end"/>
        </w:r>
      </w:hyperlink>
    </w:p>
    <w:p w14:paraId="4403ABFD" w14:textId="645133A8" w:rsidR="00F63169" w:rsidRDefault="00322DCE">
      <w:pPr>
        <w:pStyle w:val="TOC3"/>
        <w:tabs>
          <w:tab w:val="right" w:leader="dot" w:pos="9016"/>
        </w:tabs>
        <w:rPr>
          <w:rFonts w:cstheme="minorBidi"/>
          <w:noProof/>
          <w:lang w:val="en-GB" w:eastAsia="en-GB"/>
        </w:rPr>
      </w:pPr>
      <w:hyperlink w:anchor="_Toc97310464" w:history="1">
        <w:r w:rsidR="00F63169" w:rsidRPr="00670586">
          <w:rPr>
            <w:rStyle w:val="Hyperlink"/>
            <w:noProof/>
          </w:rPr>
          <w:t>5.5.1 Summary of main findings</w:t>
        </w:r>
        <w:r w:rsidR="00F63169">
          <w:rPr>
            <w:noProof/>
            <w:webHidden/>
          </w:rPr>
          <w:tab/>
        </w:r>
        <w:r w:rsidR="00F63169">
          <w:rPr>
            <w:noProof/>
            <w:webHidden/>
          </w:rPr>
          <w:fldChar w:fldCharType="begin"/>
        </w:r>
        <w:r w:rsidR="00F63169">
          <w:rPr>
            <w:noProof/>
            <w:webHidden/>
          </w:rPr>
          <w:instrText xml:space="preserve"> PAGEREF _Toc97310464 \h </w:instrText>
        </w:r>
        <w:r w:rsidR="00F63169">
          <w:rPr>
            <w:noProof/>
            <w:webHidden/>
          </w:rPr>
        </w:r>
        <w:r w:rsidR="00F63169">
          <w:rPr>
            <w:noProof/>
            <w:webHidden/>
          </w:rPr>
          <w:fldChar w:fldCharType="separate"/>
        </w:r>
        <w:r w:rsidR="002809AA">
          <w:rPr>
            <w:noProof/>
            <w:webHidden/>
          </w:rPr>
          <w:t>103</w:t>
        </w:r>
        <w:r w:rsidR="00F63169">
          <w:rPr>
            <w:noProof/>
            <w:webHidden/>
          </w:rPr>
          <w:fldChar w:fldCharType="end"/>
        </w:r>
      </w:hyperlink>
    </w:p>
    <w:p w14:paraId="5BE9EFEF" w14:textId="3918F234" w:rsidR="00F63169" w:rsidRDefault="00322DCE">
      <w:pPr>
        <w:pStyle w:val="TOC3"/>
        <w:tabs>
          <w:tab w:val="right" w:leader="dot" w:pos="9016"/>
        </w:tabs>
        <w:rPr>
          <w:rFonts w:cstheme="minorBidi"/>
          <w:noProof/>
          <w:lang w:val="en-GB" w:eastAsia="en-GB"/>
        </w:rPr>
      </w:pPr>
      <w:hyperlink w:anchor="_Toc97310465" w:history="1">
        <w:r w:rsidR="00F63169" w:rsidRPr="00670586">
          <w:rPr>
            <w:rStyle w:val="Hyperlink"/>
            <w:noProof/>
          </w:rPr>
          <w:t>5.5.2 Strengths and Limitations</w:t>
        </w:r>
        <w:r w:rsidR="00F63169">
          <w:rPr>
            <w:noProof/>
            <w:webHidden/>
          </w:rPr>
          <w:tab/>
        </w:r>
        <w:r w:rsidR="00F63169">
          <w:rPr>
            <w:noProof/>
            <w:webHidden/>
          </w:rPr>
          <w:fldChar w:fldCharType="begin"/>
        </w:r>
        <w:r w:rsidR="00F63169">
          <w:rPr>
            <w:noProof/>
            <w:webHidden/>
          </w:rPr>
          <w:instrText xml:space="preserve"> PAGEREF _Toc97310465 \h </w:instrText>
        </w:r>
        <w:r w:rsidR="00F63169">
          <w:rPr>
            <w:noProof/>
            <w:webHidden/>
          </w:rPr>
        </w:r>
        <w:r w:rsidR="00F63169">
          <w:rPr>
            <w:noProof/>
            <w:webHidden/>
          </w:rPr>
          <w:fldChar w:fldCharType="separate"/>
        </w:r>
        <w:r w:rsidR="002809AA">
          <w:rPr>
            <w:noProof/>
            <w:webHidden/>
          </w:rPr>
          <w:t>105</w:t>
        </w:r>
        <w:r w:rsidR="00F63169">
          <w:rPr>
            <w:noProof/>
            <w:webHidden/>
          </w:rPr>
          <w:fldChar w:fldCharType="end"/>
        </w:r>
      </w:hyperlink>
    </w:p>
    <w:p w14:paraId="38A69AA9" w14:textId="0FE89ED0" w:rsidR="00F63169" w:rsidRDefault="00322DCE">
      <w:pPr>
        <w:pStyle w:val="TOC3"/>
        <w:tabs>
          <w:tab w:val="right" w:leader="dot" w:pos="9016"/>
        </w:tabs>
        <w:rPr>
          <w:rFonts w:cstheme="minorBidi"/>
          <w:noProof/>
          <w:lang w:val="en-GB" w:eastAsia="en-GB"/>
        </w:rPr>
      </w:pPr>
      <w:hyperlink w:anchor="_Toc97310466" w:history="1">
        <w:r w:rsidR="00F63169" w:rsidRPr="00670586">
          <w:rPr>
            <w:rStyle w:val="Hyperlink"/>
            <w:noProof/>
          </w:rPr>
          <w:t>5.5.3 Implications for future research</w:t>
        </w:r>
        <w:r w:rsidR="00F63169">
          <w:rPr>
            <w:noProof/>
            <w:webHidden/>
          </w:rPr>
          <w:tab/>
        </w:r>
        <w:r w:rsidR="00F63169">
          <w:rPr>
            <w:noProof/>
            <w:webHidden/>
          </w:rPr>
          <w:fldChar w:fldCharType="begin"/>
        </w:r>
        <w:r w:rsidR="00F63169">
          <w:rPr>
            <w:noProof/>
            <w:webHidden/>
          </w:rPr>
          <w:instrText xml:space="preserve"> PAGEREF _Toc97310466 \h </w:instrText>
        </w:r>
        <w:r w:rsidR="00F63169">
          <w:rPr>
            <w:noProof/>
            <w:webHidden/>
          </w:rPr>
        </w:r>
        <w:r w:rsidR="00F63169">
          <w:rPr>
            <w:noProof/>
            <w:webHidden/>
          </w:rPr>
          <w:fldChar w:fldCharType="separate"/>
        </w:r>
        <w:r w:rsidR="002809AA">
          <w:rPr>
            <w:noProof/>
            <w:webHidden/>
          </w:rPr>
          <w:t>106</w:t>
        </w:r>
        <w:r w:rsidR="00F63169">
          <w:rPr>
            <w:noProof/>
            <w:webHidden/>
          </w:rPr>
          <w:fldChar w:fldCharType="end"/>
        </w:r>
      </w:hyperlink>
    </w:p>
    <w:p w14:paraId="6A882261" w14:textId="5FF9E151" w:rsidR="00F63169" w:rsidRDefault="00322DCE">
      <w:pPr>
        <w:pStyle w:val="TOC3"/>
        <w:tabs>
          <w:tab w:val="right" w:leader="dot" w:pos="9016"/>
        </w:tabs>
        <w:rPr>
          <w:rFonts w:cstheme="minorBidi"/>
          <w:noProof/>
          <w:lang w:val="en-GB" w:eastAsia="en-GB"/>
        </w:rPr>
      </w:pPr>
      <w:hyperlink w:anchor="_Toc97310467" w:history="1">
        <w:r w:rsidR="00F63169" w:rsidRPr="00670586">
          <w:rPr>
            <w:rStyle w:val="Hyperlink"/>
            <w:noProof/>
          </w:rPr>
          <w:t>5.5.4 Conclusion</w:t>
        </w:r>
        <w:r w:rsidR="00F63169">
          <w:rPr>
            <w:noProof/>
            <w:webHidden/>
          </w:rPr>
          <w:tab/>
        </w:r>
        <w:r w:rsidR="00F63169">
          <w:rPr>
            <w:noProof/>
            <w:webHidden/>
          </w:rPr>
          <w:fldChar w:fldCharType="begin"/>
        </w:r>
        <w:r w:rsidR="00F63169">
          <w:rPr>
            <w:noProof/>
            <w:webHidden/>
          </w:rPr>
          <w:instrText xml:space="preserve"> PAGEREF _Toc97310467 \h </w:instrText>
        </w:r>
        <w:r w:rsidR="00F63169">
          <w:rPr>
            <w:noProof/>
            <w:webHidden/>
          </w:rPr>
        </w:r>
        <w:r w:rsidR="00F63169">
          <w:rPr>
            <w:noProof/>
            <w:webHidden/>
          </w:rPr>
          <w:fldChar w:fldCharType="separate"/>
        </w:r>
        <w:r w:rsidR="002809AA">
          <w:rPr>
            <w:noProof/>
            <w:webHidden/>
          </w:rPr>
          <w:t>107</w:t>
        </w:r>
        <w:r w:rsidR="00F63169">
          <w:rPr>
            <w:noProof/>
            <w:webHidden/>
          </w:rPr>
          <w:fldChar w:fldCharType="end"/>
        </w:r>
      </w:hyperlink>
    </w:p>
    <w:p w14:paraId="039BCD0B" w14:textId="30AD3F1C" w:rsidR="00F63169" w:rsidRDefault="00322DCE">
      <w:pPr>
        <w:pStyle w:val="TOC1"/>
        <w:tabs>
          <w:tab w:val="right" w:leader="dot" w:pos="9016"/>
        </w:tabs>
        <w:rPr>
          <w:rFonts w:cstheme="minorBidi"/>
          <w:noProof/>
          <w:lang w:val="en-GB" w:eastAsia="en-GB"/>
        </w:rPr>
      </w:pPr>
      <w:hyperlink r:id="rId17" w:anchor="_Toc97310468" w:history="1">
        <w:r w:rsidR="00F63169" w:rsidRPr="00670586">
          <w:rPr>
            <w:rStyle w:val="Hyperlink"/>
            <w:b/>
            <w:bCs/>
            <w:noProof/>
          </w:rPr>
          <w:t xml:space="preserve">Chapter 6. The development of an in-school </w:t>
        </w:r>
        <w:r w:rsidR="00F63169" w:rsidRPr="00670586">
          <w:rPr>
            <w:rStyle w:val="Hyperlink"/>
            <w:rFonts w:cstheme="minorHAnsi"/>
            <w:b/>
            <w:bCs/>
            <w:noProof/>
          </w:rPr>
          <w:t>Social Norms Approach intervention to reduce unhealthy dietary behaviours of young adolescents</w:t>
        </w:r>
        <w:r w:rsidR="00F63169">
          <w:rPr>
            <w:noProof/>
            <w:webHidden/>
          </w:rPr>
          <w:tab/>
        </w:r>
        <w:r w:rsidR="00F63169">
          <w:rPr>
            <w:noProof/>
            <w:webHidden/>
          </w:rPr>
          <w:fldChar w:fldCharType="begin"/>
        </w:r>
        <w:r w:rsidR="00F63169">
          <w:rPr>
            <w:noProof/>
            <w:webHidden/>
          </w:rPr>
          <w:instrText xml:space="preserve"> PAGEREF _Toc97310468 \h </w:instrText>
        </w:r>
        <w:r w:rsidR="00F63169">
          <w:rPr>
            <w:noProof/>
            <w:webHidden/>
          </w:rPr>
        </w:r>
        <w:r w:rsidR="00F63169">
          <w:rPr>
            <w:noProof/>
            <w:webHidden/>
          </w:rPr>
          <w:fldChar w:fldCharType="separate"/>
        </w:r>
        <w:r w:rsidR="002809AA">
          <w:rPr>
            <w:noProof/>
            <w:webHidden/>
          </w:rPr>
          <w:t>108</w:t>
        </w:r>
        <w:r w:rsidR="00F63169">
          <w:rPr>
            <w:noProof/>
            <w:webHidden/>
          </w:rPr>
          <w:fldChar w:fldCharType="end"/>
        </w:r>
      </w:hyperlink>
    </w:p>
    <w:p w14:paraId="0B15BE65" w14:textId="26888A65" w:rsidR="00F63169" w:rsidRDefault="00322DCE">
      <w:pPr>
        <w:pStyle w:val="TOC2"/>
        <w:rPr>
          <w:rFonts w:eastAsiaTheme="minorEastAsia"/>
          <w:noProof/>
          <w:lang w:eastAsia="en-GB"/>
        </w:rPr>
      </w:pPr>
      <w:hyperlink w:anchor="_Toc97310469" w:history="1">
        <w:r w:rsidR="00F63169" w:rsidRPr="00670586">
          <w:rPr>
            <w:rStyle w:val="Hyperlink"/>
            <w:noProof/>
          </w:rPr>
          <w:t>6.1 Chapter overview</w:t>
        </w:r>
        <w:r w:rsidR="00F63169">
          <w:rPr>
            <w:noProof/>
            <w:webHidden/>
          </w:rPr>
          <w:tab/>
        </w:r>
        <w:r w:rsidR="00F63169">
          <w:rPr>
            <w:noProof/>
            <w:webHidden/>
          </w:rPr>
          <w:fldChar w:fldCharType="begin"/>
        </w:r>
        <w:r w:rsidR="00F63169">
          <w:rPr>
            <w:noProof/>
            <w:webHidden/>
          </w:rPr>
          <w:instrText xml:space="preserve"> PAGEREF _Toc97310469 \h </w:instrText>
        </w:r>
        <w:r w:rsidR="00F63169">
          <w:rPr>
            <w:noProof/>
            <w:webHidden/>
          </w:rPr>
        </w:r>
        <w:r w:rsidR="00F63169">
          <w:rPr>
            <w:noProof/>
            <w:webHidden/>
          </w:rPr>
          <w:fldChar w:fldCharType="separate"/>
        </w:r>
        <w:r w:rsidR="002809AA">
          <w:rPr>
            <w:noProof/>
            <w:webHidden/>
          </w:rPr>
          <w:t>109</w:t>
        </w:r>
        <w:r w:rsidR="00F63169">
          <w:rPr>
            <w:noProof/>
            <w:webHidden/>
          </w:rPr>
          <w:fldChar w:fldCharType="end"/>
        </w:r>
      </w:hyperlink>
    </w:p>
    <w:p w14:paraId="5C35E049" w14:textId="227B70A1" w:rsidR="00F63169" w:rsidRDefault="00322DCE">
      <w:pPr>
        <w:pStyle w:val="TOC2"/>
        <w:rPr>
          <w:rFonts w:eastAsiaTheme="minorEastAsia"/>
          <w:noProof/>
          <w:lang w:eastAsia="en-GB"/>
        </w:rPr>
      </w:pPr>
      <w:hyperlink w:anchor="_Toc97310470" w:history="1">
        <w:r w:rsidR="00F63169" w:rsidRPr="00670586">
          <w:rPr>
            <w:rStyle w:val="Hyperlink"/>
            <w:noProof/>
          </w:rPr>
          <w:t>6.2 Key recommendations and findings from the previous chapters</w:t>
        </w:r>
        <w:r w:rsidR="00F63169">
          <w:rPr>
            <w:noProof/>
            <w:webHidden/>
          </w:rPr>
          <w:tab/>
        </w:r>
        <w:r w:rsidR="00F63169">
          <w:rPr>
            <w:noProof/>
            <w:webHidden/>
          </w:rPr>
          <w:fldChar w:fldCharType="begin"/>
        </w:r>
        <w:r w:rsidR="00F63169">
          <w:rPr>
            <w:noProof/>
            <w:webHidden/>
          </w:rPr>
          <w:instrText xml:space="preserve"> PAGEREF _Toc97310470 \h </w:instrText>
        </w:r>
        <w:r w:rsidR="00F63169">
          <w:rPr>
            <w:noProof/>
            <w:webHidden/>
          </w:rPr>
        </w:r>
        <w:r w:rsidR="00F63169">
          <w:rPr>
            <w:noProof/>
            <w:webHidden/>
          </w:rPr>
          <w:fldChar w:fldCharType="separate"/>
        </w:r>
        <w:r w:rsidR="002809AA">
          <w:rPr>
            <w:noProof/>
            <w:webHidden/>
          </w:rPr>
          <w:t>109</w:t>
        </w:r>
        <w:r w:rsidR="00F63169">
          <w:rPr>
            <w:noProof/>
            <w:webHidden/>
          </w:rPr>
          <w:fldChar w:fldCharType="end"/>
        </w:r>
      </w:hyperlink>
    </w:p>
    <w:p w14:paraId="19EA482F" w14:textId="7F2FBEF7" w:rsidR="00F63169" w:rsidRDefault="00322DCE">
      <w:pPr>
        <w:pStyle w:val="TOC2"/>
        <w:rPr>
          <w:rFonts w:eastAsiaTheme="minorEastAsia"/>
          <w:noProof/>
          <w:lang w:eastAsia="en-GB"/>
        </w:rPr>
      </w:pPr>
      <w:hyperlink w:anchor="_Toc97310471" w:history="1">
        <w:r w:rsidR="00F63169" w:rsidRPr="00670586">
          <w:rPr>
            <w:rStyle w:val="Hyperlink"/>
            <w:noProof/>
          </w:rPr>
          <w:t>6.3 Stakeholders</w:t>
        </w:r>
        <w:r w:rsidR="00F63169">
          <w:rPr>
            <w:noProof/>
            <w:webHidden/>
          </w:rPr>
          <w:tab/>
        </w:r>
        <w:r w:rsidR="00F63169">
          <w:rPr>
            <w:noProof/>
            <w:webHidden/>
          </w:rPr>
          <w:fldChar w:fldCharType="begin"/>
        </w:r>
        <w:r w:rsidR="00F63169">
          <w:rPr>
            <w:noProof/>
            <w:webHidden/>
          </w:rPr>
          <w:instrText xml:space="preserve"> PAGEREF _Toc97310471 \h </w:instrText>
        </w:r>
        <w:r w:rsidR="00F63169">
          <w:rPr>
            <w:noProof/>
            <w:webHidden/>
          </w:rPr>
        </w:r>
        <w:r w:rsidR="00F63169">
          <w:rPr>
            <w:noProof/>
            <w:webHidden/>
          </w:rPr>
          <w:fldChar w:fldCharType="separate"/>
        </w:r>
        <w:r w:rsidR="002809AA">
          <w:rPr>
            <w:noProof/>
            <w:webHidden/>
          </w:rPr>
          <w:t>110</w:t>
        </w:r>
        <w:r w:rsidR="00F63169">
          <w:rPr>
            <w:noProof/>
            <w:webHidden/>
          </w:rPr>
          <w:fldChar w:fldCharType="end"/>
        </w:r>
      </w:hyperlink>
    </w:p>
    <w:p w14:paraId="4BDFE99F" w14:textId="2006C9FF" w:rsidR="00F63169" w:rsidRDefault="00322DCE">
      <w:pPr>
        <w:pStyle w:val="TOC3"/>
        <w:tabs>
          <w:tab w:val="right" w:leader="dot" w:pos="9016"/>
        </w:tabs>
        <w:rPr>
          <w:rFonts w:cstheme="minorBidi"/>
          <w:noProof/>
          <w:lang w:val="en-GB" w:eastAsia="en-GB"/>
        </w:rPr>
      </w:pPr>
      <w:hyperlink w:anchor="_Toc97310472" w:history="1">
        <w:r w:rsidR="00F63169" w:rsidRPr="00670586">
          <w:rPr>
            <w:rStyle w:val="Hyperlink"/>
            <w:noProof/>
          </w:rPr>
          <w:t>6.3.1 Student Advisory Group</w:t>
        </w:r>
        <w:r w:rsidR="00F63169">
          <w:rPr>
            <w:noProof/>
            <w:webHidden/>
          </w:rPr>
          <w:tab/>
        </w:r>
        <w:r w:rsidR="00F63169">
          <w:rPr>
            <w:noProof/>
            <w:webHidden/>
          </w:rPr>
          <w:fldChar w:fldCharType="begin"/>
        </w:r>
        <w:r w:rsidR="00F63169">
          <w:rPr>
            <w:noProof/>
            <w:webHidden/>
          </w:rPr>
          <w:instrText xml:space="preserve"> PAGEREF _Toc97310472 \h </w:instrText>
        </w:r>
        <w:r w:rsidR="00F63169">
          <w:rPr>
            <w:noProof/>
            <w:webHidden/>
          </w:rPr>
        </w:r>
        <w:r w:rsidR="00F63169">
          <w:rPr>
            <w:noProof/>
            <w:webHidden/>
          </w:rPr>
          <w:fldChar w:fldCharType="separate"/>
        </w:r>
        <w:r w:rsidR="002809AA">
          <w:rPr>
            <w:noProof/>
            <w:webHidden/>
          </w:rPr>
          <w:t>111</w:t>
        </w:r>
        <w:r w:rsidR="00F63169">
          <w:rPr>
            <w:noProof/>
            <w:webHidden/>
          </w:rPr>
          <w:fldChar w:fldCharType="end"/>
        </w:r>
      </w:hyperlink>
    </w:p>
    <w:p w14:paraId="68125B97" w14:textId="3B9BA34F" w:rsidR="00F63169" w:rsidRDefault="00322DCE">
      <w:pPr>
        <w:pStyle w:val="TOC3"/>
        <w:tabs>
          <w:tab w:val="right" w:leader="dot" w:pos="9016"/>
        </w:tabs>
        <w:rPr>
          <w:rFonts w:cstheme="minorBidi"/>
          <w:noProof/>
          <w:lang w:val="en-GB" w:eastAsia="en-GB"/>
        </w:rPr>
      </w:pPr>
      <w:hyperlink w:anchor="_Toc97310473" w:history="1">
        <w:r w:rsidR="00F63169" w:rsidRPr="00670586">
          <w:rPr>
            <w:rStyle w:val="Hyperlink"/>
            <w:noProof/>
          </w:rPr>
          <w:t>6.3.2 Teacher Meetings</w:t>
        </w:r>
        <w:r w:rsidR="00F63169">
          <w:rPr>
            <w:noProof/>
            <w:webHidden/>
          </w:rPr>
          <w:tab/>
        </w:r>
        <w:r w:rsidR="00F63169">
          <w:rPr>
            <w:noProof/>
            <w:webHidden/>
          </w:rPr>
          <w:fldChar w:fldCharType="begin"/>
        </w:r>
        <w:r w:rsidR="00F63169">
          <w:rPr>
            <w:noProof/>
            <w:webHidden/>
          </w:rPr>
          <w:instrText xml:space="preserve"> PAGEREF _Toc97310473 \h </w:instrText>
        </w:r>
        <w:r w:rsidR="00F63169">
          <w:rPr>
            <w:noProof/>
            <w:webHidden/>
          </w:rPr>
        </w:r>
        <w:r w:rsidR="00F63169">
          <w:rPr>
            <w:noProof/>
            <w:webHidden/>
          </w:rPr>
          <w:fldChar w:fldCharType="separate"/>
        </w:r>
        <w:r w:rsidR="002809AA">
          <w:rPr>
            <w:noProof/>
            <w:webHidden/>
          </w:rPr>
          <w:t>112</w:t>
        </w:r>
        <w:r w:rsidR="00F63169">
          <w:rPr>
            <w:noProof/>
            <w:webHidden/>
          </w:rPr>
          <w:fldChar w:fldCharType="end"/>
        </w:r>
      </w:hyperlink>
    </w:p>
    <w:p w14:paraId="2350A01A" w14:textId="17683B74" w:rsidR="00F63169" w:rsidRDefault="00322DCE">
      <w:pPr>
        <w:pStyle w:val="TOC2"/>
        <w:rPr>
          <w:rFonts w:eastAsiaTheme="minorEastAsia"/>
          <w:noProof/>
          <w:lang w:eastAsia="en-GB"/>
        </w:rPr>
      </w:pPr>
      <w:hyperlink w:anchor="_Toc97310474" w:history="1">
        <w:r w:rsidR="00F63169" w:rsidRPr="00670586">
          <w:rPr>
            <w:rStyle w:val="Hyperlink"/>
            <w:noProof/>
          </w:rPr>
          <w:t>6.4 The intervention</w:t>
        </w:r>
        <w:r w:rsidR="00F63169">
          <w:rPr>
            <w:noProof/>
            <w:webHidden/>
          </w:rPr>
          <w:tab/>
        </w:r>
        <w:r w:rsidR="00F63169">
          <w:rPr>
            <w:noProof/>
            <w:webHidden/>
          </w:rPr>
          <w:fldChar w:fldCharType="begin"/>
        </w:r>
        <w:r w:rsidR="00F63169">
          <w:rPr>
            <w:noProof/>
            <w:webHidden/>
          </w:rPr>
          <w:instrText xml:space="preserve"> PAGEREF _Toc97310474 \h </w:instrText>
        </w:r>
        <w:r w:rsidR="00F63169">
          <w:rPr>
            <w:noProof/>
            <w:webHidden/>
          </w:rPr>
        </w:r>
        <w:r w:rsidR="00F63169">
          <w:rPr>
            <w:noProof/>
            <w:webHidden/>
          </w:rPr>
          <w:fldChar w:fldCharType="separate"/>
        </w:r>
        <w:r w:rsidR="002809AA">
          <w:rPr>
            <w:noProof/>
            <w:webHidden/>
          </w:rPr>
          <w:t>114</w:t>
        </w:r>
        <w:r w:rsidR="00F63169">
          <w:rPr>
            <w:noProof/>
            <w:webHidden/>
          </w:rPr>
          <w:fldChar w:fldCharType="end"/>
        </w:r>
      </w:hyperlink>
    </w:p>
    <w:p w14:paraId="671ABCAA" w14:textId="26D49410" w:rsidR="00F63169" w:rsidRDefault="00322DCE">
      <w:pPr>
        <w:pStyle w:val="TOC3"/>
        <w:tabs>
          <w:tab w:val="right" w:leader="dot" w:pos="9016"/>
        </w:tabs>
        <w:rPr>
          <w:rFonts w:cstheme="minorBidi"/>
          <w:noProof/>
          <w:lang w:val="en-GB" w:eastAsia="en-GB"/>
        </w:rPr>
      </w:pPr>
      <w:hyperlink w:anchor="_Toc97310475" w:history="1">
        <w:r w:rsidR="00F63169" w:rsidRPr="00670586">
          <w:rPr>
            <w:rStyle w:val="Hyperlink"/>
            <w:noProof/>
          </w:rPr>
          <w:t>6.4.1 The target population</w:t>
        </w:r>
        <w:r w:rsidR="00F63169">
          <w:rPr>
            <w:noProof/>
            <w:webHidden/>
          </w:rPr>
          <w:tab/>
        </w:r>
        <w:r w:rsidR="00F63169">
          <w:rPr>
            <w:noProof/>
            <w:webHidden/>
          </w:rPr>
          <w:fldChar w:fldCharType="begin"/>
        </w:r>
        <w:r w:rsidR="00F63169">
          <w:rPr>
            <w:noProof/>
            <w:webHidden/>
          </w:rPr>
          <w:instrText xml:space="preserve"> PAGEREF _Toc97310475 \h </w:instrText>
        </w:r>
        <w:r w:rsidR="00F63169">
          <w:rPr>
            <w:noProof/>
            <w:webHidden/>
          </w:rPr>
        </w:r>
        <w:r w:rsidR="00F63169">
          <w:rPr>
            <w:noProof/>
            <w:webHidden/>
          </w:rPr>
          <w:fldChar w:fldCharType="separate"/>
        </w:r>
        <w:r w:rsidR="002809AA">
          <w:rPr>
            <w:noProof/>
            <w:webHidden/>
          </w:rPr>
          <w:t>114</w:t>
        </w:r>
        <w:r w:rsidR="00F63169">
          <w:rPr>
            <w:noProof/>
            <w:webHidden/>
          </w:rPr>
          <w:fldChar w:fldCharType="end"/>
        </w:r>
      </w:hyperlink>
    </w:p>
    <w:p w14:paraId="07C4C0F2" w14:textId="75EB4E8D" w:rsidR="00F63169" w:rsidRDefault="00322DCE">
      <w:pPr>
        <w:pStyle w:val="TOC3"/>
        <w:tabs>
          <w:tab w:val="right" w:leader="dot" w:pos="9016"/>
        </w:tabs>
        <w:rPr>
          <w:rFonts w:cstheme="minorBidi"/>
          <w:noProof/>
          <w:lang w:val="en-GB" w:eastAsia="en-GB"/>
        </w:rPr>
      </w:pPr>
      <w:hyperlink w:anchor="_Toc97310476" w:history="1">
        <w:r w:rsidR="00F63169" w:rsidRPr="00670586">
          <w:rPr>
            <w:rStyle w:val="Hyperlink"/>
            <w:noProof/>
          </w:rPr>
          <w:t>6.4.2 Defining the dietary behaviour to be addressed</w:t>
        </w:r>
        <w:r w:rsidR="00F63169">
          <w:rPr>
            <w:noProof/>
            <w:webHidden/>
          </w:rPr>
          <w:tab/>
        </w:r>
        <w:r w:rsidR="00F63169">
          <w:rPr>
            <w:noProof/>
            <w:webHidden/>
          </w:rPr>
          <w:fldChar w:fldCharType="begin"/>
        </w:r>
        <w:r w:rsidR="00F63169">
          <w:rPr>
            <w:noProof/>
            <w:webHidden/>
          </w:rPr>
          <w:instrText xml:space="preserve"> PAGEREF _Toc97310476 \h </w:instrText>
        </w:r>
        <w:r w:rsidR="00F63169">
          <w:rPr>
            <w:noProof/>
            <w:webHidden/>
          </w:rPr>
        </w:r>
        <w:r w:rsidR="00F63169">
          <w:rPr>
            <w:noProof/>
            <w:webHidden/>
          </w:rPr>
          <w:fldChar w:fldCharType="separate"/>
        </w:r>
        <w:r w:rsidR="002809AA">
          <w:rPr>
            <w:noProof/>
            <w:webHidden/>
          </w:rPr>
          <w:t>115</w:t>
        </w:r>
        <w:r w:rsidR="00F63169">
          <w:rPr>
            <w:noProof/>
            <w:webHidden/>
          </w:rPr>
          <w:fldChar w:fldCharType="end"/>
        </w:r>
      </w:hyperlink>
    </w:p>
    <w:p w14:paraId="222AA8B5" w14:textId="0F6B702C" w:rsidR="00F63169" w:rsidRDefault="00322DCE">
      <w:pPr>
        <w:pStyle w:val="TOC3"/>
        <w:tabs>
          <w:tab w:val="right" w:leader="dot" w:pos="9016"/>
        </w:tabs>
        <w:rPr>
          <w:rFonts w:cstheme="minorBidi"/>
          <w:noProof/>
          <w:lang w:val="en-GB" w:eastAsia="en-GB"/>
        </w:rPr>
      </w:pPr>
      <w:hyperlink w:anchor="_Toc97310477" w:history="1">
        <w:r w:rsidR="00F63169" w:rsidRPr="00670586">
          <w:rPr>
            <w:rStyle w:val="Hyperlink"/>
            <w:noProof/>
          </w:rPr>
          <w:t>6.4.4 Developing the SNA feedback messages</w:t>
        </w:r>
        <w:r w:rsidR="00F63169">
          <w:rPr>
            <w:noProof/>
            <w:webHidden/>
          </w:rPr>
          <w:tab/>
        </w:r>
        <w:r w:rsidR="00F63169">
          <w:rPr>
            <w:noProof/>
            <w:webHidden/>
          </w:rPr>
          <w:fldChar w:fldCharType="begin"/>
        </w:r>
        <w:r w:rsidR="00F63169">
          <w:rPr>
            <w:noProof/>
            <w:webHidden/>
          </w:rPr>
          <w:instrText xml:space="preserve"> PAGEREF _Toc97310477 \h </w:instrText>
        </w:r>
        <w:r w:rsidR="00F63169">
          <w:rPr>
            <w:noProof/>
            <w:webHidden/>
          </w:rPr>
        </w:r>
        <w:r w:rsidR="00F63169">
          <w:rPr>
            <w:noProof/>
            <w:webHidden/>
          </w:rPr>
          <w:fldChar w:fldCharType="separate"/>
        </w:r>
        <w:r w:rsidR="002809AA">
          <w:rPr>
            <w:noProof/>
            <w:webHidden/>
          </w:rPr>
          <w:t>116</w:t>
        </w:r>
        <w:r w:rsidR="00F63169">
          <w:rPr>
            <w:noProof/>
            <w:webHidden/>
          </w:rPr>
          <w:fldChar w:fldCharType="end"/>
        </w:r>
      </w:hyperlink>
    </w:p>
    <w:p w14:paraId="5996E259" w14:textId="3D9EE2B4" w:rsidR="00F63169" w:rsidRDefault="00322DCE">
      <w:pPr>
        <w:pStyle w:val="TOC3"/>
        <w:tabs>
          <w:tab w:val="right" w:leader="dot" w:pos="9016"/>
        </w:tabs>
        <w:rPr>
          <w:rFonts w:cstheme="minorBidi"/>
          <w:noProof/>
          <w:lang w:val="en-GB" w:eastAsia="en-GB"/>
        </w:rPr>
      </w:pPr>
      <w:hyperlink w:anchor="_Toc97310478" w:history="1">
        <w:r w:rsidR="00F63169" w:rsidRPr="00670586">
          <w:rPr>
            <w:rStyle w:val="Hyperlink"/>
            <w:noProof/>
          </w:rPr>
          <w:t>6.4.4 Communicating the SNA feedback</w:t>
        </w:r>
        <w:r w:rsidR="00F63169">
          <w:rPr>
            <w:noProof/>
            <w:webHidden/>
          </w:rPr>
          <w:tab/>
        </w:r>
        <w:r w:rsidR="00F63169">
          <w:rPr>
            <w:noProof/>
            <w:webHidden/>
          </w:rPr>
          <w:fldChar w:fldCharType="begin"/>
        </w:r>
        <w:r w:rsidR="00F63169">
          <w:rPr>
            <w:noProof/>
            <w:webHidden/>
          </w:rPr>
          <w:instrText xml:space="preserve"> PAGEREF _Toc97310478 \h </w:instrText>
        </w:r>
        <w:r w:rsidR="00F63169">
          <w:rPr>
            <w:noProof/>
            <w:webHidden/>
          </w:rPr>
        </w:r>
        <w:r w:rsidR="00F63169">
          <w:rPr>
            <w:noProof/>
            <w:webHidden/>
          </w:rPr>
          <w:fldChar w:fldCharType="separate"/>
        </w:r>
        <w:r w:rsidR="002809AA">
          <w:rPr>
            <w:noProof/>
            <w:webHidden/>
          </w:rPr>
          <w:t>118</w:t>
        </w:r>
        <w:r w:rsidR="00F63169">
          <w:rPr>
            <w:noProof/>
            <w:webHidden/>
          </w:rPr>
          <w:fldChar w:fldCharType="end"/>
        </w:r>
      </w:hyperlink>
    </w:p>
    <w:p w14:paraId="0C764BD3" w14:textId="7B36BB17" w:rsidR="00F63169" w:rsidRDefault="00322DCE">
      <w:pPr>
        <w:pStyle w:val="TOC2"/>
        <w:rPr>
          <w:rFonts w:eastAsiaTheme="minorEastAsia"/>
          <w:noProof/>
          <w:lang w:eastAsia="en-GB"/>
        </w:rPr>
      </w:pPr>
      <w:hyperlink w:anchor="_Toc97310479" w:history="1">
        <w:r w:rsidR="00F63169" w:rsidRPr="00670586">
          <w:rPr>
            <w:rStyle w:val="Hyperlink"/>
            <w:noProof/>
          </w:rPr>
          <w:t>6.5 Conclusion</w:t>
        </w:r>
        <w:r w:rsidR="00F63169">
          <w:rPr>
            <w:noProof/>
            <w:webHidden/>
          </w:rPr>
          <w:tab/>
        </w:r>
        <w:r w:rsidR="00F63169">
          <w:rPr>
            <w:noProof/>
            <w:webHidden/>
          </w:rPr>
          <w:fldChar w:fldCharType="begin"/>
        </w:r>
        <w:r w:rsidR="00F63169">
          <w:rPr>
            <w:noProof/>
            <w:webHidden/>
          </w:rPr>
          <w:instrText xml:space="preserve"> PAGEREF _Toc97310479 \h </w:instrText>
        </w:r>
        <w:r w:rsidR="00F63169">
          <w:rPr>
            <w:noProof/>
            <w:webHidden/>
          </w:rPr>
        </w:r>
        <w:r w:rsidR="00F63169">
          <w:rPr>
            <w:noProof/>
            <w:webHidden/>
          </w:rPr>
          <w:fldChar w:fldCharType="separate"/>
        </w:r>
        <w:r w:rsidR="002809AA">
          <w:rPr>
            <w:noProof/>
            <w:webHidden/>
          </w:rPr>
          <w:t>120</w:t>
        </w:r>
        <w:r w:rsidR="00F63169">
          <w:rPr>
            <w:noProof/>
            <w:webHidden/>
          </w:rPr>
          <w:fldChar w:fldCharType="end"/>
        </w:r>
      </w:hyperlink>
    </w:p>
    <w:p w14:paraId="314788D0" w14:textId="4F227F80" w:rsidR="00F63169" w:rsidRDefault="00322DCE">
      <w:pPr>
        <w:pStyle w:val="TOC1"/>
        <w:tabs>
          <w:tab w:val="right" w:leader="dot" w:pos="9016"/>
        </w:tabs>
        <w:rPr>
          <w:rFonts w:cstheme="minorBidi"/>
          <w:noProof/>
          <w:lang w:val="en-GB" w:eastAsia="en-GB"/>
        </w:rPr>
      </w:pPr>
      <w:hyperlink r:id="rId18" w:anchor="_Toc97310480" w:history="1">
        <w:r w:rsidR="00F63169" w:rsidRPr="00670586">
          <w:rPr>
            <w:rStyle w:val="Hyperlink"/>
            <w:b/>
            <w:bCs/>
            <w:noProof/>
          </w:rPr>
          <w:t>Chapter 7. Normative misperceptions of unhealthy snacking amongst 11- to 12-year-old secondary school students</w:t>
        </w:r>
        <w:r w:rsidR="00F63169">
          <w:rPr>
            <w:noProof/>
            <w:webHidden/>
          </w:rPr>
          <w:tab/>
        </w:r>
        <w:r w:rsidR="00F63169">
          <w:rPr>
            <w:noProof/>
            <w:webHidden/>
          </w:rPr>
          <w:fldChar w:fldCharType="begin"/>
        </w:r>
        <w:r w:rsidR="00F63169">
          <w:rPr>
            <w:noProof/>
            <w:webHidden/>
          </w:rPr>
          <w:instrText xml:space="preserve"> PAGEREF _Toc97310480 \h </w:instrText>
        </w:r>
        <w:r w:rsidR="00F63169">
          <w:rPr>
            <w:noProof/>
            <w:webHidden/>
          </w:rPr>
        </w:r>
        <w:r w:rsidR="00F63169">
          <w:rPr>
            <w:noProof/>
            <w:webHidden/>
          </w:rPr>
          <w:fldChar w:fldCharType="separate"/>
        </w:r>
        <w:r w:rsidR="002809AA">
          <w:rPr>
            <w:noProof/>
            <w:webHidden/>
          </w:rPr>
          <w:t>121</w:t>
        </w:r>
        <w:r w:rsidR="00F63169">
          <w:rPr>
            <w:noProof/>
            <w:webHidden/>
          </w:rPr>
          <w:fldChar w:fldCharType="end"/>
        </w:r>
      </w:hyperlink>
    </w:p>
    <w:p w14:paraId="20585F04" w14:textId="2454B219" w:rsidR="00F63169" w:rsidRDefault="00322DCE">
      <w:pPr>
        <w:pStyle w:val="TOC2"/>
        <w:rPr>
          <w:rFonts w:eastAsiaTheme="minorEastAsia"/>
          <w:noProof/>
          <w:lang w:eastAsia="en-GB"/>
        </w:rPr>
      </w:pPr>
      <w:hyperlink w:anchor="_Toc97310481" w:history="1">
        <w:r w:rsidR="00F63169" w:rsidRPr="00670586">
          <w:rPr>
            <w:rStyle w:val="Hyperlink"/>
            <w:noProof/>
          </w:rPr>
          <w:t>7.1 Chapter overview</w:t>
        </w:r>
        <w:r w:rsidR="00F63169">
          <w:rPr>
            <w:noProof/>
            <w:webHidden/>
          </w:rPr>
          <w:tab/>
        </w:r>
        <w:r w:rsidR="00F63169">
          <w:rPr>
            <w:noProof/>
            <w:webHidden/>
          </w:rPr>
          <w:fldChar w:fldCharType="begin"/>
        </w:r>
        <w:r w:rsidR="00F63169">
          <w:rPr>
            <w:noProof/>
            <w:webHidden/>
          </w:rPr>
          <w:instrText xml:space="preserve"> PAGEREF _Toc97310481 \h </w:instrText>
        </w:r>
        <w:r w:rsidR="00F63169">
          <w:rPr>
            <w:noProof/>
            <w:webHidden/>
          </w:rPr>
        </w:r>
        <w:r w:rsidR="00F63169">
          <w:rPr>
            <w:noProof/>
            <w:webHidden/>
          </w:rPr>
          <w:fldChar w:fldCharType="separate"/>
        </w:r>
        <w:r w:rsidR="002809AA">
          <w:rPr>
            <w:noProof/>
            <w:webHidden/>
          </w:rPr>
          <w:t>122</w:t>
        </w:r>
        <w:r w:rsidR="00F63169">
          <w:rPr>
            <w:noProof/>
            <w:webHidden/>
          </w:rPr>
          <w:fldChar w:fldCharType="end"/>
        </w:r>
      </w:hyperlink>
    </w:p>
    <w:p w14:paraId="7941F2EB" w14:textId="1BF8C517" w:rsidR="00F63169" w:rsidRDefault="00322DCE">
      <w:pPr>
        <w:pStyle w:val="TOC2"/>
        <w:rPr>
          <w:rFonts w:eastAsiaTheme="minorEastAsia"/>
          <w:noProof/>
          <w:lang w:eastAsia="en-GB"/>
        </w:rPr>
      </w:pPr>
      <w:hyperlink w:anchor="_Toc97310482" w:history="1">
        <w:r w:rsidR="00F63169" w:rsidRPr="00670586">
          <w:rPr>
            <w:rStyle w:val="Hyperlink"/>
            <w:noProof/>
          </w:rPr>
          <w:t>7.2 Introduction</w:t>
        </w:r>
        <w:r w:rsidR="00F63169">
          <w:rPr>
            <w:noProof/>
            <w:webHidden/>
          </w:rPr>
          <w:tab/>
        </w:r>
        <w:r w:rsidR="00F63169">
          <w:rPr>
            <w:noProof/>
            <w:webHidden/>
          </w:rPr>
          <w:fldChar w:fldCharType="begin"/>
        </w:r>
        <w:r w:rsidR="00F63169">
          <w:rPr>
            <w:noProof/>
            <w:webHidden/>
          </w:rPr>
          <w:instrText xml:space="preserve"> PAGEREF _Toc97310482 \h </w:instrText>
        </w:r>
        <w:r w:rsidR="00F63169">
          <w:rPr>
            <w:noProof/>
            <w:webHidden/>
          </w:rPr>
        </w:r>
        <w:r w:rsidR="00F63169">
          <w:rPr>
            <w:noProof/>
            <w:webHidden/>
          </w:rPr>
          <w:fldChar w:fldCharType="separate"/>
        </w:r>
        <w:r w:rsidR="002809AA">
          <w:rPr>
            <w:noProof/>
            <w:webHidden/>
          </w:rPr>
          <w:t>122</w:t>
        </w:r>
        <w:r w:rsidR="00F63169">
          <w:rPr>
            <w:noProof/>
            <w:webHidden/>
          </w:rPr>
          <w:fldChar w:fldCharType="end"/>
        </w:r>
      </w:hyperlink>
    </w:p>
    <w:p w14:paraId="721112BC" w14:textId="623902AC" w:rsidR="00F63169" w:rsidRDefault="00322DCE">
      <w:pPr>
        <w:pStyle w:val="TOC2"/>
        <w:rPr>
          <w:rFonts w:eastAsiaTheme="minorEastAsia"/>
          <w:noProof/>
          <w:lang w:eastAsia="en-GB"/>
        </w:rPr>
      </w:pPr>
      <w:hyperlink w:anchor="_Toc97310483" w:history="1">
        <w:r w:rsidR="00F63169" w:rsidRPr="00670586">
          <w:rPr>
            <w:rStyle w:val="Hyperlink"/>
            <w:noProof/>
          </w:rPr>
          <w:t>7.3 Methods</w:t>
        </w:r>
        <w:r w:rsidR="00F63169">
          <w:rPr>
            <w:noProof/>
            <w:webHidden/>
          </w:rPr>
          <w:tab/>
        </w:r>
        <w:r w:rsidR="00F63169">
          <w:rPr>
            <w:noProof/>
            <w:webHidden/>
          </w:rPr>
          <w:fldChar w:fldCharType="begin"/>
        </w:r>
        <w:r w:rsidR="00F63169">
          <w:rPr>
            <w:noProof/>
            <w:webHidden/>
          </w:rPr>
          <w:instrText xml:space="preserve"> PAGEREF _Toc97310483 \h </w:instrText>
        </w:r>
        <w:r w:rsidR="00F63169">
          <w:rPr>
            <w:noProof/>
            <w:webHidden/>
          </w:rPr>
        </w:r>
        <w:r w:rsidR="00F63169">
          <w:rPr>
            <w:noProof/>
            <w:webHidden/>
          </w:rPr>
          <w:fldChar w:fldCharType="separate"/>
        </w:r>
        <w:r w:rsidR="002809AA">
          <w:rPr>
            <w:noProof/>
            <w:webHidden/>
          </w:rPr>
          <w:t>125</w:t>
        </w:r>
        <w:r w:rsidR="00F63169">
          <w:rPr>
            <w:noProof/>
            <w:webHidden/>
          </w:rPr>
          <w:fldChar w:fldCharType="end"/>
        </w:r>
      </w:hyperlink>
    </w:p>
    <w:p w14:paraId="1408AFC2" w14:textId="571819B6" w:rsidR="00F63169" w:rsidRDefault="00322DCE">
      <w:pPr>
        <w:pStyle w:val="TOC3"/>
        <w:tabs>
          <w:tab w:val="right" w:leader="dot" w:pos="9016"/>
        </w:tabs>
        <w:rPr>
          <w:rFonts w:cstheme="minorBidi"/>
          <w:noProof/>
          <w:lang w:val="en-GB" w:eastAsia="en-GB"/>
        </w:rPr>
      </w:pPr>
      <w:hyperlink w:anchor="_Toc97310484" w:history="1">
        <w:r w:rsidR="00F63169" w:rsidRPr="00670586">
          <w:rPr>
            <w:rStyle w:val="Hyperlink"/>
            <w:noProof/>
          </w:rPr>
          <w:t>7.3.1 Design and Participants</w:t>
        </w:r>
        <w:r w:rsidR="00F63169">
          <w:rPr>
            <w:noProof/>
            <w:webHidden/>
          </w:rPr>
          <w:tab/>
        </w:r>
        <w:r w:rsidR="00F63169">
          <w:rPr>
            <w:noProof/>
            <w:webHidden/>
          </w:rPr>
          <w:fldChar w:fldCharType="begin"/>
        </w:r>
        <w:r w:rsidR="00F63169">
          <w:rPr>
            <w:noProof/>
            <w:webHidden/>
          </w:rPr>
          <w:instrText xml:space="preserve"> PAGEREF _Toc97310484 \h </w:instrText>
        </w:r>
        <w:r w:rsidR="00F63169">
          <w:rPr>
            <w:noProof/>
            <w:webHidden/>
          </w:rPr>
        </w:r>
        <w:r w:rsidR="00F63169">
          <w:rPr>
            <w:noProof/>
            <w:webHidden/>
          </w:rPr>
          <w:fldChar w:fldCharType="separate"/>
        </w:r>
        <w:r w:rsidR="002809AA">
          <w:rPr>
            <w:noProof/>
            <w:webHidden/>
          </w:rPr>
          <w:t>125</w:t>
        </w:r>
        <w:r w:rsidR="00F63169">
          <w:rPr>
            <w:noProof/>
            <w:webHidden/>
          </w:rPr>
          <w:fldChar w:fldCharType="end"/>
        </w:r>
      </w:hyperlink>
    </w:p>
    <w:p w14:paraId="2C4B69E3" w14:textId="31BBBC5F" w:rsidR="00F63169" w:rsidRDefault="00322DCE">
      <w:pPr>
        <w:pStyle w:val="TOC3"/>
        <w:tabs>
          <w:tab w:val="right" w:leader="dot" w:pos="9016"/>
        </w:tabs>
        <w:rPr>
          <w:rFonts w:cstheme="minorBidi"/>
          <w:noProof/>
          <w:lang w:val="en-GB" w:eastAsia="en-GB"/>
        </w:rPr>
      </w:pPr>
      <w:hyperlink w:anchor="_Toc97310485" w:history="1">
        <w:r w:rsidR="00F63169" w:rsidRPr="00670586">
          <w:rPr>
            <w:rStyle w:val="Hyperlink"/>
            <w:noProof/>
          </w:rPr>
          <w:t>7.3.2 Procedure</w:t>
        </w:r>
        <w:r w:rsidR="00F63169">
          <w:rPr>
            <w:noProof/>
            <w:webHidden/>
          </w:rPr>
          <w:tab/>
        </w:r>
        <w:r w:rsidR="00F63169">
          <w:rPr>
            <w:noProof/>
            <w:webHidden/>
          </w:rPr>
          <w:fldChar w:fldCharType="begin"/>
        </w:r>
        <w:r w:rsidR="00F63169">
          <w:rPr>
            <w:noProof/>
            <w:webHidden/>
          </w:rPr>
          <w:instrText xml:space="preserve"> PAGEREF _Toc97310485 \h </w:instrText>
        </w:r>
        <w:r w:rsidR="00F63169">
          <w:rPr>
            <w:noProof/>
            <w:webHidden/>
          </w:rPr>
        </w:r>
        <w:r w:rsidR="00F63169">
          <w:rPr>
            <w:noProof/>
            <w:webHidden/>
          </w:rPr>
          <w:fldChar w:fldCharType="separate"/>
        </w:r>
        <w:r w:rsidR="002809AA">
          <w:rPr>
            <w:noProof/>
            <w:webHidden/>
          </w:rPr>
          <w:t>126</w:t>
        </w:r>
        <w:r w:rsidR="00F63169">
          <w:rPr>
            <w:noProof/>
            <w:webHidden/>
          </w:rPr>
          <w:fldChar w:fldCharType="end"/>
        </w:r>
      </w:hyperlink>
    </w:p>
    <w:p w14:paraId="6429FD15" w14:textId="090E2D1D" w:rsidR="00F63169" w:rsidRDefault="00322DCE">
      <w:pPr>
        <w:pStyle w:val="TOC3"/>
        <w:tabs>
          <w:tab w:val="right" w:leader="dot" w:pos="9016"/>
        </w:tabs>
        <w:rPr>
          <w:rFonts w:cstheme="minorBidi"/>
          <w:noProof/>
          <w:lang w:val="en-GB" w:eastAsia="en-GB"/>
        </w:rPr>
      </w:pPr>
      <w:hyperlink w:anchor="_Toc97310486" w:history="1">
        <w:r w:rsidR="00F63169" w:rsidRPr="00670586">
          <w:rPr>
            <w:rStyle w:val="Hyperlink"/>
            <w:noProof/>
          </w:rPr>
          <w:t>7.3.3 Design and Participants</w:t>
        </w:r>
        <w:r w:rsidR="00F63169">
          <w:rPr>
            <w:noProof/>
            <w:webHidden/>
          </w:rPr>
          <w:tab/>
        </w:r>
        <w:r w:rsidR="00F63169">
          <w:rPr>
            <w:noProof/>
            <w:webHidden/>
          </w:rPr>
          <w:fldChar w:fldCharType="begin"/>
        </w:r>
        <w:r w:rsidR="00F63169">
          <w:rPr>
            <w:noProof/>
            <w:webHidden/>
          </w:rPr>
          <w:instrText xml:space="preserve"> PAGEREF _Toc97310486 \h </w:instrText>
        </w:r>
        <w:r w:rsidR="00F63169">
          <w:rPr>
            <w:noProof/>
            <w:webHidden/>
          </w:rPr>
        </w:r>
        <w:r w:rsidR="00F63169">
          <w:rPr>
            <w:noProof/>
            <w:webHidden/>
          </w:rPr>
          <w:fldChar w:fldCharType="separate"/>
        </w:r>
        <w:r w:rsidR="002809AA">
          <w:rPr>
            <w:noProof/>
            <w:webHidden/>
          </w:rPr>
          <w:t>126</w:t>
        </w:r>
        <w:r w:rsidR="00F63169">
          <w:rPr>
            <w:noProof/>
            <w:webHidden/>
          </w:rPr>
          <w:fldChar w:fldCharType="end"/>
        </w:r>
      </w:hyperlink>
    </w:p>
    <w:p w14:paraId="39DF03BE" w14:textId="559A5212" w:rsidR="00F63169" w:rsidRDefault="00322DCE">
      <w:pPr>
        <w:pStyle w:val="TOC3"/>
        <w:tabs>
          <w:tab w:val="right" w:leader="dot" w:pos="9016"/>
        </w:tabs>
        <w:rPr>
          <w:rFonts w:cstheme="minorBidi"/>
          <w:noProof/>
          <w:lang w:val="en-GB" w:eastAsia="en-GB"/>
        </w:rPr>
      </w:pPr>
      <w:hyperlink w:anchor="_Toc97310487" w:history="1">
        <w:r w:rsidR="00F63169" w:rsidRPr="00670586">
          <w:rPr>
            <w:rStyle w:val="Hyperlink"/>
            <w:noProof/>
          </w:rPr>
          <w:t>7.3.4 Analysis</w:t>
        </w:r>
        <w:r w:rsidR="00F63169">
          <w:rPr>
            <w:noProof/>
            <w:webHidden/>
          </w:rPr>
          <w:tab/>
        </w:r>
        <w:r w:rsidR="00F63169">
          <w:rPr>
            <w:noProof/>
            <w:webHidden/>
          </w:rPr>
          <w:fldChar w:fldCharType="begin"/>
        </w:r>
        <w:r w:rsidR="00F63169">
          <w:rPr>
            <w:noProof/>
            <w:webHidden/>
          </w:rPr>
          <w:instrText xml:space="preserve"> PAGEREF _Toc97310487 \h </w:instrText>
        </w:r>
        <w:r w:rsidR="00F63169">
          <w:rPr>
            <w:noProof/>
            <w:webHidden/>
          </w:rPr>
        </w:r>
        <w:r w:rsidR="00F63169">
          <w:rPr>
            <w:noProof/>
            <w:webHidden/>
          </w:rPr>
          <w:fldChar w:fldCharType="separate"/>
        </w:r>
        <w:r w:rsidR="002809AA">
          <w:rPr>
            <w:noProof/>
            <w:webHidden/>
          </w:rPr>
          <w:t>129</w:t>
        </w:r>
        <w:r w:rsidR="00F63169">
          <w:rPr>
            <w:noProof/>
            <w:webHidden/>
          </w:rPr>
          <w:fldChar w:fldCharType="end"/>
        </w:r>
      </w:hyperlink>
    </w:p>
    <w:p w14:paraId="3B9F6631" w14:textId="4B8FE137" w:rsidR="00F63169" w:rsidRDefault="00322DCE">
      <w:pPr>
        <w:pStyle w:val="TOC2"/>
        <w:rPr>
          <w:rFonts w:eastAsiaTheme="minorEastAsia"/>
          <w:noProof/>
          <w:lang w:eastAsia="en-GB"/>
        </w:rPr>
      </w:pPr>
      <w:hyperlink w:anchor="_Toc97310488" w:history="1">
        <w:r w:rsidR="00F63169" w:rsidRPr="00670586">
          <w:rPr>
            <w:rStyle w:val="Hyperlink"/>
            <w:noProof/>
          </w:rPr>
          <w:t>7.4 Results</w:t>
        </w:r>
        <w:r w:rsidR="00F63169">
          <w:rPr>
            <w:noProof/>
            <w:webHidden/>
          </w:rPr>
          <w:tab/>
        </w:r>
        <w:r w:rsidR="00F63169">
          <w:rPr>
            <w:noProof/>
            <w:webHidden/>
          </w:rPr>
          <w:fldChar w:fldCharType="begin"/>
        </w:r>
        <w:r w:rsidR="00F63169">
          <w:rPr>
            <w:noProof/>
            <w:webHidden/>
          </w:rPr>
          <w:instrText xml:space="preserve"> PAGEREF _Toc97310488 \h </w:instrText>
        </w:r>
        <w:r w:rsidR="00F63169">
          <w:rPr>
            <w:noProof/>
            <w:webHidden/>
          </w:rPr>
        </w:r>
        <w:r w:rsidR="00F63169">
          <w:rPr>
            <w:noProof/>
            <w:webHidden/>
          </w:rPr>
          <w:fldChar w:fldCharType="separate"/>
        </w:r>
        <w:r w:rsidR="002809AA">
          <w:rPr>
            <w:noProof/>
            <w:webHidden/>
          </w:rPr>
          <w:t>130</w:t>
        </w:r>
        <w:r w:rsidR="00F63169">
          <w:rPr>
            <w:noProof/>
            <w:webHidden/>
          </w:rPr>
          <w:fldChar w:fldCharType="end"/>
        </w:r>
      </w:hyperlink>
    </w:p>
    <w:p w14:paraId="6D203B4B" w14:textId="6C257C91" w:rsidR="00F63169" w:rsidRDefault="00322DCE">
      <w:pPr>
        <w:pStyle w:val="TOC3"/>
        <w:tabs>
          <w:tab w:val="right" w:leader="dot" w:pos="9016"/>
        </w:tabs>
        <w:rPr>
          <w:rFonts w:cstheme="minorBidi"/>
          <w:noProof/>
          <w:lang w:val="en-GB" w:eastAsia="en-GB"/>
        </w:rPr>
      </w:pPr>
      <w:hyperlink w:anchor="_Toc97310489" w:history="1">
        <w:r w:rsidR="00F63169" w:rsidRPr="00670586">
          <w:rPr>
            <w:rStyle w:val="Hyperlink"/>
            <w:noProof/>
          </w:rPr>
          <w:t>7.4.1 Data screening</w:t>
        </w:r>
        <w:r w:rsidR="00F63169">
          <w:rPr>
            <w:noProof/>
            <w:webHidden/>
          </w:rPr>
          <w:tab/>
        </w:r>
        <w:r w:rsidR="00F63169">
          <w:rPr>
            <w:noProof/>
            <w:webHidden/>
          </w:rPr>
          <w:fldChar w:fldCharType="begin"/>
        </w:r>
        <w:r w:rsidR="00F63169">
          <w:rPr>
            <w:noProof/>
            <w:webHidden/>
          </w:rPr>
          <w:instrText xml:space="preserve"> PAGEREF _Toc97310489 \h </w:instrText>
        </w:r>
        <w:r w:rsidR="00F63169">
          <w:rPr>
            <w:noProof/>
            <w:webHidden/>
          </w:rPr>
        </w:r>
        <w:r w:rsidR="00F63169">
          <w:rPr>
            <w:noProof/>
            <w:webHidden/>
          </w:rPr>
          <w:fldChar w:fldCharType="separate"/>
        </w:r>
        <w:r w:rsidR="002809AA">
          <w:rPr>
            <w:noProof/>
            <w:webHidden/>
          </w:rPr>
          <w:t>130</w:t>
        </w:r>
        <w:r w:rsidR="00F63169">
          <w:rPr>
            <w:noProof/>
            <w:webHidden/>
          </w:rPr>
          <w:fldChar w:fldCharType="end"/>
        </w:r>
      </w:hyperlink>
    </w:p>
    <w:p w14:paraId="088F8FC1" w14:textId="19AFFD60" w:rsidR="00F63169" w:rsidRDefault="00322DCE">
      <w:pPr>
        <w:pStyle w:val="TOC3"/>
        <w:tabs>
          <w:tab w:val="right" w:leader="dot" w:pos="9016"/>
        </w:tabs>
        <w:rPr>
          <w:rFonts w:cstheme="minorBidi"/>
          <w:noProof/>
          <w:lang w:val="en-GB" w:eastAsia="en-GB"/>
        </w:rPr>
      </w:pPr>
      <w:hyperlink w:anchor="_Toc97310490" w:history="1">
        <w:r w:rsidR="00F63169" w:rsidRPr="00670586">
          <w:rPr>
            <w:rStyle w:val="Hyperlink"/>
            <w:noProof/>
          </w:rPr>
          <w:t>7.3.2 Students personal snacking behaviour</w:t>
        </w:r>
        <w:r w:rsidR="00F63169">
          <w:rPr>
            <w:noProof/>
            <w:webHidden/>
          </w:rPr>
          <w:tab/>
        </w:r>
        <w:r w:rsidR="00F63169">
          <w:rPr>
            <w:noProof/>
            <w:webHidden/>
          </w:rPr>
          <w:fldChar w:fldCharType="begin"/>
        </w:r>
        <w:r w:rsidR="00F63169">
          <w:rPr>
            <w:noProof/>
            <w:webHidden/>
          </w:rPr>
          <w:instrText xml:space="preserve"> PAGEREF _Toc97310490 \h </w:instrText>
        </w:r>
        <w:r w:rsidR="00F63169">
          <w:rPr>
            <w:noProof/>
            <w:webHidden/>
          </w:rPr>
        </w:r>
        <w:r w:rsidR="00F63169">
          <w:rPr>
            <w:noProof/>
            <w:webHidden/>
          </w:rPr>
          <w:fldChar w:fldCharType="separate"/>
        </w:r>
        <w:r w:rsidR="002809AA">
          <w:rPr>
            <w:noProof/>
            <w:webHidden/>
          </w:rPr>
          <w:t>131</w:t>
        </w:r>
        <w:r w:rsidR="00F63169">
          <w:rPr>
            <w:noProof/>
            <w:webHidden/>
          </w:rPr>
          <w:fldChar w:fldCharType="end"/>
        </w:r>
      </w:hyperlink>
    </w:p>
    <w:p w14:paraId="068A9AFC" w14:textId="589EB7DE" w:rsidR="00F63169" w:rsidRDefault="00322DCE">
      <w:pPr>
        <w:pStyle w:val="TOC3"/>
        <w:tabs>
          <w:tab w:val="right" w:leader="dot" w:pos="9016"/>
        </w:tabs>
        <w:rPr>
          <w:rFonts w:cstheme="minorBidi"/>
          <w:noProof/>
          <w:lang w:val="en-GB" w:eastAsia="en-GB"/>
        </w:rPr>
      </w:pPr>
      <w:hyperlink w:anchor="_Toc97310491" w:history="1">
        <w:r w:rsidR="00F63169" w:rsidRPr="00670586">
          <w:rPr>
            <w:rStyle w:val="Hyperlink"/>
            <w:noProof/>
          </w:rPr>
          <w:t>7.4.3 Differences between males and females</w:t>
        </w:r>
        <w:r w:rsidR="00F63169">
          <w:rPr>
            <w:noProof/>
            <w:webHidden/>
          </w:rPr>
          <w:tab/>
        </w:r>
        <w:r w:rsidR="00F63169">
          <w:rPr>
            <w:noProof/>
            <w:webHidden/>
          </w:rPr>
          <w:fldChar w:fldCharType="begin"/>
        </w:r>
        <w:r w:rsidR="00F63169">
          <w:rPr>
            <w:noProof/>
            <w:webHidden/>
          </w:rPr>
          <w:instrText xml:space="preserve"> PAGEREF _Toc97310491 \h </w:instrText>
        </w:r>
        <w:r w:rsidR="00F63169">
          <w:rPr>
            <w:noProof/>
            <w:webHidden/>
          </w:rPr>
        </w:r>
        <w:r w:rsidR="00F63169">
          <w:rPr>
            <w:noProof/>
            <w:webHidden/>
          </w:rPr>
          <w:fldChar w:fldCharType="separate"/>
        </w:r>
        <w:r w:rsidR="002809AA">
          <w:rPr>
            <w:noProof/>
            <w:webHidden/>
          </w:rPr>
          <w:t>132</w:t>
        </w:r>
        <w:r w:rsidR="00F63169">
          <w:rPr>
            <w:noProof/>
            <w:webHidden/>
          </w:rPr>
          <w:fldChar w:fldCharType="end"/>
        </w:r>
      </w:hyperlink>
    </w:p>
    <w:p w14:paraId="0E686E0C" w14:textId="1623649F" w:rsidR="00F63169" w:rsidRDefault="00322DCE">
      <w:pPr>
        <w:pStyle w:val="TOC3"/>
        <w:tabs>
          <w:tab w:val="right" w:leader="dot" w:pos="9016"/>
        </w:tabs>
        <w:rPr>
          <w:rFonts w:cstheme="minorBidi"/>
          <w:noProof/>
          <w:lang w:val="en-GB" w:eastAsia="en-GB"/>
        </w:rPr>
      </w:pPr>
      <w:hyperlink w:anchor="_Toc97310492" w:history="1">
        <w:r w:rsidR="00F63169" w:rsidRPr="00670586">
          <w:rPr>
            <w:rStyle w:val="Hyperlink"/>
            <w:noProof/>
          </w:rPr>
          <w:t>7.4.4 Students’ normative perceptions about unhealthy snacking</w:t>
        </w:r>
        <w:r w:rsidR="00F63169">
          <w:rPr>
            <w:noProof/>
            <w:webHidden/>
          </w:rPr>
          <w:tab/>
        </w:r>
        <w:r w:rsidR="00F63169">
          <w:rPr>
            <w:noProof/>
            <w:webHidden/>
          </w:rPr>
          <w:fldChar w:fldCharType="begin"/>
        </w:r>
        <w:r w:rsidR="00F63169">
          <w:rPr>
            <w:noProof/>
            <w:webHidden/>
          </w:rPr>
          <w:instrText xml:space="preserve"> PAGEREF _Toc97310492 \h </w:instrText>
        </w:r>
        <w:r w:rsidR="00F63169">
          <w:rPr>
            <w:noProof/>
            <w:webHidden/>
          </w:rPr>
        </w:r>
        <w:r w:rsidR="00F63169">
          <w:rPr>
            <w:noProof/>
            <w:webHidden/>
          </w:rPr>
          <w:fldChar w:fldCharType="separate"/>
        </w:r>
        <w:r w:rsidR="002809AA">
          <w:rPr>
            <w:noProof/>
            <w:webHidden/>
          </w:rPr>
          <w:t>132</w:t>
        </w:r>
        <w:r w:rsidR="00F63169">
          <w:rPr>
            <w:noProof/>
            <w:webHidden/>
          </w:rPr>
          <w:fldChar w:fldCharType="end"/>
        </w:r>
      </w:hyperlink>
    </w:p>
    <w:p w14:paraId="57527430" w14:textId="76830DB1" w:rsidR="00F63169" w:rsidRDefault="00322DCE">
      <w:pPr>
        <w:pStyle w:val="TOC3"/>
        <w:tabs>
          <w:tab w:val="right" w:leader="dot" w:pos="9016"/>
        </w:tabs>
        <w:rPr>
          <w:rFonts w:cstheme="minorBidi"/>
          <w:noProof/>
          <w:lang w:val="en-GB" w:eastAsia="en-GB"/>
        </w:rPr>
      </w:pPr>
      <w:hyperlink w:anchor="_Toc97310493" w:history="1">
        <w:r w:rsidR="00F63169" w:rsidRPr="00670586">
          <w:rPr>
            <w:rStyle w:val="Hyperlink"/>
            <w:noProof/>
          </w:rPr>
          <w:t>7.4.5 Regression analyses</w:t>
        </w:r>
        <w:r w:rsidR="00F63169">
          <w:rPr>
            <w:noProof/>
            <w:webHidden/>
          </w:rPr>
          <w:tab/>
        </w:r>
        <w:r w:rsidR="00F63169">
          <w:rPr>
            <w:noProof/>
            <w:webHidden/>
          </w:rPr>
          <w:fldChar w:fldCharType="begin"/>
        </w:r>
        <w:r w:rsidR="00F63169">
          <w:rPr>
            <w:noProof/>
            <w:webHidden/>
          </w:rPr>
          <w:instrText xml:space="preserve"> PAGEREF _Toc97310493 \h </w:instrText>
        </w:r>
        <w:r w:rsidR="00F63169">
          <w:rPr>
            <w:noProof/>
            <w:webHidden/>
          </w:rPr>
        </w:r>
        <w:r w:rsidR="00F63169">
          <w:rPr>
            <w:noProof/>
            <w:webHidden/>
          </w:rPr>
          <w:fldChar w:fldCharType="separate"/>
        </w:r>
        <w:r w:rsidR="002809AA">
          <w:rPr>
            <w:noProof/>
            <w:webHidden/>
          </w:rPr>
          <w:t>134</w:t>
        </w:r>
        <w:r w:rsidR="00F63169">
          <w:rPr>
            <w:noProof/>
            <w:webHidden/>
          </w:rPr>
          <w:fldChar w:fldCharType="end"/>
        </w:r>
      </w:hyperlink>
    </w:p>
    <w:p w14:paraId="11402743" w14:textId="1542E203" w:rsidR="00F63169" w:rsidRDefault="00322DCE">
      <w:pPr>
        <w:pStyle w:val="TOC2"/>
        <w:rPr>
          <w:rFonts w:eastAsiaTheme="minorEastAsia"/>
          <w:noProof/>
          <w:lang w:eastAsia="en-GB"/>
        </w:rPr>
      </w:pPr>
      <w:hyperlink w:anchor="_Toc97310494" w:history="1">
        <w:r w:rsidR="00F63169" w:rsidRPr="00670586">
          <w:rPr>
            <w:rStyle w:val="Hyperlink"/>
            <w:noProof/>
          </w:rPr>
          <w:t>7.5 Discussion</w:t>
        </w:r>
        <w:r w:rsidR="00F63169">
          <w:rPr>
            <w:noProof/>
            <w:webHidden/>
          </w:rPr>
          <w:tab/>
        </w:r>
        <w:r w:rsidR="00F63169">
          <w:rPr>
            <w:noProof/>
            <w:webHidden/>
          </w:rPr>
          <w:fldChar w:fldCharType="begin"/>
        </w:r>
        <w:r w:rsidR="00F63169">
          <w:rPr>
            <w:noProof/>
            <w:webHidden/>
          </w:rPr>
          <w:instrText xml:space="preserve"> PAGEREF _Toc97310494 \h </w:instrText>
        </w:r>
        <w:r w:rsidR="00F63169">
          <w:rPr>
            <w:noProof/>
            <w:webHidden/>
          </w:rPr>
        </w:r>
        <w:r w:rsidR="00F63169">
          <w:rPr>
            <w:noProof/>
            <w:webHidden/>
          </w:rPr>
          <w:fldChar w:fldCharType="separate"/>
        </w:r>
        <w:r w:rsidR="002809AA">
          <w:rPr>
            <w:noProof/>
            <w:webHidden/>
          </w:rPr>
          <w:t>138</w:t>
        </w:r>
        <w:r w:rsidR="00F63169">
          <w:rPr>
            <w:noProof/>
            <w:webHidden/>
          </w:rPr>
          <w:fldChar w:fldCharType="end"/>
        </w:r>
      </w:hyperlink>
    </w:p>
    <w:p w14:paraId="652EF64D" w14:textId="30FCE54A" w:rsidR="00F63169" w:rsidRDefault="00322DCE">
      <w:pPr>
        <w:pStyle w:val="TOC3"/>
        <w:tabs>
          <w:tab w:val="right" w:leader="dot" w:pos="9016"/>
        </w:tabs>
        <w:rPr>
          <w:rFonts w:cstheme="minorBidi"/>
          <w:noProof/>
          <w:lang w:val="en-GB" w:eastAsia="en-GB"/>
        </w:rPr>
      </w:pPr>
      <w:hyperlink w:anchor="_Toc97310495" w:history="1">
        <w:r w:rsidR="00F63169" w:rsidRPr="00670586">
          <w:rPr>
            <w:rStyle w:val="Hyperlink"/>
            <w:noProof/>
          </w:rPr>
          <w:t>7.5.1 Strengths and Limitations</w:t>
        </w:r>
        <w:r w:rsidR="00F63169">
          <w:rPr>
            <w:noProof/>
            <w:webHidden/>
          </w:rPr>
          <w:tab/>
        </w:r>
        <w:r w:rsidR="00F63169">
          <w:rPr>
            <w:noProof/>
            <w:webHidden/>
          </w:rPr>
          <w:fldChar w:fldCharType="begin"/>
        </w:r>
        <w:r w:rsidR="00F63169">
          <w:rPr>
            <w:noProof/>
            <w:webHidden/>
          </w:rPr>
          <w:instrText xml:space="preserve"> PAGEREF _Toc97310495 \h </w:instrText>
        </w:r>
        <w:r w:rsidR="00F63169">
          <w:rPr>
            <w:noProof/>
            <w:webHidden/>
          </w:rPr>
        </w:r>
        <w:r w:rsidR="00F63169">
          <w:rPr>
            <w:noProof/>
            <w:webHidden/>
          </w:rPr>
          <w:fldChar w:fldCharType="separate"/>
        </w:r>
        <w:r w:rsidR="002809AA">
          <w:rPr>
            <w:noProof/>
            <w:webHidden/>
          </w:rPr>
          <w:t>141</w:t>
        </w:r>
        <w:r w:rsidR="00F63169">
          <w:rPr>
            <w:noProof/>
            <w:webHidden/>
          </w:rPr>
          <w:fldChar w:fldCharType="end"/>
        </w:r>
      </w:hyperlink>
    </w:p>
    <w:p w14:paraId="55ABD451" w14:textId="424BB6F8" w:rsidR="00F63169" w:rsidRDefault="00322DCE">
      <w:pPr>
        <w:pStyle w:val="TOC3"/>
        <w:tabs>
          <w:tab w:val="right" w:leader="dot" w:pos="9016"/>
        </w:tabs>
        <w:rPr>
          <w:rFonts w:cstheme="minorBidi"/>
          <w:noProof/>
          <w:lang w:val="en-GB" w:eastAsia="en-GB"/>
        </w:rPr>
      </w:pPr>
      <w:hyperlink w:anchor="_Toc97310496" w:history="1">
        <w:r w:rsidR="00F63169" w:rsidRPr="00670586">
          <w:rPr>
            <w:rStyle w:val="Hyperlink"/>
            <w:noProof/>
          </w:rPr>
          <w:t>7.5.2 Conclusion</w:t>
        </w:r>
        <w:r w:rsidR="00F63169">
          <w:rPr>
            <w:noProof/>
            <w:webHidden/>
          </w:rPr>
          <w:tab/>
        </w:r>
        <w:r w:rsidR="00F63169">
          <w:rPr>
            <w:noProof/>
            <w:webHidden/>
          </w:rPr>
          <w:fldChar w:fldCharType="begin"/>
        </w:r>
        <w:r w:rsidR="00F63169">
          <w:rPr>
            <w:noProof/>
            <w:webHidden/>
          </w:rPr>
          <w:instrText xml:space="preserve"> PAGEREF _Toc97310496 \h </w:instrText>
        </w:r>
        <w:r w:rsidR="00F63169">
          <w:rPr>
            <w:noProof/>
            <w:webHidden/>
          </w:rPr>
        </w:r>
        <w:r w:rsidR="00F63169">
          <w:rPr>
            <w:noProof/>
            <w:webHidden/>
          </w:rPr>
          <w:fldChar w:fldCharType="separate"/>
        </w:r>
        <w:r w:rsidR="002809AA">
          <w:rPr>
            <w:noProof/>
            <w:webHidden/>
          </w:rPr>
          <w:t>142</w:t>
        </w:r>
        <w:r w:rsidR="00F63169">
          <w:rPr>
            <w:noProof/>
            <w:webHidden/>
          </w:rPr>
          <w:fldChar w:fldCharType="end"/>
        </w:r>
      </w:hyperlink>
    </w:p>
    <w:p w14:paraId="3BFD1A4B" w14:textId="624E8534" w:rsidR="00F63169" w:rsidRDefault="00322DCE">
      <w:pPr>
        <w:pStyle w:val="TOC1"/>
        <w:tabs>
          <w:tab w:val="right" w:leader="dot" w:pos="9016"/>
        </w:tabs>
        <w:rPr>
          <w:rFonts w:cstheme="minorBidi"/>
          <w:noProof/>
          <w:lang w:val="en-GB" w:eastAsia="en-GB"/>
        </w:rPr>
      </w:pPr>
      <w:hyperlink r:id="rId19" w:anchor="_Toc97310497" w:history="1">
        <w:r w:rsidR="00F63169" w:rsidRPr="00670586">
          <w:rPr>
            <w:rStyle w:val="Hyperlink"/>
            <w:b/>
            <w:bCs/>
            <w:noProof/>
          </w:rPr>
          <w:t>Chapter 8. An in-school Social Norms Approach intervention for reducing unhealthy snacking behaviours amongst 11- to 12-year-olds</w:t>
        </w:r>
        <w:r w:rsidR="00F63169">
          <w:rPr>
            <w:noProof/>
            <w:webHidden/>
          </w:rPr>
          <w:tab/>
        </w:r>
        <w:r w:rsidR="00F63169">
          <w:rPr>
            <w:noProof/>
            <w:webHidden/>
          </w:rPr>
          <w:fldChar w:fldCharType="begin"/>
        </w:r>
        <w:r w:rsidR="00F63169">
          <w:rPr>
            <w:noProof/>
            <w:webHidden/>
          </w:rPr>
          <w:instrText xml:space="preserve"> PAGEREF _Toc97310497 \h </w:instrText>
        </w:r>
        <w:r w:rsidR="00F63169">
          <w:rPr>
            <w:noProof/>
            <w:webHidden/>
          </w:rPr>
        </w:r>
        <w:r w:rsidR="00F63169">
          <w:rPr>
            <w:noProof/>
            <w:webHidden/>
          </w:rPr>
          <w:fldChar w:fldCharType="separate"/>
        </w:r>
        <w:r w:rsidR="002809AA">
          <w:rPr>
            <w:noProof/>
            <w:webHidden/>
          </w:rPr>
          <w:t>143</w:t>
        </w:r>
        <w:r w:rsidR="00F63169">
          <w:rPr>
            <w:noProof/>
            <w:webHidden/>
          </w:rPr>
          <w:fldChar w:fldCharType="end"/>
        </w:r>
      </w:hyperlink>
    </w:p>
    <w:p w14:paraId="77E6742D" w14:textId="40D0D99F" w:rsidR="00F63169" w:rsidRDefault="00322DCE">
      <w:pPr>
        <w:pStyle w:val="TOC2"/>
        <w:rPr>
          <w:rFonts w:eastAsiaTheme="minorEastAsia"/>
          <w:noProof/>
          <w:lang w:eastAsia="en-GB"/>
        </w:rPr>
      </w:pPr>
      <w:hyperlink w:anchor="_Toc97310498" w:history="1">
        <w:r w:rsidR="00F63169" w:rsidRPr="00670586">
          <w:rPr>
            <w:rStyle w:val="Hyperlink"/>
            <w:noProof/>
          </w:rPr>
          <w:t>8.1 Chapter overview</w:t>
        </w:r>
        <w:r w:rsidR="00F63169">
          <w:rPr>
            <w:noProof/>
            <w:webHidden/>
          </w:rPr>
          <w:tab/>
        </w:r>
        <w:r w:rsidR="00F63169">
          <w:rPr>
            <w:noProof/>
            <w:webHidden/>
          </w:rPr>
          <w:fldChar w:fldCharType="begin"/>
        </w:r>
        <w:r w:rsidR="00F63169">
          <w:rPr>
            <w:noProof/>
            <w:webHidden/>
          </w:rPr>
          <w:instrText xml:space="preserve"> PAGEREF _Toc97310498 \h </w:instrText>
        </w:r>
        <w:r w:rsidR="00F63169">
          <w:rPr>
            <w:noProof/>
            <w:webHidden/>
          </w:rPr>
        </w:r>
        <w:r w:rsidR="00F63169">
          <w:rPr>
            <w:noProof/>
            <w:webHidden/>
          </w:rPr>
          <w:fldChar w:fldCharType="separate"/>
        </w:r>
        <w:r w:rsidR="002809AA">
          <w:rPr>
            <w:noProof/>
            <w:webHidden/>
          </w:rPr>
          <w:t>144</w:t>
        </w:r>
        <w:r w:rsidR="00F63169">
          <w:rPr>
            <w:noProof/>
            <w:webHidden/>
          </w:rPr>
          <w:fldChar w:fldCharType="end"/>
        </w:r>
      </w:hyperlink>
    </w:p>
    <w:p w14:paraId="5F03E6BF" w14:textId="731DC1B3" w:rsidR="00F63169" w:rsidRDefault="00322DCE">
      <w:pPr>
        <w:pStyle w:val="TOC2"/>
        <w:rPr>
          <w:rFonts w:eastAsiaTheme="minorEastAsia"/>
          <w:noProof/>
          <w:lang w:eastAsia="en-GB"/>
        </w:rPr>
      </w:pPr>
      <w:hyperlink w:anchor="_Toc97310499" w:history="1">
        <w:r w:rsidR="00F63169" w:rsidRPr="00670586">
          <w:rPr>
            <w:rStyle w:val="Hyperlink"/>
            <w:noProof/>
          </w:rPr>
          <w:t>8.2 Introduction</w:t>
        </w:r>
        <w:r w:rsidR="00F63169">
          <w:rPr>
            <w:noProof/>
            <w:webHidden/>
          </w:rPr>
          <w:tab/>
        </w:r>
        <w:r w:rsidR="00F63169">
          <w:rPr>
            <w:noProof/>
            <w:webHidden/>
          </w:rPr>
          <w:fldChar w:fldCharType="begin"/>
        </w:r>
        <w:r w:rsidR="00F63169">
          <w:rPr>
            <w:noProof/>
            <w:webHidden/>
          </w:rPr>
          <w:instrText xml:space="preserve"> PAGEREF _Toc97310499 \h </w:instrText>
        </w:r>
        <w:r w:rsidR="00F63169">
          <w:rPr>
            <w:noProof/>
            <w:webHidden/>
          </w:rPr>
        </w:r>
        <w:r w:rsidR="00F63169">
          <w:rPr>
            <w:noProof/>
            <w:webHidden/>
          </w:rPr>
          <w:fldChar w:fldCharType="separate"/>
        </w:r>
        <w:r w:rsidR="002809AA">
          <w:rPr>
            <w:noProof/>
            <w:webHidden/>
          </w:rPr>
          <w:t>144</w:t>
        </w:r>
        <w:r w:rsidR="00F63169">
          <w:rPr>
            <w:noProof/>
            <w:webHidden/>
          </w:rPr>
          <w:fldChar w:fldCharType="end"/>
        </w:r>
      </w:hyperlink>
    </w:p>
    <w:p w14:paraId="33B805BA" w14:textId="4185E49F" w:rsidR="00F63169" w:rsidRDefault="00322DCE">
      <w:pPr>
        <w:pStyle w:val="TOC2"/>
        <w:rPr>
          <w:rFonts w:eastAsiaTheme="minorEastAsia"/>
          <w:noProof/>
          <w:lang w:eastAsia="en-GB"/>
        </w:rPr>
      </w:pPr>
      <w:hyperlink w:anchor="_Toc97310500" w:history="1">
        <w:r w:rsidR="00F63169" w:rsidRPr="00670586">
          <w:rPr>
            <w:rStyle w:val="Hyperlink"/>
            <w:noProof/>
          </w:rPr>
          <w:t>8.3 Methods</w:t>
        </w:r>
        <w:r w:rsidR="00F63169">
          <w:rPr>
            <w:noProof/>
            <w:webHidden/>
          </w:rPr>
          <w:tab/>
        </w:r>
        <w:r w:rsidR="00F63169">
          <w:rPr>
            <w:noProof/>
            <w:webHidden/>
          </w:rPr>
          <w:fldChar w:fldCharType="begin"/>
        </w:r>
        <w:r w:rsidR="00F63169">
          <w:rPr>
            <w:noProof/>
            <w:webHidden/>
          </w:rPr>
          <w:instrText xml:space="preserve"> PAGEREF _Toc97310500 \h </w:instrText>
        </w:r>
        <w:r w:rsidR="00F63169">
          <w:rPr>
            <w:noProof/>
            <w:webHidden/>
          </w:rPr>
        </w:r>
        <w:r w:rsidR="00F63169">
          <w:rPr>
            <w:noProof/>
            <w:webHidden/>
          </w:rPr>
          <w:fldChar w:fldCharType="separate"/>
        </w:r>
        <w:r w:rsidR="002809AA">
          <w:rPr>
            <w:noProof/>
            <w:webHidden/>
          </w:rPr>
          <w:t>147</w:t>
        </w:r>
        <w:r w:rsidR="00F63169">
          <w:rPr>
            <w:noProof/>
            <w:webHidden/>
          </w:rPr>
          <w:fldChar w:fldCharType="end"/>
        </w:r>
      </w:hyperlink>
    </w:p>
    <w:p w14:paraId="35C09054" w14:textId="2591F090" w:rsidR="00F63169" w:rsidRDefault="00322DCE">
      <w:pPr>
        <w:pStyle w:val="TOC3"/>
        <w:tabs>
          <w:tab w:val="right" w:leader="dot" w:pos="9016"/>
        </w:tabs>
        <w:rPr>
          <w:rFonts w:cstheme="minorBidi"/>
          <w:noProof/>
          <w:lang w:val="en-GB" w:eastAsia="en-GB"/>
        </w:rPr>
      </w:pPr>
      <w:hyperlink w:anchor="_Toc97310501" w:history="1">
        <w:r w:rsidR="00F63169" w:rsidRPr="00670586">
          <w:rPr>
            <w:rStyle w:val="Hyperlink"/>
            <w:noProof/>
          </w:rPr>
          <w:t>8.3.1 Design and Participants</w:t>
        </w:r>
        <w:r w:rsidR="00F63169">
          <w:rPr>
            <w:noProof/>
            <w:webHidden/>
          </w:rPr>
          <w:tab/>
        </w:r>
        <w:r w:rsidR="00F63169">
          <w:rPr>
            <w:noProof/>
            <w:webHidden/>
          </w:rPr>
          <w:fldChar w:fldCharType="begin"/>
        </w:r>
        <w:r w:rsidR="00F63169">
          <w:rPr>
            <w:noProof/>
            <w:webHidden/>
          </w:rPr>
          <w:instrText xml:space="preserve"> PAGEREF _Toc97310501 \h </w:instrText>
        </w:r>
        <w:r w:rsidR="00F63169">
          <w:rPr>
            <w:noProof/>
            <w:webHidden/>
          </w:rPr>
        </w:r>
        <w:r w:rsidR="00F63169">
          <w:rPr>
            <w:noProof/>
            <w:webHidden/>
          </w:rPr>
          <w:fldChar w:fldCharType="separate"/>
        </w:r>
        <w:r w:rsidR="002809AA">
          <w:rPr>
            <w:noProof/>
            <w:webHidden/>
          </w:rPr>
          <w:t>147</w:t>
        </w:r>
        <w:r w:rsidR="00F63169">
          <w:rPr>
            <w:noProof/>
            <w:webHidden/>
          </w:rPr>
          <w:fldChar w:fldCharType="end"/>
        </w:r>
      </w:hyperlink>
    </w:p>
    <w:p w14:paraId="376DC59A" w14:textId="5456A66A" w:rsidR="00F63169" w:rsidRDefault="00322DCE">
      <w:pPr>
        <w:pStyle w:val="TOC3"/>
        <w:tabs>
          <w:tab w:val="right" w:leader="dot" w:pos="9016"/>
        </w:tabs>
        <w:rPr>
          <w:rFonts w:cstheme="minorBidi"/>
          <w:noProof/>
          <w:lang w:val="en-GB" w:eastAsia="en-GB"/>
        </w:rPr>
      </w:pPr>
      <w:hyperlink w:anchor="_Toc97310502" w:history="1">
        <w:r w:rsidR="00F63169" w:rsidRPr="00670586">
          <w:rPr>
            <w:rStyle w:val="Hyperlink"/>
            <w:noProof/>
          </w:rPr>
          <w:t>8.3.2 Measures</w:t>
        </w:r>
        <w:r w:rsidR="00F63169">
          <w:rPr>
            <w:noProof/>
            <w:webHidden/>
          </w:rPr>
          <w:tab/>
        </w:r>
        <w:r w:rsidR="00F63169">
          <w:rPr>
            <w:noProof/>
            <w:webHidden/>
          </w:rPr>
          <w:fldChar w:fldCharType="begin"/>
        </w:r>
        <w:r w:rsidR="00F63169">
          <w:rPr>
            <w:noProof/>
            <w:webHidden/>
          </w:rPr>
          <w:instrText xml:space="preserve"> PAGEREF _Toc97310502 \h </w:instrText>
        </w:r>
        <w:r w:rsidR="00F63169">
          <w:rPr>
            <w:noProof/>
            <w:webHidden/>
          </w:rPr>
        </w:r>
        <w:r w:rsidR="00F63169">
          <w:rPr>
            <w:noProof/>
            <w:webHidden/>
          </w:rPr>
          <w:fldChar w:fldCharType="separate"/>
        </w:r>
        <w:r w:rsidR="002809AA">
          <w:rPr>
            <w:noProof/>
            <w:webHidden/>
          </w:rPr>
          <w:t>148</w:t>
        </w:r>
        <w:r w:rsidR="00F63169">
          <w:rPr>
            <w:noProof/>
            <w:webHidden/>
          </w:rPr>
          <w:fldChar w:fldCharType="end"/>
        </w:r>
      </w:hyperlink>
    </w:p>
    <w:p w14:paraId="09426BAE" w14:textId="140085D5" w:rsidR="00F63169" w:rsidRDefault="00322DCE">
      <w:pPr>
        <w:pStyle w:val="TOC3"/>
        <w:tabs>
          <w:tab w:val="right" w:leader="dot" w:pos="9016"/>
        </w:tabs>
        <w:rPr>
          <w:rFonts w:cstheme="minorBidi"/>
          <w:noProof/>
          <w:lang w:val="en-GB" w:eastAsia="en-GB"/>
        </w:rPr>
      </w:pPr>
      <w:hyperlink w:anchor="_Toc97310503" w:history="1">
        <w:r w:rsidR="00F63169" w:rsidRPr="00670586">
          <w:rPr>
            <w:rStyle w:val="Hyperlink"/>
            <w:noProof/>
          </w:rPr>
          <w:t>8.3.3 Procedure</w:t>
        </w:r>
        <w:r w:rsidR="00F63169">
          <w:rPr>
            <w:noProof/>
            <w:webHidden/>
          </w:rPr>
          <w:tab/>
        </w:r>
        <w:r w:rsidR="00F63169">
          <w:rPr>
            <w:noProof/>
            <w:webHidden/>
          </w:rPr>
          <w:fldChar w:fldCharType="begin"/>
        </w:r>
        <w:r w:rsidR="00F63169">
          <w:rPr>
            <w:noProof/>
            <w:webHidden/>
          </w:rPr>
          <w:instrText xml:space="preserve"> PAGEREF _Toc97310503 \h </w:instrText>
        </w:r>
        <w:r w:rsidR="00F63169">
          <w:rPr>
            <w:noProof/>
            <w:webHidden/>
          </w:rPr>
        </w:r>
        <w:r w:rsidR="00F63169">
          <w:rPr>
            <w:noProof/>
            <w:webHidden/>
          </w:rPr>
          <w:fldChar w:fldCharType="separate"/>
        </w:r>
        <w:r w:rsidR="002809AA">
          <w:rPr>
            <w:noProof/>
            <w:webHidden/>
          </w:rPr>
          <w:t>151</w:t>
        </w:r>
        <w:r w:rsidR="00F63169">
          <w:rPr>
            <w:noProof/>
            <w:webHidden/>
          </w:rPr>
          <w:fldChar w:fldCharType="end"/>
        </w:r>
      </w:hyperlink>
    </w:p>
    <w:p w14:paraId="5429B7AB" w14:textId="3084EE2E" w:rsidR="00F63169" w:rsidRDefault="00322DCE">
      <w:pPr>
        <w:pStyle w:val="TOC3"/>
        <w:tabs>
          <w:tab w:val="right" w:leader="dot" w:pos="9016"/>
        </w:tabs>
        <w:rPr>
          <w:rFonts w:cstheme="minorBidi"/>
          <w:noProof/>
          <w:lang w:val="en-GB" w:eastAsia="en-GB"/>
        </w:rPr>
      </w:pPr>
      <w:hyperlink w:anchor="_Toc97310504" w:history="1">
        <w:r w:rsidR="00F63169" w:rsidRPr="00670586">
          <w:rPr>
            <w:rStyle w:val="Hyperlink"/>
            <w:noProof/>
          </w:rPr>
          <w:t>8.3.4 Analysis plan</w:t>
        </w:r>
        <w:r w:rsidR="00F63169">
          <w:rPr>
            <w:noProof/>
            <w:webHidden/>
          </w:rPr>
          <w:tab/>
        </w:r>
        <w:r w:rsidR="00F63169">
          <w:rPr>
            <w:noProof/>
            <w:webHidden/>
          </w:rPr>
          <w:fldChar w:fldCharType="begin"/>
        </w:r>
        <w:r w:rsidR="00F63169">
          <w:rPr>
            <w:noProof/>
            <w:webHidden/>
          </w:rPr>
          <w:instrText xml:space="preserve"> PAGEREF _Toc97310504 \h </w:instrText>
        </w:r>
        <w:r w:rsidR="00F63169">
          <w:rPr>
            <w:noProof/>
            <w:webHidden/>
          </w:rPr>
        </w:r>
        <w:r w:rsidR="00F63169">
          <w:rPr>
            <w:noProof/>
            <w:webHidden/>
          </w:rPr>
          <w:fldChar w:fldCharType="separate"/>
        </w:r>
        <w:r w:rsidR="002809AA">
          <w:rPr>
            <w:noProof/>
            <w:webHidden/>
          </w:rPr>
          <w:t>153</w:t>
        </w:r>
        <w:r w:rsidR="00F63169">
          <w:rPr>
            <w:noProof/>
            <w:webHidden/>
          </w:rPr>
          <w:fldChar w:fldCharType="end"/>
        </w:r>
      </w:hyperlink>
    </w:p>
    <w:p w14:paraId="5F780392" w14:textId="5E39BA47" w:rsidR="00F63169" w:rsidRDefault="00322DCE">
      <w:pPr>
        <w:pStyle w:val="TOC2"/>
        <w:rPr>
          <w:rFonts w:eastAsiaTheme="minorEastAsia"/>
          <w:noProof/>
          <w:lang w:eastAsia="en-GB"/>
        </w:rPr>
      </w:pPr>
      <w:hyperlink w:anchor="_Toc97310505" w:history="1">
        <w:r w:rsidR="00F63169" w:rsidRPr="00670586">
          <w:rPr>
            <w:rStyle w:val="Hyperlink"/>
            <w:noProof/>
          </w:rPr>
          <w:t>8.4 Result</w:t>
        </w:r>
        <w:r w:rsidR="00F63169">
          <w:rPr>
            <w:noProof/>
            <w:webHidden/>
          </w:rPr>
          <w:tab/>
        </w:r>
        <w:r w:rsidR="00F63169">
          <w:rPr>
            <w:noProof/>
            <w:webHidden/>
          </w:rPr>
          <w:fldChar w:fldCharType="begin"/>
        </w:r>
        <w:r w:rsidR="00F63169">
          <w:rPr>
            <w:noProof/>
            <w:webHidden/>
          </w:rPr>
          <w:instrText xml:space="preserve"> PAGEREF _Toc97310505 \h </w:instrText>
        </w:r>
        <w:r w:rsidR="00F63169">
          <w:rPr>
            <w:noProof/>
            <w:webHidden/>
          </w:rPr>
        </w:r>
        <w:r w:rsidR="00F63169">
          <w:rPr>
            <w:noProof/>
            <w:webHidden/>
          </w:rPr>
          <w:fldChar w:fldCharType="separate"/>
        </w:r>
        <w:r w:rsidR="002809AA">
          <w:rPr>
            <w:noProof/>
            <w:webHidden/>
          </w:rPr>
          <w:t>154</w:t>
        </w:r>
        <w:r w:rsidR="00F63169">
          <w:rPr>
            <w:noProof/>
            <w:webHidden/>
          </w:rPr>
          <w:fldChar w:fldCharType="end"/>
        </w:r>
      </w:hyperlink>
    </w:p>
    <w:p w14:paraId="1A2DD9D3" w14:textId="32917780" w:rsidR="00F63169" w:rsidRDefault="00322DCE">
      <w:pPr>
        <w:pStyle w:val="TOC3"/>
        <w:tabs>
          <w:tab w:val="right" w:leader="dot" w:pos="9016"/>
        </w:tabs>
        <w:rPr>
          <w:rFonts w:cstheme="minorBidi"/>
          <w:noProof/>
          <w:lang w:val="en-GB" w:eastAsia="en-GB"/>
        </w:rPr>
      </w:pPr>
      <w:hyperlink w:anchor="_Toc97310506" w:history="1">
        <w:r w:rsidR="00F63169" w:rsidRPr="00670586">
          <w:rPr>
            <w:rStyle w:val="Hyperlink"/>
            <w:noProof/>
          </w:rPr>
          <w:t>8.4.1 Data screening</w:t>
        </w:r>
        <w:r w:rsidR="00F63169">
          <w:rPr>
            <w:noProof/>
            <w:webHidden/>
          </w:rPr>
          <w:tab/>
        </w:r>
        <w:r w:rsidR="00F63169">
          <w:rPr>
            <w:noProof/>
            <w:webHidden/>
          </w:rPr>
          <w:fldChar w:fldCharType="begin"/>
        </w:r>
        <w:r w:rsidR="00F63169">
          <w:rPr>
            <w:noProof/>
            <w:webHidden/>
          </w:rPr>
          <w:instrText xml:space="preserve"> PAGEREF _Toc97310506 \h </w:instrText>
        </w:r>
        <w:r w:rsidR="00F63169">
          <w:rPr>
            <w:noProof/>
            <w:webHidden/>
          </w:rPr>
        </w:r>
        <w:r w:rsidR="00F63169">
          <w:rPr>
            <w:noProof/>
            <w:webHidden/>
          </w:rPr>
          <w:fldChar w:fldCharType="separate"/>
        </w:r>
        <w:r w:rsidR="002809AA">
          <w:rPr>
            <w:noProof/>
            <w:webHidden/>
          </w:rPr>
          <w:t>154</w:t>
        </w:r>
        <w:r w:rsidR="00F63169">
          <w:rPr>
            <w:noProof/>
            <w:webHidden/>
          </w:rPr>
          <w:fldChar w:fldCharType="end"/>
        </w:r>
      </w:hyperlink>
    </w:p>
    <w:p w14:paraId="6C0A28B3" w14:textId="14BE2E3D" w:rsidR="00F63169" w:rsidRDefault="00322DCE">
      <w:pPr>
        <w:pStyle w:val="TOC3"/>
        <w:tabs>
          <w:tab w:val="right" w:leader="dot" w:pos="9016"/>
        </w:tabs>
        <w:rPr>
          <w:rFonts w:cstheme="minorBidi"/>
          <w:noProof/>
          <w:lang w:val="en-GB" w:eastAsia="en-GB"/>
        </w:rPr>
      </w:pPr>
      <w:hyperlink w:anchor="_Toc97310507" w:history="1">
        <w:r w:rsidR="00F63169" w:rsidRPr="00670586">
          <w:rPr>
            <w:rStyle w:val="Hyperlink"/>
            <w:noProof/>
          </w:rPr>
          <w:t>8.4.2 Baseline differences</w:t>
        </w:r>
        <w:r w:rsidR="00F63169">
          <w:rPr>
            <w:noProof/>
            <w:webHidden/>
          </w:rPr>
          <w:tab/>
        </w:r>
        <w:r w:rsidR="00F63169">
          <w:rPr>
            <w:noProof/>
            <w:webHidden/>
          </w:rPr>
          <w:fldChar w:fldCharType="begin"/>
        </w:r>
        <w:r w:rsidR="00F63169">
          <w:rPr>
            <w:noProof/>
            <w:webHidden/>
          </w:rPr>
          <w:instrText xml:space="preserve"> PAGEREF _Toc97310507 \h </w:instrText>
        </w:r>
        <w:r w:rsidR="00F63169">
          <w:rPr>
            <w:noProof/>
            <w:webHidden/>
          </w:rPr>
        </w:r>
        <w:r w:rsidR="00F63169">
          <w:rPr>
            <w:noProof/>
            <w:webHidden/>
          </w:rPr>
          <w:fldChar w:fldCharType="separate"/>
        </w:r>
        <w:r w:rsidR="002809AA">
          <w:rPr>
            <w:noProof/>
            <w:webHidden/>
          </w:rPr>
          <w:t>155</w:t>
        </w:r>
        <w:r w:rsidR="00F63169">
          <w:rPr>
            <w:noProof/>
            <w:webHidden/>
          </w:rPr>
          <w:fldChar w:fldCharType="end"/>
        </w:r>
      </w:hyperlink>
    </w:p>
    <w:p w14:paraId="5CC84BF1" w14:textId="64B7F71E" w:rsidR="00F63169" w:rsidRDefault="00322DCE">
      <w:pPr>
        <w:pStyle w:val="TOC3"/>
        <w:tabs>
          <w:tab w:val="right" w:leader="dot" w:pos="9016"/>
        </w:tabs>
        <w:rPr>
          <w:rFonts w:cstheme="minorBidi"/>
          <w:noProof/>
          <w:lang w:val="en-GB" w:eastAsia="en-GB"/>
        </w:rPr>
      </w:pPr>
      <w:hyperlink w:anchor="_Toc97310508" w:history="1">
        <w:r w:rsidR="00F63169" w:rsidRPr="00670586">
          <w:rPr>
            <w:rStyle w:val="Hyperlink"/>
            <w:noProof/>
          </w:rPr>
          <w:t>8.4.3 Intervention outcomes post-intervention (Time 2)</w:t>
        </w:r>
        <w:r w:rsidR="00F63169">
          <w:rPr>
            <w:noProof/>
            <w:webHidden/>
          </w:rPr>
          <w:tab/>
        </w:r>
        <w:r w:rsidR="00F63169">
          <w:rPr>
            <w:noProof/>
            <w:webHidden/>
          </w:rPr>
          <w:fldChar w:fldCharType="begin"/>
        </w:r>
        <w:r w:rsidR="00F63169">
          <w:rPr>
            <w:noProof/>
            <w:webHidden/>
          </w:rPr>
          <w:instrText xml:space="preserve"> PAGEREF _Toc97310508 \h </w:instrText>
        </w:r>
        <w:r w:rsidR="00F63169">
          <w:rPr>
            <w:noProof/>
            <w:webHidden/>
          </w:rPr>
        </w:r>
        <w:r w:rsidR="00F63169">
          <w:rPr>
            <w:noProof/>
            <w:webHidden/>
          </w:rPr>
          <w:fldChar w:fldCharType="separate"/>
        </w:r>
        <w:r w:rsidR="002809AA">
          <w:rPr>
            <w:noProof/>
            <w:webHidden/>
          </w:rPr>
          <w:t>156</w:t>
        </w:r>
        <w:r w:rsidR="00F63169">
          <w:rPr>
            <w:noProof/>
            <w:webHidden/>
          </w:rPr>
          <w:fldChar w:fldCharType="end"/>
        </w:r>
      </w:hyperlink>
    </w:p>
    <w:p w14:paraId="0B165291" w14:textId="5918978E" w:rsidR="00F63169" w:rsidRDefault="00322DCE">
      <w:pPr>
        <w:pStyle w:val="TOC3"/>
        <w:tabs>
          <w:tab w:val="right" w:leader="dot" w:pos="9016"/>
        </w:tabs>
        <w:rPr>
          <w:rFonts w:cstheme="minorBidi"/>
          <w:noProof/>
          <w:lang w:val="en-GB" w:eastAsia="en-GB"/>
        </w:rPr>
      </w:pPr>
      <w:hyperlink w:anchor="_Toc97310509" w:history="1">
        <w:r w:rsidR="00F63169" w:rsidRPr="00670586">
          <w:rPr>
            <w:rStyle w:val="Hyperlink"/>
            <w:noProof/>
          </w:rPr>
          <w:t>8.4.4 Intervention outcomes at 3-month follow-up (Time 3)</w:t>
        </w:r>
        <w:r w:rsidR="00F63169">
          <w:rPr>
            <w:noProof/>
            <w:webHidden/>
          </w:rPr>
          <w:tab/>
        </w:r>
        <w:r w:rsidR="00F63169">
          <w:rPr>
            <w:noProof/>
            <w:webHidden/>
          </w:rPr>
          <w:fldChar w:fldCharType="begin"/>
        </w:r>
        <w:r w:rsidR="00F63169">
          <w:rPr>
            <w:noProof/>
            <w:webHidden/>
          </w:rPr>
          <w:instrText xml:space="preserve"> PAGEREF _Toc97310509 \h </w:instrText>
        </w:r>
        <w:r w:rsidR="00F63169">
          <w:rPr>
            <w:noProof/>
            <w:webHidden/>
          </w:rPr>
        </w:r>
        <w:r w:rsidR="00F63169">
          <w:rPr>
            <w:noProof/>
            <w:webHidden/>
          </w:rPr>
          <w:fldChar w:fldCharType="separate"/>
        </w:r>
        <w:r w:rsidR="002809AA">
          <w:rPr>
            <w:noProof/>
            <w:webHidden/>
          </w:rPr>
          <w:t>159</w:t>
        </w:r>
        <w:r w:rsidR="00F63169">
          <w:rPr>
            <w:noProof/>
            <w:webHidden/>
          </w:rPr>
          <w:fldChar w:fldCharType="end"/>
        </w:r>
      </w:hyperlink>
    </w:p>
    <w:p w14:paraId="726A3B5F" w14:textId="08A06C1B" w:rsidR="00F63169" w:rsidRDefault="00322DCE">
      <w:pPr>
        <w:pStyle w:val="TOC3"/>
        <w:tabs>
          <w:tab w:val="right" w:leader="dot" w:pos="9016"/>
        </w:tabs>
        <w:rPr>
          <w:rFonts w:cstheme="minorBidi"/>
          <w:noProof/>
          <w:lang w:val="en-GB" w:eastAsia="en-GB"/>
        </w:rPr>
      </w:pPr>
      <w:hyperlink w:anchor="_Toc97310510" w:history="1">
        <w:r w:rsidR="00F63169" w:rsidRPr="00670586">
          <w:rPr>
            <w:rStyle w:val="Hyperlink"/>
            <w:noProof/>
          </w:rPr>
          <w:t>8.4.5 Correlations between the independent, mediator and dependent variables</w:t>
        </w:r>
        <w:r w:rsidR="00F63169">
          <w:rPr>
            <w:noProof/>
            <w:webHidden/>
          </w:rPr>
          <w:tab/>
        </w:r>
        <w:r w:rsidR="00F63169">
          <w:rPr>
            <w:noProof/>
            <w:webHidden/>
          </w:rPr>
          <w:fldChar w:fldCharType="begin"/>
        </w:r>
        <w:r w:rsidR="00F63169">
          <w:rPr>
            <w:noProof/>
            <w:webHidden/>
          </w:rPr>
          <w:instrText xml:space="preserve"> PAGEREF _Toc97310510 \h </w:instrText>
        </w:r>
        <w:r w:rsidR="00F63169">
          <w:rPr>
            <w:noProof/>
            <w:webHidden/>
          </w:rPr>
        </w:r>
        <w:r w:rsidR="00F63169">
          <w:rPr>
            <w:noProof/>
            <w:webHidden/>
          </w:rPr>
          <w:fldChar w:fldCharType="separate"/>
        </w:r>
        <w:r w:rsidR="002809AA">
          <w:rPr>
            <w:noProof/>
            <w:webHidden/>
          </w:rPr>
          <w:t>162</w:t>
        </w:r>
        <w:r w:rsidR="00F63169">
          <w:rPr>
            <w:noProof/>
            <w:webHidden/>
          </w:rPr>
          <w:fldChar w:fldCharType="end"/>
        </w:r>
      </w:hyperlink>
    </w:p>
    <w:p w14:paraId="70749C47" w14:textId="69CDC3FD" w:rsidR="00F63169" w:rsidRDefault="00322DCE">
      <w:pPr>
        <w:pStyle w:val="TOC3"/>
        <w:tabs>
          <w:tab w:val="right" w:leader="dot" w:pos="9016"/>
        </w:tabs>
        <w:rPr>
          <w:rFonts w:cstheme="minorBidi"/>
          <w:noProof/>
          <w:lang w:val="en-GB" w:eastAsia="en-GB"/>
        </w:rPr>
      </w:pPr>
      <w:hyperlink w:anchor="_Toc97310511" w:history="1">
        <w:r w:rsidR="00F63169" w:rsidRPr="00670586">
          <w:rPr>
            <w:rStyle w:val="Hyperlink"/>
            <w:noProof/>
          </w:rPr>
          <w:t xml:space="preserve">8.4.6 </w:t>
        </w:r>
        <w:r w:rsidR="00F63169" w:rsidRPr="00670586">
          <w:rPr>
            <w:rStyle w:val="Hyperlink"/>
            <w:rFonts w:cstheme="minorHAnsi"/>
            <w:noProof/>
          </w:rPr>
          <w:t>Mediation analyses</w:t>
        </w:r>
        <w:r w:rsidR="00F63169">
          <w:rPr>
            <w:noProof/>
            <w:webHidden/>
          </w:rPr>
          <w:tab/>
        </w:r>
        <w:r w:rsidR="00F63169">
          <w:rPr>
            <w:noProof/>
            <w:webHidden/>
          </w:rPr>
          <w:fldChar w:fldCharType="begin"/>
        </w:r>
        <w:r w:rsidR="00F63169">
          <w:rPr>
            <w:noProof/>
            <w:webHidden/>
          </w:rPr>
          <w:instrText xml:space="preserve"> PAGEREF _Toc97310511 \h </w:instrText>
        </w:r>
        <w:r w:rsidR="00F63169">
          <w:rPr>
            <w:noProof/>
            <w:webHidden/>
          </w:rPr>
        </w:r>
        <w:r w:rsidR="00F63169">
          <w:rPr>
            <w:noProof/>
            <w:webHidden/>
          </w:rPr>
          <w:fldChar w:fldCharType="separate"/>
        </w:r>
        <w:r w:rsidR="002809AA">
          <w:rPr>
            <w:noProof/>
            <w:webHidden/>
          </w:rPr>
          <w:t>165</w:t>
        </w:r>
        <w:r w:rsidR="00F63169">
          <w:rPr>
            <w:noProof/>
            <w:webHidden/>
          </w:rPr>
          <w:fldChar w:fldCharType="end"/>
        </w:r>
      </w:hyperlink>
    </w:p>
    <w:p w14:paraId="449C37DE" w14:textId="4654CD92" w:rsidR="00F63169" w:rsidRDefault="00322DCE">
      <w:pPr>
        <w:pStyle w:val="TOC2"/>
        <w:rPr>
          <w:rFonts w:eastAsiaTheme="minorEastAsia"/>
          <w:noProof/>
          <w:lang w:eastAsia="en-GB"/>
        </w:rPr>
      </w:pPr>
      <w:hyperlink w:anchor="_Toc97310512" w:history="1">
        <w:r w:rsidR="00F63169" w:rsidRPr="00670586">
          <w:rPr>
            <w:rStyle w:val="Hyperlink"/>
            <w:noProof/>
          </w:rPr>
          <w:t>8.5 Discussion</w:t>
        </w:r>
        <w:r w:rsidR="00F63169">
          <w:rPr>
            <w:noProof/>
            <w:webHidden/>
          </w:rPr>
          <w:tab/>
        </w:r>
        <w:r w:rsidR="00F63169">
          <w:rPr>
            <w:noProof/>
            <w:webHidden/>
          </w:rPr>
          <w:fldChar w:fldCharType="begin"/>
        </w:r>
        <w:r w:rsidR="00F63169">
          <w:rPr>
            <w:noProof/>
            <w:webHidden/>
          </w:rPr>
          <w:instrText xml:space="preserve"> PAGEREF _Toc97310512 \h </w:instrText>
        </w:r>
        <w:r w:rsidR="00F63169">
          <w:rPr>
            <w:noProof/>
            <w:webHidden/>
          </w:rPr>
        </w:r>
        <w:r w:rsidR="00F63169">
          <w:rPr>
            <w:noProof/>
            <w:webHidden/>
          </w:rPr>
          <w:fldChar w:fldCharType="separate"/>
        </w:r>
        <w:r w:rsidR="002809AA">
          <w:rPr>
            <w:noProof/>
            <w:webHidden/>
          </w:rPr>
          <w:t>168</w:t>
        </w:r>
        <w:r w:rsidR="00F63169">
          <w:rPr>
            <w:noProof/>
            <w:webHidden/>
          </w:rPr>
          <w:fldChar w:fldCharType="end"/>
        </w:r>
      </w:hyperlink>
    </w:p>
    <w:p w14:paraId="38182507" w14:textId="2BBD8463" w:rsidR="00F63169" w:rsidRDefault="00322DCE">
      <w:pPr>
        <w:pStyle w:val="TOC3"/>
        <w:tabs>
          <w:tab w:val="right" w:leader="dot" w:pos="9016"/>
        </w:tabs>
        <w:rPr>
          <w:rFonts w:cstheme="minorBidi"/>
          <w:noProof/>
          <w:lang w:val="en-GB" w:eastAsia="en-GB"/>
        </w:rPr>
      </w:pPr>
      <w:hyperlink w:anchor="_Toc97310513" w:history="1">
        <w:r w:rsidR="00F63169" w:rsidRPr="00670586">
          <w:rPr>
            <w:rStyle w:val="Hyperlink"/>
            <w:noProof/>
          </w:rPr>
          <w:t>8.5.1 Strengths and Limitations</w:t>
        </w:r>
        <w:r w:rsidR="00F63169">
          <w:rPr>
            <w:noProof/>
            <w:webHidden/>
          </w:rPr>
          <w:tab/>
        </w:r>
        <w:r w:rsidR="00F63169">
          <w:rPr>
            <w:noProof/>
            <w:webHidden/>
          </w:rPr>
          <w:fldChar w:fldCharType="begin"/>
        </w:r>
        <w:r w:rsidR="00F63169">
          <w:rPr>
            <w:noProof/>
            <w:webHidden/>
          </w:rPr>
          <w:instrText xml:space="preserve"> PAGEREF _Toc97310513 \h </w:instrText>
        </w:r>
        <w:r w:rsidR="00F63169">
          <w:rPr>
            <w:noProof/>
            <w:webHidden/>
          </w:rPr>
        </w:r>
        <w:r w:rsidR="00F63169">
          <w:rPr>
            <w:noProof/>
            <w:webHidden/>
          </w:rPr>
          <w:fldChar w:fldCharType="separate"/>
        </w:r>
        <w:r w:rsidR="002809AA">
          <w:rPr>
            <w:noProof/>
            <w:webHidden/>
          </w:rPr>
          <w:t>170</w:t>
        </w:r>
        <w:r w:rsidR="00F63169">
          <w:rPr>
            <w:noProof/>
            <w:webHidden/>
          </w:rPr>
          <w:fldChar w:fldCharType="end"/>
        </w:r>
      </w:hyperlink>
    </w:p>
    <w:p w14:paraId="11514E2B" w14:textId="08184A28" w:rsidR="00F63169" w:rsidRDefault="00322DCE">
      <w:pPr>
        <w:pStyle w:val="TOC3"/>
        <w:tabs>
          <w:tab w:val="right" w:leader="dot" w:pos="9016"/>
        </w:tabs>
        <w:rPr>
          <w:rFonts w:cstheme="minorBidi"/>
          <w:noProof/>
          <w:lang w:val="en-GB" w:eastAsia="en-GB"/>
        </w:rPr>
      </w:pPr>
      <w:hyperlink w:anchor="_Toc97310514" w:history="1">
        <w:r w:rsidR="00F63169" w:rsidRPr="00670586">
          <w:rPr>
            <w:rStyle w:val="Hyperlink"/>
            <w:noProof/>
          </w:rPr>
          <w:t>8.5.2 Conclusion</w:t>
        </w:r>
        <w:r w:rsidR="00F63169">
          <w:rPr>
            <w:noProof/>
            <w:webHidden/>
          </w:rPr>
          <w:tab/>
        </w:r>
        <w:r w:rsidR="00F63169">
          <w:rPr>
            <w:noProof/>
            <w:webHidden/>
          </w:rPr>
          <w:fldChar w:fldCharType="begin"/>
        </w:r>
        <w:r w:rsidR="00F63169">
          <w:rPr>
            <w:noProof/>
            <w:webHidden/>
          </w:rPr>
          <w:instrText xml:space="preserve"> PAGEREF _Toc97310514 \h </w:instrText>
        </w:r>
        <w:r w:rsidR="00F63169">
          <w:rPr>
            <w:noProof/>
            <w:webHidden/>
          </w:rPr>
        </w:r>
        <w:r w:rsidR="00F63169">
          <w:rPr>
            <w:noProof/>
            <w:webHidden/>
          </w:rPr>
          <w:fldChar w:fldCharType="separate"/>
        </w:r>
        <w:r w:rsidR="002809AA">
          <w:rPr>
            <w:noProof/>
            <w:webHidden/>
          </w:rPr>
          <w:t>171</w:t>
        </w:r>
        <w:r w:rsidR="00F63169">
          <w:rPr>
            <w:noProof/>
            <w:webHidden/>
          </w:rPr>
          <w:fldChar w:fldCharType="end"/>
        </w:r>
      </w:hyperlink>
    </w:p>
    <w:p w14:paraId="77308C2D" w14:textId="1B9CAC23" w:rsidR="00F63169" w:rsidRDefault="00322DCE">
      <w:pPr>
        <w:pStyle w:val="TOC1"/>
        <w:tabs>
          <w:tab w:val="right" w:leader="dot" w:pos="9016"/>
        </w:tabs>
        <w:rPr>
          <w:rFonts w:cstheme="minorBidi"/>
          <w:noProof/>
          <w:lang w:val="en-GB" w:eastAsia="en-GB"/>
        </w:rPr>
      </w:pPr>
      <w:hyperlink r:id="rId20" w:anchor="_Toc97310515" w:history="1">
        <w:r w:rsidR="00F63169" w:rsidRPr="00670586">
          <w:rPr>
            <w:rStyle w:val="Hyperlink"/>
            <w:rFonts w:cstheme="minorHAnsi"/>
            <w:b/>
            <w:bCs/>
            <w:noProof/>
          </w:rPr>
          <w:t xml:space="preserve">Chapter 9. </w:t>
        </w:r>
        <w:r w:rsidR="00F63169" w:rsidRPr="00670586">
          <w:rPr>
            <w:rStyle w:val="Hyperlink"/>
            <w:rFonts w:ascii="Calibri" w:hAnsi="Calibri" w:cs="Calibri"/>
            <w:b/>
            <w:bCs/>
            <w:noProof/>
          </w:rPr>
          <w:t xml:space="preserve">A qualitative evaluation of an in-school Social Norms Approach </w:t>
        </w:r>
        <w:r w:rsidR="00F63169" w:rsidRPr="00670586">
          <w:rPr>
            <w:rStyle w:val="Hyperlink"/>
            <w:b/>
            <w:bCs/>
            <w:noProof/>
          </w:rPr>
          <w:t>intervention for reducing unhealthy snacking behaviours amongst secondary school students</w:t>
        </w:r>
        <w:r w:rsidR="00F63169">
          <w:rPr>
            <w:noProof/>
            <w:webHidden/>
          </w:rPr>
          <w:tab/>
        </w:r>
        <w:r w:rsidR="00F63169">
          <w:rPr>
            <w:noProof/>
            <w:webHidden/>
          </w:rPr>
          <w:fldChar w:fldCharType="begin"/>
        </w:r>
        <w:r w:rsidR="00F63169">
          <w:rPr>
            <w:noProof/>
            <w:webHidden/>
          </w:rPr>
          <w:instrText xml:space="preserve"> PAGEREF _Toc97310515 \h </w:instrText>
        </w:r>
        <w:r w:rsidR="00F63169">
          <w:rPr>
            <w:noProof/>
            <w:webHidden/>
          </w:rPr>
        </w:r>
        <w:r w:rsidR="00F63169">
          <w:rPr>
            <w:noProof/>
            <w:webHidden/>
          </w:rPr>
          <w:fldChar w:fldCharType="separate"/>
        </w:r>
        <w:r w:rsidR="002809AA">
          <w:rPr>
            <w:noProof/>
            <w:webHidden/>
          </w:rPr>
          <w:t>173</w:t>
        </w:r>
        <w:r w:rsidR="00F63169">
          <w:rPr>
            <w:noProof/>
            <w:webHidden/>
          </w:rPr>
          <w:fldChar w:fldCharType="end"/>
        </w:r>
      </w:hyperlink>
    </w:p>
    <w:p w14:paraId="1C7EA245" w14:textId="1E9B4FC0" w:rsidR="00F63169" w:rsidRDefault="00322DCE">
      <w:pPr>
        <w:pStyle w:val="TOC2"/>
        <w:rPr>
          <w:rFonts w:eastAsiaTheme="minorEastAsia"/>
          <w:noProof/>
          <w:lang w:eastAsia="en-GB"/>
        </w:rPr>
      </w:pPr>
      <w:hyperlink w:anchor="_Toc97310516" w:history="1">
        <w:r w:rsidR="00F63169" w:rsidRPr="00670586">
          <w:rPr>
            <w:rStyle w:val="Hyperlink"/>
            <w:noProof/>
          </w:rPr>
          <w:t>9.1 Chapter overview</w:t>
        </w:r>
        <w:r w:rsidR="00F63169">
          <w:rPr>
            <w:noProof/>
            <w:webHidden/>
          </w:rPr>
          <w:tab/>
        </w:r>
        <w:r w:rsidR="00F63169">
          <w:rPr>
            <w:noProof/>
            <w:webHidden/>
          </w:rPr>
          <w:fldChar w:fldCharType="begin"/>
        </w:r>
        <w:r w:rsidR="00F63169">
          <w:rPr>
            <w:noProof/>
            <w:webHidden/>
          </w:rPr>
          <w:instrText xml:space="preserve"> PAGEREF _Toc97310516 \h </w:instrText>
        </w:r>
        <w:r w:rsidR="00F63169">
          <w:rPr>
            <w:noProof/>
            <w:webHidden/>
          </w:rPr>
        </w:r>
        <w:r w:rsidR="00F63169">
          <w:rPr>
            <w:noProof/>
            <w:webHidden/>
          </w:rPr>
          <w:fldChar w:fldCharType="separate"/>
        </w:r>
        <w:r w:rsidR="002809AA">
          <w:rPr>
            <w:noProof/>
            <w:webHidden/>
          </w:rPr>
          <w:t>174</w:t>
        </w:r>
        <w:r w:rsidR="00F63169">
          <w:rPr>
            <w:noProof/>
            <w:webHidden/>
          </w:rPr>
          <w:fldChar w:fldCharType="end"/>
        </w:r>
      </w:hyperlink>
    </w:p>
    <w:p w14:paraId="4123F7B9" w14:textId="7C01C392" w:rsidR="00F63169" w:rsidRDefault="00322DCE">
      <w:pPr>
        <w:pStyle w:val="TOC2"/>
        <w:rPr>
          <w:rFonts w:eastAsiaTheme="minorEastAsia"/>
          <w:noProof/>
          <w:lang w:eastAsia="en-GB"/>
        </w:rPr>
      </w:pPr>
      <w:hyperlink w:anchor="_Toc97310517" w:history="1">
        <w:r w:rsidR="00F63169" w:rsidRPr="00670586">
          <w:rPr>
            <w:rStyle w:val="Hyperlink"/>
            <w:noProof/>
          </w:rPr>
          <w:t>9.2 Introduction</w:t>
        </w:r>
        <w:r w:rsidR="00F63169">
          <w:rPr>
            <w:noProof/>
            <w:webHidden/>
          </w:rPr>
          <w:tab/>
        </w:r>
        <w:r w:rsidR="00F63169">
          <w:rPr>
            <w:noProof/>
            <w:webHidden/>
          </w:rPr>
          <w:fldChar w:fldCharType="begin"/>
        </w:r>
        <w:r w:rsidR="00F63169">
          <w:rPr>
            <w:noProof/>
            <w:webHidden/>
          </w:rPr>
          <w:instrText xml:space="preserve"> PAGEREF _Toc97310517 \h </w:instrText>
        </w:r>
        <w:r w:rsidR="00F63169">
          <w:rPr>
            <w:noProof/>
            <w:webHidden/>
          </w:rPr>
        </w:r>
        <w:r w:rsidR="00F63169">
          <w:rPr>
            <w:noProof/>
            <w:webHidden/>
          </w:rPr>
          <w:fldChar w:fldCharType="separate"/>
        </w:r>
        <w:r w:rsidR="002809AA">
          <w:rPr>
            <w:noProof/>
            <w:webHidden/>
          </w:rPr>
          <w:t>174</w:t>
        </w:r>
        <w:r w:rsidR="00F63169">
          <w:rPr>
            <w:noProof/>
            <w:webHidden/>
          </w:rPr>
          <w:fldChar w:fldCharType="end"/>
        </w:r>
      </w:hyperlink>
    </w:p>
    <w:p w14:paraId="1BE35910" w14:textId="09FC61C1" w:rsidR="00F63169" w:rsidRDefault="00322DCE">
      <w:pPr>
        <w:pStyle w:val="TOC2"/>
        <w:rPr>
          <w:rFonts w:eastAsiaTheme="minorEastAsia"/>
          <w:noProof/>
          <w:lang w:eastAsia="en-GB"/>
        </w:rPr>
      </w:pPr>
      <w:hyperlink w:anchor="_Toc97310518" w:history="1">
        <w:r w:rsidR="00F63169" w:rsidRPr="00670586">
          <w:rPr>
            <w:rStyle w:val="Hyperlink"/>
            <w:noProof/>
          </w:rPr>
          <w:t>9.3 Method</w:t>
        </w:r>
        <w:r w:rsidR="00F63169">
          <w:rPr>
            <w:noProof/>
            <w:webHidden/>
          </w:rPr>
          <w:tab/>
        </w:r>
        <w:r w:rsidR="00F63169">
          <w:rPr>
            <w:noProof/>
            <w:webHidden/>
          </w:rPr>
          <w:fldChar w:fldCharType="begin"/>
        </w:r>
        <w:r w:rsidR="00F63169">
          <w:rPr>
            <w:noProof/>
            <w:webHidden/>
          </w:rPr>
          <w:instrText xml:space="preserve"> PAGEREF _Toc97310518 \h </w:instrText>
        </w:r>
        <w:r w:rsidR="00F63169">
          <w:rPr>
            <w:noProof/>
            <w:webHidden/>
          </w:rPr>
        </w:r>
        <w:r w:rsidR="00F63169">
          <w:rPr>
            <w:noProof/>
            <w:webHidden/>
          </w:rPr>
          <w:fldChar w:fldCharType="separate"/>
        </w:r>
        <w:r w:rsidR="002809AA">
          <w:rPr>
            <w:noProof/>
            <w:webHidden/>
          </w:rPr>
          <w:t>176</w:t>
        </w:r>
        <w:r w:rsidR="00F63169">
          <w:rPr>
            <w:noProof/>
            <w:webHidden/>
          </w:rPr>
          <w:fldChar w:fldCharType="end"/>
        </w:r>
      </w:hyperlink>
    </w:p>
    <w:p w14:paraId="7BDC8104" w14:textId="56B80BD1" w:rsidR="00F63169" w:rsidRDefault="00322DCE">
      <w:pPr>
        <w:pStyle w:val="TOC3"/>
        <w:tabs>
          <w:tab w:val="right" w:leader="dot" w:pos="9016"/>
        </w:tabs>
        <w:rPr>
          <w:rFonts w:cstheme="minorBidi"/>
          <w:noProof/>
          <w:lang w:val="en-GB" w:eastAsia="en-GB"/>
        </w:rPr>
      </w:pPr>
      <w:hyperlink w:anchor="_Toc97310519" w:history="1">
        <w:r w:rsidR="00F63169" w:rsidRPr="00670586">
          <w:rPr>
            <w:rStyle w:val="Hyperlink"/>
            <w:noProof/>
          </w:rPr>
          <w:t>9.3.1 Design and Participants</w:t>
        </w:r>
        <w:r w:rsidR="00F63169">
          <w:rPr>
            <w:noProof/>
            <w:webHidden/>
          </w:rPr>
          <w:tab/>
        </w:r>
        <w:r w:rsidR="00F63169">
          <w:rPr>
            <w:noProof/>
            <w:webHidden/>
          </w:rPr>
          <w:fldChar w:fldCharType="begin"/>
        </w:r>
        <w:r w:rsidR="00F63169">
          <w:rPr>
            <w:noProof/>
            <w:webHidden/>
          </w:rPr>
          <w:instrText xml:space="preserve"> PAGEREF _Toc97310519 \h </w:instrText>
        </w:r>
        <w:r w:rsidR="00F63169">
          <w:rPr>
            <w:noProof/>
            <w:webHidden/>
          </w:rPr>
        </w:r>
        <w:r w:rsidR="00F63169">
          <w:rPr>
            <w:noProof/>
            <w:webHidden/>
          </w:rPr>
          <w:fldChar w:fldCharType="separate"/>
        </w:r>
        <w:r w:rsidR="002809AA">
          <w:rPr>
            <w:noProof/>
            <w:webHidden/>
          </w:rPr>
          <w:t>176</w:t>
        </w:r>
        <w:r w:rsidR="00F63169">
          <w:rPr>
            <w:noProof/>
            <w:webHidden/>
          </w:rPr>
          <w:fldChar w:fldCharType="end"/>
        </w:r>
      </w:hyperlink>
    </w:p>
    <w:p w14:paraId="554E7E39" w14:textId="01083EAE" w:rsidR="00F63169" w:rsidRDefault="00322DCE">
      <w:pPr>
        <w:pStyle w:val="TOC3"/>
        <w:tabs>
          <w:tab w:val="right" w:leader="dot" w:pos="9016"/>
        </w:tabs>
        <w:rPr>
          <w:rFonts w:cstheme="minorBidi"/>
          <w:noProof/>
          <w:lang w:val="en-GB" w:eastAsia="en-GB"/>
        </w:rPr>
      </w:pPr>
      <w:hyperlink w:anchor="_Toc97310520" w:history="1">
        <w:r w:rsidR="00F63169" w:rsidRPr="00670586">
          <w:rPr>
            <w:rStyle w:val="Hyperlink"/>
            <w:noProof/>
          </w:rPr>
          <w:t>9.3.2 Materials</w:t>
        </w:r>
        <w:r w:rsidR="00F63169">
          <w:rPr>
            <w:noProof/>
            <w:webHidden/>
          </w:rPr>
          <w:tab/>
        </w:r>
        <w:r w:rsidR="00F63169">
          <w:rPr>
            <w:noProof/>
            <w:webHidden/>
          </w:rPr>
          <w:fldChar w:fldCharType="begin"/>
        </w:r>
        <w:r w:rsidR="00F63169">
          <w:rPr>
            <w:noProof/>
            <w:webHidden/>
          </w:rPr>
          <w:instrText xml:space="preserve"> PAGEREF _Toc97310520 \h </w:instrText>
        </w:r>
        <w:r w:rsidR="00F63169">
          <w:rPr>
            <w:noProof/>
            <w:webHidden/>
          </w:rPr>
        </w:r>
        <w:r w:rsidR="00F63169">
          <w:rPr>
            <w:noProof/>
            <w:webHidden/>
          </w:rPr>
          <w:fldChar w:fldCharType="separate"/>
        </w:r>
        <w:r w:rsidR="002809AA">
          <w:rPr>
            <w:noProof/>
            <w:webHidden/>
          </w:rPr>
          <w:t>177</w:t>
        </w:r>
        <w:r w:rsidR="00F63169">
          <w:rPr>
            <w:noProof/>
            <w:webHidden/>
          </w:rPr>
          <w:fldChar w:fldCharType="end"/>
        </w:r>
      </w:hyperlink>
    </w:p>
    <w:p w14:paraId="3F4D2FA4" w14:textId="34199A7D" w:rsidR="00F63169" w:rsidRDefault="00322DCE">
      <w:pPr>
        <w:pStyle w:val="TOC3"/>
        <w:tabs>
          <w:tab w:val="right" w:leader="dot" w:pos="9016"/>
        </w:tabs>
        <w:rPr>
          <w:rFonts w:cstheme="minorBidi"/>
          <w:noProof/>
          <w:lang w:val="en-GB" w:eastAsia="en-GB"/>
        </w:rPr>
      </w:pPr>
      <w:hyperlink w:anchor="_Toc97310521" w:history="1">
        <w:r w:rsidR="00F63169" w:rsidRPr="00670586">
          <w:rPr>
            <w:rStyle w:val="Hyperlink"/>
            <w:noProof/>
          </w:rPr>
          <w:t>9.3.3 Procedure</w:t>
        </w:r>
        <w:r w:rsidR="00F63169">
          <w:rPr>
            <w:noProof/>
            <w:webHidden/>
          </w:rPr>
          <w:tab/>
        </w:r>
        <w:r w:rsidR="00F63169">
          <w:rPr>
            <w:noProof/>
            <w:webHidden/>
          </w:rPr>
          <w:fldChar w:fldCharType="begin"/>
        </w:r>
        <w:r w:rsidR="00F63169">
          <w:rPr>
            <w:noProof/>
            <w:webHidden/>
          </w:rPr>
          <w:instrText xml:space="preserve"> PAGEREF _Toc97310521 \h </w:instrText>
        </w:r>
        <w:r w:rsidR="00F63169">
          <w:rPr>
            <w:noProof/>
            <w:webHidden/>
          </w:rPr>
        </w:r>
        <w:r w:rsidR="00F63169">
          <w:rPr>
            <w:noProof/>
            <w:webHidden/>
          </w:rPr>
          <w:fldChar w:fldCharType="separate"/>
        </w:r>
        <w:r w:rsidR="002809AA">
          <w:rPr>
            <w:noProof/>
            <w:webHidden/>
          </w:rPr>
          <w:t>177</w:t>
        </w:r>
        <w:r w:rsidR="00F63169">
          <w:rPr>
            <w:noProof/>
            <w:webHidden/>
          </w:rPr>
          <w:fldChar w:fldCharType="end"/>
        </w:r>
      </w:hyperlink>
    </w:p>
    <w:p w14:paraId="0F2985BE" w14:textId="1AAF0D59" w:rsidR="00F63169" w:rsidRDefault="00322DCE">
      <w:pPr>
        <w:pStyle w:val="TOC2"/>
        <w:rPr>
          <w:rFonts w:eastAsiaTheme="minorEastAsia"/>
          <w:noProof/>
          <w:lang w:eastAsia="en-GB"/>
        </w:rPr>
      </w:pPr>
      <w:hyperlink w:anchor="_Toc97310522" w:history="1">
        <w:r w:rsidR="00F63169" w:rsidRPr="00670586">
          <w:rPr>
            <w:rStyle w:val="Hyperlink"/>
            <w:noProof/>
          </w:rPr>
          <w:t>9.4 Results</w:t>
        </w:r>
        <w:r w:rsidR="00F63169">
          <w:rPr>
            <w:noProof/>
            <w:webHidden/>
          </w:rPr>
          <w:tab/>
        </w:r>
        <w:r w:rsidR="00F63169">
          <w:rPr>
            <w:noProof/>
            <w:webHidden/>
          </w:rPr>
          <w:fldChar w:fldCharType="begin"/>
        </w:r>
        <w:r w:rsidR="00F63169">
          <w:rPr>
            <w:noProof/>
            <w:webHidden/>
          </w:rPr>
          <w:instrText xml:space="preserve"> PAGEREF _Toc97310522 \h </w:instrText>
        </w:r>
        <w:r w:rsidR="00F63169">
          <w:rPr>
            <w:noProof/>
            <w:webHidden/>
          </w:rPr>
        </w:r>
        <w:r w:rsidR="00F63169">
          <w:rPr>
            <w:noProof/>
            <w:webHidden/>
          </w:rPr>
          <w:fldChar w:fldCharType="separate"/>
        </w:r>
        <w:r w:rsidR="002809AA">
          <w:rPr>
            <w:noProof/>
            <w:webHidden/>
          </w:rPr>
          <w:t>180</w:t>
        </w:r>
        <w:r w:rsidR="00F63169">
          <w:rPr>
            <w:noProof/>
            <w:webHidden/>
          </w:rPr>
          <w:fldChar w:fldCharType="end"/>
        </w:r>
      </w:hyperlink>
    </w:p>
    <w:p w14:paraId="46FC715C" w14:textId="23BBA387" w:rsidR="00F63169" w:rsidRDefault="00322DCE">
      <w:pPr>
        <w:pStyle w:val="TOC3"/>
        <w:tabs>
          <w:tab w:val="right" w:leader="dot" w:pos="9016"/>
        </w:tabs>
        <w:rPr>
          <w:rFonts w:cstheme="minorBidi"/>
          <w:noProof/>
          <w:lang w:val="en-GB" w:eastAsia="en-GB"/>
        </w:rPr>
      </w:pPr>
      <w:hyperlink w:anchor="_Toc97310523" w:history="1">
        <w:r w:rsidR="00F63169" w:rsidRPr="00670586">
          <w:rPr>
            <w:rStyle w:val="Hyperlink"/>
            <w:noProof/>
          </w:rPr>
          <w:t>9.4.2 Qualitative analysis of students’ and teachers’ experiences</w:t>
        </w:r>
        <w:r w:rsidR="00F63169">
          <w:rPr>
            <w:noProof/>
            <w:webHidden/>
          </w:rPr>
          <w:tab/>
        </w:r>
        <w:r w:rsidR="00F63169">
          <w:rPr>
            <w:noProof/>
            <w:webHidden/>
          </w:rPr>
          <w:fldChar w:fldCharType="begin"/>
        </w:r>
        <w:r w:rsidR="00F63169">
          <w:rPr>
            <w:noProof/>
            <w:webHidden/>
          </w:rPr>
          <w:instrText xml:space="preserve"> PAGEREF _Toc97310523 \h </w:instrText>
        </w:r>
        <w:r w:rsidR="00F63169">
          <w:rPr>
            <w:noProof/>
            <w:webHidden/>
          </w:rPr>
        </w:r>
        <w:r w:rsidR="00F63169">
          <w:rPr>
            <w:noProof/>
            <w:webHidden/>
          </w:rPr>
          <w:fldChar w:fldCharType="separate"/>
        </w:r>
        <w:r w:rsidR="002809AA">
          <w:rPr>
            <w:noProof/>
            <w:webHidden/>
          </w:rPr>
          <w:t>180</w:t>
        </w:r>
        <w:r w:rsidR="00F63169">
          <w:rPr>
            <w:noProof/>
            <w:webHidden/>
          </w:rPr>
          <w:fldChar w:fldCharType="end"/>
        </w:r>
      </w:hyperlink>
    </w:p>
    <w:p w14:paraId="5D95BE1F" w14:textId="273769F8" w:rsidR="00F63169" w:rsidRDefault="00322DCE">
      <w:pPr>
        <w:pStyle w:val="TOC2"/>
        <w:rPr>
          <w:rFonts w:eastAsiaTheme="minorEastAsia"/>
          <w:noProof/>
          <w:lang w:eastAsia="en-GB"/>
        </w:rPr>
      </w:pPr>
      <w:hyperlink w:anchor="_Toc97310524" w:history="1">
        <w:r w:rsidR="00F63169" w:rsidRPr="00670586">
          <w:rPr>
            <w:rStyle w:val="Hyperlink"/>
            <w:noProof/>
          </w:rPr>
          <w:t>9.5 Discussion</w:t>
        </w:r>
        <w:r w:rsidR="00F63169">
          <w:rPr>
            <w:noProof/>
            <w:webHidden/>
          </w:rPr>
          <w:tab/>
        </w:r>
        <w:r w:rsidR="00F63169">
          <w:rPr>
            <w:noProof/>
            <w:webHidden/>
          </w:rPr>
          <w:fldChar w:fldCharType="begin"/>
        </w:r>
        <w:r w:rsidR="00F63169">
          <w:rPr>
            <w:noProof/>
            <w:webHidden/>
          </w:rPr>
          <w:instrText xml:space="preserve"> PAGEREF _Toc97310524 \h </w:instrText>
        </w:r>
        <w:r w:rsidR="00F63169">
          <w:rPr>
            <w:noProof/>
            <w:webHidden/>
          </w:rPr>
        </w:r>
        <w:r w:rsidR="00F63169">
          <w:rPr>
            <w:noProof/>
            <w:webHidden/>
          </w:rPr>
          <w:fldChar w:fldCharType="separate"/>
        </w:r>
        <w:r w:rsidR="002809AA">
          <w:rPr>
            <w:noProof/>
            <w:webHidden/>
          </w:rPr>
          <w:t>190</w:t>
        </w:r>
        <w:r w:rsidR="00F63169">
          <w:rPr>
            <w:noProof/>
            <w:webHidden/>
          </w:rPr>
          <w:fldChar w:fldCharType="end"/>
        </w:r>
      </w:hyperlink>
    </w:p>
    <w:p w14:paraId="54AB9416" w14:textId="780D6F31" w:rsidR="00F63169" w:rsidRDefault="00322DCE">
      <w:pPr>
        <w:pStyle w:val="TOC3"/>
        <w:tabs>
          <w:tab w:val="right" w:leader="dot" w:pos="9016"/>
        </w:tabs>
        <w:rPr>
          <w:rFonts w:cstheme="minorBidi"/>
          <w:noProof/>
          <w:lang w:val="en-GB" w:eastAsia="en-GB"/>
        </w:rPr>
      </w:pPr>
      <w:hyperlink w:anchor="_Toc97310525" w:history="1">
        <w:r w:rsidR="00F63169" w:rsidRPr="00670586">
          <w:rPr>
            <w:rStyle w:val="Hyperlink"/>
            <w:noProof/>
          </w:rPr>
          <w:t>9.5.1 Strengths and Limitations</w:t>
        </w:r>
        <w:r w:rsidR="00F63169">
          <w:rPr>
            <w:noProof/>
            <w:webHidden/>
          </w:rPr>
          <w:tab/>
        </w:r>
        <w:r w:rsidR="00F63169">
          <w:rPr>
            <w:noProof/>
            <w:webHidden/>
          </w:rPr>
          <w:fldChar w:fldCharType="begin"/>
        </w:r>
        <w:r w:rsidR="00F63169">
          <w:rPr>
            <w:noProof/>
            <w:webHidden/>
          </w:rPr>
          <w:instrText xml:space="preserve"> PAGEREF _Toc97310525 \h </w:instrText>
        </w:r>
        <w:r w:rsidR="00F63169">
          <w:rPr>
            <w:noProof/>
            <w:webHidden/>
          </w:rPr>
        </w:r>
        <w:r w:rsidR="00F63169">
          <w:rPr>
            <w:noProof/>
            <w:webHidden/>
          </w:rPr>
          <w:fldChar w:fldCharType="separate"/>
        </w:r>
        <w:r w:rsidR="002809AA">
          <w:rPr>
            <w:noProof/>
            <w:webHidden/>
          </w:rPr>
          <w:t>193</w:t>
        </w:r>
        <w:r w:rsidR="00F63169">
          <w:rPr>
            <w:noProof/>
            <w:webHidden/>
          </w:rPr>
          <w:fldChar w:fldCharType="end"/>
        </w:r>
      </w:hyperlink>
    </w:p>
    <w:p w14:paraId="555CEE40" w14:textId="2DCC92D5" w:rsidR="00F63169" w:rsidRDefault="00322DCE">
      <w:pPr>
        <w:pStyle w:val="TOC3"/>
        <w:tabs>
          <w:tab w:val="right" w:leader="dot" w:pos="9016"/>
        </w:tabs>
        <w:rPr>
          <w:rFonts w:cstheme="minorBidi"/>
          <w:noProof/>
          <w:lang w:val="en-GB" w:eastAsia="en-GB"/>
        </w:rPr>
      </w:pPr>
      <w:hyperlink w:anchor="_Toc97310526" w:history="1">
        <w:r w:rsidR="00F63169" w:rsidRPr="00670586">
          <w:rPr>
            <w:rStyle w:val="Hyperlink"/>
            <w:noProof/>
          </w:rPr>
          <w:t>9.5.2 Conclusion</w:t>
        </w:r>
        <w:r w:rsidR="00F63169">
          <w:rPr>
            <w:noProof/>
            <w:webHidden/>
          </w:rPr>
          <w:tab/>
        </w:r>
        <w:r w:rsidR="00F63169">
          <w:rPr>
            <w:noProof/>
            <w:webHidden/>
          </w:rPr>
          <w:fldChar w:fldCharType="begin"/>
        </w:r>
        <w:r w:rsidR="00F63169">
          <w:rPr>
            <w:noProof/>
            <w:webHidden/>
          </w:rPr>
          <w:instrText xml:space="preserve"> PAGEREF _Toc97310526 \h </w:instrText>
        </w:r>
        <w:r w:rsidR="00F63169">
          <w:rPr>
            <w:noProof/>
            <w:webHidden/>
          </w:rPr>
        </w:r>
        <w:r w:rsidR="00F63169">
          <w:rPr>
            <w:noProof/>
            <w:webHidden/>
          </w:rPr>
          <w:fldChar w:fldCharType="separate"/>
        </w:r>
        <w:r w:rsidR="002809AA">
          <w:rPr>
            <w:noProof/>
            <w:webHidden/>
          </w:rPr>
          <w:t>194</w:t>
        </w:r>
        <w:r w:rsidR="00F63169">
          <w:rPr>
            <w:noProof/>
            <w:webHidden/>
          </w:rPr>
          <w:fldChar w:fldCharType="end"/>
        </w:r>
      </w:hyperlink>
    </w:p>
    <w:p w14:paraId="692CFA6B" w14:textId="581FA127" w:rsidR="00F63169" w:rsidRDefault="00322DCE">
      <w:pPr>
        <w:pStyle w:val="TOC1"/>
        <w:tabs>
          <w:tab w:val="right" w:leader="dot" w:pos="9016"/>
        </w:tabs>
        <w:rPr>
          <w:rFonts w:cstheme="minorBidi"/>
          <w:noProof/>
          <w:lang w:val="en-GB" w:eastAsia="en-GB"/>
        </w:rPr>
      </w:pPr>
      <w:hyperlink r:id="rId21" w:anchor="_Toc97310527" w:history="1">
        <w:r w:rsidR="00F63169" w:rsidRPr="00670586">
          <w:rPr>
            <w:rStyle w:val="Hyperlink"/>
            <w:b/>
            <w:bCs/>
            <w:noProof/>
          </w:rPr>
          <w:t>Chapter 10. General Discussion</w:t>
        </w:r>
        <w:r w:rsidR="00F63169">
          <w:rPr>
            <w:noProof/>
            <w:webHidden/>
          </w:rPr>
          <w:tab/>
        </w:r>
        <w:r w:rsidR="00F63169">
          <w:rPr>
            <w:noProof/>
            <w:webHidden/>
          </w:rPr>
          <w:fldChar w:fldCharType="begin"/>
        </w:r>
        <w:r w:rsidR="00F63169">
          <w:rPr>
            <w:noProof/>
            <w:webHidden/>
          </w:rPr>
          <w:instrText xml:space="preserve"> PAGEREF _Toc97310527 \h </w:instrText>
        </w:r>
        <w:r w:rsidR="00F63169">
          <w:rPr>
            <w:noProof/>
            <w:webHidden/>
          </w:rPr>
        </w:r>
        <w:r w:rsidR="00F63169">
          <w:rPr>
            <w:noProof/>
            <w:webHidden/>
          </w:rPr>
          <w:fldChar w:fldCharType="separate"/>
        </w:r>
        <w:r w:rsidR="002809AA">
          <w:rPr>
            <w:noProof/>
            <w:webHidden/>
          </w:rPr>
          <w:t>195</w:t>
        </w:r>
        <w:r w:rsidR="00F63169">
          <w:rPr>
            <w:noProof/>
            <w:webHidden/>
          </w:rPr>
          <w:fldChar w:fldCharType="end"/>
        </w:r>
      </w:hyperlink>
    </w:p>
    <w:p w14:paraId="7D8FCDA8" w14:textId="4F82C8F8" w:rsidR="00F63169" w:rsidRDefault="00322DCE">
      <w:pPr>
        <w:pStyle w:val="TOC2"/>
        <w:rPr>
          <w:rFonts w:eastAsiaTheme="minorEastAsia"/>
          <w:noProof/>
          <w:lang w:eastAsia="en-GB"/>
        </w:rPr>
      </w:pPr>
      <w:hyperlink w:anchor="_Toc97310528" w:history="1">
        <w:r w:rsidR="00F63169" w:rsidRPr="00670586">
          <w:rPr>
            <w:rStyle w:val="Hyperlink"/>
            <w:noProof/>
          </w:rPr>
          <w:t>10.1 Introduction</w:t>
        </w:r>
        <w:r w:rsidR="00F63169">
          <w:rPr>
            <w:noProof/>
            <w:webHidden/>
          </w:rPr>
          <w:tab/>
        </w:r>
        <w:r w:rsidR="00F63169">
          <w:rPr>
            <w:noProof/>
            <w:webHidden/>
          </w:rPr>
          <w:fldChar w:fldCharType="begin"/>
        </w:r>
        <w:r w:rsidR="00F63169">
          <w:rPr>
            <w:noProof/>
            <w:webHidden/>
          </w:rPr>
          <w:instrText xml:space="preserve"> PAGEREF _Toc97310528 \h </w:instrText>
        </w:r>
        <w:r w:rsidR="00F63169">
          <w:rPr>
            <w:noProof/>
            <w:webHidden/>
          </w:rPr>
        </w:r>
        <w:r w:rsidR="00F63169">
          <w:rPr>
            <w:noProof/>
            <w:webHidden/>
          </w:rPr>
          <w:fldChar w:fldCharType="separate"/>
        </w:r>
        <w:r w:rsidR="002809AA">
          <w:rPr>
            <w:noProof/>
            <w:webHidden/>
          </w:rPr>
          <w:t>196</w:t>
        </w:r>
        <w:r w:rsidR="00F63169">
          <w:rPr>
            <w:noProof/>
            <w:webHidden/>
          </w:rPr>
          <w:fldChar w:fldCharType="end"/>
        </w:r>
      </w:hyperlink>
    </w:p>
    <w:p w14:paraId="10D1B0BA" w14:textId="194A9112" w:rsidR="00F63169" w:rsidRDefault="00322DCE">
      <w:pPr>
        <w:pStyle w:val="TOC2"/>
        <w:rPr>
          <w:rFonts w:eastAsiaTheme="minorEastAsia"/>
          <w:noProof/>
          <w:lang w:eastAsia="en-GB"/>
        </w:rPr>
      </w:pPr>
      <w:hyperlink w:anchor="_Toc97310529" w:history="1">
        <w:r w:rsidR="00F63169" w:rsidRPr="00670586">
          <w:rPr>
            <w:rStyle w:val="Hyperlink"/>
            <w:noProof/>
          </w:rPr>
          <w:t>10.2 Addressing the thesis aims and objectives</w:t>
        </w:r>
        <w:r w:rsidR="00F63169">
          <w:rPr>
            <w:noProof/>
            <w:webHidden/>
          </w:rPr>
          <w:tab/>
        </w:r>
        <w:r w:rsidR="00F63169">
          <w:rPr>
            <w:noProof/>
            <w:webHidden/>
          </w:rPr>
          <w:fldChar w:fldCharType="begin"/>
        </w:r>
        <w:r w:rsidR="00F63169">
          <w:rPr>
            <w:noProof/>
            <w:webHidden/>
          </w:rPr>
          <w:instrText xml:space="preserve"> PAGEREF _Toc97310529 \h </w:instrText>
        </w:r>
        <w:r w:rsidR="00F63169">
          <w:rPr>
            <w:noProof/>
            <w:webHidden/>
          </w:rPr>
        </w:r>
        <w:r w:rsidR="00F63169">
          <w:rPr>
            <w:noProof/>
            <w:webHidden/>
          </w:rPr>
          <w:fldChar w:fldCharType="separate"/>
        </w:r>
        <w:r w:rsidR="002809AA">
          <w:rPr>
            <w:noProof/>
            <w:webHidden/>
          </w:rPr>
          <w:t>196</w:t>
        </w:r>
        <w:r w:rsidR="00F63169">
          <w:rPr>
            <w:noProof/>
            <w:webHidden/>
          </w:rPr>
          <w:fldChar w:fldCharType="end"/>
        </w:r>
      </w:hyperlink>
    </w:p>
    <w:p w14:paraId="57758B70" w14:textId="19809EA4" w:rsidR="00F63169" w:rsidRDefault="00322DCE">
      <w:pPr>
        <w:pStyle w:val="TOC2"/>
        <w:rPr>
          <w:rFonts w:eastAsiaTheme="minorEastAsia"/>
          <w:noProof/>
          <w:lang w:eastAsia="en-GB"/>
        </w:rPr>
      </w:pPr>
      <w:hyperlink w:anchor="_Toc97310530" w:history="1">
        <w:r w:rsidR="00F63169" w:rsidRPr="00670586">
          <w:rPr>
            <w:rStyle w:val="Hyperlink"/>
            <w:noProof/>
          </w:rPr>
          <w:t>10.3 Strengths and Limitations</w:t>
        </w:r>
        <w:r w:rsidR="00F63169">
          <w:rPr>
            <w:noProof/>
            <w:webHidden/>
          </w:rPr>
          <w:tab/>
        </w:r>
        <w:r w:rsidR="00F63169">
          <w:rPr>
            <w:noProof/>
            <w:webHidden/>
          </w:rPr>
          <w:fldChar w:fldCharType="begin"/>
        </w:r>
        <w:r w:rsidR="00F63169">
          <w:rPr>
            <w:noProof/>
            <w:webHidden/>
          </w:rPr>
          <w:instrText xml:space="preserve"> PAGEREF _Toc97310530 \h </w:instrText>
        </w:r>
        <w:r w:rsidR="00F63169">
          <w:rPr>
            <w:noProof/>
            <w:webHidden/>
          </w:rPr>
        </w:r>
        <w:r w:rsidR="00F63169">
          <w:rPr>
            <w:noProof/>
            <w:webHidden/>
          </w:rPr>
          <w:fldChar w:fldCharType="separate"/>
        </w:r>
        <w:r w:rsidR="002809AA">
          <w:rPr>
            <w:noProof/>
            <w:webHidden/>
          </w:rPr>
          <w:t>200</w:t>
        </w:r>
        <w:r w:rsidR="00F63169">
          <w:rPr>
            <w:noProof/>
            <w:webHidden/>
          </w:rPr>
          <w:fldChar w:fldCharType="end"/>
        </w:r>
      </w:hyperlink>
    </w:p>
    <w:p w14:paraId="5373268C" w14:textId="3B8E3C05" w:rsidR="00F63169" w:rsidRDefault="00322DCE">
      <w:pPr>
        <w:pStyle w:val="TOC3"/>
        <w:tabs>
          <w:tab w:val="right" w:leader="dot" w:pos="9016"/>
        </w:tabs>
        <w:rPr>
          <w:rFonts w:cstheme="minorBidi"/>
          <w:noProof/>
          <w:lang w:val="en-GB" w:eastAsia="en-GB"/>
        </w:rPr>
      </w:pPr>
      <w:hyperlink w:anchor="_Toc97310531" w:history="1">
        <w:r w:rsidR="00F63169" w:rsidRPr="00670586">
          <w:rPr>
            <w:rStyle w:val="Hyperlink"/>
            <w:noProof/>
          </w:rPr>
          <w:t>10.3.1 Participants</w:t>
        </w:r>
        <w:r w:rsidR="00F63169">
          <w:rPr>
            <w:noProof/>
            <w:webHidden/>
          </w:rPr>
          <w:tab/>
        </w:r>
        <w:r w:rsidR="00F63169">
          <w:rPr>
            <w:noProof/>
            <w:webHidden/>
          </w:rPr>
          <w:fldChar w:fldCharType="begin"/>
        </w:r>
        <w:r w:rsidR="00F63169">
          <w:rPr>
            <w:noProof/>
            <w:webHidden/>
          </w:rPr>
          <w:instrText xml:space="preserve"> PAGEREF _Toc97310531 \h </w:instrText>
        </w:r>
        <w:r w:rsidR="00F63169">
          <w:rPr>
            <w:noProof/>
            <w:webHidden/>
          </w:rPr>
        </w:r>
        <w:r w:rsidR="00F63169">
          <w:rPr>
            <w:noProof/>
            <w:webHidden/>
          </w:rPr>
          <w:fldChar w:fldCharType="separate"/>
        </w:r>
        <w:r w:rsidR="002809AA">
          <w:rPr>
            <w:noProof/>
            <w:webHidden/>
          </w:rPr>
          <w:t>200</w:t>
        </w:r>
        <w:r w:rsidR="00F63169">
          <w:rPr>
            <w:noProof/>
            <w:webHidden/>
          </w:rPr>
          <w:fldChar w:fldCharType="end"/>
        </w:r>
      </w:hyperlink>
    </w:p>
    <w:p w14:paraId="039AA10E" w14:textId="6CA9CD62" w:rsidR="00F63169" w:rsidRDefault="00322DCE">
      <w:pPr>
        <w:pStyle w:val="TOC3"/>
        <w:tabs>
          <w:tab w:val="right" w:leader="dot" w:pos="9016"/>
        </w:tabs>
        <w:rPr>
          <w:rFonts w:cstheme="minorBidi"/>
          <w:noProof/>
          <w:lang w:val="en-GB" w:eastAsia="en-GB"/>
        </w:rPr>
      </w:pPr>
      <w:hyperlink w:anchor="_Toc97310532" w:history="1">
        <w:r w:rsidR="00F63169" w:rsidRPr="00670586">
          <w:rPr>
            <w:rStyle w:val="Hyperlink"/>
            <w:noProof/>
          </w:rPr>
          <w:t>10.3.2 Methodological Approach</w:t>
        </w:r>
        <w:r w:rsidR="00F63169">
          <w:rPr>
            <w:noProof/>
            <w:webHidden/>
          </w:rPr>
          <w:tab/>
        </w:r>
        <w:r w:rsidR="00F63169">
          <w:rPr>
            <w:noProof/>
            <w:webHidden/>
          </w:rPr>
          <w:fldChar w:fldCharType="begin"/>
        </w:r>
        <w:r w:rsidR="00F63169">
          <w:rPr>
            <w:noProof/>
            <w:webHidden/>
          </w:rPr>
          <w:instrText xml:space="preserve"> PAGEREF _Toc97310532 \h </w:instrText>
        </w:r>
        <w:r w:rsidR="00F63169">
          <w:rPr>
            <w:noProof/>
            <w:webHidden/>
          </w:rPr>
        </w:r>
        <w:r w:rsidR="00F63169">
          <w:rPr>
            <w:noProof/>
            <w:webHidden/>
          </w:rPr>
          <w:fldChar w:fldCharType="separate"/>
        </w:r>
        <w:r w:rsidR="002809AA">
          <w:rPr>
            <w:noProof/>
            <w:webHidden/>
          </w:rPr>
          <w:t>200</w:t>
        </w:r>
        <w:r w:rsidR="00F63169">
          <w:rPr>
            <w:noProof/>
            <w:webHidden/>
          </w:rPr>
          <w:fldChar w:fldCharType="end"/>
        </w:r>
      </w:hyperlink>
    </w:p>
    <w:p w14:paraId="5E21418B" w14:textId="03513D79" w:rsidR="00F63169" w:rsidRDefault="00322DCE">
      <w:pPr>
        <w:pStyle w:val="TOC3"/>
        <w:tabs>
          <w:tab w:val="right" w:leader="dot" w:pos="9016"/>
        </w:tabs>
        <w:rPr>
          <w:rFonts w:cstheme="minorBidi"/>
          <w:noProof/>
          <w:lang w:val="en-GB" w:eastAsia="en-GB"/>
        </w:rPr>
      </w:pPr>
      <w:hyperlink w:anchor="_Toc97310533" w:history="1">
        <w:r w:rsidR="00F63169" w:rsidRPr="00670586">
          <w:rPr>
            <w:rStyle w:val="Hyperlink"/>
            <w:noProof/>
          </w:rPr>
          <w:t>10.3.3 Analysis</w:t>
        </w:r>
        <w:r w:rsidR="00F63169">
          <w:rPr>
            <w:noProof/>
            <w:webHidden/>
          </w:rPr>
          <w:tab/>
        </w:r>
        <w:r w:rsidR="00F63169">
          <w:rPr>
            <w:noProof/>
            <w:webHidden/>
          </w:rPr>
          <w:fldChar w:fldCharType="begin"/>
        </w:r>
        <w:r w:rsidR="00F63169">
          <w:rPr>
            <w:noProof/>
            <w:webHidden/>
          </w:rPr>
          <w:instrText xml:space="preserve"> PAGEREF _Toc97310533 \h </w:instrText>
        </w:r>
        <w:r w:rsidR="00F63169">
          <w:rPr>
            <w:noProof/>
            <w:webHidden/>
          </w:rPr>
        </w:r>
        <w:r w:rsidR="00F63169">
          <w:rPr>
            <w:noProof/>
            <w:webHidden/>
          </w:rPr>
          <w:fldChar w:fldCharType="separate"/>
        </w:r>
        <w:r w:rsidR="002809AA">
          <w:rPr>
            <w:noProof/>
            <w:webHidden/>
          </w:rPr>
          <w:t>202</w:t>
        </w:r>
        <w:r w:rsidR="00F63169">
          <w:rPr>
            <w:noProof/>
            <w:webHidden/>
          </w:rPr>
          <w:fldChar w:fldCharType="end"/>
        </w:r>
      </w:hyperlink>
    </w:p>
    <w:p w14:paraId="3CDC58D3" w14:textId="7EEDDC00" w:rsidR="00F63169" w:rsidRDefault="00322DCE">
      <w:pPr>
        <w:pStyle w:val="TOC2"/>
        <w:rPr>
          <w:rFonts w:eastAsiaTheme="minorEastAsia"/>
          <w:noProof/>
          <w:lang w:eastAsia="en-GB"/>
        </w:rPr>
      </w:pPr>
      <w:hyperlink w:anchor="_Toc97310534" w:history="1">
        <w:r w:rsidR="00F63169" w:rsidRPr="00670586">
          <w:rPr>
            <w:rStyle w:val="Hyperlink"/>
            <w:noProof/>
          </w:rPr>
          <w:t>10.4 Theoretical and Practical Implications</w:t>
        </w:r>
        <w:r w:rsidR="00F63169">
          <w:rPr>
            <w:noProof/>
            <w:webHidden/>
          </w:rPr>
          <w:tab/>
        </w:r>
        <w:r w:rsidR="00F63169">
          <w:rPr>
            <w:noProof/>
            <w:webHidden/>
          </w:rPr>
          <w:fldChar w:fldCharType="begin"/>
        </w:r>
        <w:r w:rsidR="00F63169">
          <w:rPr>
            <w:noProof/>
            <w:webHidden/>
          </w:rPr>
          <w:instrText xml:space="preserve"> PAGEREF _Toc97310534 \h </w:instrText>
        </w:r>
        <w:r w:rsidR="00F63169">
          <w:rPr>
            <w:noProof/>
            <w:webHidden/>
          </w:rPr>
        </w:r>
        <w:r w:rsidR="00F63169">
          <w:rPr>
            <w:noProof/>
            <w:webHidden/>
          </w:rPr>
          <w:fldChar w:fldCharType="separate"/>
        </w:r>
        <w:r w:rsidR="002809AA">
          <w:rPr>
            <w:noProof/>
            <w:webHidden/>
          </w:rPr>
          <w:t>203</w:t>
        </w:r>
        <w:r w:rsidR="00F63169">
          <w:rPr>
            <w:noProof/>
            <w:webHidden/>
          </w:rPr>
          <w:fldChar w:fldCharType="end"/>
        </w:r>
      </w:hyperlink>
    </w:p>
    <w:p w14:paraId="6C485CA2" w14:textId="740DD398" w:rsidR="00F63169" w:rsidRDefault="00322DCE">
      <w:pPr>
        <w:pStyle w:val="TOC3"/>
        <w:tabs>
          <w:tab w:val="right" w:leader="dot" w:pos="9016"/>
        </w:tabs>
        <w:rPr>
          <w:rFonts w:cstheme="minorBidi"/>
          <w:noProof/>
          <w:lang w:val="en-GB" w:eastAsia="en-GB"/>
        </w:rPr>
      </w:pPr>
      <w:hyperlink w:anchor="_Toc97310535" w:history="1">
        <w:r w:rsidR="00F63169" w:rsidRPr="00670586">
          <w:rPr>
            <w:rStyle w:val="Hyperlink"/>
            <w:noProof/>
          </w:rPr>
          <w:t>10.4.1 Theoretical implications</w:t>
        </w:r>
        <w:r w:rsidR="00F63169">
          <w:rPr>
            <w:noProof/>
            <w:webHidden/>
          </w:rPr>
          <w:tab/>
        </w:r>
        <w:r w:rsidR="00F63169">
          <w:rPr>
            <w:noProof/>
            <w:webHidden/>
          </w:rPr>
          <w:fldChar w:fldCharType="begin"/>
        </w:r>
        <w:r w:rsidR="00F63169">
          <w:rPr>
            <w:noProof/>
            <w:webHidden/>
          </w:rPr>
          <w:instrText xml:space="preserve"> PAGEREF _Toc97310535 \h </w:instrText>
        </w:r>
        <w:r w:rsidR="00F63169">
          <w:rPr>
            <w:noProof/>
            <w:webHidden/>
          </w:rPr>
        </w:r>
        <w:r w:rsidR="00F63169">
          <w:rPr>
            <w:noProof/>
            <w:webHidden/>
          </w:rPr>
          <w:fldChar w:fldCharType="separate"/>
        </w:r>
        <w:r w:rsidR="002809AA">
          <w:rPr>
            <w:noProof/>
            <w:webHidden/>
          </w:rPr>
          <w:t>203</w:t>
        </w:r>
        <w:r w:rsidR="00F63169">
          <w:rPr>
            <w:noProof/>
            <w:webHidden/>
          </w:rPr>
          <w:fldChar w:fldCharType="end"/>
        </w:r>
      </w:hyperlink>
    </w:p>
    <w:p w14:paraId="2F16A5B8" w14:textId="776F54A6" w:rsidR="00F63169" w:rsidRDefault="00322DCE">
      <w:pPr>
        <w:pStyle w:val="TOC3"/>
        <w:tabs>
          <w:tab w:val="right" w:leader="dot" w:pos="9016"/>
        </w:tabs>
        <w:rPr>
          <w:rFonts w:cstheme="minorBidi"/>
          <w:noProof/>
          <w:lang w:val="en-GB" w:eastAsia="en-GB"/>
        </w:rPr>
      </w:pPr>
      <w:hyperlink w:anchor="_Toc97310536" w:history="1">
        <w:r w:rsidR="00F63169" w:rsidRPr="00670586">
          <w:rPr>
            <w:rStyle w:val="Hyperlink"/>
            <w:noProof/>
          </w:rPr>
          <w:t>10.4.2 Practical implications</w:t>
        </w:r>
        <w:r w:rsidR="00F63169">
          <w:rPr>
            <w:noProof/>
            <w:webHidden/>
          </w:rPr>
          <w:tab/>
        </w:r>
        <w:r w:rsidR="00F63169">
          <w:rPr>
            <w:noProof/>
            <w:webHidden/>
          </w:rPr>
          <w:fldChar w:fldCharType="begin"/>
        </w:r>
        <w:r w:rsidR="00F63169">
          <w:rPr>
            <w:noProof/>
            <w:webHidden/>
          </w:rPr>
          <w:instrText xml:space="preserve"> PAGEREF _Toc97310536 \h </w:instrText>
        </w:r>
        <w:r w:rsidR="00F63169">
          <w:rPr>
            <w:noProof/>
            <w:webHidden/>
          </w:rPr>
        </w:r>
        <w:r w:rsidR="00F63169">
          <w:rPr>
            <w:noProof/>
            <w:webHidden/>
          </w:rPr>
          <w:fldChar w:fldCharType="separate"/>
        </w:r>
        <w:r w:rsidR="002809AA">
          <w:rPr>
            <w:noProof/>
            <w:webHidden/>
          </w:rPr>
          <w:t>204</w:t>
        </w:r>
        <w:r w:rsidR="00F63169">
          <w:rPr>
            <w:noProof/>
            <w:webHidden/>
          </w:rPr>
          <w:fldChar w:fldCharType="end"/>
        </w:r>
      </w:hyperlink>
    </w:p>
    <w:p w14:paraId="12E048DB" w14:textId="1F0189D6" w:rsidR="00F63169" w:rsidRDefault="00322DCE">
      <w:pPr>
        <w:pStyle w:val="TOC2"/>
        <w:rPr>
          <w:rFonts w:eastAsiaTheme="minorEastAsia"/>
          <w:noProof/>
          <w:lang w:eastAsia="en-GB"/>
        </w:rPr>
      </w:pPr>
      <w:hyperlink w:anchor="_Toc97310537" w:history="1">
        <w:r w:rsidR="00F63169" w:rsidRPr="00670586">
          <w:rPr>
            <w:rStyle w:val="Hyperlink"/>
            <w:noProof/>
          </w:rPr>
          <w:t>10.5 Future Directions</w:t>
        </w:r>
        <w:r w:rsidR="00F63169">
          <w:rPr>
            <w:noProof/>
            <w:webHidden/>
          </w:rPr>
          <w:tab/>
        </w:r>
        <w:r w:rsidR="00F63169">
          <w:rPr>
            <w:noProof/>
            <w:webHidden/>
          </w:rPr>
          <w:fldChar w:fldCharType="begin"/>
        </w:r>
        <w:r w:rsidR="00F63169">
          <w:rPr>
            <w:noProof/>
            <w:webHidden/>
          </w:rPr>
          <w:instrText xml:space="preserve"> PAGEREF _Toc97310537 \h </w:instrText>
        </w:r>
        <w:r w:rsidR="00F63169">
          <w:rPr>
            <w:noProof/>
            <w:webHidden/>
          </w:rPr>
        </w:r>
        <w:r w:rsidR="00F63169">
          <w:rPr>
            <w:noProof/>
            <w:webHidden/>
          </w:rPr>
          <w:fldChar w:fldCharType="separate"/>
        </w:r>
        <w:r w:rsidR="002809AA">
          <w:rPr>
            <w:noProof/>
            <w:webHidden/>
          </w:rPr>
          <w:t>206</w:t>
        </w:r>
        <w:r w:rsidR="00F63169">
          <w:rPr>
            <w:noProof/>
            <w:webHidden/>
          </w:rPr>
          <w:fldChar w:fldCharType="end"/>
        </w:r>
      </w:hyperlink>
    </w:p>
    <w:p w14:paraId="4157B833" w14:textId="3EE2C591" w:rsidR="00F63169" w:rsidRDefault="00322DCE">
      <w:pPr>
        <w:pStyle w:val="TOC2"/>
        <w:rPr>
          <w:rFonts w:eastAsiaTheme="minorEastAsia"/>
          <w:noProof/>
          <w:lang w:eastAsia="en-GB"/>
        </w:rPr>
      </w:pPr>
      <w:hyperlink w:anchor="_Toc97310538" w:history="1">
        <w:r w:rsidR="00F63169" w:rsidRPr="00670586">
          <w:rPr>
            <w:rStyle w:val="Hyperlink"/>
            <w:noProof/>
          </w:rPr>
          <w:t>10.6 Researcher’s Reflections</w:t>
        </w:r>
        <w:r w:rsidR="00F63169">
          <w:rPr>
            <w:noProof/>
            <w:webHidden/>
          </w:rPr>
          <w:tab/>
        </w:r>
        <w:r w:rsidR="00F63169">
          <w:rPr>
            <w:noProof/>
            <w:webHidden/>
          </w:rPr>
          <w:fldChar w:fldCharType="begin"/>
        </w:r>
        <w:r w:rsidR="00F63169">
          <w:rPr>
            <w:noProof/>
            <w:webHidden/>
          </w:rPr>
          <w:instrText xml:space="preserve"> PAGEREF _Toc97310538 \h </w:instrText>
        </w:r>
        <w:r w:rsidR="00F63169">
          <w:rPr>
            <w:noProof/>
            <w:webHidden/>
          </w:rPr>
        </w:r>
        <w:r w:rsidR="00F63169">
          <w:rPr>
            <w:noProof/>
            <w:webHidden/>
          </w:rPr>
          <w:fldChar w:fldCharType="separate"/>
        </w:r>
        <w:r w:rsidR="002809AA">
          <w:rPr>
            <w:noProof/>
            <w:webHidden/>
          </w:rPr>
          <w:t>208</w:t>
        </w:r>
        <w:r w:rsidR="00F63169">
          <w:rPr>
            <w:noProof/>
            <w:webHidden/>
          </w:rPr>
          <w:fldChar w:fldCharType="end"/>
        </w:r>
      </w:hyperlink>
    </w:p>
    <w:p w14:paraId="5D4250AC" w14:textId="4D475611" w:rsidR="00F63169" w:rsidRDefault="00322DCE">
      <w:pPr>
        <w:pStyle w:val="TOC2"/>
        <w:rPr>
          <w:rFonts w:eastAsiaTheme="minorEastAsia"/>
          <w:noProof/>
          <w:lang w:eastAsia="en-GB"/>
        </w:rPr>
      </w:pPr>
      <w:hyperlink w:anchor="_Toc97310539" w:history="1">
        <w:r w:rsidR="00F63169" w:rsidRPr="00670586">
          <w:rPr>
            <w:rStyle w:val="Hyperlink"/>
            <w:noProof/>
          </w:rPr>
          <w:t>10.7 General Conclusion</w:t>
        </w:r>
        <w:r w:rsidR="00F63169">
          <w:rPr>
            <w:noProof/>
            <w:webHidden/>
          </w:rPr>
          <w:tab/>
        </w:r>
        <w:r w:rsidR="00F63169">
          <w:rPr>
            <w:noProof/>
            <w:webHidden/>
          </w:rPr>
          <w:fldChar w:fldCharType="begin"/>
        </w:r>
        <w:r w:rsidR="00F63169">
          <w:rPr>
            <w:noProof/>
            <w:webHidden/>
          </w:rPr>
          <w:instrText xml:space="preserve"> PAGEREF _Toc97310539 \h </w:instrText>
        </w:r>
        <w:r w:rsidR="00F63169">
          <w:rPr>
            <w:noProof/>
            <w:webHidden/>
          </w:rPr>
        </w:r>
        <w:r w:rsidR="00F63169">
          <w:rPr>
            <w:noProof/>
            <w:webHidden/>
          </w:rPr>
          <w:fldChar w:fldCharType="separate"/>
        </w:r>
        <w:r w:rsidR="002809AA">
          <w:rPr>
            <w:noProof/>
            <w:webHidden/>
          </w:rPr>
          <w:t>211</w:t>
        </w:r>
        <w:r w:rsidR="00F63169">
          <w:rPr>
            <w:noProof/>
            <w:webHidden/>
          </w:rPr>
          <w:fldChar w:fldCharType="end"/>
        </w:r>
      </w:hyperlink>
    </w:p>
    <w:p w14:paraId="541DAFA6" w14:textId="5D7FC5B3" w:rsidR="00F63169" w:rsidRDefault="00322DCE">
      <w:pPr>
        <w:pStyle w:val="TOC1"/>
        <w:tabs>
          <w:tab w:val="right" w:leader="dot" w:pos="9016"/>
        </w:tabs>
        <w:rPr>
          <w:rFonts w:cstheme="minorBidi"/>
          <w:noProof/>
          <w:lang w:val="en-GB" w:eastAsia="en-GB"/>
        </w:rPr>
      </w:pPr>
      <w:hyperlink w:anchor="_Toc97310540" w:history="1">
        <w:r w:rsidR="00F63169" w:rsidRPr="00670586">
          <w:rPr>
            <w:rStyle w:val="Hyperlink"/>
            <w:b/>
            <w:bCs/>
            <w:noProof/>
          </w:rPr>
          <w:t>References</w:t>
        </w:r>
        <w:r w:rsidR="00F63169">
          <w:rPr>
            <w:noProof/>
            <w:webHidden/>
          </w:rPr>
          <w:tab/>
        </w:r>
        <w:r w:rsidR="00F63169">
          <w:rPr>
            <w:noProof/>
            <w:webHidden/>
          </w:rPr>
          <w:fldChar w:fldCharType="begin"/>
        </w:r>
        <w:r w:rsidR="00F63169">
          <w:rPr>
            <w:noProof/>
            <w:webHidden/>
          </w:rPr>
          <w:instrText xml:space="preserve"> PAGEREF _Toc97310540 \h </w:instrText>
        </w:r>
        <w:r w:rsidR="00F63169">
          <w:rPr>
            <w:noProof/>
            <w:webHidden/>
          </w:rPr>
        </w:r>
        <w:r w:rsidR="00F63169">
          <w:rPr>
            <w:noProof/>
            <w:webHidden/>
          </w:rPr>
          <w:fldChar w:fldCharType="separate"/>
        </w:r>
        <w:r w:rsidR="002809AA">
          <w:rPr>
            <w:noProof/>
            <w:webHidden/>
          </w:rPr>
          <w:t>213</w:t>
        </w:r>
        <w:r w:rsidR="00F63169">
          <w:rPr>
            <w:noProof/>
            <w:webHidden/>
          </w:rPr>
          <w:fldChar w:fldCharType="end"/>
        </w:r>
      </w:hyperlink>
    </w:p>
    <w:p w14:paraId="11E852FE" w14:textId="0F522593" w:rsidR="00F63169" w:rsidRDefault="00322DCE">
      <w:pPr>
        <w:pStyle w:val="TOC1"/>
        <w:tabs>
          <w:tab w:val="right" w:leader="dot" w:pos="9016"/>
        </w:tabs>
        <w:rPr>
          <w:rFonts w:cstheme="minorBidi"/>
          <w:noProof/>
          <w:lang w:val="en-GB" w:eastAsia="en-GB"/>
        </w:rPr>
      </w:pPr>
      <w:hyperlink w:anchor="_Toc97310541" w:history="1">
        <w:r w:rsidR="00F63169" w:rsidRPr="00670586">
          <w:rPr>
            <w:rStyle w:val="Hyperlink"/>
            <w:b/>
            <w:bCs/>
            <w:noProof/>
          </w:rPr>
          <w:t>Appendices</w:t>
        </w:r>
        <w:r w:rsidR="00F63169">
          <w:rPr>
            <w:noProof/>
            <w:webHidden/>
          </w:rPr>
          <w:tab/>
        </w:r>
        <w:r w:rsidR="00F63169">
          <w:rPr>
            <w:noProof/>
            <w:webHidden/>
          </w:rPr>
          <w:fldChar w:fldCharType="begin"/>
        </w:r>
        <w:r w:rsidR="00F63169">
          <w:rPr>
            <w:noProof/>
            <w:webHidden/>
          </w:rPr>
          <w:instrText xml:space="preserve"> PAGEREF _Toc97310541 \h </w:instrText>
        </w:r>
        <w:r w:rsidR="00F63169">
          <w:rPr>
            <w:noProof/>
            <w:webHidden/>
          </w:rPr>
        </w:r>
        <w:r w:rsidR="00F63169">
          <w:rPr>
            <w:noProof/>
            <w:webHidden/>
          </w:rPr>
          <w:fldChar w:fldCharType="separate"/>
        </w:r>
        <w:r w:rsidR="002809AA">
          <w:rPr>
            <w:noProof/>
            <w:webHidden/>
          </w:rPr>
          <w:t>240</w:t>
        </w:r>
        <w:r w:rsidR="00F63169">
          <w:rPr>
            <w:noProof/>
            <w:webHidden/>
          </w:rPr>
          <w:fldChar w:fldCharType="end"/>
        </w:r>
      </w:hyperlink>
    </w:p>
    <w:p w14:paraId="64F5B655" w14:textId="18C48C07" w:rsidR="00DD5BC7" w:rsidRPr="00F02C72" w:rsidRDefault="00D65ABC" w:rsidP="00F02C72">
      <w:r>
        <w:fldChar w:fldCharType="end"/>
      </w:r>
    </w:p>
    <w:p w14:paraId="382C8F8E" w14:textId="5ACD9E37" w:rsidR="00DD5BC7" w:rsidRDefault="00DD5BC7" w:rsidP="00F02C72"/>
    <w:p w14:paraId="1D3B8E75" w14:textId="4AE64DB7" w:rsidR="00261C9D" w:rsidRDefault="00261C9D" w:rsidP="00F02C72"/>
    <w:p w14:paraId="00404910" w14:textId="3D3FADA6" w:rsidR="00261C9D" w:rsidRDefault="00261C9D" w:rsidP="00F02C72"/>
    <w:p w14:paraId="4EF5940B" w14:textId="3E3D50F3" w:rsidR="00261C9D" w:rsidRDefault="00261C9D" w:rsidP="00F02C72"/>
    <w:p w14:paraId="515743C8" w14:textId="1BD030C4" w:rsidR="00261C9D" w:rsidRDefault="00261C9D" w:rsidP="00F02C72"/>
    <w:p w14:paraId="1CEB9244" w14:textId="145703FC" w:rsidR="00261C9D" w:rsidRDefault="00261C9D" w:rsidP="00F02C72"/>
    <w:p w14:paraId="6940A6BF" w14:textId="7049E32C" w:rsidR="00261C9D" w:rsidRDefault="00261C9D" w:rsidP="00F02C72"/>
    <w:p w14:paraId="5D9CFD81" w14:textId="6AB614B4" w:rsidR="00261C9D" w:rsidRDefault="00261C9D" w:rsidP="00F02C72"/>
    <w:p w14:paraId="66452B3C" w14:textId="06988194" w:rsidR="00261C9D" w:rsidRDefault="00261C9D" w:rsidP="00F02C72"/>
    <w:p w14:paraId="23AFCA02" w14:textId="29E56DE5" w:rsidR="00261C9D" w:rsidRDefault="00261C9D" w:rsidP="00F02C72"/>
    <w:p w14:paraId="61B5A263" w14:textId="102392A6" w:rsidR="00261C9D" w:rsidRDefault="00261C9D" w:rsidP="00F02C72"/>
    <w:p w14:paraId="3FBDA63F" w14:textId="699FA4B6" w:rsidR="00261C9D" w:rsidRDefault="00261C9D" w:rsidP="00F02C72"/>
    <w:p w14:paraId="2C7ED48D" w14:textId="18ACF76C" w:rsidR="00261C9D" w:rsidRDefault="00261C9D" w:rsidP="00F02C72"/>
    <w:p w14:paraId="3E9CA7AD" w14:textId="1AD96F97" w:rsidR="00261C9D" w:rsidRDefault="00261C9D" w:rsidP="00F02C72"/>
    <w:p w14:paraId="229AC23C" w14:textId="261A2B20" w:rsidR="00261C9D" w:rsidRDefault="00261C9D" w:rsidP="00F02C72"/>
    <w:p w14:paraId="54F52E5C" w14:textId="5D00610D" w:rsidR="00261C9D" w:rsidRDefault="00261C9D" w:rsidP="00F02C72"/>
    <w:p w14:paraId="7298238F" w14:textId="51991E1C" w:rsidR="00261C9D" w:rsidRDefault="00261C9D" w:rsidP="00F02C72"/>
    <w:p w14:paraId="7A24E711" w14:textId="77777777" w:rsidR="00261C9D" w:rsidRPr="00F02C72" w:rsidRDefault="00261C9D" w:rsidP="00F02C72"/>
    <w:p w14:paraId="3A70FA54" w14:textId="4A6578D0" w:rsidR="00DD5BC7" w:rsidRDefault="00DD5BC7" w:rsidP="00F02C72"/>
    <w:p w14:paraId="31D88F04" w14:textId="77777777" w:rsidR="00062DC6" w:rsidRPr="00F02C72" w:rsidRDefault="00062DC6" w:rsidP="00F02C72"/>
    <w:p w14:paraId="0AC2D44C" w14:textId="6F570C06" w:rsidR="00DD5BC7" w:rsidRPr="00F02C72" w:rsidRDefault="00DD5BC7" w:rsidP="00F02C72"/>
    <w:bookmarkStart w:id="3" w:name="_Toc84678888"/>
    <w:p w14:paraId="1D1DDCFC" w14:textId="75376E8A" w:rsidR="00DD5BC7" w:rsidRDefault="00F24F8B" w:rsidP="000047C4">
      <w:pPr>
        <w:jc w:val="center"/>
        <w:rPr>
          <w:b/>
          <w:bCs/>
        </w:rPr>
      </w:pPr>
      <w:r w:rsidRPr="00533BA0">
        <w:rPr>
          <w:b/>
          <w:bCs/>
        </w:rPr>
        <w:fldChar w:fldCharType="begin"/>
      </w:r>
      <w:r w:rsidRPr="00533BA0">
        <w:rPr>
          <w:b/>
          <w:bCs/>
        </w:rPr>
        <w:instrText xml:space="preserve"> TC  "</w:instrText>
      </w:r>
      <w:bookmarkStart w:id="4" w:name="_Toc97310397"/>
      <w:r w:rsidRPr="00533BA0">
        <w:rPr>
          <w:b/>
          <w:bCs/>
        </w:rPr>
        <w:instrText>Abstract</w:instrText>
      </w:r>
      <w:bookmarkEnd w:id="4"/>
      <w:r w:rsidRPr="00533BA0">
        <w:rPr>
          <w:b/>
          <w:bCs/>
        </w:rPr>
        <w:instrText xml:space="preserve">" \f x\l 1 </w:instrText>
      </w:r>
      <w:r w:rsidRPr="00533BA0">
        <w:rPr>
          <w:b/>
          <w:bCs/>
        </w:rPr>
        <w:fldChar w:fldCharType="end"/>
      </w:r>
      <w:r w:rsidR="00DD5BC7" w:rsidRPr="00533BA0">
        <w:rPr>
          <w:b/>
          <w:bCs/>
        </w:rPr>
        <w:t>Abstract</w:t>
      </w:r>
      <w:bookmarkEnd w:id="3"/>
    </w:p>
    <w:p w14:paraId="6A98998B" w14:textId="77777777" w:rsidR="000047C4" w:rsidRDefault="000047C4" w:rsidP="00574FBE">
      <w:pPr>
        <w:rPr>
          <w:b/>
          <w:bCs/>
        </w:rPr>
      </w:pPr>
    </w:p>
    <w:p w14:paraId="67B3CBA4" w14:textId="77777777" w:rsidR="000047C4" w:rsidRPr="005553F2" w:rsidRDefault="000047C4" w:rsidP="000047C4">
      <w:pPr>
        <w:pStyle w:val="CommentText"/>
        <w:spacing w:line="480" w:lineRule="auto"/>
        <w:jc w:val="both"/>
        <w:rPr>
          <w:noProof/>
          <w:sz w:val="22"/>
          <w:szCs w:val="22"/>
        </w:rPr>
      </w:pPr>
      <w:r w:rsidRPr="004D180D">
        <w:rPr>
          <w:noProof/>
          <w:sz w:val="22"/>
          <w:szCs w:val="22"/>
          <w:shd w:val="clear" w:color="auto" w:fill="FFFFFF"/>
        </w:rPr>
        <w:t>Adolescence is a period of rapid growth</w:t>
      </w:r>
      <w:r>
        <w:rPr>
          <w:noProof/>
          <w:sz w:val="22"/>
          <w:szCs w:val="22"/>
          <w:shd w:val="clear" w:color="auto" w:fill="FFFFFF"/>
        </w:rPr>
        <w:t>,</w:t>
      </w:r>
      <w:r w:rsidRPr="004D180D">
        <w:rPr>
          <w:noProof/>
          <w:sz w:val="22"/>
          <w:szCs w:val="22"/>
          <w:shd w:val="clear" w:color="auto" w:fill="FFFFFF"/>
        </w:rPr>
        <w:t xml:space="preserve"> and optimal nutrition during this period is essential for healthy dev</w:t>
      </w:r>
      <w:r w:rsidRPr="00652B08">
        <w:rPr>
          <w:noProof/>
          <w:sz w:val="22"/>
          <w:szCs w:val="22"/>
          <w:shd w:val="clear" w:color="auto" w:fill="FFFFFF"/>
        </w:rPr>
        <w:t>elopment.</w:t>
      </w:r>
      <w:r w:rsidRPr="25613B70">
        <w:rPr>
          <w:noProof/>
          <w:sz w:val="22"/>
          <w:szCs w:val="22"/>
        </w:rPr>
        <w:t xml:space="preserve"> </w:t>
      </w:r>
      <w:r>
        <w:rPr>
          <w:noProof/>
          <w:sz w:val="22"/>
          <w:szCs w:val="22"/>
        </w:rPr>
        <w:t>Adolescents tend to align their dietary behaviours with the perceived normative dietary behavi</w:t>
      </w:r>
      <w:r w:rsidRPr="00734CB8">
        <w:rPr>
          <w:noProof/>
          <w:sz w:val="22"/>
          <w:szCs w:val="22"/>
        </w:rPr>
        <w:t xml:space="preserve">ours of </w:t>
      </w:r>
      <w:r w:rsidRPr="7F44B97D">
        <w:rPr>
          <w:noProof/>
          <w:sz w:val="22"/>
          <w:szCs w:val="22"/>
        </w:rPr>
        <w:t xml:space="preserve">their </w:t>
      </w:r>
      <w:r w:rsidRPr="00734CB8">
        <w:rPr>
          <w:noProof/>
          <w:sz w:val="22"/>
          <w:szCs w:val="22"/>
        </w:rPr>
        <w:t>peers</w:t>
      </w:r>
      <w:r>
        <w:rPr>
          <w:noProof/>
          <w:sz w:val="22"/>
          <w:szCs w:val="22"/>
        </w:rPr>
        <w:t>; h</w:t>
      </w:r>
      <w:r w:rsidRPr="00734CB8">
        <w:rPr>
          <w:noProof/>
          <w:sz w:val="22"/>
          <w:szCs w:val="22"/>
        </w:rPr>
        <w:t xml:space="preserve">owever, these normative perceptions are not always accurate </w:t>
      </w:r>
      <w:r w:rsidRPr="00734CB8">
        <w:rPr>
          <w:sz w:val="22"/>
          <w:szCs w:val="22"/>
          <w:shd w:val="clear" w:color="auto" w:fill="FFFFFF"/>
        </w:rPr>
        <w:t xml:space="preserve">with adolescents tending to overestimate the extent of peers’ unhealthy dietary practices which can lead to personal unhealthy dietary practices. </w:t>
      </w:r>
      <w:r w:rsidRPr="25613B70">
        <w:rPr>
          <w:sz w:val="22"/>
          <w:szCs w:val="22"/>
        </w:rPr>
        <w:t xml:space="preserve">The Social Norms Approach (SNA) operates on the premise that </w:t>
      </w:r>
      <w:r w:rsidRPr="25613B70">
        <w:rPr>
          <w:sz w:val="22"/>
          <w:szCs w:val="22"/>
          <w:shd w:val="clear" w:color="auto" w:fill="FFFFFF"/>
        </w:rPr>
        <w:t xml:space="preserve">challenging these misperceptions </w:t>
      </w:r>
      <w:r>
        <w:rPr>
          <w:sz w:val="22"/>
          <w:szCs w:val="22"/>
          <w:shd w:val="clear" w:color="auto" w:fill="FFFFFF"/>
        </w:rPr>
        <w:t xml:space="preserve">should decrease the social pressure to engage in the behaviour, </w:t>
      </w:r>
      <w:r w:rsidRPr="25613B70">
        <w:rPr>
          <w:sz w:val="22"/>
          <w:szCs w:val="22"/>
          <w:shd w:val="clear" w:color="auto" w:fill="FFFFFF"/>
        </w:rPr>
        <w:t>lead</w:t>
      </w:r>
      <w:r>
        <w:rPr>
          <w:sz w:val="22"/>
          <w:szCs w:val="22"/>
          <w:shd w:val="clear" w:color="auto" w:fill="FFFFFF"/>
        </w:rPr>
        <w:t>ing</w:t>
      </w:r>
      <w:r w:rsidRPr="25613B70">
        <w:rPr>
          <w:sz w:val="22"/>
          <w:szCs w:val="22"/>
          <w:shd w:val="clear" w:color="auto" w:fill="FFFFFF"/>
        </w:rPr>
        <w:t xml:space="preserve"> to a </w:t>
      </w:r>
      <w:r w:rsidRPr="00652B08">
        <w:rPr>
          <w:sz w:val="22"/>
          <w:szCs w:val="22"/>
          <w:shd w:val="clear" w:color="auto" w:fill="FFFFFF"/>
        </w:rPr>
        <w:t xml:space="preserve">reduction in the behaviour. </w:t>
      </w:r>
    </w:p>
    <w:p w14:paraId="779849C9" w14:textId="77777777" w:rsidR="000047C4" w:rsidRPr="00A63E01" w:rsidRDefault="000047C4" w:rsidP="000047C4">
      <w:pPr>
        <w:spacing w:line="480" w:lineRule="auto"/>
        <w:ind w:firstLine="720"/>
        <w:jc w:val="both"/>
        <w:rPr>
          <w:color w:val="00B050"/>
        </w:rPr>
      </w:pPr>
      <w:r w:rsidRPr="000C4B53">
        <w:rPr>
          <w:shd w:val="clear" w:color="auto" w:fill="FCFCFC"/>
        </w:rPr>
        <w:t>This thesis aim</w:t>
      </w:r>
      <w:r w:rsidRPr="000C4B53">
        <w:t>s to examine whether an in-school S</w:t>
      </w:r>
      <w:r>
        <w:t>NA</w:t>
      </w:r>
      <w:r w:rsidRPr="000C4B53">
        <w:t xml:space="preserve"> intervention could reduce the unhealthy dietary behavio</w:t>
      </w:r>
      <w:r w:rsidRPr="00CA473C">
        <w:t xml:space="preserve">urs of secondary school students. Study One used focus groups </w:t>
      </w:r>
      <w:r w:rsidRPr="00CA473C">
        <w:rPr>
          <w:noProof/>
        </w:rPr>
        <w:t>t</w:t>
      </w:r>
      <w:r w:rsidRPr="00CA473C">
        <w:t>o explore the perceived influences of healthy and unhealthy food choices amongst students. The systematic review presents a review of the literature focused on school-based interventions which have been designed to improve dietary behaviours of adolescents. Th</w:t>
      </w:r>
      <w:r w:rsidRPr="000C4B53">
        <w:t xml:space="preserve">e findings from </w:t>
      </w:r>
      <w:r>
        <w:t>Study One</w:t>
      </w:r>
      <w:r w:rsidRPr="000C4B53">
        <w:t xml:space="preserve"> together with results from</w:t>
      </w:r>
      <w:r>
        <w:t xml:space="preserve"> both the systematic review and a narrative </w:t>
      </w:r>
      <w:r w:rsidRPr="000C4B53">
        <w:t>review</w:t>
      </w:r>
      <w:r>
        <w:t>,</w:t>
      </w:r>
      <w:r w:rsidRPr="000C4B53">
        <w:t xml:space="preserve"> and </w:t>
      </w:r>
      <w:r>
        <w:t>input from</w:t>
      </w:r>
      <w:r w:rsidRPr="000C4B53">
        <w:t xml:space="preserve"> key stakeholders, informed the design of the in-school SNA intervention. Study </w:t>
      </w:r>
      <w:r>
        <w:t>T</w:t>
      </w:r>
      <w:r w:rsidRPr="000C4B53">
        <w:t>wo tested</w:t>
      </w:r>
      <w:r w:rsidRPr="000C4B53">
        <w:rPr>
          <w:rFonts w:eastAsia="Times New Roman"/>
          <w:lang w:eastAsia="en-GB"/>
        </w:rPr>
        <w:t xml:space="preserve"> for the existence of unhealthy snacking-related misperceptions amongst students and whether these misperceptions are associated with personal unhealthy snacking behaviour. Study </w:t>
      </w:r>
      <w:r>
        <w:rPr>
          <w:rFonts w:eastAsia="Times New Roman"/>
          <w:lang w:eastAsia="en-GB"/>
        </w:rPr>
        <w:t>T</w:t>
      </w:r>
      <w:r w:rsidRPr="000C4B53">
        <w:rPr>
          <w:rFonts w:eastAsia="Times New Roman"/>
          <w:lang w:eastAsia="en-GB"/>
        </w:rPr>
        <w:t xml:space="preserve">hree </w:t>
      </w:r>
      <w:r w:rsidRPr="000C4B53">
        <w:rPr>
          <w:rFonts w:eastAsia="Calibri"/>
        </w:rPr>
        <w:t xml:space="preserve">tested the ability of the SNA intervention </w:t>
      </w:r>
      <w:r w:rsidRPr="000C4B53">
        <w:rPr>
          <w:shd w:val="clear" w:color="auto" w:fill="FFFFFF"/>
        </w:rPr>
        <w:t>to challenge commonly</w:t>
      </w:r>
      <w:r>
        <w:t xml:space="preserve"> </w:t>
      </w:r>
      <w:r w:rsidRPr="000C4B53">
        <w:rPr>
          <w:shd w:val="clear" w:color="auto" w:fill="FFFFFF"/>
        </w:rPr>
        <w:t>held normative misperceptions</w:t>
      </w:r>
      <w:r w:rsidRPr="000C4B53">
        <w:rPr>
          <w:rFonts w:eastAsia="Calibri"/>
        </w:rPr>
        <w:t xml:space="preserve"> as a means of reducing unhealthy snacking amongst </w:t>
      </w:r>
      <w:r>
        <w:t>students</w:t>
      </w:r>
      <w:r w:rsidRPr="000C4B53">
        <w:rPr>
          <w:rFonts w:eastAsia="Calibri"/>
        </w:rPr>
        <w:t xml:space="preserve">. Finally, </w:t>
      </w:r>
      <w:r>
        <w:rPr>
          <w:rFonts w:eastAsia="Calibri"/>
        </w:rPr>
        <w:t>S</w:t>
      </w:r>
      <w:r w:rsidRPr="000C4B53">
        <w:rPr>
          <w:rFonts w:eastAsia="Calibri"/>
        </w:rPr>
        <w:t xml:space="preserve">tudy </w:t>
      </w:r>
      <w:r>
        <w:rPr>
          <w:rFonts w:eastAsia="Calibri"/>
        </w:rPr>
        <w:t>F</w:t>
      </w:r>
      <w:r w:rsidRPr="000C4B53">
        <w:rPr>
          <w:rFonts w:eastAsia="Calibri"/>
        </w:rPr>
        <w:t xml:space="preserve">our </w:t>
      </w:r>
      <w:r>
        <w:rPr>
          <w:rFonts w:eastAsia="Calibri"/>
        </w:rPr>
        <w:t>qualitatively</w:t>
      </w:r>
      <w:r w:rsidRPr="000C4B53">
        <w:rPr>
          <w:rFonts w:eastAsia="Calibri"/>
        </w:rPr>
        <w:t xml:space="preserve"> </w:t>
      </w:r>
      <w:r w:rsidRPr="000C4B53">
        <w:t>explore</w:t>
      </w:r>
      <w:r>
        <w:t>d students</w:t>
      </w:r>
      <w:r w:rsidRPr="000C4B53">
        <w:t>'</w:t>
      </w:r>
      <w:r>
        <w:t xml:space="preserve"> and teachers’</w:t>
      </w:r>
      <w:r w:rsidRPr="000C4B53">
        <w:t xml:space="preserve"> experiences of the intervention.</w:t>
      </w:r>
    </w:p>
    <w:p w14:paraId="2853A3D9" w14:textId="77777777" w:rsidR="000047C4" w:rsidRPr="000C4B53" w:rsidRDefault="000047C4" w:rsidP="000047C4">
      <w:pPr>
        <w:spacing w:line="480" w:lineRule="auto"/>
        <w:ind w:firstLine="720"/>
        <w:jc w:val="both"/>
      </w:pPr>
      <w:r>
        <w:t>Study One</w:t>
      </w:r>
      <w:r w:rsidRPr="000C4B53">
        <w:t xml:space="preserve"> indicate</w:t>
      </w:r>
      <w:r>
        <w:t>d</w:t>
      </w:r>
      <w:r w:rsidRPr="000C4B53">
        <w:t xml:space="preserve"> that although students had a good understanding of healthy dietary behaviours, they would often skip meals and consume unhealthy snacks. </w:t>
      </w:r>
      <w:r>
        <w:t>Study T</w:t>
      </w:r>
      <w:r w:rsidRPr="000C4B53">
        <w:t xml:space="preserve">wo found </w:t>
      </w:r>
      <w:r>
        <w:t xml:space="preserve">that </w:t>
      </w:r>
      <w:r w:rsidRPr="000C4B53">
        <w:t xml:space="preserve">normative misperceptions predicted young adolescents’ unhealthy snacking consumption, and </w:t>
      </w:r>
      <w:r>
        <w:t>Study Three demonstrated that the</w:t>
      </w:r>
      <w:r w:rsidRPr="000C4B53">
        <w:t xml:space="preserve"> in-school SNA feedback intervention </w:t>
      </w:r>
      <w:r>
        <w:t xml:space="preserve">was </w:t>
      </w:r>
      <w:r w:rsidRPr="000C4B53">
        <w:t xml:space="preserve">an effective strategy for </w:t>
      </w:r>
      <w:r w:rsidRPr="000C4B53">
        <w:lastRenderedPageBreak/>
        <w:t>reducing personal unhealthy snacking behaviours amongst 11- to 12-year-old</w:t>
      </w:r>
      <w:r>
        <w:t>s</w:t>
      </w:r>
      <w:r w:rsidRPr="000C4B53">
        <w:t xml:space="preserve">. </w:t>
      </w:r>
      <w:r>
        <w:t xml:space="preserve"> Study Four found</w:t>
      </w:r>
      <w:r w:rsidRPr="000C4B53">
        <w:t xml:space="preserve"> that the intervention was an age-appropriate engaging method for delivering SNA feedback to young adolescents, but these students needed to be afforded more time to process, discuss and understand the SNA feedback being communicated. </w:t>
      </w:r>
      <w:r w:rsidRPr="000C4B53">
        <w:rPr>
          <w:shd w:val="clear" w:color="auto" w:fill="FFFFFF"/>
        </w:rPr>
        <w:t>The findings of this thesis indicate</w:t>
      </w:r>
      <w:r w:rsidRPr="000C4B53">
        <w:t xml:space="preserve"> that SNA intervention</w:t>
      </w:r>
      <w:r>
        <w:t>s</w:t>
      </w:r>
      <w:r w:rsidRPr="000C4B53">
        <w:t xml:space="preserve"> </w:t>
      </w:r>
      <w:r>
        <w:t xml:space="preserve">can be applied successfully within a school setting </w:t>
      </w:r>
      <w:r w:rsidRPr="000C4B53">
        <w:t>to reduce unhealthy snacking of young</w:t>
      </w:r>
      <w:r>
        <w:t>er</w:t>
      </w:r>
      <w:r w:rsidRPr="000C4B53">
        <w:t xml:space="preserve"> adolescents</w:t>
      </w:r>
      <w:r>
        <w:t>.</w:t>
      </w:r>
    </w:p>
    <w:p w14:paraId="2BC1912D" w14:textId="77777777" w:rsidR="000047C4" w:rsidRPr="000C4B53" w:rsidRDefault="000047C4" w:rsidP="000047C4">
      <w:pPr>
        <w:spacing w:line="480" w:lineRule="auto"/>
        <w:jc w:val="both"/>
      </w:pPr>
    </w:p>
    <w:p w14:paraId="7412C735" w14:textId="77777777" w:rsidR="009F2092" w:rsidRPr="00533BA0" w:rsidRDefault="009F2092" w:rsidP="00574FBE">
      <w:pPr>
        <w:rPr>
          <w:b/>
          <w:bCs/>
        </w:rPr>
      </w:pPr>
    </w:p>
    <w:p w14:paraId="6E8071D3" w14:textId="509BA5C9" w:rsidR="00DD5BC7" w:rsidRPr="00F02C72" w:rsidRDefault="00DD5BC7" w:rsidP="00F02C72"/>
    <w:p w14:paraId="7E33ECDA" w14:textId="2912696C" w:rsidR="00DD5BC7" w:rsidRPr="00F02C72" w:rsidRDefault="00DD5BC7" w:rsidP="00F02C72"/>
    <w:p w14:paraId="42632262" w14:textId="702AF4BF" w:rsidR="00DD5BC7" w:rsidRPr="00F02C72" w:rsidRDefault="00DD5BC7" w:rsidP="00F02C72"/>
    <w:p w14:paraId="3AFC39D9" w14:textId="79441A69" w:rsidR="00DD5BC7" w:rsidRPr="00F02C72" w:rsidRDefault="00DD5BC7" w:rsidP="00F02C72"/>
    <w:p w14:paraId="44B63384" w14:textId="1CE33515" w:rsidR="00DD5BC7" w:rsidRPr="00F02C72" w:rsidRDefault="00DD5BC7" w:rsidP="00F02C72"/>
    <w:p w14:paraId="53783035" w14:textId="44DE4954" w:rsidR="00DD5BC7" w:rsidRPr="00F02C72" w:rsidRDefault="00DD5BC7" w:rsidP="00F02C72"/>
    <w:p w14:paraId="1EB000D2" w14:textId="611C41F1" w:rsidR="00DD5BC7" w:rsidRPr="00F02C72" w:rsidRDefault="00DD5BC7" w:rsidP="00F02C72"/>
    <w:p w14:paraId="141AA999" w14:textId="5DE90D66" w:rsidR="00DD5BC7" w:rsidRPr="00F02C72" w:rsidRDefault="00DD5BC7" w:rsidP="00F02C72"/>
    <w:p w14:paraId="50B3F272" w14:textId="2268EAF0" w:rsidR="00DD5BC7" w:rsidRPr="00F02C72" w:rsidRDefault="00DD5BC7" w:rsidP="00F02C72"/>
    <w:p w14:paraId="2E09C5C4" w14:textId="47F4BC1B" w:rsidR="00DD5BC7" w:rsidRPr="00F02C72" w:rsidRDefault="00DD5BC7" w:rsidP="00F02C72"/>
    <w:p w14:paraId="12E131BA" w14:textId="643D5ED8" w:rsidR="00DD5BC7" w:rsidRPr="00F02C72" w:rsidRDefault="00DD5BC7" w:rsidP="00F02C72"/>
    <w:p w14:paraId="216C801A" w14:textId="5A7B340B" w:rsidR="00DD5BC7" w:rsidRPr="00F02C72" w:rsidRDefault="00DD5BC7" w:rsidP="00F02C72"/>
    <w:p w14:paraId="43887897" w14:textId="65871697" w:rsidR="00DD5BC7" w:rsidRPr="00F02C72" w:rsidRDefault="00DD5BC7" w:rsidP="00F02C72"/>
    <w:p w14:paraId="0A7A819D" w14:textId="18CB26F3" w:rsidR="00DD5BC7" w:rsidRPr="00F02C72" w:rsidRDefault="00DD5BC7" w:rsidP="00F02C72"/>
    <w:p w14:paraId="44A1F39F" w14:textId="140BEF35" w:rsidR="00DD5BC7" w:rsidRPr="00F02C72" w:rsidRDefault="00DD5BC7" w:rsidP="00F02C72"/>
    <w:p w14:paraId="28E492EE" w14:textId="63E583A9" w:rsidR="00DD5BC7" w:rsidRPr="00F02C72" w:rsidRDefault="00DD5BC7" w:rsidP="00F02C72"/>
    <w:p w14:paraId="76F8C401" w14:textId="317D0AD9" w:rsidR="00DD5BC7" w:rsidRDefault="00DD5BC7" w:rsidP="00F02C72"/>
    <w:p w14:paraId="2515E2B4" w14:textId="39C6EE1F" w:rsidR="00FB15F3" w:rsidRDefault="00FB15F3" w:rsidP="00F02C72"/>
    <w:p w14:paraId="1FA9FDCB" w14:textId="577A291D" w:rsidR="000047C4" w:rsidRDefault="000047C4" w:rsidP="00F02C72"/>
    <w:p w14:paraId="04882B9C" w14:textId="7DB5474B" w:rsidR="000047C4" w:rsidRDefault="000047C4" w:rsidP="00F02C72"/>
    <w:p w14:paraId="2E7D09A6" w14:textId="6B0CAAFB" w:rsidR="000047C4" w:rsidRDefault="000047C4" w:rsidP="00F02C72"/>
    <w:p w14:paraId="60083FB1" w14:textId="293CE237" w:rsidR="000047C4" w:rsidRDefault="006B5650" w:rsidP="00F02C72">
      <w:r w:rsidRPr="00065A51">
        <w:t>Word count – 55,</w:t>
      </w:r>
      <w:r w:rsidR="00AF4492">
        <w:t>423</w:t>
      </w:r>
    </w:p>
    <w:p w14:paraId="6DC233DF" w14:textId="77777777" w:rsidR="00F20401" w:rsidRDefault="00F20401" w:rsidP="00F02C72">
      <w:pPr>
        <w:rPr>
          <w:b/>
          <w:bCs/>
        </w:rPr>
      </w:pPr>
      <w:bookmarkStart w:id="5" w:name="_Toc84678889"/>
    </w:p>
    <w:p w14:paraId="0FC677A6" w14:textId="4A850FF6" w:rsidR="00DD5BC7" w:rsidRPr="00A10477" w:rsidRDefault="00F24F8B" w:rsidP="00F02C72">
      <w:pPr>
        <w:rPr>
          <w:b/>
          <w:bCs/>
        </w:rPr>
      </w:pPr>
      <w:r w:rsidRPr="00A10477">
        <w:rPr>
          <w:b/>
          <w:bCs/>
        </w:rPr>
        <w:fldChar w:fldCharType="begin"/>
      </w:r>
      <w:r w:rsidRPr="00A10477">
        <w:rPr>
          <w:b/>
          <w:bCs/>
        </w:rPr>
        <w:instrText xml:space="preserve"> TC  "</w:instrText>
      </w:r>
      <w:bookmarkStart w:id="6" w:name="_Toc97310398"/>
      <w:r w:rsidRPr="00A10477">
        <w:rPr>
          <w:b/>
          <w:bCs/>
        </w:rPr>
        <w:instrText>List of Tables</w:instrText>
      </w:r>
      <w:bookmarkEnd w:id="6"/>
      <w:r w:rsidRPr="00A10477">
        <w:rPr>
          <w:b/>
          <w:bCs/>
        </w:rPr>
        <w:instrText xml:space="preserve"> " \f x\l 1 </w:instrText>
      </w:r>
      <w:r w:rsidRPr="00A10477">
        <w:rPr>
          <w:b/>
          <w:bCs/>
        </w:rPr>
        <w:fldChar w:fldCharType="end"/>
      </w:r>
      <w:r w:rsidR="00DD5BC7" w:rsidRPr="00A10477">
        <w:rPr>
          <w:b/>
          <w:bCs/>
        </w:rPr>
        <w:t>List of Tables</w:t>
      </w:r>
      <w:bookmarkEnd w:id="5"/>
    </w:p>
    <w:p w14:paraId="62AB9FB6" w14:textId="148A97E8" w:rsidR="002809AA" w:rsidRDefault="00DD5419">
      <w:pPr>
        <w:pStyle w:val="TOC2"/>
        <w:rPr>
          <w:rFonts w:eastAsiaTheme="minorEastAsia"/>
          <w:noProof/>
          <w:lang w:eastAsia="en-GB"/>
        </w:rPr>
      </w:pPr>
      <w:r w:rsidRPr="00A10477">
        <w:rPr>
          <w:rFonts w:eastAsiaTheme="minorEastAsia" w:cs="Times New Roman"/>
          <w:lang w:val="en-US"/>
        </w:rPr>
        <w:fldChar w:fldCharType="begin"/>
      </w:r>
      <w:r w:rsidRPr="00A10477">
        <w:instrText xml:space="preserve"> TOC \f z\h \z </w:instrText>
      </w:r>
      <w:r w:rsidRPr="00A10477">
        <w:rPr>
          <w:rFonts w:eastAsiaTheme="minorEastAsia" w:cs="Times New Roman"/>
          <w:lang w:val="en-US"/>
        </w:rPr>
        <w:fldChar w:fldCharType="separate"/>
      </w:r>
      <w:hyperlink w:anchor="_Toc97557124" w:history="1">
        <w:r w:rsidR="002809AA" w:rsidRPr="0055529C">
          <w:rPr>
            <w:rStyle w:val="Hyperlink"/>
            <w:noProof/>
          </w:rPr>
          <w:t>Table 1. A list of publications corresponding to the specific thesis Chapters</w:t>
        </w:r>
        <w:r w:rsidR="002809AA">
          <w:rPr>
            <w:noProof/>
            <w:webHidden/>
          </w:rPr>
          <w:tab/>
        </w:r>
        <w:r w:rsidR="002809AA">
          <w:rPr>
            <w:noProof/>
            <w:webHidden/>
          </w:rPr>
          <w:fldChar w:fldCharType="begin"/>
        </w:r>
        <w:r w:rsidR="002809AA">
          <w:rPr>
            <w:noProof/>
            <w:webHidden/>
          </w:rPr>
          <w:instrText xml:space="preserve"> PAGEREF _Toc97557124 \h </w:instrText>
        </w:r>
        <w:r w:rsidR="002809AA">
          <w:rPr>
            <w:noProof/>
            <w:webHidden/>
          </w:rPr>
        </w:r>
        <w:r w:rsidR="002809AA">
          <w:rPr>
            <w:noProof/>
            <w:webHidden/>
          </w:rPr>
          <w:fldChar w:fldCharType="separate"/>
        </w:r>
        <w:r w:rsidR="002809AA">
          <w:rPr>
            <w:noProof/>
            <w:webHidden/>
          </w:rPr>
          <w:t>7</w:t>
        </w:r>
        <w:r w:rsidR="002809AA">
          <w:rPr>
            <w:noProof/>
            <w:webHidden/>
          </w:rPr>
          <w:fldChar w:fldCharType="end"/>
        </w:r>
      </w:hyperlink>
    </w:p>
    <w:p w14:paraId="6D1AFDDA" w14:textId="26324FC8" w:rsidR="002809AA" w:rsidRDefault="00322DCE">
      <w:pPr>
        <w:pStyle w:val="TOC2"/>
        <w:rPr>
          <w:rFonts w:eastAsiaTheme="minorEastAsia"/>
          <w:noProof/>
          <w:lang w:eastAsia="en-GB"/>
        </w:rPr>
      </w:pPr>
      <w:hyperlink w:anchor="_Toc97557125" w:history="1">
        <w:r w:rsidR="002809AA" w:rsidRPr="002809AA">
          <w:rPr>
            <w:rStyle w:val="Hyperlink"/>
            <w:noProof/>
          </w:rPr>
          <w:t>Table 2. PICO search terms used in the systematic review</w:t>
        </w:r>
        <w:r w:rsidR="002809AA" w:rsidRPr="002809AA">
          <w:rPr>
            <w:noProof/>
            <w:webHidden/>
          </w:rPr>
          <w:tab/>
        </w:r>
        <w:r w:rsidR="002809AA" w:rsidRPr="002809AA">
          <w:rPr>
            <w:noProof/>
            <w:webHidden/>
          </w:rPr>
          <w:fldChar w:fldCharType="begin"/>
        </w:r>
        <w:r w:rsidR="002809AA" w:rsidRPr="002809AA">
          <w:rPr>
            <w:noProof/>
            <w:webHidden/>
          </w:rPr>
          <w:instrText xml:space="preserve"> PAGEREF _Toc97557125 \h </w:instrText>
        </w:r>
        <w:r w:rsidR="002809AA" w:rsidRPr="002809AA">
          <w:rPr>
            <w:noProof/>
            <w:webHidden/>
          </w:rPr>
        </w:r>
        <w:r w:rsidR="002809AA" w:rsidRPr="002809AA">
          <w:rPr>
            <w:noProof/>
            <w:webHidden/>
          </w:rPr>
          <w:fldChar w:fldCharType="separate"/>
        </w:r>
        <w:r w:rsidR="002809AA" w:rsidRPr="002809AA">
          <w:rPr>
            <w:noProof/>
            <w:webHidden/>
          </w:rPr>
          <w:t>12</w:t>
        </w:r>
        <w:r w:rsidR="002809AA" w:rsidRPr="002809AA">
          <w:rPr>
            <w:noProof/>
            <w:webHidden/>
          </w:rPr>
          <w:fldChar w:fldCharType="end"/>
        </w:r>
      </w:hyperlink>
    </w:p>
    <w:p w14:paraId="3F899440" w14:textId="6243F5EA" w:rsidR="002809AA" w:rsidRDefault="00322DCE">
      <w:pPr>
        <w:pStyle w:val="TOC2"/>
        <w:rPr>
          <w:rFonts w:eastAsiaTheme="minorEastAsia"/>
          <w:noProof/>
          <w:lang w:eastAsia="en-GB"/>
        </w:rPr>
      </w:pPr>
      <w:hyperlink w:anchor="_Toc97557126" w:history="1">
        <w:r w:rsidR="002809AA" w:rsidRPr="0055529C">
          <w:rPr>
            <w:rStyle w:val="Hyperlink"/>
            <w:rFonts w:cstheme="minorHAnsi"/>
            <w:noProof/>
          </w:rPr>
          <w:t>Table 3. Table showing forms of risk bias across studies (adapted from the Cochrane Risk of Bias)</w:t>
        </w:r>
        <w:r w:rsidR="002809AA">
          <w:rPr>
            <w:noProof/>
            <w:webHidden/>
          </w:rPr>
          <w:tab/>
        </w:r>
        <w:r w:rsidR="002809AA">
          <w:rPr>
            <w:noProof/>
            <w:webHidden/>
          </w:rPr>
          <w:fldChar w:fldCharType="begin"/>
        </w:r>
        <w:r w:rsidR="002809AA">
          <w:rPr>
            <w:noProof/>
            <w:webHidden/>
          </w:rPr>
          <w:instrText xml:space="preserve"> PAGEREF _Toc97557126 \h </w:instrText>
        </w:r>
        <w:r w:rsidR="002809AA">
          <w:rPr>
            <w:noProof/>
            <w:webHidden/>
          </w:rPr>
        </w:r>
        <w:r w:rsidR="002809AA">
          <w:rPr>
            <w:noProof/>
            <w:webHidden/>
          </w:rPr>
          <w:fldChar w:fldCharType="separate"/>
        </w:r>
        <w:r w:rsidR="002809AA">
          <w:rPr>
            <w:noProof/>
            <w:webHidden/>
          </w:rPr>
          <w:t>17</w:t>
        </w:r>
        <w:r w:rsidR="002809AA">
          <w:rPr>
            <w:noProof/>
            <w:webHidden/>
          </w:rPr>
          <w:fldChar w:fldCharType="end"/>
        </w:r>
      </w:hyperlink>
    </w:p>
    <w:p w14:paraId="1C091F10" w14:textId="3F2D8468" w:rsidR="002809AA" w:rsidRDefault="00322DCE">
      <w:pPr>
        <w:pStyle w:val="TOC2"/>
        <w:rPr>
          <w:rFonts w:eastAsiaTheme="minorEastAsia"/>
          <w:noProof/>
          <w:lang w:eastAsia="en-GB"/>
        </w:rPr>
      </w:pPr>
      <w:hyperlink w:anchor="_Toc97557127" w:history="1">
        <w:r w:rsidR="002809AA" w:rsidRPr="0055529C">
          <w:rPr>
            <w:rStyle w:val="Hyperlink"/>
            <w:rFonts w:eastAsia="Calibri" w:cstheme="minorHAnsi"/>
            <w:iCs/>
            <w:noProof/>
          </w:rPr>
          <w:t>Table 4. Description of studies included in the review.</w:t>
        </w:r>
        <w:r w:rsidR="002809AA">
          <w:rPr>
            <w:noProof/>
            <w:webHidden/>
          </w:rPr>
          <w:tab/>
        </w:r>
        <w:r w:rsidR="002809AA">
          <w:rPr>
            <w:noProof/>
            <w:webHidden/>
          </w:rPr>
          <w:fldChar w:fldCharType="begin"/>
        </w:r>
        <w:r w:rsidR="002809AA">
          <w:rPr>
            <w:noProof/>
            <w:webHidden/>
          </w:rPr>
          <w:instrText xml:space="preserve"> PAGEREF _Toc97557127 \h </w:instrText>
        </w:r>
        <w:r w:rsidR="002809AA">
          <w:rPr>
            <w:noProof/>
            <w:webHidden/>
          </w:rPr>
        </w:r>
        <w:r w:rsidR="002809AA">
          <w:rPr>
            <w:noProof/>
            <w:webHidden/>
          </w:rPr>
          <w:fldChar w:fldCharType="separate"/>
        </w:r>
        <w:r w:rsidR="002809AA">
          <w:rPr>
            <w:noProof/>
            <w:webHidden/>
          </w:rPr>
          <w:t>22</w:t>
        </w:r>
        <w:r w:rsidR="002809AA">
          <w:rPr>
            <w:noProof/>
            <w:webHidden/>
          </w:rPr>
          <w:fldChar w:fldCharType="end"/>
        </w:r>
      </w:hyperlink>
    </w:p>
    <w:p w14:paraId="24F96B0D" w14:textId="07F93F48" w:rsidR="002809AA" w:rsidRDefault="00322DCE">
      <w:pPr>
        <w:pStyle w:val="TOC2"/>
        <w:rPr>
          <w:rFonts w:eastAsiaTheme="minorEastAsia"/>
          <w:noProof/>
          <w:lang w:eastAsia="en-GB"/>
        </w:rPr>
      </w:pPr>
      <w:hyperlink w:anchor="_Toc97557128" w:history="1">
        <w:r w:rsidR="002809AA" w:rsidRPr="0055529C">
          <w:rPr>
            <w:rStyle w:val="Hyperlink"/>
            <w:rFonts w:cstheme="minorHAnsi"/>
            <w:noProof/>
          </w:rPr>
          <w:t>Table 5. Summary table of key information of intervention components across studies</w:t>
        </w:r>
        <w:r w:rsidR="002809AA" w:rsidRPr="0055529C">
          <w:rPr>
            <w:rStyle w:val="Hyperlink"/>
            <w:rFonts w:eastAsia="Calibri" w:cstheme="minorHAnsi"/>
            <w:noProof/>
          </w:rPr>
          <w:t>.</w:t>
        </w:r>
        <w:r w:rsidR="002809AA">
          <w:rPr>
            <w:noProof/>
            <w:webHidden/>
          </w:rPr>
          <w:tab/>
        </w:r>
        <w:r w:rsidR="002809AA">
          <w:rPr>
            <w:noProof/>
            <w:webHidden/>
          </w:rPr>
          <w:fldChar w:fldCharType="begin"/>
        </w:r>
        <w:r w:rsidR="002809AA">
          <w:rPr>
            <w:noProof/>
            <w:webHidden/>
          </w:rPr>
          <w:instrText xml:space="preserve"> PAGEREF _Toc97557128 \h </w:instrText>
        </w:r>
        <w:r w:rsidR="002809AA">
          <w:rPr>
            <w:noProof/>
            <w:webHidden/>
          </w:rPr>
        </w:r>
        <w:r w:rsidR="002809AA">
          <w:rPr>
            <w:noProof/>
            <w:webHidden/>
          </w:rPr>
          <w:fldChar w:fldCharType="separate"/>
        </w:r>
        <w:r w:rsidR="002809AA">
          <w:rPr>
            <w:noProof/>
            <w:webHidden/>
          </w:rPr>
          <w:t>46</w:t>
        </w:r>
        <w:r w:rsidR="002809AA">
          <w:rPr>
            <w:noProof/>
            <w:webHidden/>
          </w:rPr>
          <w:fldChar w:fldCharType="end"/>
        </w:r>
      </w:hyperlink>
    </w:p>
    <w:p w14:paraId="0F8C9B15" w14:textId="298FD973" w:rsidR="002809AA" w:rsidRDefault="00322DCE">
      <w:pPr>
        <w:pStyle w:val="TOC2"/>
        <w:rPr>
          <w:rFonts w:eastAsiaTheme="minorEastAsia"/>
          <w:noProof/>
          <w:lang w:eastAsia="en-GB"/>
        </w:rPr>
      </w:pPr>
      <w:hyperlink w:anchor="_Toc97557129" w:history="1">
        <w:r w:rsidR="002809AA" w:rsidRPr="0055529C">
          <w:rPr>
            <w:rStyle w:val="Hyperlink"/>
            <w:rFonts w:cstheme="minorHAnsi"/>
            <w:noProof/>
          </w:rPr>
          <w:t>Table 6.  Key recommendation and findings from Chapters 2, 3 and 5 which informed the development of the intervention</w:t>
        </w:r>
        <w:r w:rsidR="002809AA">
          <w:rPr>
            <w:noProof/>
            <w:webHidden/>
          </w:rPr>
          <w:tab/>
        </w:r>
        <w:r w:rsidR="002809AA">
          <w:rPr>
            <w:noProof/>
            <w:webHidden/>
          </w:rPr>
          <w:fldChar w:fldCharType="begin"/>
        </w:r>
        <w:r w:rsidR="002809AA">
          <w:rPr>
            <w:noProof/>
            <w:webHidden/>
          </w:rPr>
          <w:instrText xml:space="preserve"> PAGEREF _Toc97557129 \h </w:instrText>
        </w:r>
        <w:r w:rsidR="002809AA">
          <w:rPr>
            <w:noProof/>
            <w:webHidden/>
          </w:rPr>
        </w:r>
        <w:r w:rsidR="002809AA">
          <w:rPr>
            <w:noProof/>
            <w:webHidden/>
          </w:rPr>
          <w:fldChar w:fldCharType="separate"/>
        </w:r>
        <w:r w:rsidR="002809AA">
          <w:rPr>
            <w:noProof/>
            <w:webHidden/>
          </w:rPr>
          <w:t>110</w:t>
        </w:r>
        <w:r w:rsidR="002809AA">
          <w:rPr>
            <w:noProof/>
            <w:webHidden/>
          </w:rPr>
          <w:fldChar w:fldCharType="end"/>
        </w:r>
      </w:hyperlink>
    </w:p>
    <w:p w14:paraId="20262170" w14:textId="58CDB839" w:rsidR="002809AA" w:rsidRDefault="00322DCE">
      <w:pPr>
        <w:pStyle w:val="TOC2"/>
        <w:rPr>
          <w:rFonts w:eastAsiaTheme="minorEastAsia"/>
          <w:noProof/>
          <w:lang w:eastAsia="en-GB"/>
        </w:rPr>
      </w:pPr>
      <w:hyperlink w:anchor="_Toc97557130" w:history="1">
        <w:r w:rsidR="002809AA" w:rsidRPr="0055529C">
          <w:rPr>
            <w:rStyle w:val="Hyperlink"/>
            <w:noProof/>
          </w:rPr>
          <w:t>Table 7. Key findings from the advisory group meetings which informed the development of the intervention</w:t>
        </w:r>
        <w:r w:rsidR="002809AA">
          <w:rPr>
            <w:noProof/>
            <w:webHidden/>
          </w:rPr>
          <w:tab/>
        </w:r>
        <w:r w:rsidR="002809AA">
          <w:rPr>
            <w:noProof/>
            <w:webHidden/>
          </w:rPr>
          <w:fldChar w:fldCharType="begin"/>
        </w:r>
        <w:r w:rsidR="002809AA">
          <w:rPr>
            <w:noProof/>
            <w:webHidden/>
          </w:rPr>
          <w:instrText xml:space="preserve"> PAGEREF _Toc97557130 \h </w:instrText>
        </w:r>
        <w:r w:rsidR="002809AA">
          <w:rPr>
            <w:noProof/>
            <w:webHidden/>
          </w:rPr>
        </w:r>
        <w:r w:rsidR="002809AA">
          <w:rPr>
            <w:noProof/>
            <w:webHidden/>
          </w:rPr>
          <w:fldChar w:fldCharType="separate"/>
        </w:r>
        <w:r w:rsidR="002809AA">
          <w:rPr>
            <w:noProof/>
            <w:webHidden/>
          </w:rPr>
          <w:t>112</w:t>
        </w:r>
        <w:r w:rsidR="002809AA">
          <w:rPr>
            <w:noProof/>
            <w:webHidden/>
          </w:rPr>
          <w:fldChar w:fldCharType="end"/>
        </w:r>
      </w:hyperlink>
    </w:p>
    <w:p w14:paraId="71DD90FD" w14:textId="651E9855" w:rsidR="002809AA" w:rsidRDefault="00322DCE">
      <w:pPr>
        <w:pStyle w:val="TOC2"/>
        <w:rPr>
          <w:rFonts w:eastAsiaTheme="minorEastAsia"/>
          <w:noProof/>
          <w:lang w:eastAsia="en-GB"/>
        </w:rPr>
      </w:pPr>
      <w:hyperlink w:anchor="_Toc97557131" w:history="1">
        <w:r w:rsidR="002809AA" w:rsidRPr="0055529C">
          <w:rPr>
            <w:rStyle w:val="Hyperlink"/>
            <w:rFonts w:cstheme="minorHAnsi"/>
            <w:noProof/>
          </w:rPr>
          <w:t>Table 8. Key findings from the teacher meetings which informed the development of the intervention.</w:t>
        </w:r>
        <w:r w:rsidR="002809AA">
          <w:rPr>
            <w:noProof/>
            <w:webHidden/>
          </w:rPr>
          <w:tab/>
        </w:r>
        <w:r w:rsidR="002809AA">
          <w:rPr>
            <w:noProof/>
            <w:webHidden/>
          </w:rPr>
          <w:fldChar w:fldCharType="begin"/>
        </w:r>
        <w:r w:rsidR="002809AA">
          <w:rPr>
            <w:noProof/>
            <w:webHidden/>
          </w:rPr>
          <w:instrText xml:space="preserve"> PAGEREF _Toc97557131 \h </w:instrText>
        </w:r>
        <w:r w:rsidR="002809AA">
          <w:rPr>
            <w:noProof/>
            <w:webHidden/>
          </w:rPr>
        </w:r>
        <w:r w:rsidR="002809AA">
          <w:rPr>
            <w:noProof/>
            <w:webHidden/>
          </w:rPr>
          <w:fldChar w:fldCharType="separate"/>
        </w:r>
        <w:r w:rsidR="002809AA">
          <w:rPr>
            <w:noProof/>
            <w:webHidden/>
          </w:rPr>
          <w:t>113</w:t>
        </w:r>
        <w:r w:rsidR="002809AA">
          <w:rPr>
            <w:noProof/>
            <w:webHidden/>
          </w:rPr>
          <w:fldChar w:fldCharType="end"/>
        </w:r>
      </w:hyperlink>
    </w:p>
    <w:p w14:paraId="5C1028CD" w14:textId="7F580437" w:rsidR="002809AA" w:rsidRDefault="00322DCE">
      <w:pPr>
        <w:pStyle w:val="TOC2"/>
        <w:rPr>
          <w:rFonts w:eastAsiaTheme="minorEastAsia"/>
          <w:noProof/>
          <w:lang w:eastAsia="en-GB"/>
        </w:rPr>
      </w:pPr>
      <w:hyperlink w:anchor="_Toc97557132" w:history="1">
        <w:r w:rsidR="002809AA" w:rsidRPr="0055529C">
          <w:rPr>
            <w:rStyle w:val="Hyperlink"/>
            <w:rFonts w:cstheme="minorHAnsi"/>
            <w:noProof/>
          </w:rPr>
          <w:t>Table 9. Specific unhealthy snack foodstuffs students referred to as unhealthy.</w:t>
        </w:r>
        <w:r w:rsidR="002809AA">
          <w:rPr>
            <w:noProof/>
            <w:webHidden/>
          </w:rPr>
          <w:tab/>
        </w:r>
        <w:r w:rsidR="002809AA">
          <w:rPr>
            <w:noProof/>
            <w:webHidden/>
          </w:rPr>
          <w:fldChar w:fldCharType="begin"/>
        </w:r>
        <w:r w:rsidR="002809AA">
          <w:rPr>
            <w:noProof/>
            <w:webHidden/>
          </w:rPr>
          <w:instrText xml:space="preserve"> PAGEREF _Toc97557132 \h </w:instrText>
        </w:r>
        <w:r w:rsidR="002809AA">
          <w:rPr>
            <w:noProof/>
            <w:webHidden/>
          </w:rPr>
        </w:r>
        <w:r w:rsidR="002809AA">
          <w:rPr>
            <w:noProof/>
            <w:webHidden/>
          </w:rPr>
          <w:fldChar w:fldCharType="separate"/>
        </w:r>
        <w:r w:rsidR="002809AA">
          <w:rPr>
            <w:noProof/>
            <w:webHidden/>
          </w:rPr>
          <w:t>116</w:t>
        </w:r>
        <w:r w:rsidR="002809AA">
          <w:rPr>
            <w:noProof/>
            <w:webHidden/>
          </w:rPr>
          <w:fldChar w:fldCharType="end"/>
        </w:r>
      </w:hyperlink>
    </w:p>
    <w:p w14:paraId="72FA3A14" w14:textId="1ED631F5" w:rsidR="002809AA" w:rsidRDefault="00322DCE">
      <w:pPr>
        <w:pStyle w:val="TOC2"/>
        <w:rPr>
          <w:rFonts w:eastAsiaTheme="minorEastAsia"/>
          <w:noProof/>
          <w:lang w:eastAsia="en-GB"/>
        </w:rPr>
      </w:pPr>
      <w:hyperlink w:anchor="_Toc97557133" w:history="1">
        <w:r w:rsidR="002809AA" w:rsidRPr="0055529C">
          <w:rPr>
            <w:rStyle w:val="Hyperlink"/>
            <w:rFonts w:cstheme="minorHAnsi"/>
            <w:noProof/>
          </w:rPr>
          <w:t>Table 10. Means and Standard Deviations of students’ personal unhealthy snacking behaviour for each foodstuff.</w:t>
        </w:r>
        <w:r w:rsidR="002809AA">
          <w:rPr>
            <w:noProof/>
            <w:webHidden/>
          </w:rPr>
          <w:tab/>
        </w:r>
        <w:r w:rsidR="002809AA">
          <w:rPr>
            <w:noProof/>
            <w:webHidden/>
          </w:rPr>
          <w:fldChar w:fldCharType="begin"/>
        </w:r>
        <w:r w:rsidR="002809AA">
          <w:rPr>
            <w:noProof/>
            <w:webHidden/>
          </w:rPr>
          <w:instrText xml:space="preserve"> PAGEREF _Toc97557133 \h </w:instrText>
        </w:r>
        <w:r w:rsidR="002809AA">
          <w:rPr>
            <w:noProof/>
            <w:webHidden/>
          </w:rPr>
        </w:r>
        <w:r w:rsidR="002809AA">
          <w:rPr>
            <w:noProof/>
            <w:webHidden/>
          </w:rPr>
          <w:fldChar w:fldCharType="separate"/>
        </w:r>
        <w:r w:rsidR="002809AA">
          <w:rPr>
            <w:noProof/>
            <w:webHidden/>
          </w:rPr>
          <w:t>131</w:t>
        </w:r>
        <w:r w:rsidR="002809AA">
          <w:rPr>
            <w:noProof/>
            <w:webHidden/>
          </w:rPr>
          <w:fldChar w:fldCharType="end"/>
        </w:r>
      </w:hyperlink>
    </w:p>
    <w:p w14:paraId="049309E7" w14:textId="2AD765F2" w:rsidR="002809AA" w:rsidRDefault="00322DCE">
      <w:pPr>
        <w:pStyle w:val="TOC2"/>
        <w:rPr>
          <w:rFonts w:eastAsiaTheme="minorEastAsia"/>
          <w:noProof/>
          <w:lang w:eastAsia="en-GB"/>
        </w:rPr>
      </w:pPr>
      <w:hyperlink w:anchor="_Toc97557134" w:history="1">
        <w:r w:rsidR="002809AA" w:rsidRPr="0055529C">
          <w:rPr>
            <w:rStyle w:val="Hyperlink"/>
            <w:noProof/>
          </w:rPr>
          <w:t xml:space="preserve">Table 11. </w:t>
        </w:r>
        <w:r w:rsidR="002809AA" w:rsidRPr="0055529C">
          <w:rPr>
            <w:rStyle w:val="Hyperlink"/>
            <w:rFonts w:cstheme="minorHAnsi"/>
            <w:noProof/>
          </w:rPr>
          <w:t>Means and Standard Deviations of males’ and female’s personal unhealthy snacking behaviour, related attitudes, and behavioural intention.</w:t>
        </w:r>
        <w:r w:rsidR="002809AA">
          <w:rPr>
            <w:noProof/>
            <w:webHidden/>
          </w:rPr>
          <w:tab/>
        </w:r>
        <w:r w:rsidR="002809AA">
          <w:rPr>
            <w:noProof/>
            <w:webHidden/>
          </w:rPr>
          <w:fldChar w:fldCharType="begin"/>
        </w:r>
        <w:r w:rsidR="002809AA">
          <w:rPr>
            <w:noProof/>
            <w:webHidden/>
          </w:rPr>
          <w:instrText xml:space="preserve"> PAGEREF _Toc97557134 \h </w:instrText>
        </w:r>
        <w:r w:rsidR="002809AA">
          <w:rPr>
            <w:noProof/>
            <w:webHidden/>
          </w:rPr>
        </w:r>
        <w:r w:rsidR="002809AA">
          <w:rPr>
            <w:noProof/>
            <w:webHidden/>
          </w:rPr>
          <w:fldChar w:fldCharType="separate"/>
        </w:r>
        <w:r w:rsidR="002809AA">
          <w:rPr>
            <w:noProof/>
            <w:webHidden/>
          </w:rPr>
          <w:t>132</w:t>
        </w:r>
        <w:r w:rsidR="002809AA">
          <w:rPr>
            <w:noProof/>
            <w:webHidden/>
          </w:rPr>
          <w:fldChar w:fldCharType="end"/>
        </w:r>
      </w:hyperlink>
    </w:p>
    <w:p w14:paraId="17EFA77B" w14:textId="49E9366D" w:rsidR="002809AA" w:rsidRDefault="00322DCE">
      <w:pPr>
        <w:pStyle w:val="TOC2"/>
        <w:rPr>
          <w:rFonts w:eastAsiaTheme="minorEastAsia"/>
          <w:noProof/>
          <w:lang w:eastAsia="en-GB"/>
        </w:rPr>
      </w:pPr>
      <w:hyperlink w:anchor="_Toc97557135" w:history="1">
        <w:r w:rsidR="002809AA" w:rsidRPr="0055529C">
          <w:rPr>
            <w:rStyle w:val="Hyperlink"/>
            <w:noProof/>
          </w:rPr>
          <w:t>Table 12. Mean and Standard Deviation of personal weekly unhealthy snacking and misperceptions of peer groups’ weekly unhealthy snacking.</w:t>
        </w:r>
        <w:r w:rsidR="002809AA">
          <w:rPr>
            <w:noProof/>
            <w:webHidden/>
          </w:rPr>
          <w:tab/>
        </w:r>
        <w:r w:rsidR="002809AA">
          <w:rPr>
            <w:noProof/>
            <w:webHidden/>
          </w:rPr>
          <w:fldChar w:fldCharType="begin"/>
        </w:r>
        <w:r w:rsidR="002809AA">
          <w:rPr>
            <w:noProof/>
            <w:webHidden/>
          </w:rPr>
          <w:instrText xml:space="preserve"> PAGEREF _Toc97557135 \h </w:instrText>
        </w:r>
        <w:r w:rsidR="002809AA">
          <w:rPr>
            <w:noProof/>
            <w:webHidden/>
          </w:rPr>
        </w:r>
        <w:r w:rsidR="002809AA">
          <w:rPr>
            <w:noProof/>
            <w:webHidden/>
          </w:rPr>
          <w:fldChar w:fldCharType="separate"/>
        </w:r>
        <w:r w:rsidR="002809AA">
          <w:rPr>
            <w:noProof/>
            <w:webHidden/>
          </w:rPr>
          <w:t>133</w:t>
        </w:r>
        <w:r w:rsidR="002809AA">
          <w:rPr>
            <w:noProof/>
            <w:webHidden/>
          </w:rPr>
          <w:fldChar w:fldCharType="end"/>
        </w:r>
      </w:hyperlink>
    </w:p>
    <w:p w14:paraId="5FF8D4E0" w14:textId="737DB2AA" w:rsidR="002809AA" w:rsidRDefault="00322DCE">
      <w:pPr>
        <w:pStyle w:val="TOC2"/>
        <w:rPr>
          <w:rFonts w:eastAsiaTheme="minorEastAsia"/>
          <w:noProof/>
          <w:lang w:eastAsia="en-GB"/>
        </w:rPr>
      </w:pPr>
      <w:hyperlink w:anchor="_Toc97557136" w:history="1">
        <w:r w:rsidR="002809AA" w:rsidRPr="0055529C">
          <w:rPr>
            <w:rStyle w:val="Hyperlink"/>
            <w:rFonts w:cstheme="minorHAnsi"/>
            <w:noProof/>
          </w:rPr>
          <w:t>Table 13. Mean and Standard Deviation of personal snacking attitudes and misperceptions of peer group snacking attitudes.</w:t>
        </w:r>
        <w:r w:rsidR="002809AA">
          <w:rPr>
            <w:noProof/>
            <w:webHidden/>
          </w:rPr>
          <w:tab/>
        </w:r>
        <w:r w:rsidR="002809AA">
          <w:rPr>
            <w:noProof/>
            <w:webHidden/>
          </w:rPr>
          <w:fldChar w:fldCharType="begin"/>
        </w:r>
        <w:r w:rsidR="002809AA">
          <w:rPr>
            <w:noProof/>
            <w:webHidden/>
          </w:rPr>
          <w:instrText xml:space="preserve"> PAGEREF _Toc97557136 \h </w:instrText>
        </w:r>
        <w:r w:rsidR="002809AA">
          <w:rPr>
            <w:noProof/>
            <w:webHidden/>
          </w:rPr>
        </w:r>
        <w:r w:rsidR="002809AA">
          <w:rPr>
            <w:noProof/>
            <w:webHidden/>
          </w:rPr>
          <w:fldChar w:fldCharType="separate"/>
        </w:r>
        <w:r w:rsidR="002809AA">
          <w:rPr>
            <w:noProof/>
            <w:webHidden/>
          </w:rPr>
          <w:t>134</w:t>
        </w:r>
        <w:r w:rsidR="002809AA">
          <w:rPr>
            <w:noProof/>
            <w:webHidden/>
          </w:rPr>
          <w:fldChar w:fldCharType="end"/>
        </w:r>
      </w:hyperlink>
    </w:p>
    <w:p w14:paraId="680B823E" w14:textId="1BD65413" w:rsidR="002809AA" w:rsidRDefault="00322DCE">
      <w:pPr>
        <w:pStyle w:val="TOC2"/>
        <w:rPr>
          <w:rFonts w:eastAsiaTheme="minorEastAsia"/>
          <w:noProof/>
          <w:lang w:eastAsia="en-GB"/>
        </w:rPr>
      </w:pPr>
      <w:hyperlink w:anchor="_Toc97557137" w:history="1">
        <w:r w:rsidR="002809AA" w:rsidRPr="0055529C">
          <w:rPr>
            <w:rStyle w:val="Hyperlink"/>
            <w:rFonts w:cstheme="minorHAnsi"/>
            <w:noProof/>
          </w:rPr>
          <w:t>Table 14. Hierarchical regression predicting students’ weekly consumption of unhealthy snacks.</w:t>
        </w:r>
        <w:r w:rsidR="002809AA">
          <w:rPr>
            <w:noProof/>
            <w:webHidden/>
          </w:rPr>
          <w:tab/>
        </w:r>
        <w:r w:rsidR="002809AA">
          <w:rPr>
            <w:noProof/>
            <w:webHidden/>
          </w:rPr>
          <w:fldChar w:fldCharType="begin"/>
        </w:r>
        <w:r w:rsidR="002809AA">
          <w:rPr>
            <w:noProof/>
            <w:webHidden/>
          </w:rPr>
          <w:instrText xml:space="preserve"> PAGEREF _Toc97557137 \h </w:instrText>
        </w:r>
        <w:r w:rsidR="002809AA">
          <w:rPr>
            <w:noProof/>
            <w:webHidden/>
          </w:rPr>
        </w:r>
        <w:r w:rsidR="002809AA">
          <w:rPr>
            <w:noProof/>
            <w:webHidden/>
          </w:rPr>
          <w:fldChar w:fldCharType="separate"/>
        </w:r>
        <w:r w:rsidR="002809AA">
          <w:rPr>
            <w:noProof/>
            <w:webHidden/>
          </w:rPr>
          <w:t>135</w:t>
        </w:r>
        <w:r w:rsidR="002809AA">
          <w:rPr>
            <w:noProof/>
            <w:webHidden/>
          </w:rPr>
          <w:fldChar w:fldCharType="end"/>
        </w:r>
      </w:hyperlink>
    </w:p>
    <w:p w14:paraId="1C9081CE" w14:textId="6B3AD648" w:rsidR="002809AA" w:rsidRDefault="00322DCE">
      <w:pPr>
        <w:pStyle w:val="TOC2"/>
        <w:rPr>
          <w:rFonts w:eastAsiaTheme="minorEastAsia"/>
          <w:noProof/>
          <w:lang w:eastAsia="en-GB"/>
        </w:rPr>
      </w:pPr>
      <w:hyperlink w:anchor="_Toc97557138" w:history="1">
        <w:r w:rsidR="002809AA" w:rsidRPr="0055529C">
          <w:rPr>
            <w:rStyle w:val="Hyperlink"/>
            <w:rFonts w:cstheme="minorHAnsi"/>
            <w:noProof/>
          </w:rPr>
          <w:t>Table 15. Hierarchical regression predicting students’ personal attitude towards unhealthy snacking.</w:t>
        </w:r>
        <w:r w:rsidR="002809AA">
          <w:rPr>
            <w:noProof/>
            <w:webHidden/>
          </w:rPr>
          <w:tab/>
        </w:r>
        <w:r w:rsidR="002809AA">
          <w:rPr>
            <w:noProof/>
            <w:webHidden/>
          </w:rPr>
          <w:fldChar w:fldCharType="begin"/>
        </w:r>
        <w:r w:rsidR="002809AA">
          <w:rPr>
            <w:noProof/>
            <w:webHidden/>
          </w:rPr>
          <w:instrText xml:space="preserve"> PAGEREF _Toc97557138 \h </w:instrText>
        </w:r>
        <w:r w:rsidR="002809AA">
          <w:rPr>
            <w:noProof/>
            <w:webHidden/>
          </w:rPr>
        </w:r>
        <w:r w:rsidR="002809AA">
          <w:rPr>
            <w:noProof/>
            <w:webHidden/>
          </w:rPr>
          <w:fldChar w:fldCharType="separate"/>
        </w:r>
        <w:r w:rsidR="002809AA">
          <w:rPr>
            <w:noProof/>
            <w:webHidden/>
          </w:rPr>
          <w:t>137</w:t>
        </w:r>
        <w:r w:rsidR="002809AA">
          <w:rPr>
            <w:noProof/>
            <w:webHidden/>
          </w:rPr>
          <w:fldChar w:fldCharType="end"/>
        </w:r>
      </w:hyperlink>
    </w:p>
    <w:p w14:paraId="6ED08A49" w14:textId="6EA96F7B" w:rsidR="002809AA" w:rsidRDefault="00322DCE">
      <w:pPr>
        <w:pStyle w:val="TOC2"/>
        <w:rPr>
          <w:rFonts w:eastAsiaTheme="minorEastAsia"/>
          <w:noProof/>
          <w:lang w:eastAsia="en-GB"/>
        </w:rPr>
      </w:pPr>
      <w:hyperlink w:anchor="_Toc97557139" w:history="1">
        <w:r w:rsidR="002809AA" w:rsidRPr="0055529C">
          <w:rPr>
            <w:rStyle w:val="Hyperlink"/>
            <w:rFonts w:cstheme="minorHAnsi"/>
            <w:noProof/>
          </w:rPr>
          <w:t>Table 16. Hierarchical regression predicting student’s intention to reduce unhealthy snacking</w:t>
        </w:r>
        <w:r w:rsidR="002809AA">
          <w:rPr>
            <w:noProof/>
            <w:webHidden/>
          </w:rPr>
          <w:tab/>
        </w:r>
        <w:r w:rsidR="002809AA">
          <w:rPr>
            <w:noProof/>
            <w:webHidden/>
          </w:rPr>
          <w:fldChar w:fldCharType="begin"/>
        </w:r>
        <w:r w:rsidR="002809AA">
          <w:rPr>
            <w:noProof/>
            <w:webHidden/>
          </w:rPr>
          <w:instrText xml:space="preserve"> PAGEREF _Toc97557139 \h </w:instrText>
        </w:r>
        <w:r w:rsidR="002809AA">
          <w:rPr>
            <w:noProof/>
            <w:webHidden/>
          </w:rPr>
        </w:r>
        <w:r w:rsidR="002809AA">
          <w:rPr>
            <w:noProof/>
            <w:webHidden/>
          </w:rPr>
          <w:fldChar w:fldCharType="separate"/>
        </w:r>
        <w:r w:rsidR="002809AA">
          <w:rPr>
            <w:noProof/>
            <w:webHidden/>
          </w:rPr>
          <w:t>138</w:t>
        </w:r>
        <w:r w:rsidR="002809AA">
          <w:rPr>
            <w:noProof/>
            <w:webHidden/>
          </w:rPr>
          <w:fldChar w:fldCharType="end"/>
        </w:r>
      </w:hyperlink>
    </w:p>
    <w:p w14:paraId="5155F32D" w14:textId="2BD6599D" w:rsidR="002809AA" w:rsidRDefault="00322DCE">
      <w:pPr>
        <w:pStyle w:val="TOC2"/>
        <w:rPr>
          <w:rFonts w:eastAsiaTheme="minorEastAsia"/>
          <w:noProof/>
          <w:lang w:eastAsia="en-GB"/>
        </w:rPr>
      </w:pPr>
      <w:hyperlink w:anchor="_Toc97557140" w:history="1">
        <w:r w:rsidR="002809AA" w:rsidRPr="0055529C">
          <w:rPr>
            <w:rStyle w:val="Hyperlink"/>
            <w:noProof/>
          </w:rPr>
          <w:t>Table 17. Shows results of the ANCOVA/ANCOHET with adjusted means, standard errors and confidence intervals for each of the outcome variables for the post-intervention data (Time 2)</w:t>
        </w:r>
        <w:r w:rsidR="002809AA">
          <w:rPr>
            <w:noProof/>
            <w:webHidden/>
          </w:rPr>
          <w:tab/>
        </w:r>
        <w:r w:rsidR="002809AA">
          <w:rPr>
            <w:noProof/>
            <w:webHidden/>
          </w:rPr>
          <w:fldChar w:fldCharType="begin"/>
        </w:r>
        <w:r w:rsidR="002809AA">
          <w:rPr>
            <w:noProof/>
            <w:webHidden/>
          </w:rPr>
          <w:instrText xml:space="preserve"> PAGEREF _Toc97557140 \h </w:instrText>
        </w:r>
        <w:r w:rsidR="002809AA">
          <w:rPr>
            <w:noProof/>
            <w:webHidden/>
          </w:rPr>
        </w:r>
        <w:r w:rsidR="002809AA">
          <w:rPr>
            <w:noProof/>
            <w:webHidden/>
          </w:rPr>
          <w:fldChar w:fldCharType="separate"/>
        </w:r>
        <w:r w:rsidR="002809AA">
          <w:rPr>
            <w:noProof/>
            <w:webHidden/>
          </w:rPr>
          <w:t>157</w:t>
        </w:r>
        <w:r w:rsidR="002809AA">
          <w:rPr>
            <w:noProof/>
            <w:webHidden/>
          </w:rPr>
          <w:fldChar w:fldCharType="end"/>
        </w:r>
      </w:hyperlink>
    </w:p>
    <w:p w14:paraId="695EEB79" w14:textId="18453502" w:rsidR="002809AA" w:rsidRDefault="00322DCE">
      <w:pPr>
        <w:pStyle w:val="TOC2"/>
        <w:rPr>
          <w:rFonts w:eastAsiaTheme="minorEastAsia"/>
          <w:noProof/>
          <w:lang w:eastAsia="en-GB"/>
        </w:rPr>
      </w:pPr>
      <w:hyperlink w:anchor="_Toc97557141" w:history="1">
        <w:r w:rsidR="002809AA" w:rsidRPr="0055529C">
          <w:rPr>
            <w:rStyle w:val="Hyperlink"/>
            <w:noProof/>
          </w:rPr>
          <w:t>Table 18. Shows results of the ANCOVA/ANCOHET with adjusted means, standard errors and confidence intervals for each of the outcome variables for the post-intervention data (Time 3).</w:t>
        </w:r>
        <w:r w:rsidR="002809AA">
          <w:rPr>
            <w:noProof/>
            <w:webHidden/>
          </w:rPr>
          <w:tab/>
        </w:r>
        <w:r w:rsidR="002809AA">
          <w:rPr>
            <w:noProof/>
            <w:webHidden/>
          </w:rPr>
          <w:fldChar w:fldCharType="begin"/>
        </w:r>
        <w:r w:rsidR="002809AA">
          <w:rPr>
            <w:noProof/>
            <w:webHidden/>
          </w:rPr>
          <w:instrText xml:space="preserve"> PAGEREF _Toc97557141 \h </w:instrText>
        </w:r>
        <w:r w:rsidR="002809AA">
          <w:rPr>
            <w:noProof/>
            <w:webHidden/>
          </w:rPr>
        </w:r>
        <w:r w:rsidR="002809AA">
          <w:rPr>
            <w:noProof/>
            <w:webHidden/>
          </w:rPr>
          <w:fldChar w:fldCharType="separate"/>
        </w:r>
        <w:r w:rsidR="002809AA">
          <w:rPr>
            <w:noProof/>
            <w:webHidden/>
          </w:rPr>
          <w:t>160</w:t>
        </w:r>
        <w:r w:rsidR="002809AA">
          <w:rPr>
            <w:noProof/>
            <w:webHidden/>
          </w:rPr>
          <w:fldChar w:fldCharType="end"/>
        </w:r>
      </w:hyperlink>
    </w:p>
    <w:p w14:paraId="797C70E6" w14:textId="5456F845" w:rsidR="002809AA" w:rsidRDefault="00322DCE">
      <w:pPr>
        <w:pStyle w:val="TOC2"/>
        <w:rPr>
          <w:rFonts w:eastAsiaTheme="minorEastAsia"/>
          <w:noProof/>
          <w:lang w:eastAsia="en-GB"/>
        </w:rPr>
      </w:pPr>
      <w:hyperlink w:anchor="_Toc97557142" w:history="1">
        <w:r w:rsidR="002809AA" w:rsidRPr="0055529C">
          <w:rPr>
            <w:rStyle w:val="Hyperlink"/>
            <w:rFonts w:cstheme="minorHAnsi"/>
            <w:noProof/>
          </w:rPr>
          <w:t>Table 19. Correlation matrix of intervention condition, changes in normative misperceptions (time 2 and 3) and changes in personal unhealthy snacking at 3 months follow-up (Time 3)</w:t>
        </w:r>
        <w:r w:rsidR="002809AA">
          <w:rPr>
            <w:noProof/>
            <w:webHidden/>
          </w:rPr>
          <w:tab/>
        </w:r>
        <w:r w:rsidR="002809AA">
          <w:rPr>
            <w:noProof/>
            <w:webHidden/>
          </w:rPr>
          <w:fldChar w:fldCharType="begin"/>
        </w:r>
        <w:r w:rsidR="002809AA">
          <w:rPr>
            <w:noProof/>
            <w:webHidden/>
          </w:rPr>
          <w:instrText xml:space="preserve"> PAGEREF _Toc97557142 \h </w:instrText>
        </w:r>
        <w:r w:rsidR="002809AA">
          <w:rPr>
            <w:noProof/>
            <w:webHidden/>
          </w:rPr>
        </w:r>
        <w:r w:rsidR="002809AA">
          <w:rPr>
            <w:noProof/>
            <w:webHidden/>
          </w:rPr>
          <w:fldChar w:fldCharType="separate"/>
        </w:r>
        <w:r w:rsidR="002809AA">
          <w:rPr>
            <w:noProof/>
            <w:webHidden/>
          </w:rPr>
          <w:t>163</w:t>
        </w:r>
        <w:r w:rsidR="002809AA">
          <w:rPr>
            <w:noProof/>
            <w:webHidden/>
          </w:rPr>
          <w:fldChar w:fldCharType="end"/>
        </w:r>
      </w:hyperlink>
    </w:p>
    <w:p w14:paraId="36040FA2" w14:textId="0B679D87" w:rsidR="002809AA" w:rsidRDefault="00322DCE">
      <w:pPr>
        <w:pStyle w:val="TOC2"/>
        <w:rPr>
          <w:rFonts w:eastAsiaTheme="minorEastAsia"/>
          <w:noProof/>
          <w:lang w:eastAsia="en-GB"/>
        </w:rPr>
      </w:pPr>
      <w:hyperlink w:anchor="_Toc97557143" w:history="1">
        <w:r w:rsidR="002809AA" w:rsidRPr="0055529C">
          <w:rPr>
            <w:rStyle w:val="Hyperlink"/>
            <w:noProof/>
          </w:rPr>
          <w:t xml:space="preserve">Table 20. Correlation matrix of </w:t>
        </w:r>
        <w:r w:rsidR="002809AA" w:rsidRPr="0055529C">
          <w:rPr>
            <w:rStyle w:val="Hyperlink"/>
            <w:rFonts w:cstheme="minorHAnsi"/>
            <w:noProof/>
          </w:rPr>
          <w:t>intervention condition, changes in normative misperceptions (time 2 and 3) and</w:t>
        </w:r>
        <w:r w:rsidR="002809AA" w:rsidRPr="0055529C">
          <w:rPr>
            <w:rStyle w:val="Hyperlink"/>
            <w:noProof/>
          </w:rPr>
          <w:t xml:space="preserve"> changes in personal attitude towards unhealthy snacking at 3 months </w:t>
        </w:r>
        <w:r w:rsidR="002809AA" w:rsidRPr="0055529C">
          <w:rPr>
            <w:rStyle w:val="Hyperlink"/>
            <w:rFonts w:cstheme="minorHAnsi"/>
            <w:noProof/>
          </w:rPr>
          <w:t>follow-up</w:t>
        </w:r>
        <w:r w:rsidR="002809AA" w:rsidRPr="0055529C">
          <w:rPr>
            <w:rStyle w:val="Hyperlink"/>
            <w:noProof/>
          </w:rPr>
          <w:t xml:space="preserve"> (Time 3).</w:t>
        </w:r>
        <w:r w:rsidR="002809AA">
          <w:rPr>
            <w:noProof/>
            <w:webHidden/>
          </w:rPr>
          <w:tab/>
        </w:r>
        <w:r w:rsidR="002809AA">
          <w:rPr>
            <w:noProof/>
            <w:webHidden/>
          </w:rPr>
          <w:fldChar w:fldCharType="begin"/>
        </w:r>
        <w:r w:rsidR="002809AA">
          <w:rPr>
            <w:noProof/>
            <w:webHidden/>
          </w:rPr>
          <w:instrText xml:space="preserve"> PAGEREF _Toc97557143 \h </w:instrText>
        </w:r>
        <w:r w:rsidR="002809AA">
          <w:rPr>
            <w:noProof/>
            <w:webHidden/>
          </w:rPr>
        </w:r>
        <w:r w:rsidR="002809AA">
          <w:rPr>
            <w:noProof/>
            <w:webHidden/>
          </w:rPr>
          <w:fldChar w:fldCharType="separate"/>
        </w:r>
        <w:r w:rsidR="002809AA">
          <w:rPr>
            <w:noProof/>
            <w:webHidden/>
          </w:rPr>
          <w:t>164</w:t>
        </w:r>
        <w:r w:rsidR="002809AA">
          <w:rPr>
            <w:noProof/>
            <w:webHidden/>
          </w:rPr>
          <w:fldChar w:fldCharType="end"/>
        </w:r>
      </w:hyperlink>
    </w:p>
    <w:p w14:paraId="54D878DE" w14:textId="4367DE91" w:rsidR="002809AA" w:rsidRDefault="00322DCE">
      <w:pPr>
        <w:pStyle w:val="TOC2"/>
        <w:rPr>
          <w:rFonts w:eastAsiaTheme="minorEastAsia"/>
          <w:noProof/>
          <w:lang w:eastAsia="en-GB"/>
        </w:rPr>
      </w:pPr>
      <w:hyperlink w:anchor="_Toc97557144" w:history="1">
        <w:r w:rsidR="002809AA" w:rsidRPr="0055529C">
          <w:rPr>
            <w:rStyle w:val="Hyperlink"/>
            <w:rFonts w:cstheme="minorHAnsi"/>
            <w:noProof/>
          </w:rPr>
          <w:t xml:space="preserve">Table 21. </w:t>
        </w:r>
        <w:r w:rsidR="002809AA" w:rsidRPr="0055529C">
          <w:rPr>
            <w:rStyle w:val="Hyperlink"/>
            <w:noProof/>
          </w:rPr>
          <w:t>Mediation analyses for the indirect effect of intervention condition on changes in personal unhealthy snacking behaviour and unhealthy snacking attitudes at 3-month follow-up, via changes in normative misperceptions</w:t>
        </w:r>
        <w:r w:rsidR="002809AA">
          <w:rPr>
            <w:noProof/>
            <w:webHidden/>
          </w:rPr>
          <w:tab/>
        </w:r>
        <w:r w:rsidR="002809AA">
          <w:rPr>
            <w:noProof/>
            <w:webHidden/>
          </w:rPr>
          <w:fldChar w:fldCharType="begin"/>
        </w:r>
        <w:r w:rsidR="002809AA">
          <w:rPr>
            <w:noProof/>
            <w:webHidden/>
          </w:rPr>
          <w:instrText xml:space="preserve"> PAGEREF _Toc97557144 \h </w:instrText>
        </w:r>
        <w:r w:rsidR="002809AA">
          <w:rPr>
            <w:noProof/>
            <w:webHidden/>
          </w:rPr>
        </w:r>
        <w:r w:rsidR="002809AA">
          <w:rPr>
            <w:noProof/>
            <w:webHidden/>
          </w:rPr>
          <w:fldChar w:fldCharType="separate"/>
        </w:r>
        <w:r w:rsidR="002809AA">
          <w:rPr>
            <w:noProof/>
            <w:webHidden/>
          </w:rPr>
          <w:t>166</w:t>
        </w:r>
        <w:r w:rsidR="002809AA">
          <w:rPr>
            <w:noProof/>
            <w:webHidden/>
          </w:rPr>
          <w:fldChar w:fldCharType="end"/>
        </w:r>
      </w:hyperlink>
    </w:p>
    <w:p w14:paraId="0FA1AD46" w14:textId="74013E93" w:rsidR="002809AA" w:rsidRDefault="00322DCE">
      <w:pPr>
        <w:pStyle w:val="TOC2"/>
        <w:rPr>
          <w:rFonts w:eastAsiaTheme="minorEastAsia"/>
          <w:noProof/>
          <w:lang w:eastAsia="en-GB"/>
        </w:rPr>
      </w:pPr>
      <w:hyperlink w:anchor="_Toc97557145" w:history="1">
        <w:r w:rsidR="002809AA" w:rsidRPr="0055529C">
          <w:rPr>
            <w:rStyle w:val="Hyperlink"/>
            <w:noProof/>
          </w:rPr>
          <w:t>Table 22. Descriptive statistics of the quantitative questionnaire items</w:t>
        </w:r>
        <w:r w:rsidR="002809AA">
          <w:rPr>
            <w:noProof/>
            <w:webHidden/>
          </w:rPr>
          <w:tab/>
        </w:r>
        <w:r w:rsidR="002809AA">
          <w:rPr>
            <w:noProof/>
            <w:webHidden/>
          </w:rPr>
          <w:fldChar w:fldCharType="begin"/>
        </w:r>
        <w:r w:rsidR="002809AA">
          <w:rPr>
            <w:noProof/>
            <w:webHidden/>
          </w:rPr>
          <w:instrText xml:space="preserve"> PAGEREF _Toc97557145 \h </w:instrText>
        </w:r>
        <w:r w:rsidR="002809AA">
          <w:rPr>
            <w:noProof/>
            <w:webHidden/>
          </w:rPr>
        </w:r>
        <w:r w:rsidR="002809AA">
          <w:rPr>
            <w:noProof/>
            <w:webHidden/>
          </w:rPr>
          <w:fldChar w:fldCharType="separate"/>
        </w:r>
        <w:r w:rsidR="002809AA">
          <w:rPr>
            <w:noProof/>
            <w:webHidden/>
          </w:rPr>
          <w:t>180</w:t>
        </w:r>
        <w:r w:rsidR="002809AA">
          <w:rPr>
            <w:noProof/>
            <w:webHidden/>
          </w:rPr>
          <w:fldChar w:fldCharType="end"/>
        </w:r>
      </w:hyperlink>
    </w:p>
    <w:p w14:paraId="48811AFD" w14:textId="2ADFCFFD" w:rsidR="002809AA" w:rsidRDefault="00322DCE">
      <w:pPr>
        <w:pStyle w:val="TOC2"/>
        <w:rPr>
          <w:rFonts w:eastAsiaTheme="minorEastAsia"/>
          <w:noProof/>
          <w:lang w:eastAsia="en-GB"/>
        </w:rPr>
      </w:pPr>
      <w:hyperlink w:anchor="_Toc97557146" w:history="1">
        <w:r w:rsidR="002809AA" w:rsidRPr="0055529C">
          <w:rPr>
            <w:rStyle w:val="Hyperlink"/>
            <w:noProof/>
          </w:rPr>
          <w:t xml:space="preserve">Table 23. </w:t>
        </w:r>
        <w:r w:rsidR="002809AA" w:rsidRPr="0055529C">
          <w:rPr>
            <w:rStyle w:val="Hyperlink"/>
            <w:rFonts w:cstheme="minorHAnsi"/>
            <w:noProof/>
          </w:rPr>
          <w:t>Overview table - Description of studies from the top-up search</w:t>
        </w:r>
        <w:r w:rsidR="002809AA">
          <w:rPr>
            <w:noProof/>
            <w:webHidden/>
          </w:rPr>
          <w:tab/>
        </w:r>
        <w:r w:rsidR="002809AA">
          <w:rPr>
            <w:noProof/>
            <w:webHidden/>
          </w:rPr>
          <w:fldChar w:fldCharType="begin"/>
        </w:r>
        <w:r w:rsidR="002809AA">
          <w:rPr>
            <w:noProof/>
            <w:webHidden/>
          </w:rPr>
          <w:instrText xml:space="preserve"> PAGEREF _Toc97557146 \h </w:instrText>
        </w:r>
        <w:r w:rsidR="002809AA">
          <w:rPr>
            <w:noProof/>
            <w:webHidden/>
          </w:rPr>
        </w:r>
        <w:r w:rsidR="002809AA">
          <w:rPr>
            <w:noProof/>
            <w:webHidden/>
          </w:rPr>
          <w:fldChar w:fldCharType="separate"/>
        </w:r>
        <w:r w:rsidR="002809AA">
          <w:rPr>
            <w:noProof/>
            <w:webHidden/>
          </w:rPr>
          <w:t>240</w:t>
        </w:r>
        <w:r w:rsidR="002809AA">
          <w:rPr>
            <w:noProof/>
            <w:webHidden/>
          </w:rPr>
          <w:fldChar w:fldCharType="end"/>
        </w:r>
      </w:hyperlink>
    </w:p>
    <w:p w14:paraId="1BF53D78" w14:textId="38A544C5" w:rsidR="002809AA" w:rsidRDefault="00322DCE">
      <w:pPr>
        <w:pStyle w:val="TOC2"/>
        <w:rPr>
          <w:rFonts w:eastAsiaTheme="minorEastAsia"/>
          <w:noProof/>
          <w:lang w:eastAsia="en-GB"/>
        </w:rPr>
      </w:pPr>
      <w:hyperlink w:anchor="_Toc97557147" w:history="1">
        <w:r w:rsidR="002809AA" w:rsidRPr="0055529C">
          <w:rPr>
            <w:rStyle w:val="Hyperlink"/>
            <w:noProof/>
          </w:rPr>
          <w:t>Table 24. Content analysis of what students most commonly referred to as unhealthy food items</w:t>
        </w:r>
        <w:r w:rsidR="002809AA">
          <w:rPr>
            <w:noProof/>
            <w:webHidden/>
          </w:rPr>
          <w:tab/>
        </w:r>
        <w:r w:rsidR="002809AA">
          <w:rPr>
            <w:noProof/>
            <w:webHidden/>
          </w:rPr>
          <w:fldChar w:fldCharType="begin"/>
        </w:r>
        <w:r w:rsidR="002809AA">
          <w:rPr>
            <w:noProof/>
            <w:webHidden/>
          </w:rPr>
          <w:instrText xml:space="preserve"> PAGEREF _Toc97557147 \h </w:instrText>
        </w:r>
        <w:r w:rsidR="002809AA">
          <w:rPr>
            <w:noProof/>
            <w:webHidden/>
          </w:rPr>
        </w:r>
        <w:r w:rsidR="002809AA">
          <w:rPr>
            <w:noProof/>
            <w:webHidden/>
          </w:rPr>
          <w:fldChar w:fldCharType="separate"/>
        </w:r>
        <w:r w:rsidR="002809AA">
          <w:rPr>
            <w:noProof/>
            <w:webHidden/>
          </w:rPr>
          <w:t>256</w:t>
        </w:r>
        <w:r w:rsidR="002809AA">
          <w:rPr>
            <w:noProof/>
            <w:webHidden/>
          </w:rPr>
          <w:fldChar w:fldCharType="end"/>
        </w:r>
      </w:hyperlink>
    </w:p>
    <w:p w14:paraId="1019A783" w14:textId="2A43EB1A" w:rsidR="00DD5419" w:rsidRPr="00F02C72" w:rsidRDefault="00DD5419" w:rsidP="00DD5419">
      <w:r w:rsidRPr="00A10477">
        <w:fldChar w:fldCharType="end"/>
      </w:r>
    </w:p>
    <w:p w14:paraId="18E9167B" w14:textId="274E0ACA" w:rsidR="00DD5BC7" w:rsidRDefault="00DD5BC7" w:rsidP="00F02C72"/>
    <w:p w14:paraId="78009FA7" w14:textId="4AF9B351" w:rsidR="00523FAE" w:rsidRDefault="00523FAE" w:rsidP="00F02C72"/>
    <w:p w14:paraId="686108C2" w14:textId="25563D2C" w:rsidR="00523FAE" w:rsidRDefault="00523FAE" w:rsidP="00F02C72"/>
    <w:p w14:paraId="78758039" w14:textId="7E86C19B" w:rsidR="00523FAE" w:rsidRDefault="00523FAE" w:rsidP="00F02C72"/>
    <w:p w14:paraId="12BE5C02" w14:textId="61657F37" w:rsidR="00523FAE" w:rsidRDefault="00523FAE" w:rsidP="00F02C72"/>
    <w:p w14:paraId="0DCE3FFE" w14:textId="6FD00FB1" w:rsidR="00523FAE" w:rsidRDefault="00523FAE" w:rsidP="00F02C72"/>
    <w:p w14:paraId="1BF6DE9B" w14:textId="663B6A53" w:rsidR="00523FAE" w:rsidRDefault="00523FAE" w:rsidP="00F02C72"/>
    <w:p w14:paraId="106AE28C" w14:textId="02B5F4BF" w:rsidR="00523FAE" w:rsidRDefault="00523FAE" w:rsidP="00F02C72"/>
    <w:p w14:paraId="197B04E0" w14:textId="26C8C422" w:rsidR="00523FAE" w:rsidRDefault="00523FAE" w:rsidP="00F02C72"/>
    <w:p w14:paraId="7F19128E" w14:textId="5DCA2D81" w:rsidR="00523FAE" w:rsidRDefault="00523FAE" w:rsidP="00F02C72"/>
    <w:p w14:paraId="3040A8E6" w14:textId="2FDF4BF1" w:rsidR="00523FAE" w:rsidRDefault="00523FAE" w:rsidP="00F02C72"/>
    <w:p w14:paraId="24713531" w14:textId="4E88684F" w:rsidR="00523FAE" w:rsidRDefault="00523FAE" w:rsidP="00F02C72"/>
    <w:p w14:paraId="62167C6F" w14:textId="4C07B0D7" w:rsidR="00523FAE" w:rsidRDefault="00523FAE" w:rsidP="00F02C72"/>
    <w:p w14:paraId="5E17FC8C" w14:textId="7329C6BA" w:rsidR="00523FAE" w:rsidRDefault="00523FAE" w:rsidP="00F02C72"/>
    <w:p w14:paraId="24B9B0B4" w14:textId="075FCBB1" w:rsidR="00523FAE" w:rsidRDefault="00523FAE" w:rsidP="00F02C72"/>
    <w:p w14:paraId="0115F363" w14:textId="78850C59" w:rsidR="00523FAE" w:rsidRDefault="00523FAE" w:rsidP="00F02C72"/>
    <w:p w14:paraId="2337B3CF" w14:textId="54BB13B9" w:rsidR="00523FAE" w:rsidRDefault="00523FAE" w:rsidP="00F02C72"/>
    <w:p w14:paraId="27F07CD2" w14:textId="1F249557" w:rsidR="00523FAE" w:rsidRDefault="00523FAE" w:rsidP="00F02C72"/>
    <w:p w14:paraId="5981E739" w14:textId="24E432C0" w:rsidR="00523FAE" w:rsidRDefault="00523FAE" w:rsidP="00F02C72"/>
    <w:p w14:paraId="617BB3DC" w14:textId="721848BF" w:rsidR="00523FAE" w:rsidRDefault="00523FAE" w:rsidP="00F02C72"/>
    <w:p w14:paraId="28ABAAF8" w14:textId="6D51D5FB" w:rsidR="00523FAE" w:rsidRDefault="00523FAE" w:rsidP="00F02C72"/>
    <w:p w14:paraId="778AF338" w14:textId="035F90FA" w:rsidR="00523FAE" w:rsidRDefault="00523FAE" w:rsidP="00F02C72"/>
    <w:p w14:paraId="044982D8" w14:textId="27C7B634" w:rsidR="00523FAE" w:rsidRDefault="00523FAE" w:rsidP="00F02C72"/>
    <w:p w14:paraId="33A5A2D0" w14:textId="1FAFAAF4" w:rsidR="00523FAE" w:rsidRDefault="00523FAE" w:rsidP="00F02C72"/>
    <w:p w14:paraId="313E030C" w14:textId="2CABF1E0" w:rsidR="00523FAE" w:rsidRDefault="00523FAE" w:rsidP="00F02C72"/>
    <w:p w14:paraId="5B6AE10F" w14:textId="5F673E05" w:rsidR="00523FAE" w:rsidRDefault="00523FAE" w:rsidP="00F02C72"/>
    <w:p w14:paraId="16C31F95" w14:textId="2CE3C9AE" w:rsidR="00523FAE" w:rsidRDefault="00523FAE" w:rsidP="00F02C72"/>
    <w:bookmarkStart w:id="7" w:name="_Toc84678890"/>
    <w:p w14:paraId="1C84950F" w14:textId="2DFB4A03" w:rsidR="00DD5BC7" w:rsidRDefault="00F24F8B" w:rsidP="00F02C72">
      <w:pPr>
        <w:rPr>
          <w:b/>
          <w:bCs/>
        </w:rPr>
      </w:pPr>
      <w:r w:rsidRPr="005519AB">
        <w:rPr>
          <w:b/>
          <w:bCs/>
        </w:rPr>
        <w:lastRenderedPageBreak/>
        <w:fldChar w:fldCharType="begin"/>
      </w:r>
      <w:r w:rsidRPr="005519AB">
        <w:rPr>
          <w:b/>
          <w:bCs/>
        </w:rPr>
        <w:instrText xml:space="preserve"> TC  "</w:instrText>
      </w:r>
      <w:bookmarkStart w:id="8" w:name="_Toc97310399"/>
      <w:r w:rsidRPr="005519AB">
        <w:rPr>
          <w:b/>
          <w:bCs/>
        </w:rPr>
        <w:instrText>List of Figures</w:instrText>
      </w:r>
      <w:bookmarkEnd w:id="8"/>
      <w:r w:rsidRPr="005519AB">
        <w:rPr>
          <w:b/>
          <w:bCs/>
        </w:rPr>
        <w:instrText xml:space="preserve">" \f x\l 1 </w:instrText>
      </w:r>
      <w:r w:rsidRPr="005519AB">
        <w:rPr>
          <w:b/>
          <w:bCs/>
        </w:rPr>
        <w:fldChar w:fldCharType="end"/>
      </w:r>
      <w:r w:rsidR="00DD5BC7" w:rsidRPr="005519AB">
        <w:rPr>
          <w:b/>
          <w:bCs/>
        </w:rPr>
        <w:t xml:space="preserve">List of </w:t>
      </w:r>
      <w:r w:rsidRPr="005519AB">
        <w:rPr>
          <w:b/>
          <w:bCs/>
        </w:rPr>
        <w:t>F</w:t>
      </w:r>
      <w:r w:rsidR="00DD5BC7" w:rsidRPr="005519AB">
        <w:rPr>
          <w:b/>
          <w:bCs/>
        </w:rPr>
        <w:t>igures</w:t>
      </w:r>
      <w:bookmarkEnd w:id="7"/>
    </w:p>
    <w:p w14:paraId="0C522E1C" w14:textId="446F1F8D" w:rsidR="002809AA" w:rsidRDefault="00A4274F">
      <w:pPr>
        <w:pStyle w:val="TOC2"/>
        <w:rPr>
          <w:rFonts w:eastAsiaTheme="minorEastAsia"/>
          <w:noProof/>
          <w:lang w:eastAsia="en-GB"/>
        </w:rPr>
      </w:pPr>
      <w:r>
        <w:rPr>
          <w:b/>
          <w:bCs/>
        </w:rPr>
        <w:fldChar w:fldCharType="begin"/>
      </w:r>
      <w:r>
        <w:rPr>
          <w:b/>
          <w:bCs/>
        </w:rPr>
        <w:instrText xml:space="preserve"> TOC \f</w:instrText>
      </w:r>
      <w:r w:rsidR="0020482E">
        <w:rPr>
          <w:b/>
          <w:bCs/>
        </w:rPr>
        <w:instrText xml:space="preserve"> w</w:instrText>
      </w:r>
      <w:r>
        <w:rPr>
          <w:b/>
          <w:bCs/>
        </w:rPr>
        <w:instrText xml:space="preserve"> \h \z </w:instrText>
      </w:r>
      <w:r>
        <w:rPr>
          <w:b/>
          <w:bCs/>
        </w:rPr>
        <w:fldChar w:fldCharType="separate"/>
      </w:r>
      <w:hyperlink r:id="rId22" w:anchor="_Toc97557148" w:history="1">
        <w:r w:rsidR="002809AA" w:rsidRPr="005E5217">
          <w:rPr>
            <w:rStyle w:val="Hyperlink"/>
            <w:rFonts w:cstheme="minorHAnsi"/>
            <w:noProof/>
          </w:rPr>
          <w:t>F</w:t>
        </w:r>
        <w:r w:rsidR="002809AA" w:rsidRPr="005E5217">
          <w:rPr>
            <w:rStyle w:val="Hyperlink"/>
            <w:noProof/>
          </w:rPr>
          <w:t>igure 1. Flow diagram of selection studies.</w:t>
        </w:r>
        <w:r w:rsidR="002809AA">
          <w:rPr>
            <w:noProof/>
            <w:webHidden/>
          </w:rPr>
          <w:tab/>
        </w:r>
        <w:r w:rsidR="002809AA">
          <w:rPr>
            <w:noProof/>
            <w:webHidden/>
          </w:rPr>
          <w:fldChar w:fldCharType="begin"/>
        </w:r>
        <w:r w:rsidR="002809AA">
          <w:rPr>
            <w:noProof/>
            <w:webHidden/>
          </w:rPr>
          <w:instrText xml:space="preserve"> PAGEREF _Toc97557148 \h </w:instrText>
        </w:r>
        <w:r w:rsidR="002809AA">
          <w:rPr>
            <w:noProof/>
            <w:webHidden/>
          </w:rPr>
        </w:r>
        <w:r w:rsidR="002809AA">
          <w:rPr>
            <w:noProof/>
            <w:webHidden/>
          </w:rPr>
          <w:fldChar w:fldCharType="separate"/>
        </w:r>
        <w:r w:rsidR="002809AA">
          <w:rPr>
            <w:noProof/>
            <w:webHidden/>
          </w:rPr>
          <w:t>18</w:t>
        </w:r>
        <w:r w:rsidR="002809AA">
          <w:rPr>
            <w:noProof/>
            <w:webHidden/>
          </w:rPr>
          <w:fldChar w:fldCharType="end"/>
        </w:r>
      </w:hyperlink>
    </w:p>
    <w:p w14:paraId="47BFB187" w14:textId="64489E5B" w:rsidR="002809AA" w:rsidRDefault="00322DCE">
      <w:pPr>
        <w:pStyle w:val="TOC2"/>
        <w:rPr>
          <w:rFonts w:eastAsiaTheme="minorEastAsia"/>
          <w:noProof/>
          <w:lang w:eastAsia="en-GB"/>
        </w:rPr>
      </w:pPr>
      <w:hyperlink r:id="rId23" w:anchor="_Toc97557149" w:history="1">
        <w:r w:rsidR="002809AA" w:rsidRPr="005E5217">
          <w:rPr>
            <w:rStyle w:val="Hyperlink"/>
            <w:rFonts w:cstheme="minorHAnsi"/>
            <w:noProof/>
          </w:rPr>
          <w:t>F</w:t>
        </w:r>
        <w:r w:rsidR="002809AA" w:rsidRPr="005E5217">
          <w:rPr>
            <w:rStyle w:val="Hyperlink"/>
            <w:noProof/>
          </w:rPr>
          <w:t>igure 2. Diagram to show thesis Chapters/Studies and objectives.</w:t>
        </w:r>
        <w:r w:rsidR="002809AA">
          <w:rPr>
            <w:noProof/>
            <w:webHidden/>
          </w:rPr>
          <w:tab/>
        </w:r>
        <w:r w:rsidR="002809AA">
          <w:rPr>
            <w:noProof/>
            <w:webHidden/>
          </w:rPr>
          <w:fldChar w:fldCharType="begin"/>
        </w:r>
        <w:r w:rsidR="002809AA">
          <w:rPr>
            <w:noProof/>
            <w:webHidden/>
          </w:rPr>
          <w:instrText xml:space="preserve"> PAGEREF _Toc97557149 \h </w:instrText>
        </w:r>
        <w:r w:rsidR="002809AA">
          <w:rPr>
            <w:noProof/>
            <w:webHidden/>
          </w:rPr>
        </w:r>
        <w:r w:rsidR="002809AA">
          <w:rPr>
            <w:noProof/>
            <w:webHidden/>
          </w:rPr>
          <w:fldChar w:fldCharType="separate"/>
        </w:r>
        <w:r w:rsidR="002809AA">
          <w:rPr>
            <w:noProof/>
            <w:webHidden/>
          </w:rPr>
          <w:t>78</w:t>
        </w:r>
        <w:r w:rsidR="002809AA">
          <w:rPr>
            <w:noProof/>
            <w:webHidden/>
          </w:rPr>
          <w:fldChar w:fldCharType="end"/>
        </w:r>
      </w:hyperlink>
    </w:p>
    <w:p w14:paraId="200A5B37" w14:textId="14ABCEEB" w:rsidR="002809AA" w:rsidRDefault="00322DCE">
      <w:pPr>
        <w:pStyle w:val="TOC2"/>
        <w:rPr>
          <w:rFonts w:eastAsiaTheme="minorEastAsia"/>
          <w:noProof/>
          <w:lang w:eastAsia="en-GB"/>
        </w:rPr>
      </w:pPr>
      <w:hyperlink w:anchor="_Toc97557150" w:history="1">
        <w:r w:rsidR="002809AA" w:rsidRPr="005E5217">
          <w:rPr>
            <w:rStyle w:val="Hyperlink"/>
            <w:noProof/>
          </w:rPr>
          <w:t>Figure 3. An example of a SNA feedback message with corresponding pictorial representation of the percentage.</w:t>
        </w:r>
        <w:r w:rsidR="002809AA">
          <w:rPr>
            <w:noProof/>
            <w:webHidden/>
          </w:rPr>
          <w:tab/>
        </w:r>
        <w:r w:rsidR="002809AA">
          <w:rPr>
            <w:noProof/>
            <w:webHidden/>
          </w:rPr>
          <w:fldChar w:fldCharType="begin"/>
        </w:r>
        <w:r w:rsidR="002809AA">
          <w:rPr>
            <w:noProof/>
            <w:webHidden/>
          </w:rPr>
          <w:instrText xml:space="preserve"> PAGEREF _Toc97557150 \h </w:instrText>
        </w:r>
        <w:r w:rsidR="002809AA">
          <w:rPr>
            <w:noProof/>
            <w:webHidden/>
          </w:rPr>
        </w:r>
        <w:r w:rsidR="002809AA">
          <w:rPr>
            <w:noProof/>
            <w:webHidden/>
          </w:rPr>
          <w:fldChar w:fldCharType="separate"/>
        </w:r>
        <w:r w:rsidR="002809AA">
          <w:rPr>
            <w:noProof/>
            <w:webHidden/>
          </w:rPr>
          <w:t>118</w:t>
        </w:r>
        <w:r w:rsidR="002809AA">
          <w:rPr>
            <w:noProof/>
            <w:webHidden/>
          </w:rPr>
          <w:fldChar w:fldCharType="end"/>
        </w:r>
      </w:hyperlink>
    </w:p>
    <w:p w14:paraId="485A1849" w14:textId="7F152B85" w:rsidR="002809AA" w:rsidRDefault="00322DCE">
      <w:pPr>
        <w:pStyle w:val="TOC2"/>
        <w:rPr>
          <w:rFonts w:eastAsiaTheme="minorEastAsia"/>
          <w:noProof/>
          <w:lang w:eastAsia="en-GB"/>
        </w:rPr>
      </w:pPr>
      <w:hyperlink w:anchor="_Toc97557151" w:history="1">
        <w:r w:rsidR="002809AA" w:rsidRPr="005E5217">
          <w:rPr>
            <w:rStyle w:val="Hyperlink"/>
            <w:rFonts w:cstheme="minorHAnsi"/>
            <w:noProof/>
          </w:rPr>
          <w:t>F</w:t>
        </w:r>
        <w:r w:rsidR="002809AA" w:rsidRPr="005E5217">
          <w:rPr>
            <w:rStyle w:val="Hyperlink"/>
            <w:noProof/>
          </w:rPr>
          <w:t>igure 4. Unstandardized and (in parentheses) standardized regression coefficients for the relationship between intervention condition and changes in personal attitude towards unhealthy snacking at Time 3, mediated by changes in normative misperceptions of peers’ attitude towards unhealthy snacking at Time 2.</w:t>
        </w:r>
        <w:r w:rsidR="002809AA">
          <w:rPr>
            <w:noProof/>
            <w:webHidden/>
          </w:rPr>
          <w:tab/>
        </w:r>
        <w:r w:rsidR="002809AA">
          <w:rPr>
            <w:noProof/>
            <w:webHidden/>
          </w:rPr>
          <w:fldChar w:fldCharType="begin"/>
        </w:r>
        <w:r w:rsidR="002809AA">
          <w:rPr>
            <w:noProof/>
            <w:webHidden/>
          </w:rPr>
          <w:instrText xml:space="preserve"> PAGEREF _Toc97557151 \h </w:instrText>
        </w:r>
        <w:r w:rsidR="002809AA">
          <w:rPr>
            <w:noProof/>
            <w:webHidden/>
          </w:rPr>
        </w:r>
        <w:r w:rsidR="002809AA">
          <w:rPr>
            <w:noProof/>
            <w:webHidden/>
          </w:rPr>
          <w:fldChar w:fldCharType="separate"/>
        </w:r>
        <w:r w:rsidR="002809AA">
          <w:rPr>
            <w:noProof/>
            <w:webHidden/>
          </w:rPr>
          <w:t>167</w:t>
        </w:r>
        <w:r w:rsidR="002809AA">
          <w:rPr>
            <w:noProof/>
            <w:webHidden/>
          </w:rPr>
          <w:fldChar w:fldCharType="end"/>
        </w:r>
      </w:hyperlink>
    </w:p>
    <w:p w14:paraId="4362710D" w14:textId="21EE8FB6" w:rsidR="002809AA" w:rsidRDefault="00322DCE">
      <w:pPr>
        <w:pStyle w:val="TOC2"/>
        <w:rPr>
          <w:rFonts w:eastAsiaTheme="minorEastAsia"/>
          <w:noProof/>
          <w:lang w:eastAsia="en-GB"/>
        </w:rPr>
      </w:pPr>
      <w:hyperlink w:anchor="_Toc97557152" w:history="1">
        <w:r w:rsidR="002809AA" w:rsidRPr="005E5217">
          <w:rPr>
            <w:rStyle w:val="Hyperlink"/>
            <w:rFonts w:cstheme="minorHAnsi"/>
            <w:noProof/>
          </w:rPr>
          <w:t>Figure 5: Thematic map showing students’ and teachers’ experiences of being involved in the in-school SNA feedback intervention.</w:t>
        </w:r>
        <w:r w:rsidR="002809AA" w:rsidRPr="005E5217">
          <w:rPr>
            <w:rStyle w:val="Hyperlink"/>
            <w:noProof/>
          </w:rPr>
          <w:t>.</w:t>
        </w:r>
        <w:r w:rsidR="002809AA">
          <w:rPr>
            <w:noProof/>
            <w:webHidden/>
          </w:rPr>
          <w:tab/>
        </w:r>
        <w:r w:rsidR="002809AA">
          <w:rPr>
            <w:noProof/>
            <w:webHidden/>
          </w:rPr>
          <w:fldChar w:fldCharType="begin"/>
        </w:r>
        <w:r w:rsidR="002809AA">
          <w:rPr>
            <w:noProof/>
            <w:webHidden/>
          </w:rPr>
          <w:instrText xml:space="preserve"> PAGEREF _Toc97557152 \h </w:instrText>
        </w:r>
        <w:r w:rsidR="002809AA">
          <w:rPr>
            <w:noProof/>
            <w:webHidden/>
          </w:rPr>
        </w:r>
        <w:r w:rsidR="002809AA">
          <w:rPr>
            <w:noProof/>
            <w:webHidden/>
          </w:rPr>
          <w:fldChar w:fldCharType="separate"/>
        </w:r>
        <w:r w:rsidR="002809AA">
          <w:rPr>
            <w:noProof/>
            <w:webHidden/>
          </w:rPr>
          <w:t>181</w:t>
        </w:r>
        <w:r w:rsidR="002809AA">
          <w:rPr>
            <w:noProof/>
            <w:webHidden/>
          </w:rPr>
          <w:fldChar w:fldCharType="end"/>
        </w:r>
      </w:hyperlink>
    </w:p>
    <w:p w14:paraId="49C74DEB" w14:textId="3297D2F8" w:rsidR="00046116" w:rsidRPr="005519AB" w:rsidRDefault="00A4274F" w:rsidP="00F02C72">
      <w:pPr>
        <w:rPr>
          <w:b/>
          <w:bCs/>
        </w:rPr>
      </w:pPr>
      <w:r>
        <w:rPr>
          <w:b/>
          <w:bCs/>
        </w:rPr>
        <w:fldChar w:fldCharType="end"/>
      </w:r>
    </w:p>
    <w:p w14:paraId="793F9991" w14:textId="17F33B93" w:rsidR="00DD5BC7" w:rsidRPr="00F02C72" w:rsidRDefault="00DD5BC7" w:rsidP="00F02C72"/>
    <w:p w14:paraId="69413F75" w14:textId="072C492B" w:rsidR="00DD5BC7" w:rsidRPr="00F02C72" w:rsidRDefault="00DD5BC7" w:rsidP="00F02C72"/>
    <w:p w14:paraId="48FFAC0B" w14:textId="13780F65" w:rsidR="00DD5BC7" w:rsidRPr="00F02C72" w:rsidRDefault="00DD5BC7" w:rsidP="00F02C72"/>
    <w:p w14:paraId="7FF350A8" w14:textId="346A3B5D" w:rsidR="00DD5BC7" w:rsidRPr="00F02C72" w:rsidRDefault="00DD5BC7" w:rsidP="00F02C72"/>
    <w:p w14:paraId="6A741BD9" w14:textId="035D5576" w:rsidR="00DD5BC7" w:rsidRPr="00F02C72" w:rsidRDefault="00DD5BC7" w:rsidP="00F02C72"/>
    <w:p w14:paraId="2EA44C7C" w14:textId="701708DC" w:rsidR="00DD5BC7" w:rsidRPr="00F02C72" w:rsidRDefault="00DD5BC7" w:rsidP="00F02C72"/>
    <w:p w14:paraId="3EBBDBA1" w14:textId="47E58522" w:rsidR="00DD5BC7" w:rsidRPr="00F02C72" w:rsidRDefault="00DD5BC7" w:rsidP="00F02C72"/>
    <w:p w14:paraId="4B31346E" w14:textId="39B539F3" w:rsidR="00DD5BC7" w:rsidRPr="00F02C72" w:rsidRDefault="00DD5BC7" w:rsidP="00F02C72"/>
    <w:p w14:paraId="787CFEE2" w14:textId="6E4B1B9C" w:rsidR="00DD5BC7" w:rsidRPr="00F02C72" w:rsidRDefault="00DD5BC7" w:rsidP="00F02C72"/>
    <w:p w14:paraId="526F2515" w14:textId="0CEE88C0" w:rsidR="00DD5BC7" w:rsidRPr="00F02C72" w:rsidRDefault="00DD5BC7" w:rsidP="00F02C72"/>
    <w:p w14:paraId="3600D35D" w14:textId="58B977AB" w:rsidR="00DD5BC7" w:rsidRPr="00F02C72" w:rsidRDefault="00DD5BC7" w:rsidP="00F02C72"/>
    <w:p w14:paraId="5E30AFA4" w14:textId="0CCEFC3A" w:rsidR="00DD5BC7" w:rsidRPr="00F02C72" w:rsidRDefault="00DD5BC7" w:rsidP="00F02C72"/>
    <w:p w14:paraId="7BAEE1C8" w14:textId="4DE87A2A" w:rsidR="00DD5BC7" w:rsidRDefault="00DD5BC7" w:rsidP="00F02C72"/>
    <w:p w14:paraId="6AA38089" w14:textId="159490A4" w:rsidR="00F55F0A" w:rsidRDefault="00F55F0A" w:rsidP="00F02C72"/>
    <w:p w14:paraId="7F7D9999" w14:textId="107A815D" w:rsidR="00F55F0A" w:rsidRDefault="00F55F0A" w:rsidP="00F02C72"/>
    <w:p w14:paraId="46C18D26" w14:textId="0A50C5C5" w:rsidR="00F55F0A" w:rsidRDefault="00F55F0A" w:rsidP="00F02C72"/>
    <w:p w14:paraId="57BFDDAC" w14:textId="76A7F7C8" w:rsidR="00F55F0A" w:rsidRDefault="00F55F0A" w:rsidP="00F02C72"/>
    <w:p w14:paraId="24D9ADDE" w14:textId="4DEFDB04" w:rsidR="00F55F0A" w:rsidRDefault="00F55F0A" w:rsidP="00F02C72"/>
    <w:p w14:paraId="1217E00F" w14:textId="65E17C20" w:rsidR="00F55F0A" w:rsidRDefault="00F55F0A" w:rsidP="00F02C72"/>
    <w:p w14:paraId="1663D3A2" w14:textId="61C88762" w:rsidR="00E913BC" w:rsidRDefault="00E913BC" w:rsidP="00F02C72"/>
    <w:p w14:paraId="64FEB21C" w14:textId="77777777" w:rsidR="00E913BC" w:rsidRDefault="00E913BC" w:rsidP="00F02C72"/>
    <w:p w14:paraId="1D1C1A99" w14:textId="3B4509D6" w:rsidR="00F55F0A" w:rsidRDefault="00020029" w:rsidP="00F02C72">
      <w:r w:rsidRPr="00533BA0">
        <w:rPr>
          <w:b/>
          <w:bCs/>
        </w:rPr>
        <w:lastRenderedPageBreak/>
        <w:fldChar w:fldCharType="begin"/>
      </w:r>
      <w:r w:rsidRPr="00533BA0">
        <w:rPr>
          <w:b/>
          <w:bCs/>
        </w:rPr>
        <w:instrText xml:space="preserve"> TC  "</w:instrText>
      </w:r>
      <w:bookmarkStart w:id="9" w:name="_Toc97310400"/>
      <w:r w:rsidR="0073022A">
        <w:rPr>
          <w:b/>
          <w:bCs/>
        </w:rPr>
        <w:instrText>Li</w:instrText>
      </w:r>
      <w:r>
        <w:rPr>
          <w:b/>
          <w:bCs/>
        </w:rPr>
        <w:instrText xml:space="preserve">st of </w:instrText>
      </w:r>
      <w:r w:rsidR="0073022A">
        <w:rPr>
          <w:b/>
          <w:bCs/>
        </w:rPr>
        <w:instrText>Appendices</w:instrText>
      </w:r>
      <w:bookmarkEnd w:id="9"/>
      <w:r w:rsidRPr="00533BA0">
        <w:rPr>
          <w:b/>
          <w:bCs/>
        </w:rPr>
        <w:instrText xml:space="preserve">" \f x\l 1 </w:instrText>
      </w:r>
      <w:r w:rsidRPr="00533BA0">
        <w:rPr>
          <w:b/>
          <w:bCs/>
        </w:rPr>
        <w:fldChar w:fldCharType="end"/>
      </w:r>
      <w:r w:rsidR="0073022A" w:rsidRPr="0073022A">
        <w:rPr>
          <w:b/>
          <w:bCs/>
        </w:rPr>
        <w:t xml:space="preserve"> </w:t>
      </w:r>
      <w:r w:rsidR="0073022A">
        <w:rPr>
          <w:b/>
          <w:bCs/>
        </w:rPr>
        <w:t>List of Appendices</w:t>
      </w:r>
    </w:p>
    <w:p w14:paraId="3CBCBE06" w14:textId="7998AD6D" w:rsidR="002809AA" w:rsidRDefault="00FC66B1">
      <w:pPr>
        <w:pStyle w:val="TOC2"/>
        <w:rPr>
          <w:rFonts w:eastAsiaTheme="minorEastAsia"/>
          <w:noProof/>
          <w:lang w:eastAsia="en-GB"/>
        </w:rPr>
      </w:pPr>
      <w:r>
        <w:rPr>
          <w:rFonts w:eastAsiaTheme="minorEastAsia" w:cs="Times New Roman"/>
          <w:lang w:val="en-US"/>
        </w:rPr>
        <w:fldChar w:fldCharType="begin"/>
      </w:r>
      <w:r>
        <w:instrText xml:space="preserve"> TOC \f y\h \z </w:instrText>
      </w:r>
      <w:r>
        <w:rPr>
          <w:rFonts w:eastAsiaTheme="minorEastAsia" w:cs="Times New Roman"/>
          <w:lang w:val="en-US"/>
        </w:rPr>
        <w:fldChar w:fldCharType="separate"/>
      </w:r>
      <w:hyperlink w:anchor="_Toc97557153" w:history="1">
        <w:r w:rsidR="002809AA" w:rsidRPr="00D321B9">
          <w:rPr>
            <w:rStyle w:val="Hyperlink"/>
            <w:noProof/>
          </w:rPr>
          <w:t xml:space="preserve">Appendix 1: Table 23. Overview table - </w:t>
        </w:r>
        <w:r w:rsidR="002809AA" w:rsidRPr="00D321B9">
          <w:rPr>
            <w:rStyle w:val="Hyperlink"/>
            <w:rFonts w:cstheme="minorHAnsi"/>
            <w:noProof/>
          </w:rPr>
          <w:t>Description of studies from the top-up search</w:t>
        </w:r>
        <w:r w:rsidR="002809AA">
          <w:rPr>
            <w:noProof/>
            <w:webHidden/>
          </w:rPr>
          <w:tab/>
        </w:r>
        <w:r w:rsidR="002809AA">
          <w:rPr>
            <w:noProof/>
            <w:webHidden/>
          </w:rPr>
          <w:fldChar w:fldCharType="begin"/>
        </w:r>
        <w:r w:rsidR="002809AA">
          <w:rPr>
            <w:noProof/>
            <w:webHidden/>
          </w:rPr>
          <w:instrText xml:space="preserve"> PAGEREF _Toc97557153 \h </w:instrText>
        </w:r>
        <w:r w:rsidR="002809AA">
          <w:rPr>
            <w:noProof/>
            <w:webHidden/>
          </w:rPr>
        </w:r>
        <w:r w:rsidR="002809AA">
          <w:rPr>
            <w:noProof/>
            <w:webHidden/>
          </w:rPr>
          <w:fldChar w:fldCharType="separate"/>
        </w:r>
        <w:r w:rsidR="002809AA">
          <w:rPr>
            <w:noProof/>
            <w:webHidden/>
          </w:rPr>
          <w:t>240</w:t>
        </w:r>
        <w:r w:rsidR="002809AA">
          <w:rPr>
            <w:noProof/>
            <w:webHidden/>
          </w:rPr>
          <w:fldChar w:fldCharType="end"/>
        </w:r>
      </w:hyperlink>
    </w:p>
    <w:p w14:paraId="2FD2CB91" w14:textId="41A7ACC4" w:rsidR="002809AA" w:rsidRDefault="00322DCE">
      <w:pPr>
        <w:pStyle w:val="TOC2"/>
        <w:rPr>
          <w:rFonts w:eastAsiaTheme="minorEastAsia"/>
          <w:noProof/>
          <w:lang w:eastAsia="en-GB"/>
        </w:rPr>
      </w:pPr>
      <w:hyperlink w:anchor="_Toc97557154" w:history="1">
        <w:r w:rsidR="002809AA" w:rsidRPr="00D321B9">
          <w:rPr>
            <w:rStyle w:val="Hyperlink"/>
            <w:noProof/>
          </w:rPr>
          <w:t>Appendix 2: Ethical Approval (Study One, Chapter 5)</w:t>
        </w:r>
        <w:r w:rsidR="002809AA">
          <w:rPr>
            <w:noProof/>
            <w:webHidden/>
          </w:rPr>
          <w:tab/>
        </w:r>
        <w:r w:rsidR="002809AA">
          <w:rPr>
            <w:noProof/>
            <w:webHidden/>
          </w:rPr>
          <w:fldChar w:fldCharType="begin"/>
        </w:r>
        <w:r w:rsidR="002809AA">
          <w:rPr>
            <w:noProof/>
            <w:webHidden/>
          </w:rPr>
          <w:instrText xml:space="preserve"> PAGEREF _Toc97557154 \h </w:instrText>
        </w:r>
        <w:r w:rsidR="002809AA">
          <w:rPr>
            <w:noProof/>
            <w:webHidden/>
          </w:rPr>
        </w:r>
        <w:r w:rsidR="002809AA">
          <w:rPr>
            <w:noProof/>
            <w:webHidden/>
          </w:rPr>
          <w:fldChar w:fldCharType="separate"/>
        </w:r>
        <w:r w:rsidR="002809AA">
          <w:rPr>
            <w:noProof/>
            <w:webHidden/>
          </w:rPr>
          <w:t>242</w:t>
        </w:r>
        <w:r w:rsidR="002809AA">
          <w:rPr>
            <w:noProof/>
            <w:webHidden/>
          </w:rPr>
          <w:fldChar w:fldCharType="end"/>
        </w:r>
      </w:hyperlink>
    </w:p>
    <w:p w14:paraId="44D84CEC" w14:textId="15849624" w:rsidR="002809AA" w:rsidRDefault="00322DCE">
      <w:pPr>
        <w:pStyle w:val="TOC2"/>
        <w:rPr>
          <w:rFonts w:eastAsiaTheme="minorEastAsia"/>
          <w:noProof/>
          <w:lang w:eastAsia="en-GB"/>
        </w:rPr>
      </w:pPr>
      <w:hyperlink w:anchor="_Toc97557155" w:history="1">
        <w:r w:rsidR="002809AA" w:rsidRPr="00D321B9">
          <w:rPr>
            <w:rStyle w:val="Hyperlink"/>
            <w:noProof/>
          </w:rPr>
          <w:t>Appendix 3: Parent information letter and opt-in consent (Study One, Chapter 5)</w:t>
        </w:r>
        <w:r w:rsidR="002809AA">
          <w:rPr>
            <w:noProof/>
            <w:webHidden/>
          </w:rPr>
          <w:tab/>
        </w:r>
        <w:r w:rsidR="002809AA">
          <w:rPr>
            <w:noProof/>
            <w:webHidden/>
          </w:rPr>
          <w:fldChar w:fldCharType="begin"/>
        </w:r>
        <w:r w:rsidR="002809AA">
          <w:rPr>
            <w:noProof/>
            <w:webHidden/>
          </w:rPr>
          <w:instrText xml:space="preserve"> PAGEREF _Toc97557155 \h </w:instrText>
        </w:r>
        <w:r w:rsidR="002809AA">
          <w:rPr>
            <w:noProof/>
            <w:webHidden/>
          </w:rPr>
        </w:r>
        <w:r w:rsidR="002809AA">
          <w:rPr>
            <w:noProof/>
            <w:webHidden/>
          </w:rPr>
          <w:fldChar w:fldCharType="separate"/>
        </w:r>
        <w:r w:rsidR="002809AA">
          <w:rPr>
            <w:noProof/>
            <w:webHidden/>
          </w:rPr>
          <w:t>243</w:t>
        </w:r>
        <w:r w:rsidR="002809AA">
          <w:rPr>
            <w:noProof/>
            <w:webHidden/>
          </w:rPr>
          <w:fldChar w:fldCharType="end"/>
        </w:r>
      </w:hyperlink>
    </w:p>
    <w:p w14:paraId="390BCC02" w14:textId="129B5FDA" w:rsidR="002809AA" w:rsidRDefault="00322DCE">
      <w:pPr>
        <w:pStyle w:val="TOC2"/>
        <w:rPr>
          <w:rFonts w:eastAsiaTheme="minorEastAsia"/>
          <w:noProof/>
          <w:lang w:eastAsia="en-GB"/>
        </w:rPr>
      </w:pPr>
      <w:hyperlink w:anchor="_Toc97557156" w:history="1">
        <w:r w:rsidR="002809AA" w:rsidRPr="00D321B9">
          <w:rPr>
            <w:rStyle w:val="Hyperlink"/>
            <w:noProof/>
          </w:rPr>
          <w:t>Appendix 4: Student information sheet  (Study One, Chapter 5)</w:t>
        </w:r>
        <w:r w:rsidR="002809AA">
          <w:rPr>
            <w:noProof/>
            <w:webHidden/>
          </w:rPr>
          <w:tab/>
        </w:r>
        <w:r w:rsidR="002809AA">
          <w:rPr>
            <w:noProof/>
            <w:webHidden/>
          </w:rPr>
          <w:fldChar w:fldCharType="begin"/>
        </w:r>
        <w:r w:rsidR="002809AA">
          <w:rPr>
            <w:noProof/>
            <w:webHidden/>
          </w:rPr>
          <w:instrText xml:space="preserve"> PAGEREF _Toc97557156 \h </w:instrText>
        </w:r>
        <w:r w:rsidR="002809AA">
          <w:rPr>
            <w:noProof/>
            <w:webHidden/>
          </w:rPr>
        </w:r>
        <w:r w:rsidR="002809AA">
          <w:rPr>
            <w:noProof/>
            <w:webHidden/>
          </w:rPr>
          <w:fldChar w:fldCharType="separate"/>
        </w:r>
        <w:r w:rsidR="002809AA">
          <w:rPr>
            <w:noProof/>
            <w:webHidden/>
          </w:rPr>
          <w:t>245</w:t>
        </w:r>
        <w:r w:rsidR="002809AA">
          <w:rPr>
            <w:noProof/>
            <w:webHidden/>
          </w:rPr>
          <w:fldChar w:fldCharType="end"/>
        </w:r>
      </w:hyperlink>
    </w:p>
    <w:p w14:paraId="149E2D24" w14:textId="5D53DE7E" w:rsidR="002809AA" w:rsidRDefault="00322DCE">
      <w:pPr>
        <w:pStyle w:val="TOC2"/>
        <w:rPr>
          <w:rFonts w:eastAsiaTheme="minorEastAsia"/>
          <w:noProof/>
          <w:lang w:eastAsia="en-GB"/>
        </w:rPr>
      </w:pPr>
      <w:hyperlink w:anchor="_Toc97557157" w:history="1">
        <w:r w:rsidR="002809AA" w:rsidRPr="00D321B9">
          <w:rPr>
            <w:rStyle w:val="Hyperlink"/>
            <w:noProof/>
          </w:rPr>
          <w:t>Appendix 5: Focus group guidelines (Study One, Chapter 5)</w:t>
        </w:r>
        <w:r w:rsidR="002809AA">
          <w:rPr>
            <w:noProof/>
            <w:webHidden/>
          </w:rPr>
          <w:tab/>
        </w:r>
        <w:r w:rsidR="002809AA">
          <w:rPr>
            <w:noProof/>
            <w:webHidden/>
          </w:rPr>
          <w:fldChar w:fldCharType="begin"/>
        </w:r>
        <w:r w:rsidR="002809AA">
          <w:rPr>
            <w:noProof/>
            <w:webHidden/>
          </w:rPr>
          <w:instrText xml:space="preserve"> PAGEREF _Toc97557157 \h </w:instrText>
        </w:r>
        <w:r w:rsidR="002809AA">
          <w:rPr>
            <w:noProof/>
            <w:webHidden/>
          </w:rPr>
        </w:r>
        <w:r w:rsidR="002809AA">
          <w:rPr>
            <w:noProof/>
            <w:webHidden/>
          </w:rPr>
          <w:fldChar w:fldCharType="separate"/>
        </w:r>
        <w:r w:rsidR="002809AA">
          <w:rPr>
            <w:noProof/>
            <w:webHidden/>
          </w:rPr>
          <w:t>246</w:t>
        </w:r>
        <w:r w:rsidR="002809AA">
          <w:rPr>
            <w:noProof/>
            <w:webHidden/>
          </w:rPr>
          <w:fldChar w:fldCharType="end"/>
        </w:r>
      </w:hyperlink>
    </w:p>
    <w:p w14:paraId="13366B56" w14:textId="561890C9" w:rsidR="002809AA" w:rsidRDefault="00322DCE">
      <w:pPr>
        <w:pStyle w:val="TOC2"/>
        <w:rPr>
          <w:rFonts w:eastAsiaTheme="minorEastAsia"/>
          <w:noProof/>
          <w:lang w:eastAsia="en-GB"/>
        </w:rPr>
      </w:pPr>
      <w:hyperlink w:anchor="_Toc97557158" w:history="1">
        <w:r w:rsidR="002809AA" w:rsidRPr="00D321B9">
          <w:rPr>
            <w:rStyle w:val="Hyperlink"/>
            <w:noProof/>
          </w:rPr>
          <w:t>Appendix 6: Student assent form (Study One, Chapter 5)</w:t>
        </w:r>
        <w:r w:rsidR="002809AA">
          <w:rPr>
            <w:noProof/>
            <w:webHidden/>
          </w:rPr>
          <w:tab/>
        </w:r>
        <w:r w:rsidR="002809AA">
          <w:rPr>
            <w:noProof/>
            <w:webHidden/>
          </w:rPr>
          <w:fldChar w:fldCharType="begin"/>
        </w:r>
        <w:r w:rsidR="002809AA">
          <w:rPr>
            <w:noProof/>
            <w:webHidden/>
          </w:rPr>
          <w:instrText xml:space="preserve"> PAGEREF _Toc97557158 \h </w:instrText>
        </w:r>
        <w:r w:rsidR="002809AA">
          <w:rPr>
            <w:noProof/>
            <w:webHidden/>
          </w:rPr>
        </w:r>
        <w:r w:rsidR="002809AA">
          <w:rPr>
            <w:noProof/>
            <w:webHidden/>
          </w:rPr>
          <w:fldChar w:fldCharType="separate"/>
        </w:r>
        <w:r w:rsidR="002809AA">
          <w:rPr>
            <w:noProof/>
            <w:webHidden/>
          </w:rPr>
          <w:t>247</w:t>
        </w:r>
        <w:r w:rsidR="002809AA">
          <w:rPr>
            <w:noProof/>
            <w:webHidden/>
          </w:rPr>
          <w:fldChar w:fldCharType="end"/>
        </w:r>
      </w:hyperlink>
    </w:p>
    <w:p w14:paraId="29C090FE" w14:textId="4E4400C9" w:rsidR="002809AA" w:rsidRDefault="00322DCE">
      <w:pPr>
        <w:pStyle w:val="TOC2"/>
        <w:rPr>
          <w:rFonts w:eastAsiaTheme="minorEastAsia"/>
          <w:noProof/>
          <w:lang w:eastAsia="en-GB"/>
        </w:rPr>
      </w:pPr>
      <w:hyperlink w:anchor="_Toc97557159" w:history="1">
        <w:r w:rsidR="002809AA" w:rsidRPr="00D321B9">
          <w:rPr>
            <w:rStyle w:val="Hyperlink"/>
            <w:noProof/>
          </w:rPr>
          <w:t>Appendix 7: Focus group questions (Study One, Chapter 5)</w:t>
        </w:r>
        <w:r w:rsidR="002809AA">
          <w:rPr>
            <w:noProof/>
            <w:webHidden/>
          </w:rPr>
          <w:tab/>
        </w:r>
        <w:r w:rsidR="002809AA">
          <w:rPr>
            <w:noProof/>
            <w:webHidden/>
          </w:rPr>
          <w:fldChar w:fldCharType="begin"/>
        </w:r>
        <w:r w:rsidR="002809AA">
          <w:rPr>
            <w:noProof/>
            <w:webHidden/>
          </w:rPr>
          <w:instrText xml:space="preserve"> PAGEREF _Toc97557159 \h </w:instrText>
        </w:r>
        <w:r w:rsidR="002809AA">
          <w:rPr>
            <w:noProof/>
            <w:webHidden/>
          </w:rPr>
        </w:r>
        <w:r w:rsidR="002809AA">
          <w:rPr>
            <w:noProof/>
            <w:webHidden/>
          </w:rPr>
          <w:fldChar w:fldCharType="separate"/>
        </w:r>
        <w:r w:rsidR="002809AA">
          <w:rPr>
            <w:noProof/>
            <w:webHidden/>
          </w:rPr>
          <w:t>248</w:t>
        </w:r>
        <w:r w:rsidR="002809AA">
          <w:rPr>
            <w:noProof/>
            <w:webHidden/>
          </w:rPr>
          <w:fldChar w:fldCharType="end"/>
        </w:r>
      </w:hyperlink>
    </w:p>
    <w:p w14:paraId="5B873671" w14:textId="28E7D077" w:rsidR="002809AA" w:rsidRDefault="00322DCE">
      <w:pPr>
        <w:pStyle w:val="TOC2"/>
        <w:rPr>
          <w:rFonts w:eastAsiaTheme="minorEastAsia"/>
          <w:noProof/>
          <w:lang w:eastAsia="en-GB"/>
        </w:rPr>
      </w:pPr>
      <w:hyperlink w:anchor="_Toc97557160" w:history="1">
        <w:r w:rsidR="002809AA" w:rsidRPr="00D321B9">
          <w:rPr>
            <w:rStyle w:val="Hyperlink"/>
            <w:noProof/>
          </w:rPr>
          <w:t>Appendix 8: Student debrief form (Study One, Chapter 5)</w:t>
        </w:r>
        <w:r w:rsidR="002809AA">
          <w:rPr>
            <w:noProof/>
            <w:webHidden/>
          </w:rPr>
          <w:tab/>
        </w:r>
        <w:r w:rsidR="002809AA">
          <w:rPr>
            <w:noProof/>
            <w:webHidden/>
          </w:rPr>
          <w:fldChar w:fldCharType="begin"/>
        </w:r>
        <w:r w:rsidR="002809AA">
          <w:rPr>
            <w:noProof/>
            <w:webHidden/>
          </w:rPr>
          <w:instrText xml:space="preserve"> PAGEREF _Toc97557160 \h </w:instrText>
        </w:r>
        <w:r w:rsidR="002809AA">
          <w:rPr>
            <w:noProof/>
            <w:webHidden/>
          </w:rPr>
        </w:r>
        <w:r w:rsidR="002809AA">
          <w:rPr>
            <w:noProof/>
            <w:webHidden/>
          </w:rPr>
          <w:fldChar w:fldCharType="separate"/>
        </w:r>
        <w:r w:rsidR="002809AA">
          <w:rPr>
            <w:noProof/>
            <w:webHidden/>
          </w:rPr>
          <w:t>249</w:t>
        </w:r>
        <w:r w:rsidR="002809AA">
          <w:rPr>
            <w:noProof/>
            <w:webHidden/>
          </w:rPr>
          <w:fldChar w:fldCharType="end"/>
        </w:r>
      </w:hyperlink>
    </w:p>
    <w:p w14:paraId="6D40628B" w14:textId="466DF9B2" w:rsidR="002809AA" w:rsidRDefault="00322DCE">
      <w:pPr>
        <w:pStyle w:val="TOC2"/>
        <w:rPr>
          <w:rFonts w:eastAsiaTheme="minorEastAsia"/>
          <w:noProof/>
          <w:lang w:eastAsia="en-GB"/>
        </w:rPr>
      </w:pPr>
      <w:hyperlink w:anchor="_Toc97557161" w:history="1">
        <w:r w:rsidR="002809AA" w:rsidRPr="00D321B9">
          <w:rPr>
            <w:rStyle w:val="Hyperlink"/>
            <w:rFonts w:cstheme="minorHAnsi"/>
            <w:noProof/>
          </w:rPr>
          <w:t>Appendix 9: Ethics approval (Student advisory group)</w:t>
        </w:r>
        <w:r w:rsidR="002809AA">
          <w:rPr>
            <w:noProof/>
            <w:webHidden/>
          </w:rPr>
          <w:tab/>
        </w:r>
        <w:r w:rsidR="002809AA">
          <w:rPr>
            <w:noProof/>
            <w:webHidden/>
          </w:rPr>
          <w:fldChar w:fldCharType="begin"/>
        </w:r>
        <w:r w:rsidR="002809AA">
          <w:rPr>
            <w:noProof/>
            <w:webHidden/>
          </w:rPr>
          <w:instrText xml:space="preserve"> PAGEREF _Toc97557161 \h </w:instrText>
        </w:r>
        <w:r w:rsidR="002809AA">
          <w:rPr>
            <w:noProof/>
            <w:webHidden/>
          </w:rPr>
        </w:r>
        <w:r w:rsidR="002809AA">
          <w:rPr>
            <w:noProof/>
            <w:webHidden/>
          </w:rPr>
          <w:fldChar w:fldCharType="separate"/>
        </w:r>
        <w:r w:rsidR="002809AA">
          <w:rPr>
            <w:noProof/>
            <w:webHidden/>
          </w:rPr>
          <w:t>250</w:t>
        </w:r>
        <w:r w:rsidR="002809AA">
          <w:rPr>
            <w:noProof/>
            <w:webHidden/>
          </w:rPr>
          <w:fldChar w:fldCharType="end"/>
        </w:r>
      </w:hyperlink>
    </w:p>
    <w:p w14:paraId="5A115200" w14:textId="76D18EE4" w:rsidR="002809AA" w:rsidRDefault="00322DCE">
      <w:pPr>
        <w:pStyle w:val="TOC2"/>
        <w:rPr>
          <w:rFonts w:eastAsiaTheme="minorEastAsia"/>
          <w:noProof/>
          <w:lang w:eastAsia="en-GB"/>
        </w:rPr>
      </w:pPr>
      <w:hyperlink w:anchor="_Toc97557162" w:history="1">
        <w:r w:rsidR="002809AA" w:rsidRPr="00D321B9">
          <w:rPr>
            <w:rStyle w:val="Hyperlink"/>
            <w:rFonts w:cstheme="minorHAnsi"/>
            <w:noProof/>
          </w:rPr>
          <w:t xml:space="preserve">Appendix 10: </w:t>
        </w:r>
        <w:r w:rsidR="002809AA" w:rsidRPr="00D321B9">
          <w:rPr>
            <w:rStyle w:val="Hyperlink"/>
            <w:noProof/>
          </w:rPr>
          <w:t>Parent information letter and opt-out consent</w:t>
        </w:r>
        <w:r w:rsidR="002809AA" w:rsidRPr="00D321B9">
          <w:rPr>
            <w:rStyle w:val="Hyperlink"/>
            <w:rFonts w:cstheme="minorHAnsi"/>
            <w:noProof/>
          </w:rPr>
          <w:t xml:space="preserve"> (Student advisory group)</w:t>
        </w:r>
        <w:r w:rsidR="002809AA">
          <w:rPr>
            <w:noProof/>
            <w:webHidden/>
          </w:rPr>
          <w:tab/>
        </w:r>
        <w:r w:rsidR="002809AA">
          <w:rPr>
            <w:noProof/>
            <w:webHidden/>
          </w:rPr>
          <w:fldChar w:fldCharType="begin"/>
        </w:r>
        <w:r w:rsidR="002809AA">
          <w:rPr>
            <w:noProof/>
            <w:webHidden/>
          </w:rPr>
          <w:instrText xml:space="preserve"> PAGEREF _Toc97557162 \h </w:instrText>
        </w:r>
        <w:r w:rsidR="002809AA">
          <w:rPr>
            <w:noProof/>
            <w:webHidden/>
          </w:rPr>
        </w:r>
        <w:r w:rsidR="002809AA">
          <w:rPr>
            <w:noProof/>
            <w:webHidden/>
          </w:rPr>
          <w:fldChar w:fldCharType="separate"/>
        </w:r>
        <w:r w:rsidR="002809AA">
          <w:rPr>
            <w:noProof/>
            <w:webHidden/>
          </w:rPr>
          <w:t>251</w:t>
        </w:r>
        <w:r w:rsidR="002809AA">
          <w:rPr>
            <w:noProof/>
            <w:webHidden/>
          </w:rPr>
          <w:fldChar w:fldCharType="end"/>
        </w:r>
      </w:hyperlink>
    </w:p>
    <w:p w14:paraId="6583AC3B" w14:textId="4F696971" w:rsidR="002809AA" w:rsidRDefault="00322DCE">
      <w:pPr>
        <w:pStyle w:val="TOC2"/>
        <w:rPr>
          <w:rFonts w:eastAsiaTheme="minorEastAsia"/>
          <w:noProof/>
          <w:lang w:eastAsia="en-GB"/>
        </w:rPr>
      </w:pPr>
      <w:hyperlink w:anchor="_Toc97557163" w:history="1">
        <w:r w:rsidR="002809AA" w:rsidRPr="00D321B9">
          <w:rPr>
            <w:rStyle w:val="Hyperlink"/>
            <w:rFonts w:cstheme="minorHAnsi"/>
            <w:noProof/>
          </w:rPr>
          <w:t>Appendix 11: Student information sheet (Student advisory group)</w:t>
        </w:r>
        <w:r w:rsidR="002809AA">
          <w:rPr>
            <w:noProof/>
            <w:webHidden/>
          </w:rPr>
          <w:tab/>
        </w:r>
        <w:r w:rsidR="002809AA">
          <w:rPr>
            <w:noProof/>
            <w:webHidden/>
          </w:rPr>
          <w:fldChar w:fldCharType="begin"/>
        </w:r>
        <w:r w:rsidR="002809AA">
          <w:rPr>
            <w:noProof/>
            <w:webHidden/>
          </w:rPr>
          <w:instrText xml:space="preserve"> PAGEREF _Toc97557163 \h </w:instrText>
        </w:r>
        <w:r w:rsidR="002809AA">
          <w:rPr>
            <w:noProof/>
            <w:webHidden/>
          </w:rPr>
        </w:r>
        <w:r w:rsidR="002809AA">
          <w:rPr>
            <w:noProof/>
            <w:webHidden/>
          </w:rPr>
          <w:fldChar w:fldCharType="separate"/>
        </w:r>
        <w:r w:rsidR="002809AA">
          <w:rPr>
            <w:noProof/>
            <w:webHidden/>
          </w:rPr>
          <w:t>253</w:t>
        </w:r>
        <w:r w:rsidR="002809AA">
          <w:rPr>
            <w:noProof/>
            <w:webHidden/>
          </w:rPr>
          <w:fldChar w:fldCharType="end"/>
        </w:r>
      </w:hyperlink>
    </w:p>
    <w:p w14:paraId="0773324C" w14:textId="0920E997" w:rsidR="002809AA" w:rsidRDefault="00322DCE">
      <w:pPr>
        <w:pStyle w:val="TOC2"/>
        <w:rPr>
          <w:rFonts w:eastAsiaTheme="minorEastAsia"/>
          <w:noProof/>
          <w:lang w:eastAsia="en-GB"/>
        </w:rPr>
      </w:pPr>
      <w:hyperlink w:anchor="_Toc97557164" w:history="1">
        <w:r w:rsidR="002809AA" w:rsidRPr="00D321B9">
          <w:rPr>
            <w:rStyle w:val="Hyperlink"/>
            <w:rFonts w:cstheme="minorHAnsi"/>
            <w:noProof/>
          </w:rPr>
          <w:t>Appendix 12: Student assent form (Student advisory group)</w:t>
        </w:r>
        <w:r w:rsidR="002809AA">
          <w:rPr>
            <w:noProof/>
            <w:webHidden/>
          </w:rPr>
          <w:tab/>
        </w:r>
        <w:r w:rsidR="002809AA">
          <w:rPr>
            <w:noProof/>
            <w:webHidden/>
          </w:rPr>
          <w:fldChar w:fldCharType="begin"/>
        </w:r>
        <w:r w:rsidR="002809AA">
          <w:rPr>
            <w:noProof/>
            <w:webHidden/>
          </w:rPr>
          <w:instrText xml:space="preserve"> PAGEREF _Toc97557164 \h </w:instrText>
        </w:r>
        <w:r w:rsidR="002809AA">
          <w:rPr>
            <w:noProof/>
            <w:webHidden/>
          </w:rPr>
        </w:r>
        <w:r w:rsidR="002809AA">
          <w:rPr>
            <w:noProof/>
            <w:webHidden/>
          </w:rPr>
          <w:fldChar w:fldCharType="separate"/>
        </w:r>
        <w:r w:rsidR="002809AA">
          <w:rPr>
            <w:noProof/>
            <w:webHidden/>
          </w:rPr>
          <w:t>254</w:t>
        </w:r>
        <w:r w:rsidR="002809AA">
          <w:rPr>
            <w:noProof/>
            <w:webHidden/>
          </w:rPr>
          <w:fldChar w:fldCharType="end"/>
        </w:r>
      </w:hyperlink>
    </w:p>
    <w:p w14:paraId="695D3F6F" w14:textId="0B592ED5" w:rsidR="002809AA" w:rsidRDefault="00322DCE">
      <w:pPr>
        <w:pStyle w:val="TOC2"/>
        <w:rPr>
          <w:rFonts w:eastAsiaTheme="minorEastAsia"/>
          <w:noProof/>
          <w:lang w:eastAsia="en-GB"/>
        </w:rPr>
      </w:pPr>
      <w:hyperlink w:anchor="_Toc97557165" w:history="1">
        <w:r w:rsidR="002809AA" w:rsidRPr="00D321B9">
          <w:rPr>
            <w:rStyle w:val="Hyperlink"/>
            <w:rFonts w:cstheme="minorHAnsi"/>
            <w:noProof/>
          </w:rPr>
          <w:t>Appendix 13: Debrief (Student advisory group)</w:t>
        </w:r>
        <w:r w:rsidR="002809AA">
          <w:rPr>
            <w:noProof/>
            <w:webHidden/>
          </w:rPr>
          <w:tab/>
        </w:r>
        <w:r w:rsidR="002809AA">
          <w:rPr>
            <w:noProof/>
            <w:webHidden/>
          </w:rPr>
          <w:fldChar w:fldCharType="begin"/>
        </w:r>
        <w:r w:rsidR="002809AA">
          <w:rPr>
            <w:noProof/>
            <w:webHidden/>
          </w:rPr>
          <w:instrText xml:space="preserve"> PAGEREF _Toc97557165 \h </w:instrText>
        </w:r>
        <w:r w:rsidR="002809AA">
          <w:rPr>
            <w:noProof/>
            <w:webHidden/>
          </w:rPr>
        </w:r>
        <w:r w:rsidR="002809AA">
          <w:rPr>
            <w:noProof/>
            <w:webHidden/>
          </w:rPr>
          <w:fldChar w:fldCharType="separate"/>
        </w:r>
        <w:r w:rsidR="002809AA">
          <w:rPr>
            <w:noProof/>
            <w:webHidden/>
          </w:rPr>
          <w:t>255</w:t>
        </w:r>
        <w:r w:rsidR="002809AA">
          <w:rPr>
            <w:noProof/>
            <w:webHidden/>
          </w:rPr>
          <w:fldChar w:fldCharType="end"/>
        </w:r>
      </w:hyperlink>
    </w:p>
    <w:p w14:paraId="39577D83" w14:textId="3C0DF2CF" w:rsidR="002809AA" w:rsidRDefault="00322DCE">
      <w:pPr>
        <w:pStyle w:val="TOC2"/>
        <w:rPr>
          <w:rFonts w:eastAsiaTheme="minorEastAsia"/>
          <w:noProof/>
          <w:lang w:eastAsia="en-GB"/>
        </w:rPr>
      </w:pPr>
      <w:hyperlink w:anchor="_Toc97557166" w:history="1">
        <w:r w:rsidR="002809AA" w:rsidRPr="00D321B9">
          <w:rPr>
            <w:rStyle w:val="Hyperlink"/>
            <w:noProof/>
          </w:rPr>
          <w:t>Appendix 14: Table 24. Content analysis of what students most commonly referred to as unhealthy food items</w:t>
        </w:r>
        <w:r w:rsidR="002809AA">
          <w:rPr>
            <w:noProof/>
            <w:webHidden/>
          </w:rPr>
          <w:tab/>
        </w:r>
        <w:r w:rsidR="002809AA">
          <w:rPr>
            <w:noProof/>
            <w:webHidden/>
          </w:rPr>
          <w:fldChar w:fldCharType="begin"/>
        </w:r>
        <w:r w:rsidR="002809AA">
          <w:rPr>
            <w:noProof/>
            <w:webHidden/>
          </w:rPr>
          <w:instrText xml:space="preserve"> PAGEREF _Toc97557166 \h </w:instrText>
        </w:r>
        <w:r w:rsidR="002809AA">
          <w:rPr>
            <w:noProof/>
            <w:webHidden/>
          </w:rPr>
        </w:r>
        <w:r w:rsidR="002809AA">
          <w:rPr>
            <w:noProof/>
            <w:webHidden/>
          </w:rPr>
          <w:fldChar w:fldCharType="separate"/>
        </w:r>
        <w:r w:rsidR="002809AA">
          <w:rPr>
            <w:noProof/>
            <w:webHidden/>
          </w:rPr>
          <w:t>256</w:t>
        </w:r>
        <w:r w:rsidR="002809AA">
          <w:rPr>
            <w:noProof/>
            <w:webHidden/>
          </w:rPr>
          <w:fldChar w:fldCharType="end"/>
        </w:r>
      </w:hyperlink>
    </w:p>
    <w:p w14:paraId="6C76CB8D" w14:textId="4995E8BF" w:rsidR="002809AA" w:rsidRDefault="00322DCE">
      <w:pPr>
        <w:pStyle w:val="TOC2"/>
        <w:rPr>
          <w:rFonts w:eastAsiaTheme="minorEastAsia"/>
          <w:noProof/>
          <w:lang w:eastAsia="en-GB"/>
        </w:rPr>
      </w:pPr>
      <w:hyperlink w:anchor="_Toc97557167" w:history="1">
        <w:r w:rsidR="002809AA" w:rsidRPr="00D321B9">
          <w:rPr>
            <w:rStyle w:val="Hyperlink"/>
            <w:noProof/>
          </w:rPr>
          <w:t>Appendix 15: Ethical Approval (Studies Two and Three, Chapter 7 and 8)</w:t>
        </w:r>
        <w:r w:rsidR="002809AA">
          <w:rPr>
            <w:noProof/>
            <w:webHidden/>
          </w:rPr>
          <w:tab/>
        </w:r>
        <w:r w:rsidR="002809AA">
          <w:rPr>
            <w:noProof/>
            <w:webHidden/>
          </w:rPr>
          <w:fldChar w:fldCharType="begin"/>
        </w:r>
        <w:r w:rsidR="002809AA">
          <w:rPr>
            <w:noProof/>
            <w:webHidden/>
          </w:rPr>
          <w:instrText xml:space="preserve"> PAGEREF _Toc97557167 \h </w:instrText>
        </w:r>
        <w:r w:rsidR="002809AA">
          <w:rPr>
            <w:noProof/>
            <w:webHidden/>
          </w:rPr>
        </w:r>
        <w:r w:rsidR="002809AA">
          <w:rPr>
            <w:noProof/>
            <w:webHidden/>
          </w:rPr>
          <w:fldChar w:fldCharType="separate"/>
        </w:r>
        <w:r w:rsidR="002809AA">
          <w:rPr>
            <w:noProof/>
            <w:webHidden/>
          </w:rPr>
          <w:t>257</w:t>
        </w:r>
        <w:r w:rsidR="002809AA">
          <w:rPr>
            <w:noProof/>
            <w:webHidden/>
          </w:rPr>
          <w:fldChar w:fldCharType="end"/>
        </w:r>
      </w:hyperlink>
    </w:p>
    <w:p w14:paraId="246BCC92" w14:textId="7A0D61CC" w:rsidR="002809AA" w:rsidRDefault="00322DCE">
      <w:pPr>
        <w:pStyle w:val="TOC2"/>
        <w:rPr>
          <w:rFonts w:eastAsiaTheme="minorEastAsia"/>
          <w:noProof/>
          <w:lang w:eastAsia="en-GB"/>
        </w:rPr>
      </w:pPr>
      <w:hyperlink w:anchor="_Toc97557168" w:history="1">
        <w:r w:rsidR="002809AA" w:rsidRPr="00D321B9">
          <w:rPr>
            <w:rStyle w:val="Hyperlink"/>
            <w:noProof/>
          </w:rPr>
          <w:t>Appendix 16: Control school parents information letter and opt-out consent (Studies Two and Three, Chapter 7 and 8)</w:t>
        </w:r>
        <w:r w:rsidR="002809AA">
          <w:rPr>
            <w:noProof/>
            <w:webHidden/>
          </w:rPr>
          <w:tab/>
        </w:r>
        <w:r w:rsidR="002809AA">
          <w:rPr>
            <w:noProof/>
            <w:webHidden/>
          </w:rPr>
          <w:fldChar w:fldCharType="begin"/>
        </w:r>
        <w:r w:rsidR="002809AA">
          <w:rPr>
            <w:noProof/>
            <w:webHidden/>
          </w:rPr>
          <w:instrText xml:space="preserve"> PAGEREF _Toc97557168 \h </w:instrText>
        </w:r>
        <w:r w:rsidR="002809AA">
          <w:rPr>
            <w:noProof/>
            <w:webHidden/>
          </w:rPr>
        </w:r>
        <w:r w:rsidR="002809AA">
          <w:rPr>
            <w:noProof/>
            <w:webHidden/>
          </w:rPr>
          <w:fldChar w:fldCharType="separate"/>
        </w:r>
        <w:r w:rsidR="002809AA">
          <w:rPr>
            <w:noProof/>
            <w:webHidden/>
          </w:rPr>
          <w:t>258</w:t>
        </w:r>
        <w:r w:rsidR="002809AA">
          <w:rPr>
            <w:noProof/>
            <w:webHidden/>
          </w:rPr>
          <w:fldChar w:fldCharType="end"/>
        </w:r>
      </w:hyperlink>
    </w:p>
    <w:p w14:paraId="5693C9B1" w14:textId="70D4D257" w:rsidR="002809AA" w:rsidRDefault="00322DCE">
      <w:pPr>
        <w:pStyle w:val="TOC2"/>
        <w:rPr>
          <w:rFonts w:eastAsiaTheme="minorEastAsia"/>
          <w:noProof/>
          <w:lang w:eastAsia="en-GB"/>
        </w:rPr>
      </w:pPr>
      <w:hyperlink w:anchor="_Toc97557169" w:history="1">
        <w:r w:rsidR="002809AA" w:rsidRPr="00D321B9">
          <w:rPr>
            <w:rStyle w:val="Hyperlink"/>
            <w:noProof/>
          </w:rPr>
          <w:t>Appendix 17: SNA intervention school parents information letter and opt-out consent (Studies Two and Three, Chapter 7 and 8)</w:t>
        </w:r>
        <w:r w:rsidR="002809AA">
          <w:rPr>
            <w:noProof/>
            <w:webHidden/>
          </w:rPr>
          <w:tab/>
        </w:r>
        <w:r w:rsidR="002809AA">
          <w:rPr>
            <w:noProof/>
            <w:webHidden/>
          </w:rPr>
          <w:fldChar w:fldCharType="begin"/>
        </w:r>
        <w:r w:rsidR="002809AA">
          <w:rPr>
            <w:noProof/>
            <w:webHidden/>
          </w:rPr>
          <w:instrText xml:space="preserve"> PAGEREF _Toc97557169 \h </w:instrText>
        </w:r>
        <w:r w:rsidR="002809AA">
          <w:rPr>
            <w:noProof/>
            <w:webHidden/>
          </w:rPr>
        </w:r>
        <w:r w:rsidR="002809AA">
          <w:rPr>
            <w:noProof/>
            <w:webHidden/>
          </w:rPr>
          <w:fldChar w:fldCharType="separate"/>
        </w:r>
        <w:r w:rsidR="002809AA">
          <w:rPr>
            <w:noProof/>
            <w:webHidden/>
          </w:rPr>
          <w:t>259</w:t>
        </w:r>
        <w:r w:rsidR="002809AA">
          <w:rPr>
            <w:noProof/>
            <w:webHidden/>
          </w:rPr>
          <w:fldChar w:fldCharType="end"/>
        </w:r>
      </w:hyperlink>
    </w:p>
    <w:p w14:paraId="7EAD5E2B" w14:textId="4A58AE71" w:rsidR="002809AA" w:rsidRDefault="00322DCE">
      <w:pPr>
        <w:pStyle w:val="TOC2"/>
        <w:rPr>
          <w:rFonts w:eastAsiaTheme="minorEastAsia"/>
          <w:noProof/>
          <w:lang w:eastAsia="en-GB"/>
        </w:rPr>
      </w:pPr>
      <w:hyperlink w:anchor="_Toc97557170" w:history="1">
        <w:r w:rsidR="002809AA" w:rsidRPr="00D321B9">
          <w:rPr>
            <w:rStyle w:val="Hyperlink"/>
            <w:bCs/>
            <w:noProof/>
          </w:rPr>
          <w:t xml:space="preserve">Appendix 18: Control school student information sheet </w:t>
        </w:r>
        <w:r w:rsidR="002809AA" w:rsidRPr="00D321B9">
          <w:rPr>
            <w:rStyle w:val="Hyperlink"/>
            <w:noProof/>
          </w:rPr>
          <w:t>(Studies Two and Three, Chapter 7 and 8)</w:t>
        </w:r>
        <w:r w:rsidR="002809AA">
          <w:rPr>
            <w:noProof/>
            <w:webHidden/>
          </w:rPr>
          <w:tab/>
        </w:r>
        <w:r w:rsidR="002809AA">
          <w:rPr>
            <w:noProof/>
            <w:webHidden/>
          </w:rPr>
          <w:fldChar w:fldCharType="begin"/>
        </w:r>
        <w:r w:rsidR="002809AA">
          <w:rPr>
            <w:noProof/>
            <w:webHidden/>
          </w:rPr>
          <w:instrText xml:space="preserve"> PAGEREF _Toc97557170 \h </w:instrText>
        </w:r>
        <w:r w:rsidR="002809AA">
          <w:rPr>
            <w:noProof/>
            <w:webHidden/>
          </w:rPr>
        </w:r>
        <w:r w:rsidR="002809AA">
          <w:rPr>
            <w:noProof/>
            <w:webHidden/>
          </w:rPr>
          <w:fldChar w:fldCharType="separate"/>
        </w:r>
        <w:r w:rsidR="002809AA">
          <w:rPr>
            <w:noProof/>
            <w:webHidden/>
          </w:rPr>
          <w:t>260</w:t>
        </w:r>
        <w:r w:rsidR="002809AA">
          <w:rPr>
            <w:noProof/>
            <w:webHidden/>
          </w:rPr>
          <w:fldChar w:fldCharType="end"/>
        </w:r>
      </w:hyperlink>
    </w:p>
    <w:p w14:paraId="5C0293C7" w14:textId="2974EEBC" w:rsidR="002809AA" w:rsidRDefault="00322DCE">
      <w:pPr>
        <w:pStyle w:val="TOC2"/>
        <w:rPr>
          <w:rFonts w:eastAsiaTheme="minorEastAsia"/>
          <w:noProof/>
          <w:lang w:eastAsia="en-GB"/>
        </w:rPr>
      </w:pPr>
      <w:hyperlink w:anchor="_Toc97557171" w:history="1">
        <w:r w:rsidR="002809AA" w:rsidRPr="00D321B9">
          <w:rPr>
            <w:rStyle w:val="Hyperlink"/>
            <w:bCs/>
            <w:noProof/>
          </w:rPr>
          <w:t xml:space="preserve">Appendix 19: SNA school student information sheet </w:t>
        </w:r>
        <w:r w:rsidR="002809AA" w:rsidRPr="00D321B9">
          <w:rPr>
            <w:rStyle w:val="Hyperlink"/>
            <w:noProof/>
          </w:rPr>
          <w:t>(Studies Two and Three, Chapter 7 and 8)</w:t>
        </w:r>
        <w:r w:rsidR="002809AA">
          <w:rPr>
            <w:noProof/>
            <w:webHidden/>
          </w:rPr>
          <w:tab/>
        </w:r>
        <w:r w:rsidR="002809AA">
          <w:rPr>
            <w:noProof/>
            <w:webHidden/>
          </w:rPr>
          <w:fldChar w:fldCharType="begin"/>
        </w:r>
        <w:r w:rsidR="002809AA">
          <w:rPr>
            <w:noProof/>
            <w:webHidden/>
          </w:rPr>
          <w:instrText xml:space="preserve"> PAGEREF _Toc97557171 \h </w:instrText>
        </w:r>
        <w:r w:rsidR="002809AA">
          <w:rPr>
            <w:noProof/>
            <w:webHidden/>
          </w:rPr>
        </w:r>
        <w:r w:rsidR="002809AA">
          <w:rPr>
            <w:noProof/>
            <w:webHidden/>
          </w:rPr>
          <w:fldChar w:fldCharType="separate"/>
        </w:r>
        <w:r w:rsidR="002809AA">
          <w:rPr>
            <w:noProof/>
            <w:webHidden/>
          </w:rPr>
          <w:t>261</w:t>
        </w:r>
        <w:r w:rsidR="002809AA">
          <w:rPr>
            <w:noProof/>
            <w:webHidden/>
          </w:rPr>
          <w:fldChar w:fldCharType="end"/>
        </w:r>
      </w:hyperlink>
    </w:p>
    <w:p w14:paraId="69EC1261" w14:textId="6D412CF1" w:rsidR="002809AA" w:rsidRDefault="00322DCE">
      <w:pPr>
        <w:pStyle w:val="TOC2"/>
        <w:rPr>
          <w:rFonts w:eastAsiaTheme="minorEastAsia"/>
          <w:noProof/>
          <w:lang w:eastAsia="en-GB"/>
        </w:rPr>
      </w:pPr>
      <w:hyperlink w:anchor="_Toc97557172" w:history="1">
        <w:r w:rsidR="002809AA" w:rsidRPr="00D321B9">
          <w:rPr>
            <w:rStyle w:val="Hyperlink"/>
            <w:noProof/>
          </w:rPr>
          <w:t>Appendix 20: Student assent form (Studies Two and Three, Chapter 7 and 8)</w:t>
        </w:r>
        <w:r w:rsidR="002809AA">
          <w:rPr>
            <w:noProof/>
            <w:webHidden/>
          </w:rPr>
          <w:tab/>
        </w:r>
        <w:r w:rsidR="002809AA">
          <w:rPr>
            <w:noProof/>
            <w:webHidden/>
          </w:rPr>
          <w:fldChar w:fldCharType="begin"/>
        </w:r>
        <w:r w:rsidR="002809AA">
          <w:rPr>
            <w:noProof/>
            <w:webHidden/>
          </w:rPr>
          <w:instrText xml:space="preserve"> PAGEREF _Toc97557172 \h </w:instrText>
        </w:r>
        <w:r w:rsidR="002809AA">
          <w:rPr>
            <w:noProof/>
            <w:webHidden/>
          </w:rPr>
        </w:r>
        <w:r w:rsidR="002809AA">
          <w:rPr>
            <w:noProof/>
            <w:webHidden/>
          </w:rPr>
          <w:fldChar w:fldCharType="separate"/>
        </w:r>
        <w:r w:rsidR="002809AA">
          <w:rPr>
            <w:noProof/>
            <w:webHidden/>
          </w:rPr>
          <w:t>262</w:t>
        </w:r>
        <w:r w:rsidR="002809AA">
          <w:rPr>
            <w:noProof/>
            <w:webHidden/>
          </w:rPr>
          <w:fldChar w:fldCharType="end"/>
        </w:r>
      </w:hyperlink>
    </w:p>
    <w:p w14:paraId="208A1252" w14:textId="595B04A0" w:rsidR="002809AA" w:rsidRDefault="00322DCE">
      <w:pPr>
        <w:pStyle w:val="TOC2"/>
        <w:rPr>
          <w:rFonts w:eastAsiaTheme="minorEastAsia"/>
          <w:noProof/>
          <w:lang w:eastAsia="en-GB"/>
        </w:rPr>
      </w:pPr>
      <w:hyperlink w:anchor="_Toc97557173" w:history="1">
        <w:r w:rsidR="002809AA" w:rsidRPr="00D321B9">
          <w:rPr>
            <w:rStyle w:val="Hyperlink"/>
            <w:noProof/>
          </w:rPr>
          <w:t>Appendix 21: Eating behaviours questionnaire (Studies Two and Three, Chapter 7 and 8)</w:t>
        </w:r>
        <w:r w:rsidR="002809AA">
          <w:rPr>
            <w:noProof/>
            <w:webHidden/>
          </w:rPr>
          <w:tab/>
        </w:r>
        <w:r w:rsidR="002809AA">
          <w:rPr>
            <w:noProof/>
            <w:webHidden/>
          </w:rPr>
          <w:fldChar w:fldCharType="begin"/>
        </w:r>
        <w:r w:rsidR="002809AA">
          <w:rPr>
            <w:noProof/>
            <w:webHidden/>
          </w:rPr>
          <w:instrText xml:space="preserve"> PAGEREF _Toc97557173 \h </w:instrText>
        </w:r>
        <w:r w:rsidR="002809AA">
          <w:rPr>
            <w:noProof/>
            <w:webHidden/>
          </w:rPr>
        </w:r>
        <w:r w:rsidR="002809AA">
          <w:rPr>
            <w:noProof/>
            <w:webHidden/>
          </w:rPr>
          <w:fldChar w:fldCharType="separate"/>
        </w:r>
        <w:r w:rsidR="002809AA">
          <w:rPr>
            <w:noProof/>
            <w:webHidden/>
          </w:rPr>
          <w:t>263</w:t>
        </w:r>
        <w:r w:rsidR="002809AA">
          <w:rPr>
            <w:noProof/>
            <w:webHidden/>
          </w:rPr>
          <w:fldChar w:fldCharType="end"/>
        </w:r>
      </w:hyperlink>
    </w:p>
    <w:p w14:paraId="6BED89A9" w14:textId="18B22B0F" w:rsidR="002809AA" w:rsidRDefault="00322DCE">
      <w:pPr>
        <w:pStyle w:val="TOC2"/>
        <w:rPr>
          <w:rFonts w:eastAsiaTheme="minorEastAsia"/>
          <w:noProof/>
          <w:lang w:eastAsia="en-GB"/>
        </w:rPr>
      </w:pPr>
      <w:hyperlink w:anchor="_Toc97557174" w:history="1">
        <w:r w:rsidR="002809AA" w:rsidRPr="00D321B9">
          <w:rPr>
            <w:rStyle w:val="Hyperlink"/>
            <w:noProof/>
          </w:rPr>
          <w:t>Appendix 22: Control school student debrief (Studies Two and Three, Chapter 7 and 8)</w:t>
        </w:r>
        <w:r w:rsidR="002809AA">
          <w:rPr>
            <w:noProof/>
            <w:webHidden/>
          </w:rPr>
          <w:tab/>
        </w:r>
        <w:r w:rsidR="002809AA">
          <w:rPr>
            <w:noProof/>
            <w:webHidden/>
          </w:rPr>
          <w:fldChar w:fldCharType="begin"/>
        </w:r>
        <w:r w:rsidR="002809AA">
          <w:rPr>
            <w:noProof/>
            <w:webHidden/>
          </w:rPr>
          <w:instrText xml:space="preserve"> PAGEREF _Toc97557174 \h </w:instrText>
        </w:r>
        <w:r w:rsidR="002809AA">
          <w:rPr>
            <w:noProof/>
            <w:webHidden/>
          </w:rPr>
        </w:r>
        <w:r w:rsidR="002809AA">
          <w:rPr>
            <w:noProof/>
            <w:webHidden/>
          </w:rPr>
          <w:fldChar w:fldCharType="separate"/>
        </w:r>
        <w:r w:rsidR="002809AA">
          <w:rPr>
            <w:noProof/>
            <w:webHidden/>
          </w:rPr>
          <w:t>270</w:t>
        </w:r>
        <w:r w:rsidR="002809AA">
          <w:rPr>
            <w:noProof/>
            <w:webHidden/>
          </w:rPr>
          <w:fldChar w:fldCharType="end"/>
        </w:r>
      </w:hyperlink>
    </w:p>
    <w:p w14:paraId="12C7093D" w14:textId="17B93223" w:rsidR="002809AA" w:rsidRDefault="00322DCE">
      <w:pPr>
        <w:pStyle w:val="TOC2"/>
        <w:rPr>
          <w:rFonts w:eastAsiaTheme="minorEastAsia"/>
          <w:noProof/>
          <w:lang w:eastAsia="en-GB"/>
        </w:rPr>
      </w:pPr>
      <w:hyperlink w:anchor="_Toc97557175" w:history="1">
        <w:r w:rsidR="002809AA" w:rsidRPr="00D321B9">
          <w:rPr>
            <w:rStyle w:val="Hyperlink"/>
            <w:noProof/>
          </w:rPr>
          <w:t>Appendix 23: SNA school debrief (Studies Two and Three, Chapter 7 and 8)</w:t>
        </w:r>
        <w:r w:rsidR="002809AA">
          <w:rPr>
            <w:noProof/>
            <w:webHidden/>
          </w:rPr>
          <w:tab/>
        </w:r>
        <w:r w:rsidR="002809AA">
          <w:rPr>
            <w:noProof/>
            <w:webHidden/>
          </w:rPr>
          <w:fldChar w:fldCharType="begin"/>
        </w:r>
        <w:r w:rsidR="002809AA">
          <w:rPr>
            <w:noProof/>
            <w:webHidden/>
          </w:rPr>
          <w:instrText xml:space="preserve"> PAGEREF _Toc97557175 \h </w:instrText>
        </w:r>
        <w:r w:rsidR="002809AA">
          <w:rPr>
            <w:noProof/>
            <w:webHidden/>
          </w:rPr>
        </w:r>
        <w:r w:rsidR="002809AA">
          <w:rPr>
            <w:noProof/>
            <w:webHidden/>
          </w:rPr>
          <w:fldChar w:fldCharType="separate"/>
        </w:r>
        <w:r w:rsidR="002809AA">
          <w:rPr>
            <w:noProof/>
            <w:webHidden/>
          </w:rPr>
          <w:t>271</w:t>
        </w:r>
        <w:r w:rsidR="002809AA">
          <w:rPr>
            <w:noProof/>
            <w:webHidden/>
          </w:rPr>
          <w:fldChar w:fldCharType="end"/>
        </w:r>
      </w:hyperlink>
    </w:p>
    <w:p w14:paraId="78BA31EA" w14:textId="5678C923" w:rsidR="002809AA" w:rsidRDefault="00322DCE">
      <w:pPr>
        <w:pStyle w:val="TOC2"/>
        <w:rPr>
          <w:rFonts w:eastAsiaTheme="minorEastAsia"/>
          <w:noProof/>
          <w:lang w:eastAsia="en-GB"/>
        </w:rPr>
      </w:pPr>
      <w:hyperlink w:anchor="_Toc97557176" w:history="1">
        <w:r w:rsidR="002809AA" w:rsidRPr="00D321B9">
          <w:rPr>
            <w:rStyle w:val="Hyperlink"/>
            <w:noProof/>
          </w:rPr>
          <w:t>Appendix 24 Eatwell Guide (Study Three, Chapter 8)</w:t>
        </w:r>
        <w:r w:rsidR="002809AA">
          <w:rPr>
            <w:noProof/>
            <w:webHidden/>
          </w:rPr>
          <w:tab/>
        </w:r>
        <w:r w:rsidR="002809AA">
          <w:rPr>
            <w:noProof/>
            <w:webHidden/>
          </w:rPr>
          <w:fldChar w:fldCharType="begin"/>
        </w:r>
        <w:r w:rsidR="002809AA">
          <w:rPr>
            <w:noProof/>
            <w:webHidden/>
          </w:rPr>
          <w:instrText xml:space="preserve"> PAGEREF _Toc97557176 \h </w:instrText>
        </w:r>
        <w:r w:rsidR="002809AA">
          <w:rPr>
            <w:noProof/>
            <w:webHidden/>
          </w:rPr>
        </w:r>
        <w:r w:rsidR="002809AA">
          <w:rPr>
            <w:noProof/>
            <w:webHidden/>
          </w:rPr>
          <w:fldChar w:fldCharType="separate"/>
        </w:r>
        <w:r w:rsidR="002809AA">
          <w:rPr>
            <w:noProof/>
            <w:webHidden/>
          </w:rPr>
          <w:t>272</w:t>
        </w:r>
        <w:r w:rsidR="002809AA">
          <w:rPr>
            <w:noProof/>
            <w:webHidden/>
          </w:rPr>
          <w:fldChar w:fldCharType="end"/>
        </w:r>
      </w:hyperlink>
    </w:p>
    <w:p w14:paraId="1A19C629" w14:textId="54B20B46" w:rsidR="002809AA" w:rsidRDefault="00322DCE">
      <w:pPr>
        <w:pStyle w:val="TOC2"/>
        <w:rPr>
          <w:rFonts w:eastAsiaTheme="minorEastAsia"/>
          <w:noProof/>
          <w:lang w:eastAsia="en-GB"/>
        </w:rPr>
      </w:pPr>
      <w:hyperlink w:anchor="_Toc97557177" w:history="1">
        <w:r w:rsidR="002809AA" w:rsidRPr="00D321B9">
          <w:rPr>
            <w:rStyle w:val="Hyperlink"/>
            <w:noProof/>
          </w:rPr>
          <w:t>Appendix 25: Teacher lesson plan(Study Three, Chapter 8)</w:t>
        </w:r>
        <w:r w:rsidR="002809AA">
          <w:rPr>
            <w:noProof/>
            <w:webHidden/>
          </w:rPr>
          <w:tab/>
        </w:r>
        <w:r w:rsidR="002809AA">
          <w:rPr>
            <w:noProof/>
            <w:webHidden/>
          </w:rPr>
          <w:fldChar w:fldCharType="begin"/>
        </w:r>
        <w:r w:rsidR="002809AA">
          <w:rPr>
            <w:noProof/>
            <w:webHidden/>
          </w:rPr>
          <w:instrText xml:space="preserve"> PAGEREF _Toc97557177 \h </w:instrText>
        </w:r>
        <w:r w:rsidR="002809AA">
          <w:rPr>
            <w:noProof/>
            <w:webHidden/>
          </w:rPr>
        </w:r>
        <w:r w:rsidR="002809AA">
          <w:rPr>
            <w:noProof/>
            <w:webHidden/>
          </w:rPr>
          <w:fldChar w:fldCharType="separate"/>
        </w:r>
        <w:r w:rsidR="002809AA">
          <w:rPr>
            <w:noProof/>
            <w:webHidden/>
          </w:rPr>
          <w:t>273</w:t>
        </w:r>
        <w:r w:rsidR="002809AA">
          <w:rPr>
            <w:noProof/>
            <w:webHidden/>
          </w:rPr>
          <w:fldChar w:fldCharType="end"/>
        </w:r>
      </w:hyperlink>
    </w:p>
    <w:p w14:paraId="69D3D8F3" w14:textId="72CD5BB5" w:rsidR="002809AA" w:rsidRDefault="00322DCE">
      <w:pPr>
        <w:pStyle w:val="TOC2"/>
        <w:rPr>
          <w:rFonts w:eastAsiaTheme="minorEastAsia"/>
          <w:noProof/>
          <w:lang w:eastAsia="en-GB"/>
        </w:rPr>
      </w:pPr>
      <w:hyperlink w:anchor="_Toc97557178" w:history="1">
        <w:r w:rsidR="002809AA" w:rsidRPr="00D321B9">
          <w:rPr>
            <w:rStyle w:val="Hyperlink"/>
            <w:noProof/>
          </w:rPr>
          <w:t>Appendix 26: Poster session guidance for students(Study Three, Chapter 8)</w:t>
        </w:r>
        <w:r w:rsidR="002809AA">
          <w:rPr>
            <w:noProof/>
            <w:webHidden/>
          </w:rPr>
          <w:tab/>
        </w:r>
        <w:r w:rsidR="002809AA">
          <w:rPr>
            <w:noProof/>
            <w:webHidden/>
          </w:rPr>
          <w:fldChar w:fldCharType="begin"/>
        </w:r>
        <w:r w:rsidR="002809AA">
          <w:rPr>
            <w:noProof/>
            <w:webHidden/>
          </w:rPr>
          <w:instrText xml:space="preserve"> PAGEREF _Toc97557178 \h </w:instrText>
        </w:r>
        <w:r w:rsidR="002809AA">
          <w:rPr>
            <w:noProof/>
            <w:webHidden/>
          </w:rPr>
        </w:r>
        <w:r w:rsidR="002809AA">
          <w:rPr>
            <w:noProof/>
            <w:webHidden/>
          </w:rPr>
          <w:fldChar w:fldCharType="separate"/>
        </w:r>
        <w:r w:rsidR="002809AA">
          <w:rPr>
            <w:noProof/>
            <w:webHidden/>
          </w:rPr>
          <w:t>274</w:t>
        </w:r>
        <w:r w:rsidR="002809AA">
          <w:rPr>
            <w:noProof/>
            <w:webHidden/>
          </w:rPr>
          <w:fldChar w:fldCharType="end"/>
        </w:r>
      </w:hyperlink>
    </w:p>
    <w:p w14:paraId="7F36DC1B" w14:textId="3A79C83D" w:rsidR="002809AA" w:rsidRDefault="00322DCE">
      <w:pPr>
        <w:pStyle w:val="TOC2"/>
        <w:rPr>
          <w:rFonts w:eastAsiaTheme="minorEastAsia"/>
          <w:noProof/>
          <w:lang w:eastAsia="en-GB"/>
        </w:rPr>
      </w:pPr>
      <w:hyperlink w:anchor="_Toc97557179" w:history="1">
        <w:r w:rsidR="002809AA" w:rsidRPr="00D321B9">
          <w:rPr>
            <w:rStyle w:val="Hyperlink"/>
            <w:noProof/>
          </w:rPr>
          <w:t>Appendix 27: SNA feedback sheets (Study Three, Chapter 8)</w:t>
        </w:r>
        <w:r w:rsidR="002809AA">
          <w:rPr>
            <w:noProof/>
            <w:webHidden/>
          </w:rPr>
          <w:tab/>
        </w:r>
        <w:r w:rsidR="002809AA">
          <w:rPr>
            <w:noProof/>
            <w:webHidden/>
          </w:rPr>
          <w:fldChar w:fldCharType="begin"/>
        </w:r>
        <w:r w:rsidR="002809AA">
          <w:rPr>
            <w:noProof/>
            <w:webHidden/>
          </w:rPr>
          <w:instrText xml:space="preserve"> PAGEREF _Toc97557179 \h </w:instrText>
        </w:r>
        <w:r w:rsidR="002809AA">
          <w:rPr>
            <w:noProof/>
            <w:webHidden/>
          </w:rPr>
        </w:r>
        <w:r w:rsidR="002809AA">
          <w:rPr>
            <w:noProof/>
            <w:webHidden/>
          </w:rPr>
          <w:fldChar w:fldCharType="separate"/>
        </w:r>
        <w:r w:rsidR="002809AA">
          <w:rPr>
            <w:noProof/>
            <w:webHidden/>
          </w:rPr>
          <w:t>275</w:t>
        </w:r>
        <w:r w:rsidR="002809AA">
          <w:rPr>
            <w:noProof/>
            <w:webHidden/>
          </w:rPr>
          <w:fldChar w:fldCharType="end"/>
        </w:r>
      </w:hyperlink>
    </w:p>
    <w:p w14:paraId="76A70558" w14:textId="5D1A737A" w:rsidR="002809AA" w:rsidRDefault="00322DCE">
      <w:pPr>
        <w:pStyle w:val="TOC2"/>
        <w:rPr>
          <w:rFonts w:eastAsiaTheme="minorEastAsia"/>
          <w:noProof/>
          <w:lang w:eastAsia="en-GB"/>
        </w:rPr>
      </w:pPr>
      <w:hyperlink w:anchor="_Toc97557180" w:history="1">
        <w:r w:rsidR="002809AA" w:rsidRPr="00D321B9">
          <w:rPr>
            <w:rStyle w:val="Hyperlink"/>
            <w:noProof/>
          </w:rPr>
          <w:t>Appendix 28: Examples of designed posters (Study Three, Chapter 8)</w:t>
        </w:r>
        <w:r w:rsidR="002809AA">
          <w:rPr>
            <w:noProof/>
            <w:webHidden/>
          </w:rPr>
          <w:tab/>
        </w:r>
        <w:r w:rsidR="002809AA">
          <w:rPr>
            <w:noProof/>
            <w:webHidden/>
          </w:rPr>
          <w:fldChar w:fldCharType="begin"/>
        </w:r>
        <w:r w:rsidR="002809AA">
          <w:rPr>
            <w:noProof/>
            <w:webHidden/>
          </w:rPr>
          <w:instrText xml:space="preserve"> PAGEREF _Toc97557180 \h </w:instrText>
        </w:r>
        <w:r w:rsidR="002809AA">
          <w:rPr>
            <w:noProof/>
            <w:webHidden/>
          </w:rPr>
        </w:r>
        <w:r w:rsidR="002809AA">
          <w:rPr>
            <w:noProof/>
            <w:webHidden/>
          </w:rPr>
          <w:fldChar w:fldCharType="separate"/>
        </w:r>
        <w:r w:rsidR="002809AA">
          <w:rPr>
            <w:noProof/>
            <w:webHidden/>
          </w:rPr>
          <w:t>277</w:t>
        </w:r>
        <w:r w:rsidR="002809AA">
          <w:rPr>
            <w:noProof/>
            <w:webHidden/>
          </w:rPr>
          <w:fldChar w:fldCharType="end"/>
        </w:r>
      </w:hyperlink>
    </w:p>
    <w:p w14:paraId="008505D2" w14:textId="226EAFC3" w:rsidR="002809AA" w:rsidRDefault="00322DCE">
      <w:pPr>
        <w:pStyle w:val="TOC2"/>
        <w:rPr>
          <w:rFonts w:eastAsiaTheme="minorEastAsia"/>
          <w:noProof/>
          <w:lang w:eastAsia="en-GB"/>
        </w:rPr>
      </w:pPr>
      <w:hyperlink w:anchor="_Toc97557181" w:history="1">
        <w:r w:rsidR="002809AA" w:rsidRPr="00D321B9">
          <w:rPr>
            <w:rStyle w:val="Hyperlink"/>
            <w:noProof/>
          </w:rPr>
          <w:t>Appendix 29: Ethical Approval (Study Four, Chapter 9)</w:t>
        </w:r>
        <w:r w:rsidR="002809AA">
          <w:rPr>
            <w:noProof/>
            <w:webHidden/>
          </w:rPr>
          <w:tab/>
        </w:r>
        <w:r w:rsidR="002809AA">
          <w:rPr>
            <w:noProof/>
            <w:webHidden/>
          </w:rPr>
          <w:fldChar w:fldCharType="begin"/>
        </w:r>
        <w:r w:rsidR="002809AA">
          <w:rPr>
            <w:noProof/>
            <w:webHidden/>
          </w:rPr>
          <w:instrText xml:space="preserve"> PAGEREF _Toc97557181 \h </w:instrText>
        </w:r>
        <w:r w:rsidR="002809AA">
          <w:rPr>
            <w:noProof/>
            <w:webHidden/>
          </w:rPr>
        </w:r>
        <w:r w:rsidR="002809AA">
          <w:rPr>
            <w:noProof/>
            <w:webHidden/>
          </w:rPr>
          <w:fldChar w:fldCharType="separate"/>
        </w:r>
        <w:r w:rsidR="002809AA">
          <w:rPr>
            <w:noProof/>
            <w:webHidden/>
          </w:rPr>
          <w:t>280</w:t>
        </w:r>
        <w:r w:rsidR="002809AA">
          <w:rPr>
            <w:noProof/>
            <w:webHidden/>
          </w:rPr>
          <w:fldChar w:fldCharType="end"/>
        </w:r>
      </w:hyperlink>
    </w:p>
    <w:p w14:paraId="0A3CFEB7" w14:textId="113ED6D4" w:rsidR="002809AA" w:rsidRDefault="00322DCE">
      <w:pPr>
        <w:pStyle w:val="TOC2"/>
        <w:rPr>
          <w:rFonts w:eastAsiaTheme="minorEastAsia"/>
          <w:noProof/>
          <w:lang w:eastAsia="en-GB"/>
        </w:rPr>
      </w:pPr>
      <w:hyperlink w:anchor="_Toc97557182" w:history="1">
        <w:r w:rsidR="002809AA" w:rsidRPr="00D321B9">
          <w:rPr>
            <w:rStyle w:val="Hyperlink"/>
            <w:noProof/>
          </w:rPr>
          <w:t>Appendix 30: Parent information letter and opt-out consent (Study Four, Chapter 9)</w:t>
        </w:r>
        <w:r w:rsidR="002809AA">
          <w:rPr>
            <w:noProof/>
            <w:webHidden/>
          </w:rPr>
          <w:tab/>
        </w:r>
        <w:r w:rsidR="002809AA">
          <w:rPr>
            <w:noProof/>
            <w:webHidden/>
          </w:rPr>
          <w:fldChar w:fldCharType="begin"/>
        </w:r>
        <w:r w:rsidR="002809AA">
          <w:rPr>
            <w:noProof/>
            <w:webHidden/>
          </w:rPr>
          <w:instrText xml:space="preserve"> PAGEREF _Toc97557182 \h </w:instrText>
        </w:r>
        <w:r w:rsidR="002809AA">
          <w:rPr>
            <w:noProof/>
            <w:webHidden/>
          </w:rPr>
        </w:r>
        <w:r w:rsidR="002809AA">
          <w:rPr>
            <w:noProof/>
            <w:webHidden/>
          </w:rPr>
          <w:fldChar w:fldCharType="separate"/>
        </w:r>
        <w:r w:rsidR="002809AA">
          <w:rPr>
            <w:noProof/>
            <w:webHidden/>
          </w:rPr>
          <w:t>281</w:t>
        </w:r>
        <w:r w:rsidR="002809AA">
          <w:rPr>
            <w:noProof/>
            <w:webHidden/>
          </w:rPr>
          <w:fldChar w:fldCharType="end"/>
        </w:r>
      </w:hyperlink>
    </w:p>
    <w:p w14:paraId="61047983" w14:textId="5AA4973A" w:rsidR="002809AA" w:rsidRDefault="00322DCE">
      <w:pPr>
        <w:pStyle w:val="TOC2"/>
        <w:rPr>
          <w:rFonts w:eastAsiaTheme="minorEastAsia"/>
          <w:noProof/>
          <w:lang w:eastAsia="en-GB"/>
        </w:rPr>
      </w:pPr>
      <w:hyperlink w:anchor="_Toc97557183" w:history="1">
        <w:r w:rsidR="002809AA" w:rsidRPr="00D321B9">
          <w:rPr>
            <w:rStyle w:val="Hyperlink"/>
            <w:noProof/>
          </w:rPr>
          <w:t>Appendix 31: Student information sheet (Study Four, Chapter 9)</w:t>
        </w:r>
        <w:r w:rsidR="002809AA">
          <w:rPr>
            <w:noProof/>
            <w:webHidden/>
          </w:rPr>
          <w:tab/>
        </w:r>
        <w:r w:rsidR="002809AA">
          <w:rPr>
            <w:noProof/>
            <w:webHidden/>
          </w:rPr>
          <w:fldChar w:fldCharType="begin"/>
        </w:r>
        <w:r w:rsidR="002809AA">
          <w:rPr>
            <w:noProof/>
            <w:webHidden/>
          </w:rPr>
          <w:instrText xml:space="preserve"> PAGEREF _Toc97557183 \h </w:instrText>
        </w:r>
        <w:r w:rsidR="002809AA">
          <w:rPr>
            <w:noProof/>
            <w:webHidden/>
          </w:rPr>
        </w:r>
        <w:r w:rsidR="002809AA">
          <w:rPr>
            <w:noProof/>
            <w:webHidden/>
          </w:rPr>
          <w:fldChar w:fldCharType="separate"/>
        </w:r>
        <w:r w:rsidR="002809AA">
          <w:rPr>
            <w:noProof/>
            <w:webHidden/>
          </w:rPr>
          <w:t>283</w:t>
        </w:r>
        <w:r w:rsidR="002809AA">
          <w:rPr>
            <w:noProof/>
            <w:webHidden/>
          </w:rPr>
          <w:fldChar w:fldCharType="end"/>
        </w:r>
      </w:hyperlink>
    </w:p>
    <w:p w14:paraId="03B6836D" w14:textId="09F6CF88" w:rsidR="002809AA" w:rsidRDefault="00322DCE">
      <w:pPr>
        <w:pStyle w:val="TOC2"/>
        <w:rPr>
          <w:rFonts w:eastAsiaTheme="minorEastAsia"/>
          <w:noProof/>
          <w:lang w:eastAsia="en-GB"/>
        </w:rPr>
      </w:pPr>
      <w:hyperlink w:anchor="_Toc97557184" w:history="1">
        <w:r w:rsidR="002809AA" w:rsidRPr="00D321B9">
          <w:rPr>
            <w:rStyle w:val="Hyperlink"/>
            <w:noProof/>
          </w:rPr>
          <w:t>Appendix 32: Student assent form (Study Four, Chapter 9)</w:t>
        </w:r>
        <w:r w:rsidR="002809AA">
          <w:rPr>
            <w:noProof/>
            <w:webHidden/>
          </w:rPr>
          <w:tab/>
        </w:r>
        <w:r w:rsidR="002809AA">
          <w:rPr>
            <w:noProof/>
            <w:webHidden/>
          </w:rPr>
          <w:fldChar w:fldCharType="begin"/>
        </w:r>
        <w:r w:rsidR="002809AA">
          <w:rPr>
            <w:noProof/>
            <w:webHidden/>
          </w:rPr>
          <w:instrText xml:space="preserve"> PAGEREF _Toc97557184 \h </w:instrText>
        </w:r>
        <w:r w:rsidR="002809AA">
          <w:rPr>
            <w:noProof/>
            <w:webHidden/>
          </w:rPr>
        </w:r>
        <w:r w:rsidR="002809AA">
          <w:rPr>
            <w:noProof/>
            <w:webHidden/>
          </w:rPr>
          <w:fldChar w:fldCharType="separate"/>
        </w:r>
        <w:r w:rsidR="002809AA">
          <w:rPr>
            <w:noProof/>
            <w:webHidden/>
          </w:rPr>
          <w:t>284</w:t>
        </w:r>
        <w:r w:rsidR="002809AA">
          <w:rPr>
            <w:noProof/>
            <w:webHidden/>
          </w:rPr>
          <w:fldChar w:fldCharType="end"/>
        </w:r>
      </w:hyperlink>
    </w:p>
    <w:p w14:paraId="0BDCACE4" w14:textId="0D83C8B4" w:rsidR="002809AA" w:rsidRDefault="00322DCE">
      <w:pPr>
        <w:pStyle w:val="TOC2"/>
        <w:rPr>
          <w:rFonts w:eastAsiaTheme="minorEastAsia"/>
          <w:noProof/>
          <w:lang w:eastAsia="en-GB"/>
        </w:rPr>
      </w:pPr>
      <w:hyperlink w:anchor="_Toc97557185" w:history="1">
        <w:r w:rsidR="002809AA" w:rsidRPr="00D321B9">
          <w:rPr>
            <w:rStyle w:val="Hyperlink"/>
            <w:noProof/>
          </w:rPr>
          <w:t>Appendix 33: Focus group questions (Study Four, Chapter 9)</w:t>
        </w:r>
        <w:r w:rsidR="002809AA">
          <w:rPr>
            <w:noProof/>
            <w:webHidden/>
          </w:rPr>
          <w:tab/>
        </w:r>
        <w:r w:rsidR="002809AA">
          <w:rPr>
            <w:noProof/>
            <w:webHidden/>
          </w:rPr>
          <w:fldChar w:fldCharType="begin"/>
        </w:r>
        <w:r w:rsidR="002809AA">
          <w:rPr>
            <w:noProof/>
            <w:webHidden/>
          </w:rPr>
          <w:instrText xml:space="preserve"> PAGEREF _Toc97557185 \h </w:instrText>
        </w:r>
        <w:r w:rsidR="002809AA">
          <w:rPr>
            <w:noProof/>
            <w:webHidden/>
          </w:rPr>
        </w:r>
        <w:r w:rsidR="002809AA">
          <w:rPr>
            <w:noProof/>
            <w:webHidden/>
          </w:rPr>
          <w:fldChar w:fldCharType="separate"/>
        </w:r>
        <w:r w:rsidR="002809AA">
          <w:rPr>
            <w:noProof/>
            <w:webHidden/>
          </w:rPr>
          <w:t>285</w:t>
        </w:r>
        <w:r w:rsidR="002809AA">
          <w:rPr>
            <w:noProof/>
            <w:webHidden/>
          </w:rPr>
          <w:fldChar w:fldCharType="end"/>
        </w:r>
      </w:hyperlink>
    </w:p>
    <w:p w14:paraId="2BE15476" w14:textId="0F4F0B17" w:rsidR="002809AA" w:rsidRDefault="00322DCE">
      <w:pPr>
        <w:pStyle w:val="TOC2"/>
        <w:rPr>
          <w:rFonts w:eastAsiaTheme="minorEastAsia"/>
          <w:noProof/>
          <w:lang w:eastAsia="en-GB"/>
        </w:rPr>
      </w:pPr>
      <w:hyperlink w:anchor="_Toc97557186" w:history="1">
        <w:r w:rsidR="002809AA" w:rsidRPr="00D321B9">
          <w:rPr>
            <w:rStyle w:val="Hyperlink"/>
            <w:noProof/>
          </w:rPr>
          <w:t>Appendix 34: Student debrief (Study Four, Chapter 9)</w:t>
        </w:r>
        <w:r w:rsidR="002809AA">
          <w:rPr>
            <w:noProof/>
            <w:webHidden/>
          </w:rPr>
          <w:tab/>
        </w:r>
        <w:r w:rsidR="002809AA">
          <w:rPr>
            <w:noProof/>
            <w:webHidden/>
          </w:rPr>
          <w:fldChar w:fldCharType="begin"/>
        </w:r>
        <w:r w:rsidR="002809AA">
          <w:rPr>
            <w:noProof/>
            <w:webHidden/>
          </w:rPr>
          <w:instrText xml:space="preserve"> PAGEREF _Toc97557186 \h </w:instrText>
        </w:r>
        <w:r w:rsidR="002809AA">
          <w:rPr>
            <w:noProof/>
            <w:webHidden/>
          </w:rPr>
        </w:r>
        <w:r w:rsidR="002809AA">
          <w:rPr>
            <w:noProof/>
            <w:webHidden/>
          </w:rPr>
          <w:fldChar w:fldCharType="separate"/>
        </w:r>
        <w:r w:rsidR="002809AA">
          <w:rPr>
            <w:noProof/>
            <w:webHidden/>
          </w:rPr>
          <w:t>286</w:t>
        </w:r>
        <w:r w:rsidR="002809AA">
          <w:rPr>
            <w:noProof/>
            <w:webHidden/>
          </w:rPr>
          <w:fldChar w:fldCharType="end"/>
        </w:r>
      </w:hyperlink>
    </w:p>
    <w:p w14:paraId="7E71FE17" w14:textId="3806A670" w:rsidR="002809AA" w:rsidRDefault="00322DCE">
      <w:pPr>
        <w:pStyle w:val="TOC2"/>
        <w:rPr>
          <w:rFonts w:eastAsiaTheme="minorEastAsia"/>
          <w:noProof/>
          <w:lang w:eastAsia="en-GB"/>
        </w:rPr>
      </w:pPr>
      <w:hyperlink w:anchor="_Toc97557187" w:history="1">
        <w:r w:rsidR="002809AA" w:rsidRPr="00D321B9">
          <w:rPr>
            <w:rStyle w:val="Hyperlink"/>
            <w:noProof/>
          </w:rPr>
          <w:t>Appendix 35: Teachers invitation letter (Study Four, Chapter 9)</w:t>
        </w:r>
        <w:r w:rsidR="002809AA">
          <w:rPr>
            <w:noProof/>
            <w:webHidden/>
          </w:rPr>
          <w:tab/>
        </w:r>
        <w:r w:rsidR="002809AA">
          <w:rPr>
            <w:noProof/>
            <w:webHidden/>
          </w:rPr>
          <w:fldChar w:fldCharType="begin"/>
        </w:r>
        <w:r w:rsidR="002809AA">
          <w:rPr>
            <w:noProof/>
            <w:webHidden/>
          </w:rPr>
          <w:instrText xml:space="preserve"> PAGEREF _Toc97557187 \h </w:instrText>
        </w:r>
        <w:r w:rsidR="002809AA">
          <w:rPr>
            <w:noProof/>
            <w:webHidden/>
          </w:rPr>
        </w:r>
        <w:r w:rsidR="002809AA">
          <w:rPr>
            <w:noProof/>
            <w:webHidden/>
          </w:rPr>
          <w:fldChar w:fldCharType="separate"/>
        </w:r>
        <w:r w:rsidR="002809AA">
          <w:rPr>
            <w:noProof/>
            <w:webHidden/>
          </w:rPr>
          <w:t>287</w:t>
        </w:r>
        <w:r w:rsidR="002809AA">
          <w:rPr>
            <w:noProof/>
            <w:webHidden/>
          </w:rPr>
          <w:fldChar w:fldCharType="end"/>
        </w:r>
      </w:hyperlink>
    </w:p>
    <w:p w14:paraId="762DC6A4" w14:textId="2BCE46B4" w:rsidR="002809AA" w:rsidRDefault="00322DCE">
      <w:pPr>
        <w:pStyle w:val="TOC2"/>
        <w:rPr>
          <w:rFonts w:eastAsiaTheme="minorEastAsia"/>
          <w:noProof/>
          <w:lang w:eastAsia="en-GB"/>
        </w:rPr>
      </w:pPr>
      <w:hyperlink w:anchor="_Toc97557188" w:history="1">
        <w:r w:rsidR="002809AA" w:rsidRPr="00D321B9">
          <w:rPr>
            <w:rStyle w:val="Hyperlink"/>
            <w:noProof/>
          </w:rPr>
          <w:t>Appendix 36: Teachers consent form (Study Four, Chapter 9)</w:t>
        </w:r>
        <w:r w:rsidR="002809AA">
          <w:rPr>
            <w:noProof/>
            <w:webHidden/>
          </w:rPr>
          <w:tab/>
        </w:r>
        <w:r w:rsidR="002809AA">
          <w:rPr>
            <w:noProof/>
            <w:webHidden/>
          </w:rPr>
          <w:fldChar w:fldCharType="begin"/>
        </w:r>
        <w:r w:rsidR="002809AA">
          <w:rPr>
            <w:noProof/>
            <w:webHidden/>
          </w:rPr>
          <w:instrText xml:space="preserve"> PAGEREF _Toc97557188 \h </w:instrText>
        </w:r>
        <w:r w:rsidR="002809AA">
          <w:rPr>
            <w:noProof/>
            <w:webHidden/>
          </w:rPr>
        </w:r>
        <w:r w:rsidR="002809AA">
          <w:rPr>
            <w:noProof/>
            <w:webHidden/>
          </w:rPr>
          <w:fldChar w:fldCharType="separate"/>
        </w:r>
        <w:r w:rsidR="002809AA">
          <w:rPr>
            <w:noProof/>
            <w:webHidden/>
          </w:rPr>
          <w:t>288</w:t>
        </w:r>
        <w:r w:rsidR="002809AA">
          <w:rPr>
            <w:noProof/>
            <w:webHidden/>
          </w:rPr>
          <w:fldChar w:fldCharType="end"/>
        </w:r>
      </w:hyperlink>
    </w:p>
    <w:p w14:paraId="552A7F62" w14:textId="332A0BCF" w:rsidR="002809AA" w:rsidRDefault="00322DCE">
      <w:pPr>
        <w:pStyle w:val="TOC2"/>
        <w:rPr>
          <w:rFonts w:eastAsiaTheme="minorEastAsia"/>
          <w:noProof/>
          <w:lang w:eastAsia="en-GB"/>
        </w:rPr>
      </w:pPr>
      <w:hyperlink w:anchor="_Toc97557189" w:history="1">
        <w:r w:rsidR="002809AA" w:rsidRPr="00D321B9">
          <w:rPr>
            <w:rStyle w:val="Hyperlink"/>
            <w:noProof/>
          </w:rPr>
          <w:t>Appendix 37: Teachers’ questionnaire (Study Four, Chapter 9)</w:t>
        </w:r>
        <w:r w:rsidR="002809AA">
          <w:rPr>
            <w:noProof/>
            <w:webHidden/>
          </w:rPr>
          <w:tab/>
        </w:r>
        <w:r w:rsidR="002809AA">
          <w:rPr>
            <w:noProof/>
            <w:webHidden/>
          </w:rPr>
          <w:fldChar w:fldCharType="begin"/>
        </w:r>
        <w:r w:rsidR="002809AA">
          <w:rPr>
            <w:noProof/>
            <w:webHidden/>
          </w:rPr>
          <w:instrText xml:space="preserve"> PAGEREF _Toc97557189 \h </w:instrText>
        </w:r>
        <w:r w:rsidR="002809AA">
          <w:rPr>
            <w:noProof/>
            <w:webHidden/>
          </w:rPr>
        </w:r>
        <w:r w:rsidR="002809AA">
          <w:rPr>
            <w:noProof/>
            <w:webHidden/>
          </w:rPr>
          <w:fldChar w:fldCharType="separate"/>
        </w:r>
        <w:r w:rsidR="002809AA">
          <w:rPr>
            <w:noProof/>
            <w:webHidden/>
          </w:rPr>
          <w:t>289</w:t>
        </w:r>
        <w:r w:rsidR="002809AA">
          <w:rPr>
            <w:noProof/>
            <w:webHidden/>
          </w:rPr>
          <w:fldChar w:fldCharType="end"/>
        </w:r>
      </w:hyperlink>
    </w:p>
    <w:p w14:paraId="5A65AB8A" w14:textId="5EEC4109" w:rsidR="002809AA" w:rsidRDefault="00322DCE">
      <w:pPr>
        <w:pStyle w:val="TOC2"/>
        <w:rPr>
          <w:rFonts w:eastAsiaTheme="minorEastAsia"/>
          <w:noProof/>
          <w:lang w:eastAsia="en-GB"/>
        </w:rPr>
      </w:pPr>
      <w:hyperlink w:anchor="_Toc97557190" w:history="1">
        <w:r w:rsidR="002809AA" w:rsidRPr="00D321B9">
          <w:rPr>
            <w:rStyle w:val="Hyperlink"/>
            <w:noProof/>
          </w:rPr>
          <w:t>Appendix 38: Teachers debrief (Study Four, Chapter 9)</w:t>
        </w:r>
        <w:r w:rsidR="002809AA">
          <w:rPr>
            <w:noProof/>
            <w:webHidden/>
          </w:rPr>
          <w:tab/>
        </w:r>
        <w:r w:rsidR="002809AA">
          <w:rPr>
            <w:noProof/>
            <w:webHidden/>
          </w:rPr>
          <w:fldChar w:fldCharType="begin"/>
        </w:r>
        <w:r w:rsidR="002809AA">
          <w:rPr>
            <w:noProof/>
            <w:webHidden/>
          </w:rPr>
          <w:instrText xml:space="preserve"> PAGEREF _Toc97557190 \h </w:instrText>
        </w:r>
        <w:r w:rsidR="002809AA">
          <w:rPr>
            <w:noProof/>
            <w:webHidden/>
          </w:rPr>
        </w:r>
        <w:r w:rsidR="002809AA">
          <w:rPr>
            <w:noProof/>
            <w:webHidden/>
          </w:rPr>
          <w:fldChar w:fldCharType="separate"/>
        </w:r>
        <w:r w:rsidR="002809AA">
          <w:rPr>
            <w:noProof/>
            <w:webHidden/>
          </w:rPr>
          <w:t>293</w:t>
        </w:r>
        <w:r w:rsidR="002809AA">
          <w:rPr>
            <w:noProof/>
            <w:webHidden/>
          </w:rPr>
          <w:fldChar w:fldCharType="end"/>
        </w:r>
      </w:hyperlink>
    </w:p>
    <w:p w14:paraId="35EDE7FC" w14:textId="0972BE47" w:rsidR="00FC66B1" w:rsidRPr="00F02C72" w:rsidRDefault="00FC66B1" w:rsidP="00FC66B1">
      <w:r>
        <w:fldChar w:fldCharType="end"/>
      </w:r>
    </w:p>
    <w:p w14:paraId="2FA46618" w14:textId="50ED83DB" w:rsidR="00DD5BC7" w:rsidRPr="00F02C72" w:rsidRDefault="00DD5BC7" w:rsidP="00F02C72"/>
    <w:p w14:paraId="42E839EE" w14:textId="62034357" w:rsidR="00DD5BC7" w:rsidRPr="00F02C72" w:rsidRDefault="00DD5BC7" w:rsidP="00F02C72"/>
    <w:p w14:paraId="323B3F51" w14:textId="25F8D0AE" w:rsidR="00DD5BC7" w:rsidRPr="00F02C72" w:rsidRDefault="00DD5BC7" w:rsidP="00F02C72"/>
    <w:p w14:paraId="556A7D46" w14:textId="7154CD01" w:rsidR="00DD5BC7" w:rsidRPr="00F02C72" w:rsidRDefault="00DD5BC7" w:rsidP="00F02C72"/>
    <w:p w14:paraId="5D4992C0" w14:textId="6A8FC576" w:rsidR="00DD5BC7" w:rsidRPr="00F02C72" w:rsidRDefault="00DD5BC7" w:rsidP="00F02C72"/>
    <w:p w14:paraId="2897276B" w14:textId="49D00EC2" w:rsidR="00DD5BC7" w:rsidRPr="00F02C72" w:rsidRDefault="00DD5BC7" w:rsidP="00F02C72"/>
    <w:p w14:paraId="4DD30EFA" w14:textId="34F2793E" w:rsidR="00DD5BC7" w:rsidRPr="00F02C72" w:rsidRDefault="00DD5BC7" w:rsidP="00F02C72"/>
    <w:p w14:paraId="552212FE" w14:textId="173F8174" w:rsidR="00DD5BC7" w:rsidRPr="00F02C72" w:rsidRDefault="00DD5BC7" w:rsidP="00F02C72"/>
    <w:p w14:paraId="7A55F72F" w14:textId="4EF8C12E" w:rsidR="00DD5BC7" w:rsidRPr="00F02C72" w:rsidRDefault="00DD5BC7" w:rsidP="00F02C72"/>
    <w:p w14:paraId="3817EC56" w14:textId="08D264EE" w:rsidR="00DD5BC7" w:rsidRPr="00F02C72" w:rsidRDefault="00DD5BC7" w:rsidP="00F02C72"/>
    <w:p w14:paraId="0A76AF18" w14:textId="0627DAC7" w:rsidR="00DD5BC7" w:rsidRPr="00F02C72" w:rsidRDefault="00DD5BC7" w:rsidP="00F02C72"/>
    <w:p w14:paraId="4200BA77" w14:textId="30FE4D95" w:rsidR="00DD5BC7" w:rsidRPr="00F02C72" w:rsidRDefault="00DD5BC7" w:rsidP="00F02C72"/>
    <w:p w14:paraId="26F32B9E" w14:textId="59DD01BF" w:rsidR="00DD5BC7" w:rsidRPr="00F02C72" w:rsidRDefault="00DD5BC7" w:rsidP="00F02C72"/>
    <w:p w14:paraId="0E98E2D1" w14:textId="1A422B05" w:rsidR="00DD5BC7" w:rsidRPr="00F02C72" w:rsidRDefault="00DD5BC7" w:rsidP="00F02C72"/>
    <w:p w14:paraId="7779100B" w14:textId="7A695CCB" w:rsidR="00DD5BC7" w:rsidRPr="00F02C72" w:rsidRDefault="00DD5BC7" w:rsidP="00F02C72"/>
    <w:p w14:paraId="3719E00B" w14:textId="76B4C90E" w:rsidR="00DD5BC7" w:rsidRPr="00F02C72" w:rsidRDefault="00DD5BC7" w:rsidP="00F02C72"/>
    <w:p w14:paraId="10920DBB" w14:textId="4E258B49" w:rsidR="00DD5BC7" w:rsidRPr="00F02C72" w:rsidRDefault="00DD5BC7" w:rsidP="00F02C72"/>
    <w:p w14:paraId="115D4CE2" w14:textId="435B3A04" w:rsidR="00DD5BC7" w:rsidRPr="00F02C72" w:rsidRDefault="00DD5BC7" w:rsidP="00F02C72"/>
    <w:p w14:paraId="1DCD82F9" w14:textId="702643ED" w:rsidR="00DD5BC7" w:rsidRPr="00F02C72" w:rsidRDefault="00DD5BC7" w:rsidP="00F02C72"/>
    <w:p w14:paraId="0708C127" w14:textId="0AB50F91" w:rsidR="00DD5BC7" w:rsidRDefault="00DD5BC7" w:rsidP="00F02C72"/>
    <w:p w14:paraId="5F22E220" w14:textId="5849C528" w:rsidR="008B4FE0" w:rsidRDefault="008B4FE0" w:rsidP="00F02C72"/>
    <w:p w14:paraId="211D8013" w14:textId="77777777" w:rsidR="008B4FE0" w:rsidRPr="00F02C72" w:rsidRDefault="008B4FE0" w:rsidP="00F02C72"/>
    <w:p w14:paraId="2F2AF93B" w14:textId="1EA82946" w:rsidR="00DD5BC7" w:rsidRPr="00F02C72" w:rsidRDefault="00DD5BC7" w:rsidP="00F02C72"/>
    <w:p w14:paraId="099394BD" w14:textId="77777777" w:rsidR="00F63169" w:rsidRDefault="00F63169" w:rsidP="00F02C72">
      <w:pPr>
        <w:rPr>
          <w:b/>
          <w:bCs/>
        </w:rPr>
      </w:pPr>
      <w:bookmarkStart w:id="10" w:name="_Toc84678893"/>
    </w:p>
    <w:p w14:paraId="5FED9C70" w14:textId="7D6E3FD4" w:rsidR="00DD5BC7" w:rsidRPr="005519AB" w:rsidRDefault="00F24F8B" w:rsidP="00F02C72">
      <w:pPr>
        <w:rPr>
          <w:b/>
          <w:bCs/>
        </w:rPr>
      </w:pPr>
      <w:r w:rsidRPr="005519AB">
        <w:rPr>
          <w:b/>
          <w:bCs/>
        </w:rPr>
        <w:lastRenderedPageBreak/>
        <w:fldChar w:fldCharType="begin"/>
      </w:r>
      <w:r w:rsidRPr="005519AB">
        <w:rPr>
          <w:b/>
          <w:bCs/>
        </w:rPr>
        <w:instrText xml:space="preserve"> TC  "</w:instrText>
      </w:r>
      <w:bookmarkStart w:id="11" w:name="_Toc97310401"/>
      <w:r w:rsidRPr="005519AB">
        <w:rPr>
          <w:b/>
          <w:bCs/>
        </w:rPr>
        <w:instrText>List of Acronyms</w:instrText>
      </w:r>
      <w:bookmarkEnd w:id="11"/>
      <w:r w:rsidRPr="005519AB">
        <w:rPr>
          <w:b/>
          <w:bCs/>
        </w:rPr>
        <w:instrText xml:space="preserve">" \f x\l 1 </w:instrText>
      </w:r>
      <w:r w:rsidRPr="005519AB">
        <w:rPr>
          <w:b/>
          <w:bCs/>
        </w:rPr>
        <w:fldChar w:fldCharType="end"/>
      </w:r>
      <w:r w:rsidR="00DD5BC7" w:rsidRPr="005519AB">
        <w:rPr>
          <w:b/>
          <w:bCs/>
        </w:rPr>
        <w:t>List of Acronyms</w:t>
      </w:r>
      <w:bookmarkEnd w:id="10"/>
    </w:p>
    <w:p w14:paraId="5BF77F1F" w14:textId="77777777" w:rsidR="00FC601D" w:rsidRPr="00FC601D" w:rsidRDefault="00FC601D" w:rsidP="00FC601D"/>
    <w:p w14:paraId="154365B1" w14:textId="6D30851D" w:rsidR="0082360D" w:rsidRDefault="0082360D" w:rsidP="00FE04A9">
      <w:pPr>
        <w:spacing w:line="480" w:lineRule="auto"/>
        <w:rPr>
          <w:b/>
          <w:bCs/>
        </w:rPr>
      </w:pPr>
      <w:r>
        <w:t>BMI</w:t>
      </w:r>
      <w:r w:rsidR="00FE04A9">
        <w:tab/>
      </w:r>
      <w:r>
        <w:t>Body Mass Index</w:t>
      </w:r>
    </w:p>
    <w:p w14:paraId="55A0EDEC" w14:textId="6AA9102E" w:rsidR="0082360D" w:rsidRPr="00911977" w:rsidRDefault="0082360D" w:rsidP="00FE04A9">
      <w:pPr>
        <w:spacing w:line="480" w:lineRule="auto"/>
        <w:rPr>
          <w:rFonts w:eastAsia="Calibri" w:cstheme="minorHAnsi"/>
        </w:rPr>
      </w:pPr>
      <w:r w:rsidRPr="00911977">
        <w:rPr>
          <w:rFonts w:eastAsia="Calibri" w:cstheme="minorHAnsi"/>
        </w:rPr>
        <w:t>EPHPP</w:t>
      </w:r>
      <w:r w:rsidR="00FE04A9">
        <w:rPr>
          <w:rFonts w:eastAsia="Calibri" w:cstheme="minorHAnsi"/>
        </w:rPr>
        <w:tab/>
      </w:r>
      <w:r w:rsidRPr="00911977">
        <w:rPr>
          <w:rFonts w:eastAsia="Calibri" w:cstheme="minorHAnsi"/>
        </w:rPr>
        <w:t>Effective Public Health Practice Project tool</w:t>
      </w:r>
    </w:p>
    <w:p w14:paraId="19D46089" w14:textId="36EFEB87" w:rsidR="0082360D" w:rsidRDefault="0082360D" w:rsidP="00FE04A9">
      <w:pPr>
        <w:spacing w:line="480" w:lineRule="auto"/>
        <w:rPr>
          <w:rFonts w:eastAsia="Calibri" w:cstheme="minorHAnsi"/>
        </w:rPr>
      </w:pPr>
      <w:r w:rsidRPr="00911977">
        <w:rPr>
          <w:rFonts w:eastAsia="Calibri" w:cstheme="minorHAnsi"/>
        </w:rPr>
        <w:t>FFQ</w:t>
      </w:r>
      <w:r w:rsidR="00FE04A9">
        <w:rPr>
          <w:rFonts w:eastAsia="Calibri" w:cstheme="minorHAnsi"/>
        </w:rPr>
        <w:tab/>
      </w:r>
      <w:r w:rsidRPr="00911977">
        <w:rPr>
          <w:rFonts w:eastAsia="Calibri" w:cstheme="minorHAnsi"/>
        </w:rPr>
        <w:t>Food Frequency Questionnaire</w:t>
      </w:r>
    </w:p>
    <w:p w14:paraId="03882D88" w14:textId="4F6C217F" w:rsidR="0082360D" w:rsidRDefault="0082360D" w:rsidP="00FE04A9">
      <w:pPr>
        <w:spacing w:line="480" w:lineRule="auto"/>
        <w:rPr>
          <w:rFonts w:eastAsia="Calibri" w:cstheme="minorHAnsi"/>
        </w:rPr>
      </w:pPr>
      <w:r w:rsidRPr="00911977">
        <w:rPr>
          <w:rFonts w:eastAsia="Calibri" w:cstheme="minorHAnsi"/>
        </w:rPr>
        <w:t>RCT</w:t>
      </w:r>
      <w:r w:rsidR="00FE04A9">
        <w:rPr>
          <w:rFonts w:eastAsia="Calibri" w:cstheme="minorHAnsi"/>
        </w:rPr>
        <w:tab/>
      </w:r>
      <w:r w:rsidRPr="00911977">
        <w:rPr>
          <w:rFonts w:eastAsia="Calibri" w:cstheme="minorHAnsi"/>
        </w:rPr>
        <w:t>Randomised Controlled Trial</w:t>
      </w:r>
    </w:p>
    <w:p w14:paraId="1BB6FCD1" w14:textId="40A4C5B3" w:rsidR="00B470C1" w:rsidRPr="00911977" w:rsidRDefault="00B470C1" w:rsidP="00FE04A9">
      <w:pPr>
        <w:spacing w:line="480" w:lineRule="auto"/>
        <w:rPr>
          <w:rFonts w:eastAsia="Calibri" w:cstheme="minorHAnsi"/>
        </w:rPr>
      </w:pPr>
      <w:r>
        <w:rPr>
          <w:rFonts w:eastAsia="Calibri" w:cstheme="minorHAnsi"/>
        </w:rPr>
        <w:t>SES</w:t>
      </w:r>
      <w:r w:rsidR="00FE04A9">
        <w:rPr>
          <w:rFonts w:eastAsia="Calibri" w:cstheme="minorHAnsi"/>
        </w:rPr>
        <w:tab/>
      </w:r>
      <w:r w:rsidR="009A2135">
        <w:rPr>
          <w:rFonts w:eastAsia="Calibri" w:cstheme="minorHAnsi"/>
        </w:rPr>
        <w:t>S</w:t>
      </w:r>
      <w:r w:rsidR="009A2135" w:rsidRPr="0017482C">
        <w:rPr>
          <w:rFonts w:cstheme="minorHAnsi"/>
          <w:shd w:val="clear" w:color="auto" w:fill="FFFFFF"/>
        </w:rPr>
        <w:t>ocio-economic statu</w:t>
      </w:r>
      <w:r w:rsidR="009A2135">
        <w:rPr>
          <w:rFonts w:cstheme="minorHAnsi"/>
          <w:shd w:val="clear" w:color="auto" w:fill="FFFFFF"/>
        </w:rPr>
        <w:t>s</w:t>
      </w:r>
    </w:p>
    <w:p w14:paraId="1A477201" w14:textId="3D3B737F" w:rsidR="0082360D" w:rsidRPr="00911977" w:rsidRDefault="0082360D" w:rsidP="00FE04A9">
      <w:pPr>
        <w:spacing w:line="480" w:lineRule="auto"/>
        <w:rPr>
          <w:rFonts w:eastAsia="Calibri" w:cstheme="minorHAnsi"/>
        </w:rPr>
      </w:pPr>
      <w:r>
        <w:rPr>
          <w:rFonts w:eastAsia="Calibri" w:cstheme="minorHAnsi"/>
        </w:rPr>
        <w:t>SNA</w:t>
      </w:r>
      <w:r w:rsidR="00FE04A9">
        <w:rPr>
          <w:rFonts w:eastAsia="Calibri" w:cstheme="minorHAnsi"/>
        </w:rPr>
        <w:tab/>
      </w:r>
      <w:r>
        <w:rPr>
          <w:rFonts w:eastAsia="Calibri" w:cstheme="minorHAnsi"/>
        </w:rPr>
        <w:t xml:space="preserve">Social Norms Approach </w:t>
      </w:r>
    </w:p>
    <w:p w14:paraId="41ED61A9" w14:textId="10D7D7D9" w:rsidR="0082360D" w:rsidRPr="00911977" w:rsidRDefault="0082360D" w:rsidP="00FE04A9">
      <w:pPr>
        <w:spacing w:line="480" w:lineRule="auto"/>
        <w:rPr>
          <w:rFonts w:eastAsia="Calibri" w:cstheme="minorHAnsi"/>
        </w:rPr>
      </w:pPr>
      <w:r w:rsidRPr="00911977">
        <w:rPr>
          <w:rFonts w:eastAsia="Calibri" w:cstheme="minorHAnsi"/>
        </w:rPr>
        <w:t>SSB</w:t>
      </w:r>
      <w:r w:rsidR="00FE04A9">
        <w:rPr>
          <w:rFonts w:eastAsia="Calibri" w:cstheme="minorHAnsi"/>
        </w:rPr>
        <w:tab/>
      </w:r>
      <w:r w:rsidRPr="00911977">
        <w:rPr>
          <w:rFonts w:eastAsia="Calibri" w:cstheme="minorHAnsi"/>
        </w:rPr>
        <w:t>Sugar-sweetened beverage</w:t>
      </w:r>
    </w:p>
    <w:p w14:paraId="3C85253C" w14:textId="5AF23C7F" w:rsidR="00DD5BC7" w:rsidRDefault="00DD5BC7" w:rsidP="00DD5BC7">
      <w:pPr>
        <w:rPr>
          <w:b/>
          <w:bCs/>
        </w:rPr>
      </w:pPr>
    </w:p>
    <w:p w14:paraId="1A07BBD7" w14:textId="35BDE991" w:rsidR="00DD5BC7" w:rsidRDefault="00DD5BC7" w:rsidP="00DD5BC7">
      <w:pPr>
        <w:rPr>
          <w:b/>
          <w:bCs/>
        </w:rPr>
      </w:pPr>
    </w:p>
    <w:p w14:paraId="51B63DEF" w14:textId="5772E6FE" w:rsidR="00DD5BC7" w:rsidRDefault="00DD5BC7" w:rsidP="00DD5BC7">
      <w:pPr>
        <w:rPr>
          <w:b/>
          <w:bCs/>
        </w:rPr>
      </w:pPr>
    </w:p>
    <w:p w14:paraId="6E149110" w14:textId="260DF725" w:rsidR="00DD5BC7" w:rsidRDefault="00DD5BC7" w:rsidP="00DD5BC7">
      <w:pPr>
        <w:rPr>
          <w:b/>
          <w:bCs/>
        </w:rPr>
      </w:pPr>
    </w:p>
    <w:p w14:paraId="00CF0250" w14:textId="20986F90" w:rsidR="00DD5BC7" w:rsidRDefault="00DD5BC7" w:rsidP="00DD5BC7">
      <w:pPr>
        <w:rPr>
          <w:b/>
          <w:bCs/>
        </w:rPr>
      </w:pPr>
    </w:p>
    <w:p w14:paraId="12FC9925" w14:textId="7F8BD766" w:rsidR="00DD5BC7" w:rsidRDefault="00DD5BC7" w:rsidP="00DD5BC7">
      <w:pPr>
        <w:rPr>
          <w:b/>
          <w:bCs/>
        </w:rPr>
      </w:pPr>
    </w:p>
    <w:p w14:paraId="32D35A08" w14:textId="7131AB69" w:rsidR="00DD5BC7" w:rsidRDefault="00DD5BC7" w:rsidP="00DD5BC7">
      <w:pPr>
        <w:rPr>
          <w:b/>
          <w:bCs/>
        </w:rPr>
      </w:pPr>
    </w:p>
    <w:p w14:paraId="1989D86D" w14:textId="58409C0C" w:rsidR="00DD5BC7" w:rsidRDefault="00DD5BC7" w:rsidP="00DD5BC7">
      <w:pPr>
        <w:rPr>
          <w:b/>
          <w:bCs/>
        </w:rPr>
      </w:pPr>
    </w:p>
    <w:p w14:paraId="41AF5904" w14:textId="7EF6D46D" w:rsidR="00DD5BC7" w:rsidRDefault="00DD5BC7" w:rsidP="00DD5BC7">
      <w:pPr>
        <w:rPr>
          <w:b/>
          <w:bCs/>
        </w:rPr>
      </w:pPr>
    </w:p>
    <w:p w14:paraId="5E4061F7" w14:textId="66FB310C" w:rsidR="00DD5BC7" w:rsidRDefault="00DD5BC7" w:rsidP="00DD5BC7">
      <w:pPr>
        <w:rPr>
          <w:b/>
          <w:bCs/>
        </w:rPr>
      </w:pPr>
    </w:p>
    <w:p w14:paraId="4D957DEA" w14:textId="7B0C4AB4" w:rsidR="00DD5BC7" w:rsidRDefault="00DD5BC7" w:rsidP="00DD5BC7">
      <w:pPr>
        <w:rPr>
          <w:b/>
          <w:bCs/>
        </w:rPr>
      </w:pPr>
    </w:p>
    <w:p w14:paraId="05BAF2D1" w14:textId="77777777" w:rsidR="00DF7F7B" w:rsidRDefault="00DF7F7B" w:rsidP="00DD5BC7">
      <w:pPr>
        <w:rPr>
          <w:b/>
          <w:bCs/>
        </w:rPr>
        <w:sectPr w:rsidR="00DF7F7B" w:rsidSect="00DF4499">
          <w:footerReference w:type="default" r:id="rId24"/>
          <w:footerReference w:type="first" r:id="rId25"/>
          <w:pgSz w:w="11906" w:h="16838"/>
          <w:pgMar w:top="1440" w:right="1440" w:bottom="1440" w:left="1440" w:header="708" w:footer="708" w:gutter="0"/>
          <w:pgNumType w:fmt="upperRoman" w:start="1"/>
          <w:cols w:space="708"/>
          <w:docGrid w:linePitch="360"/>
        </w:sectPr>
      </w:pPr>
    </w:p>
    <w:p w14:paraId="219ACD49" w14:textId="552EF6B2" w:rsidR="00DD5BC7" w:rsidRDefault="00DD5BC7" w:rsidP="00DD5BC7">
      <w:pPr>
        <w:rPr>
          <w:b/>
          <w:bCs/>
        </w:rPr>
      </w:pPr>
    </w:p>
    <w:p w14:paraId="14692E1B" w14:textId="221A6ED8" w:rsidR="00DD5BC7" w:rsidRDefault="00DD5BC7" w:rsidP="00DD5BC7">
      <w:pPr>
        <w:rPr>
          <w:b/>
          <w:bCs/>
        </w:rPr>
      </w:pPr>
    </w:p>
    <w:p w14:paraId="6B1B0E50" w14:textId="0800F599" w:rsidR="00DD5BC7" w:rsidRDefault="00DD5BC7" w:rsidP="00DD5BC7">
      <w:pPr>
        <w:rPr>
          <w:b/>
          <w:bCs/>
        </w:rPr>
      </w:pPr>
    </w:p>
    <w:p w14:paraId="27DA9CAA" w14:textId="08B8F470" w:rsidR="00DD5BC7" w:rsidRDefault="00DD5BC7" w:rsidP="00DD5BC7">
      <w:pPr>
        <w:rPr>
          <w:b/>
          <w:bCs/>
        </w:rPr>
      </w:pPr>
    </w:p>
    <w:p w14:paraId="3A861586" w14:textId="44F48F4B" w:rsidR="00DD5BC7" w:rsidRDefault="00DD5BC7" w:rsidP="00DD5BC7">
      <w:pPr>
        <w:rPr>
          <w:b/>
          <w:bCs/>
        </w:rPr>
      </w:pPr>
    </w:p>
    <w:p w14:paraId="752A1360" w14:textId="6A362FA0" w:rsidR="00DD5BC7" w:rsidRDefault="00DD5BC7" w:rsidP="00DD5BC7">
      <w:pPr>
        <w:rPr>
          <w:b/>
          <w:bCs/>
        </w:rPr>
      </w:pPr>
    </w:p>
    <w:p w14:paraId="3BCE00BD" w14:textId="68FF36E9" w:rsidR="00DD5BC7" w:rsidRDefault="00DD5BC7" w:rsidP="00DD5BC7">
      <w:pPr>
        <w:rPr>
          <w:b/>
          <w:bCs/>
        </w:rPr>
      </w:pPr>
    </w:p>
    <w:p w14:paraId="21EA8A33" w14:textId="3DC47C2D" w:rsidR="00DD5BC7" w:rsidRDefault="00DD5BC7" w:rsidP="00DD5BC7">
      <w:pPr>
        <w:rPr>
          <w:b/>
          <w:bCs/>
        </w:rPr>
      </w:pPr>
    </w:p>
    <w:p w14:paraId="35DCA649" w14:textId="6CE4137C" w:rsidR="00DD5BC7" w:rsidRDefault="00DD5BC7" w:rsidP="00DD5BC7">
      <w:pPr>
        <w:rPr>
          <w:b/>
          <w:bCs/>
        </w:rPr>
      </w:pPr>
    </w:p>
    <w:p w14:paraId="74E26E4E" w14:textId="77777777" w:rsidR="00A379FC" w:rsidRPr="00B53C62" w:rsidRDefault="00A379FC" w:rsidP="00A379FC">
      <w:pPr>
        <w:rPr>
          <w:b/>
          <w:bCs/>
          <w:color w:val="C00000"/>
          <w:sz w:val="32"/>
          <w:szCs w:val="32"/>
          <w:u w:val="single"/>
        </w:rPr>
      </w:pPr>
    </w:p>
    <w:p w14:paraId="126B9F1F" w14:textId="77777777" w:rsidR="00A379FC" w:rsidRDefault="00A379FC" w:rsidP="00A379FC"/>
    <w:p w14:paraId="45C425ED" w14:textId="77777777" w:rsidR="00A379FC" w:rsidRDefault="00A379FC" w:rsidP="00A379FC">
      <w:r w:rsidRPr="006652F6">
        <w:rPr>
          <w:noProof/>
          <w:sz w:val="44"/>
          <w:szCs w:val="44"/>
        </w:rPr>
        <mc:AlternateContent>
          <mc:Choice Requires="wps">
            <w:drawing>
              <wp:anchor distT="91440" distB="91440" distL="114300" distR="114300" simplePos="0" relativeHeight="251689984" behindDoc="0" locked="0" layoutInCell="1" allowOverlap="1" wp14:anchorId="6912FB13" wp14:editId="1836F7B3">
                <wp:simplePos x="0" y="0"/>
                <wp:positionH relativeFrom="page">
                  <wp:posOffset>821690</wp:posOffset>
                </wp:positionH>
                <wp:positionV relativeFrom="paragraph">
                  <wp:posOffset>578485</wp:posOffset>
                </wp:positionV>
                <wp:extent cx="5908675" cy="1403985"/>
                <wp:effectExtent l="0" t="0" r="15875" b="26670"/>
                <wp:wrapTopAndBottom/>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255EC2B9" w14:textId="25BB95F7" w:rsidR="00A379FC" w:rsidRPr="00C8067C" w:rsidRDefault="002A2568" w:rsidP="00A379FC">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12" w:name="_Toc97310402"/>
                            <w:r w:rsidRPr="005519AB">
                              <w:rPr>
                                <w:b/>
                                <w:bCs/>
                              </w:rPr>
                              <w:instrText xml:space="preserve">Chapter </w:instrText>
                            </w:r>
                            <w:r>
                              <w:rPr>
                                <w:b/>
                                <w:bCs/>
                              </w:rPr>
                              <w:instrText>1</w:instrText>
                            </w:r>
                            <w:r w:rsidRPr="005519AB">
                              <w:rPr>
                                <w:b/>
                                <w:bCs/>
                              </w:rPr>
                              <w:instrText xml:space="preserve">. </w:instrText>
                            </w:r>
                            <w:r>
                              <w:rPr>
                                <w:b/>
                                <w:bCs/>
                              </w:rPr>
                              <w:instrText>Background and Context</w:instrText>
                            </w:r>
                            <w:bookmarkEnd w:id="12"/>
                            <w:r w:rsidRPr="005519AB">
                              <w:rPr>
                                <w:b/>
                                <w:bCs/>
                              </w:rPr>
                              <w:instrText xml:space="preserve"> </w:instrText>
                            </w:r>
                            <w:r>
                              <w:instrText xml:space="preserve">" \f x\l 1 </w:instrText>
                            </w:r>
                            <w:r>
                              <w:fldChar w:fldCharType="end"/>
                            </w:r>
                            <w:r>
                              <w:t xml:space="preserve"> </w:t>
                            </w:r>
                            <w:r w:rsidR="00A379FC" w:rsidRPr="00C8067C">
                              <w:rPr>
                                <w:sz w:val="48"/>
                                <w:szCs w:val="48"/>
                              </w:rPr>
                              <w:t xml:space="preserve">Chapter </w:t>
                            </w:r>
                            <w:r w:rsidR="00A379FC">
                              <w:rPr>
                                <w:sz w:val="48"/>
                                <w:szCs w:val="48"/>
                              </w:rPr>
                              <w:t>1</w:t>
                            </w:r>
                          </w:p>
                          <w:p w14:paraId="3F610421" w14:textId="77777777" w:rsidR="00A379FC" w:rsidRPr="00BE5EAA" w:rsidRDefault="00A379FC" w:rsidP="00A379FC">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Pr>
                                <w:sz w:val="32"/>
                                <w:szCs w:val="32"/>
                              </w:rPr>
                              <w:t xml:space="preserve">Background and Context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2FB13" id="_x0000_t202" coordsize="21600,21600" o:spt="202" path="m,l,21600r21600,l21600,xe">
                <v:stroke joinstyle="miter"/>
                <v:path gradientshapeok="t" o:connecttype="rect"/>
              </v:shapetype>
              <v:shape id="Text Box 2" o:spid="_x0000_s1026" type="#_x0000_t202" style="position:absolute;margin-left:64.7pt;margin-top:45.55pt;width:465.25pt;height:110.55pt;z-index:2516899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" filled="f" strokecolor="white [3212]">
                <v:textbox style="mso-fit-shape-to-text:t">
                  <w:txbxContent>
                    <w:p w14:paraId="255EC2B9" w14:textId="25BB95F7" w:rsidR="00A379FC" w:rsidRPr="00C8067C" w:rsidRDefault="002A2568" w:rsidP="00A379FC">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13" w:name="_Toc97310402"/>
                      <w:r w:rsidRPr="005519AB">
                        <w:rPr>
                          <w:b/>
                          <w:bCs/>
                        </w:rPr>
                        <w:instrText xml:space="preserve">Chapter </w:instrText>
                      </w:r>
                      <w:r>
                        <w:rPr>
                          <w:b/>
                          <w:bCs/>
                        </w:rPr>
                        <w:instrText>1</w:instrText>
                      </w:r>
                      <w:r w:rsidRPr="005519AB">
                        <w:rPr>
                          <w:b/>
                          <w:bCs/>
                        </w:rPr>
                        <w:instrText xml:space="preserve">. </w:instrText>
                      </w:r>
                      <w:r>
                        <w:rPr>
                          <w:b/>
                          <w:bCs/>
                        </w:rPr>
                        <w:instrText>Background and Context</w:instrText>
                      </w:r>
                      <w:bookmarkEnd w:id="13"/>
                      <w:r w:rsidRPr="005519AB">
                        <w:rPr>
                          <w:b/>
                          <w:bCs/>
                        </w:rPr>
                        <w:instrText xml:space="preserve"> </w:instrText>
                      </w:r>
                      <w:r>
                        <w:instrText xml:space="preserve">" \f x\l 1 </w:instrText>
                      </w:r>
                      <w:r>
                        <w:fldChar w:fldCharType="end"/>
                      </w:r>
                      <w:r>
                        <w:t xml:space="preserve"> </w:t>
                      </w:r>
                      <w:r w:rsidR="00A379FC" w:rsidRPr="00C8067C">
                        <w:rPr>
                          <w:sz w:val="48"/>
                          <w:szCs w:val="48"/>
                        </w:rPr>
                        <w:t xml:space="preserve">Chapter </w:t>
                      </w:r>
                      <w:r w:rsidR="00A379FC">
                        <w:rPr>
                          <w:sz w:val="48"/>
                          <w:szCs w:val="48"/>
                        </w:rPr>
                        <w:t>1</w:t>
                      </w:r>
                    </w:p>
                    <w:p w14:paraId="3F610421" w14:textId="77777777" w:rsidR="00A379FC" w:rsidRPr="00BE5EAA" w:rsidRDefault="00A379FC" w:rsidP="00A379FC">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Pr>
                          <w:sz w:val="32"/>
                          <w:szCs w:val="32"/>
                        </w:rPr>
                        <w:t xml:space="preserve">Background and Context </w:t>
                      </w:r>
                    </w:p>
                  </w:txbxContent>
                </v:textbox>
                <w10:wrap type="topAndBottom" anchorx="page"/>
              </v:shape>
            </w:pict>
          </mc:Fallback>
        </mc:AlternateContent>
      </w:r>
    </w:p>
    <w:p w14:paraId="10EFE1BF" w14:textId="77777777" w:rsidR="00A379FC" w:rsidRPr="00AB41A3" w:rsidRDefault="00A379FC" w:rsidP="00A379FC">
      <w:pPr>
        <w:jc w:val="center"/>
        <w:rPr>
          <w:sz w:val="44"/>
          <w:szCs w:val="44"/>
        </w:rPr>
      </w:pPr>
    </w:p>
    <w:p w14:paraId="5DB41E66" w14:textId="77777777" w:rsidR="00A379FC" w:rsidRDefault="00A379FC" w:rsidP="00A379FC"/>
    <w:p w14:paraId="61FF09DE" w14:textId="77777777" w:rsidR="00A379FC" w:rsidRDefault="00A379FC" w:rsidP="00A379FC"/>
    <w:p w14:paraId="102A692F" w14:textId="77777777" w:rsidR="00A379FC" w:rsidRDefault="00A379FC" w:rsidP="00A379FC"/>
    <w:p w14:paraId="4611FA41" w14:textId="77777777" w:rsidR="00A379FC" w:rsidRDefault="00A379FC" w:rsidP="00A379FC"/>
    <w:p w14:paraId="3ABA62B6" w14:textId="77777777" w:rsidR="00A379FC" w:rsidRDefault="00A379FC" w:rsidP="00A379FC"/>
    <w:p w14:paraId="1B69A474" w14:textId="77777777" w:rsidR="00A379FC" w:rsidRDefault="00A379FC" w:rsidP="00A379FC"/>
    <w:p w14:paraId="3ED6C2CB" w14:textId="77777777" w:rsidR="00A379FC" w:rsidRDefault="00A379FC" w:rsidP="00A379FC"/>
    <w:p w14:paraId="4FFBB89E" w14:textId="77777777" w:rsidR="00A379FC" w:rsidRDefault="00A379FC" w:rsidP="00A379FC"/>
    <w:p w14:paraId="06E65B32" w14:textId="77777777" w:rsidR="00A379FC" w:rsidRDefault="00A379FC" w:rsidP="00A379FC"/>
    <w:p w14:paraId="4E453FD1" w14:textId="77777777" w:rsidR="00A379FC" w:rsidRDefault="00A379FC" w:rsidP="00A379FC"/>
    <w:p w14:paraId="51AE06AC" w14:textId="77777777" w:rsidR="00A379FC" w:rsidRDefault="00A379FC" w:rsidP="00A379FC"/>
    <w:p w14:paraId="4AEC2C93" w14:textId="77777777" w:rsidR="00A379FC" w:rsidRPr="009A4AF9" w:rsidRDefault="00A379FC" w:rsidP="00A379FC">
      <w:pPr>
        <w:spacing w:line="480" w:lineRule="auto"/>
      </w:pPr>
    </w:p>
    <w:p w14:paraId="2191B280" w14:textId="0D1CC2EC" w:rsidR="00A379FC" w:rsidRPr="00B1522E" w:rsidRDefault="006C235C" w:rsidP="00A379FC">
      <w:pPr>
        <w:spacing w:line="480" w:lineRule="auto"/>
        <w:rPr>
          <w:b/>
          <w:bCs/>
        </w:rPr>
      </w:pPr>
      <w:r w:rsidRPr="00B1522E">
        <w:lastRenderedPageBreak/>
        <w:fldChar w:fldCharType="begin"/>
      </w:r>
      <w:r w:rsidRPr="00B1522E">
        <w:instrText xml:space="preserve"> TC  "</w:instrText>
      </w:r>
      <w:bookmarkStart w:id="14" w:name="_Toc97310403"/>
      <w:r w:rsidRPr="00B1522E">
        <w:instrText>1.1 Adolescents’ dietary behavio</w:instrText>
      </w:r>
      <w:r w:rsidR="0083137B" w:rsidRPr="00B1522E">
        <w:instrText>urs</w:instrText>
      </w:r>
      <w:bookmarkEnd w:id="14"/>
      <w:r w:rsidRPr="00B1522E">
        <w:instrText xml:space="preserve">" \f x\l 2 </w:instrText>
      </w:r>
      <w:r w:rsidRPr="00B1522E">
        <w:fldChar w:fldCharType="end"/>
      </w:r>
      <w:r w:rsidR="00A379FC" w:rsidRPr="00B1522E">
        <w:rPr>
          <w:b/>
          <w:bCs/>
        </w:rPr>
        <w:t xml:space="preserve">1.1 Adolescents’ dietary behaviours </w:t>
      </w:r>
    </w:p>
    <w:p w14:paraId="6D79A4C6" w14:textId="034646A3" w:rsidR="00A379FC" w:rsidRPr="00B1522E" w:rsidRDefault="00A379FC" w:rsidP="00A379FC">
      <w:pPr>
        <w:spacing w:line="480" w:lineRule="auto"/>
        <w:jc w:val="both"/>
      </w:pPr>
      <w:r w:rsidRPr="00B1522E">
        <w:t xml:space="preserve">Adolescence (the transitional phrase from childhood into adulthood) is an important time for establishing healthy dietary behaviours to support health, growth, and intellectual development </w:t>
      </w:r>
      <w:r w:rsidRPr="00B1522E">
        <w:fldChar w:fldCharType="begin" w:fldLock="1"/>
      </w:r>
      <w:r w:rsidRPr="00B1522E">
        <w:instrText>ADDIN CSL_CITATION {"citationItems":[{"id":"ITEM-1","itemData":{"ISSN":"9289055014","URL":"https://apps.who.int/iris/bitstream/handle/10665/332091/9789289055000-eng.pdf","author":[{"dropping-particle":"","family":"World Health Organization","given":"","non-dropping-particle":"","parse-names":false,"suffix":""}],"id":"ITEM-1","issued":{"date-parts":[["2020"]]},"publisher":"World Health Organization. Regional Office for Europe","title":"Spotlight on adolescent health and well-being. Findings from the 2017","type":"webpage"},"uris":["http://www.mendeley.com/documents/?uuid=70514356-e308-43c6-a86d-49cc91921ca8"]}],"mendeley":{"formattedCitation":"(World Health Organization, 2020b)","plainTextFormattedCitation":"(World Health Organization, 2020b)","previouslyFormattedCitation":"(World Health Organization, 2020b)"},"properties":{"noteIndex":0},"schema":"https://github.com/citation-style-language/schema/raw/master/csl-citation.json"}</w:instrText>
      </w:r>
      <w:r w:rsidRPr="00B1522E">
        <w:fldChar w:fldCharType="separate"/>
      </w:r>
      <w:r w:rsidRPr="00B1522E">
        <w:rPr>
          <w:noProof/>
        </w:rPr>
        <w:t>(World Health Organization, 2020b)</w:t>
      </w:r>
      <w:r w:rsidRPr="00B1522E">
        <w:fldChar w:fldCharType="end"/>
      </w:r>
      <w:r w:rsidRPr="00B1522E">
        <w:t xml:space="preserve">. Compared with other age groups, adolescents tend to have unhealthier dietary behaviours </w:t>
      </w:r>
      <w:r w:rsidRPr="00B1522E">
        <w:fldChar w:fldCharType="begin" w:fldLock="1"/>
      </w:r>
      <w:r w:rsidRPr="00B1522E">
        <w:instrText>ADDIN CSL_CITATION {"citationItems":[{"id":"ITEM-1","itemData":{"URL":"https://www.gov.uk/government/statistics/national-diet-and-nutrition-survey-results-from-years-1-to-4-combined-of-the-rolling-programme-for-2008-and-2009-to-2011-and-2012","author":[{"dropping-particle":"","family":"Public Health England","given":"","non-dropping-particle":"","parse-names":false,"suffix":""}],"id":"ITEM-1","issued":{"date-parts":[["2014"]]},"title":"National Diet and Nutrition Survey: Results from Years 1, 2, 3 and 4 (combined) of the Rolling Programme (2008/2009-2011/2012)","type":"webpage"},"uris":["http://www.mendeley.com/documents/?uuid=2a5bcd02-7604-4765-87b2-e3f1b4de82cd"]},{"id":"ITEM-2","itemData":{"URL":"https://www.gov.uk/government/publications/childhood-obesity-applying-all-our-health/childhood-obesity-applying-all-our-health","author":[{"dropping-particle":"","family":"Public Health England","given":"","non-dropping-particle":"","parse-names":false,"suffix":""}],"id":"ITEM-2","issued":{"date-parts":[["2020"]]},"publisher":"London PHE London","title":"Childhood obesity: Applying all our Health","type":"webpage"},"uris":["http://www.mendeley.com/documents/?uuid=bce80d0a-b08a-4cc7-819c-c1b79d7af988"]}],"mendeley":{"formattedCitation":"(Public Health England, 2014, 2020)","plainTextFormattedCitation":"(Public Health England, 2014, 2020)","previouslyFormattedCitation":"(Public Health England, 2014, 2020)"},"properties":{"noteIndex":0},"schema":"https://github.com/citation-style-language/schema/raw/master/csl-citation.json"}</w:instrText>
      </w:r>
      <w:r w:rsidRPr="00B1522E">
        <w:fldChar w:fldCharType="separate"/>
      </w:r>
      <w:r w:rsidRPr="00B1522E">
        <w:rPr>
          <w:noProof/>
        </w:rPr>
        <w:t>(Public Health England, 2014, 2020)</w:t>
      </w:r>
      <w:r w:rsidRPr="00B1522E">
        <w:fldChar w:fldCharType="end"/>
      </w:r>
      <w:r w:rsidRPr="00B1522E">
        <w:t xml:space="preserve">, often consuming energy-dense, nutritionally-poor snacks (e.g. chocolate), sugar-sweetened beverages, and having a limited intake of fruit and vegetables </w:t>
      </w:r>
      <w:r w:rsidRPr="00B1522E">
        <w:fldChar w:fldCharType="begin" w:fldLock="1"/>
      </w:r>
      <w:r w:rsidRPr="00B1522E">
        <w:instrText>ADDIN CSL_CITATION {"citationItems":[{"id":"ITEM-1","itemData":{"URL":"http://www.who.int/dietphysicalactivity/childhood/en/","author":[{"dropping-particle":"","family":"World Health Organization","given":"","non-dropping-particle":"","parse-names":false,"suffix":""}],"id":"ITEM-1","issued":{"date-parts":[["2016"]]},"title":"Childhood overweight and obesity","type":"webpage"},"uris":["http://www.mendeley.com/documents/?uuid=1c630c93-052a-40b8-b4fc-384c53437fd8"]}],"mendeley":{"formattedCitation":"(World Health Organization, 2016)","plainTextFormattedCitation":"(World Health Organization, 2016)","previouslyFormattedCitation":"(World Health Organization, 2016)"},"properties":{"noteIndex":0},"schema":"https://github.com/citation-style-language/schema/raw/master/csl-citation.json"}</w:instrText>
      </w:r>
      <w:r w:rsidRPr="00B1522E">
        <w:fldChar w:fldCharType="separate"/>
      </w:r>
      <w:r w:rsidRPr="00B1522E">
        <w:rPr>
          <w:noProof/>
        </w:rPr>
        <w:t>(World Health Organization, 2016)</w:t>
      </w:r>
      <w:r w:rsidRPr="00B1522E">
        <w:fldChar w:fldCharType="end"/>
      </w:r>
      <w:r w:rsidRPr="00B1522E">
        <w:t xml:space="preserve">. Being overweight and obese are among the fastest-growing health concerns for adolescents, leading to both physical and mental health problems in the short-term (e.g. low-self-esteem) and in later life (e.g. hypertension and diabetes), creating an economic burden on health systems (estimated to cost the NHS </w:t>
      </w:r>
      <w:r w:rsidRPr="00B1522E">
        <w:rPr>
          <w:shd w:val="clear" w:color="auto" w:fill="FFFFFF"/>
        </w:rPr>
        <w:t>£9.7 billion by 2050</w:t>
      </w:r>
      <w:r w:rsidRPr="00B1522E">
        <w:t xml:space="preserve">) </w:t>
      </w:r>
      <w:r w:rsidRPr="00B1522E">
        <w:fldChar w:fldCharType="begin" w:fldLock="1"/>
      </w:r>
      <w:r w:rsidRPr="00B1522E">
        <w:instrText>ADDIN CSL_CITATION {"citationItems":[{"id":"ITEM-1","itemData":{"URL":"https://www.gov.uk/government/publications/health-matters-obesity-and-the-food-environment/health-matters-obesity-and-the-food-environment--2","author":[{"dropping-particle":"","family":"Public Health England","given":"","non-dropping-particle":"","parse-names":false,"suffix":""}],"id":"ITEM-1","issued":{"date-parts":[["2017"]]},"title":"Health matters: obesity and the food environment","type":"webpage"},"uris":["http://www.mendeley.com/documents/?uuid=3ed2f39a-27fc-4177-86bf-609bacc93a0e"]}],"mendeley":{"formattedCitation":"(Public Health England, 2017)","plainTextFormattedCitation":"(Public Health England, 2017)","previouslyFormattedCitation":"(Public Health England, 2017)"},"properties":{"noteIndex":0},"schema":"https://github.com/citation-style-language/schema/raw/master/csl-citation.json"}</w:instrText>
      </w:r>
      <w:r w:rsidRPr="00B1522E">
        <w:fldChar w:fldCharType="separate"/>
      </w:r>
      <w:r w:rsidRPr="00B1522E">
        <w:rPr>
          <w:noProof/>
        </w:rPr>
        <w:t>(Public Health England, 2017)</w:t>
      </w:r>
      <w:r w:rsidRPr="00B1522E">
        <w:fldChar w:fldCharType="end"/>
      </w:r>
      <w:r w:rsidRPr="00B1522E">
        <w:t xml:space="preserve"> and societies as a whole </w:t>
      </w:r>
      <w:r w:rsidRPr="00B1522E">
        <w:fldChar w:fldCharType="begin" w:fldLock="1"/>
      </w:r>
      <w:r w:rsidRPr="00B1522E">
        <w:instrText>ADDIN CSL_CITATION {"citationItems":[{"id":"ITEM-1","itemData":{"URL":"http://www.who.int/dietphysicalactivity/childhood/en/","author":[{"dropping-particle":"","family":"World Health Organization","given":"","non-dropping-particle":"","parse-names":false,"suffix":""}],"id":"ITEM-1","issued":{"date-parts":[["2016"]]},"title":"Childhood overweight and obesity","type":"webpage"},"uris":["http://www.mendeley.com/documents/?uuid=1c630c93-052a-40b8-b4fc-384c53437fd8"]},{"id":"ITEM-2","itemData":{"URL":"https://www.gov.uk/government/publications/health-matters-obesity-and-the-food-environment/health-matters-obesity-and-the-food-environment--2","author":[{"dropping-particle":"","family":"Public Health England","given":"","non-dropping-particle":"","parse-names":false,"suffix":""}],"id":"ITEM-2","issued":{"date-parts":[["2017"]]},"title":"Health matters: obesity and the food environment","type":"webpage"},"uris":["http://www.mendeley.com/documents/?uuid=3ed2f39a-27fc-4177-86bf-609bacc93a0e"]}],"mendeley":{"formattedCitation":"(Public Health England, 2017; World Health Organization, 2016)","plainTextFormattedCitation":"(Public Health England, 2017; World Health Organization, 2016)","previouslyFormattedCitation":"(Public Health England, 2017; World Health Organization, 2016)"},"properties":{"noteIndex":0},"schema":"https://github.com/citation-style-language/schema/raw/master/csl-citation.json"}</w:instrText>
      </w:r>
      <w:r w:rsidRPr="00B1522E">
        <w:fldChar w:fldCharType="separate"/>
      </w:r>
      <w:r w:rsidRPr="00B1522E">
        <w:rPr>
          <w:noProof/>
        </w:rPr>
        <w:t>(Public Health England, 2017; World Health Organization, 2016)</w:t>
      </w:r>
      <w:r w:rsidRPr="00B1522E">
        <w:fldChar w:fldCharType="end"/>
      </w:r>
      <w:r w:rsidRPr="00B1522E">
        <w:t>. Research indicates that, i</w:t>
      </w:r>
      <w:r w:rsidRPr="00B1522E">
        <w:rPr>
          <w:shd w:val="clear" w:color="auto" w:fill="FFFFFF"/>
        </w:rPr>
        <w:t>n general, adolescents understand what healthy dietary behaviours are (e.g. eating fruit and vegetables) and the long-term implications of</w:t>
      </w:r>
      <w:r w:rsidR="00CD5BB6" w:rsidRPr="00B1522E">
        <w:rPr>
          <w:shd w:val="clear" w:color="auto" w:fill="FFFFFF"/>
        </w:rPr>
        <w:t xml:space="preserve"> </w:t>
      </w:r>
      <w:r w:rsidR="00A439DF" w:rsidRPr="00B1522E">
        <w:rPr>
          <w:shd w:val="clear" w:color="auto" w:fill="FFFFFF"/>
        </w:rPr>
        <w:t xml:space="preserve">having </w:t>
      </w:r>
      <w:r w:rsidR="00CD5BB6" w:rsidRPr="00B1522E">
        <w:rPr>
          <w:shd w:val="clear" w:color="auto" w:fill="FFFFFF"/>
        </w:rPr>
        <w:t>unhealthy</w:t>
      </w:r>
      <w:r w:rsidRPr="00B1522E">
        <w:rPr>
          <w:shd w:val="clear" w:color="auto" w:fill="FFFFFF"/>
        </w:rPr>
        <w:t xml:space="preserve"> </w:t>
      </w:r>
      <w:r w:rsidR="00CD5BB6" w:rsidRPr="00B1522E">
        <w:rPr>
          <w:shd w:val="clear" w:color="auto" w:fill="FFFFFF"/>
        </w:rPr>
        <w:t>diet</w:t>
      </w:r>
      <w:r w:rsidR="00693B7B" w:rsidRPr="00B1522E">
        <w:rPr>
          <w:shd w:val="clear" w:color="auto" w:fill="FFFFFF"/>
        </w:rPr>
        <w:t>ary behaviours</w:t>
      </w:r>
      <w:r w:rsidR="00CD5BB6" w:rsidRPr="00B1522E">
        <w:rPr>
          <w:shd w:val="clear" w:color="auto" w:fill="FFFFFF"/>
        </w:rPr>
        <w:t xml:space="preserve"> </w:t>
      </w:r>
      <w:r w:rsidRPr="00B1522E">
        <w:rPr>
          <w:shd w:val="clear" w:color="auto" w:fill="FFFFFF"/>
        </w:rPr>
        <w:t xml:space="preserve">(e.g. increased risk of a cardiac event), but this knowledge does not translate into a healthy diet </w:t>
      </w:r>
      <w:r w:rsidRPr="00B1522E">
        <w:rPr>
          <w:shd w:val="clear" w:color="auto" w:fill="FFFFFF"/>
        </w:rPr>
        <w:fldChar w:fldCharType="begin" w:fldLock="1"/>
      </w:r>
      <w:r w:rsidRPr="00B1522E">
        <w:rPr>
          <w:shd w:val="clear" w:color="auto" w:fill="FFFFFF"/>
        </w:rPr>
        <w:instrText>ADDIN CSL_CITATION {"citationItems":[{"id":"ITEM-1","itemData":{"ISSN":"0717-7518","author":[{"dropping-particle":"","family":"Vio","given":"F","non-dropping-particle":"","parse-names":false,"suffix":""},{"dropping-particle":"","family":"Lera","given":"M","non-dropping-particle":"","parse-names":false,"suffix":""},{"dropping-particle":"","family":"Gonzalez","given":"G","non-dropping-particle":"","parse-names":false,"suffix":""},{"dropping-particle":"","family":"Gloria","given":"Carmen","non-dropping-particle":"","parse-names":false,"suffix":""},{"dropping-particle":"","family":"Yanez","given":"G","non-dropping-particle":"","parse-names":false,"suffix":""},{"dropping-particle":"","family":"Fretes","given":"C","non-dropping-particle":"","parse-names":false,"suffix":""},{"dropping-particle":"","family":"Montenegro","given":"Edith","non-dropping-particle":"","parse-names":false,"suffix":""},{"dropping-particle":"","family":"Salinas","given":"C","non-dropping-particle":"","parse-names":false,"suffix":""}],"container-title":"Revista Chilena de Nutrición","id":"ITEM-1","issue":"4","issued":{"date-parts":[["2015"]]},"page":"374-382","publisher":"SOC CHILENA NUTRICION, BROMATOLOGIA &amp; TOXICOLOGIA CONCEPCION 81, OFICINA …","title":"Food consumption, dietary behaviour and cooking skills in third to fifth grade school-age children and parents","type":"article-journal","volume":"42"},"uris":["http://www.mendeley.com/documents/?uuid=9688e652-4db5-4857-9cdc-c638f53fe0b8"]}],"mendeley":{"formattedCitation":"(Vio et al., 2015)","plainTextFormattedCitation":"(Vio et al., 2015)","previouslyFormattedCitation":"(Vio et al., 2015)"},"properties":{"noteIndex":0},"schema":"https://github.com/citation-style-language/schema/raw/master/csl-citation.json"}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(Vio et al., 2015)</w:t>
      </w:r>
      <w:r w:rsidRPr="00B1522E">
        <w:rPr>
          <w:shd w:val="clear" w:color="auto" w:fill="FFFFFF"/>
        </w:rPr>
        <w:fldChar w:fldCharType="end"/>
      </w:r>
      <w:r w:rsidRPr="00B1522E">
        <w:rPr>
          <w:shd w:val="clear" w:color="auto" w:fill="FFFFFF"/>
        </w:rPr>
        <w:t xml:space="preserve">. Preventing obesity has benefits for adolescents’ immediate and long-term health and wellbeing </w:t>
      </w:r>
      <w:r w:rsidRPr="00B1522E">
        <w:rPr>
          <w:shd w:val="clear" w:color="auto" w:fill="FFFFFF"/>
        </w:rPr>
        <w:fldChar w:fldCharType="begin" w:fldLock="1"/>
      </w:r>
      <w:r w:rsidRPr="00B1522E">
        <w:rPr>
          <w:shd w:val="clear" w:color="auto" w:fill="FFFFFF"/>
        </w:rPr>
        <w:instrText>ADDIN CSL_CITATION {"citationItems":[{"id":"ITEM-1","itemData":{"ISSN":"1476-5497","author":[{"dropping-particle":"","family":"Reilly","given":"John J","non-dropping-particle":"","parse-names":false,"suffix":""},{"dropping-particle":"","family":"Kelly","given":"Joanna","non-dropping-particle":"","parse-names":false,"suffix":""}],"container-title":"International journal of obesity","id":"ITEM-1","issue":"7","issued":{"date-parts":[["2011"]]},"page":"891-898","publisher":"Nature Publishing Group","title":"Long-term impact of overweight and obesity in childhood and adolescence on morbidity and premature mortality in adulthood: systematic review","type":"article-journal","volume":"35"},"uris":["http://www.mendeley.com/documents/?uuid=5c7f87b2-d6ef-469a-b11b-de10eae99cdb"]}],"mendeley":{"formattedCitation":"(Reilly &amp; Kelly, 2011)","plainTextFormattedCitation":"(Reilly &amp; Kelly, 2011)","previouslyFormattedCitation":"(Reilly &amp; Kelly, 2011)"},"properties":{"noteIndex":0},"schema":"https://github.com/citation-style-language/schema/raw/master/csl-citation.json"}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(Reilly &amp; Kelly, 2011)</w:t>
      </w:r>
      <w:r w:rsidRPr="00B1522E">
        <w:rPr>
          <w:shd w:val="clear" w:color="auto" w:fill="FFFFFF"/>
        </w:rPr>
        <w:fldChar w:fldCharType="end"/>
      </w:r>
      <w:r w:rsidRPr="00B1522E">
        <w:rPr>
          <w:shd w:val="clear" w:color="auto" w:fill="FFFFFF"/>
        </w:rPr>
        <w:t xml:space="preserve"> </w:t>
      </w:r>
      <w:r w:rsidRPr="00B1522E">
        <w:t xml:space="preserve">since unhealthy dietary behaviours established in adolescence tend to continue into adulthood and become life-long habits </w:t>
      </w:r>
      <w:r w:rsidRPr="00B1522E">
        <w:fldChar w:fldCharType="begin" w:fldLock="1"/>
      </w:r>
      <w:r w:rsidR="00DF6CCC" w:rsidRPr="00B1522E">
        <w:instrText>ADDIN CSL_CITATION {"citationItems":[{"id":"ITEM-1","itemData":{"ISSN":"0091-7435","author":[{"dropping-particle":"","family":"Lien","given":"N","non-dropping-particle":"","parse-names":false,"suffix":""},{"dropping-particle":"","family":"Lytle","given":"LA","non-dropping-particle":"","parse-names":false,"suffix":""},{"dropping-particle":"","family":"Klepp","given":"KI","non-dropping-particle":"","parse-names":false,"suffix":""}],"container-title":"Preventive Medicine","id":"ITEM-1","issue":"3","issued":{"date-parts":[["2001","9","1"]]},"page":"217-226","publisher":"Academic Press","title":"Stability in Consumption of Fruit, Vegetables, and Sugary Foods in a Cohort from Age 14 to Age 21","type":"article-journal","volume":"33"},"uris":["http://www.mendeley.com/documents/?uuid=7471c13e-1622-3e07-b970-0a03006e5d53"]}],"mendeley":{"formattedCitation":"(Lien et al., 2001)","manualFormatting":"(Lien, Lytle, &amp; Klepp, 2001)","plainTextFormattedCitation":"(Lien et al., 2001)","previouslyFormattedCitation":"(Lien et al., 2001)"},"properties":{"noteIndex":0},"schema":"https://github.com/citation-style-language/schema/raw/master/csl-citation.json"}</w:instrText>
      </w:r>
      <w:r w:rsidRPr="00B1522E">
        <w:fldChar w:fldCharType="separate"/>
      </w:r>
      <w:r w:rsidRPr="00B1522E">
        <w:rPr>
          <w:noProof/>
        </w:rPr>
        <w:t>(Lien, Lytle, &amp; Klepp, 2001)</w:t>
      </w:r>
      <w:r w:rsidRPr="00B1522E">
        <w:fldChar w:fldCharType="end"/>
      </w:r>
      <w:r w:rsidRPr="00B1522E">
        <w:t xml:space="preserve">. It is therefore of utmost importance to explore ways to improve adolescents’ unhealthy dietary behaviours to promote long-term positive health outcomes. </w:t>
      </w:r>
    </w:p>
    <w:p w14:paraId="6EB33CAF" w14:textId="77777777" w:rsidR="00A379FC" w:rsidRPr="00B1522E" w:rsidRDefault="00A379FC" w:rsidP="00A379FC">
      <w:pPr>
        <w:spacing w:line="480" w:lineRule="auto"/>
        <w:jc w:val="both"/>
        <w:rPr>
          <w:rFonts w:cstheme="minorHAnsi"/>
          <w:shd w:val="clear" w:color="auto" w:fill="FFFFFF"/>
        </w:rPr>
      </w:pPr>
    </w:p>
    <w:p w14:paraId="6D2BF00B" w14:textId="0F5F800E" w:rsidR="00A379FC" w:rsidRPr="00B1522E" w:rsidRDefault="0083137B" w:rsidP="00A379FC">
      <w:pPr>
        <w:spacing w:line="480" w:lineRule="auto"/>
        <w:jc w:val="both"/>
        <w:rPr>
          <w:b/>
          <w:bCs/>
        </w:rPr>
      </w:pPr>
      <w:r w:rsidRPr="00B1522E">
        <w:fldChar w:fldCharType="begin"/>
      </w:r>
      <w:r w:rsidRPr="00B1522E">
        <w:instrText xml:space="preserve"> TC  "</w:instrText>
      </w:r>
      <w:bookmarkStart w:id="15" w:name="_Toc97310404"/>
      <w:r w:rsidRPr="00B1522E">
        <w:instrText>1.2 The Social Norms Approach</w:instrText>
      </w:r>
      <w:bookmarkEnd w:id="15"/>
      <w:r w:rsidRPr="00B1522E">
        <w:instrText xml:space="preserve"> " \f x\l 2 </w:instrText>
      </w:r>
      <w:r w:rsidRPr="00B1522E">
        <w:fldChar w:fldCharType="end"/>
      </w:r>
      <w:r w:rsidR="00A379FC" w:rsidRPr="00B1522E">
        <w:rPr>
          <w:b/>
          <w:bCs/>
        </w:rPr>
        <w:t>1.2 The Social Norms Approach</w:t>
      </w:r>
    </w:p>
    <w:p w14:paraId="49A4DA8B" w14:textId="7F3FAD16" w:rsidR="00A379FC" w:rsidRPr="00B1522E" w:rsidRDefault="00A379FC" w:rsidP="00A379FC">
      <w:pPr>
        <w:spacing w:line="480" w:lineRule="auto"/>
        <w:jc w:val="both"/>
        <w:rPr>
          <w:shd w:val="clear" w:color="auto" w:fill="FFFFFF"/>
        </w:rPr>
      </w:pPr>
      <w:r w:rsidRPr="00B1522E">
        <w:t xml:space="preserve">During adolescence, social norms are suggested to be an important influencing factor which shape dietary behaviours </w:t>
      </w:r>
      <w:r w:rsidRPr="00B1522E">
        <w:fldChar w:fldCharType="begin" w:fldLock="1"/>
      </w:r>
      <w:r w:rsidR="006F1757" w:rsidRPr="00B1522E">
        <w:instrText>ADDIN CSL_CITATION {"citationItems":[{"id":"ITEM-1","itemData":{"ISBN":"9789039360781","ISSN":"00157120","PMID":"4944437","abstract":"How do social structures and group behaviors arise from the interaction of individuals? Growing Artificial Societies approaches this question with cutting-edge computer simulation techniques.","author":[{"dropping-particle":"","family":"Stok","given":"F","non-dropping-particle":"","parse-names":false,"suffix":""}],"id":"ITEM-1","issued":{"date-parts":[["2014"]]},"number-of-pages":"162","publisher":"Utrecht University","title":"Eating by the norm : The influence of social norms on young people’ s eating behavior","type":"thesis"},"uris":["http://www.mendeley.com/documents/?uuid=feaee5b8-ac0c-4ae6-af4a-7fbb6c852f97"]}],"mendeley":{"formattedCitation":"(F. Stok, 2014)","manualFormatting":"(Stok, 2014)","plainTextFormattedCitation":"(F. Stok, 2014)","previouslyFormattedCitation":"(F. Stok, 2014)"},"properties":{"noteIndex":0},"schema":"https://github.com/citation-style-language/schema/raw/master/csl-citation.json"}</w:instrText>
      </w:r>
      <w:r w:rsidRPr="00B1522E">
        <w:fldChar w:fldCharType="separate"/>
      </w:r>
      <w:r w:rsidR="00D00FC4" w:rsidRPr="00B1522E">
        <w:rPr>
          <w:noProof/>
        </w:rPr>
        <w:t>(Stok, 2014)</w:t>
      </w:r>
      <w:r w:rsidRPr="00B1522E">
        <w:fldChar w:fldCharType="end"/>
      </w:r>
      <w:r w:rsidRPr="00B1522E">
        <w:t xml:space="preserve">. Social norms are described as unwritten rules that define acceptable behaviours and attitudes of a social group </w:t>
      </w:r>
      <w:r w:rsidRPr="00B1522E">
        <w:fldChar w:fldCharType="begin" w:fldLock="1"/>
      </w:r>
      <w:r w:rsidR="0063396E" w:rsidRPr="00B1522E">
        <w:instrText>ADDIN CSL_CITATION {"citationItems":[{"id":"ITEM-1","itemData":{"author":[{"dropping-particle":"","family":"Bicchieri","given":"Cristina","non-dropping-particle":"","parse-names":false,"suffix":""},{"dropping-particle":"","family":"Muldoon","given":"Ryan","non-dropping-particle":"","parse-names":false,"suffix":""}],"container-title":"Politics, Philosophy &amp; Economics","id":"ITEM-1","issue":"2","issued":{"date-parts":[["2011"]]},"page":"170-187","title":"Trustworthiness is a social norm, but trusting is not","type":"article-journal","volume":"10"},"uris":["http://www.mendeley.com/documents/?uuid=300239cf-f758-4680-91fd-0c16eb95287b"]}],"mendeley":{"formattedCitation":"(Bicchieri &amp; Muldoon, 2011)","plainTextFormattedCitation":"(Bicchieri &amp; Muldoon, 2011)","previouslyFormattedCitation":"(Bicchieri &amp; Muldoon, 2011)"},"properties":{"noteIndex":0},"schema":"https://github.com/citation-style-language/schema/raw/master/csl-citation.json"}</w:instrText>
      </w:r>
      <w:r w:rsidRPr="00B1522E">
        <w:fldChar w:fldCharType="separate"/>
      </w:r>
      <w:r w:rsidRPr="00B1522E">
        <w:rPr>
          <w:noProof/>
        </w:rPr>
        <w:t>(Bicchieri &amp; Muldoon, 2011)</w:t>
      </w:r>
      <w:r w:rsidRPr="00B1522E">
        <w:fldChar w:fldCharType="end"/>
      </w:r>
      <w:r w:rsidRPr="00B1522E">
        <w:t xml:space="preserve">. </w:t>
      </w:r>
      <w:r w:rsidRPr="00B1522E">
        <w:rPr>
          <w:shd w:val="clear" w:color="auto" w:fill="FFFFFF"/>
        </w:rPr>
        <w:t xml:space="preserve">In early adolescence when parental influence lessens and adolescents have increased control over their own dietary </w:t>
      </w:r>
      <w:r w:rsidRPr="00B1522E">
        <w:rPr>
          <w:shd w:val="clear" w:color="auto" w:fill="FFFFFF"/>
        </w:rPr>
        <w:lastRenderedPageBreak/>
        <w:t xml:space="preserve">consumption, adolescents tend to develop dietary behaviours that are influenced by their peer group </w:t>
      </w:r>
      <w:r w:rsidRPr="00B1522E">
        <w:rPr>
          <w:shd w:val="clear" w:color="auto" w:fill="FFFFFF"/>
        </w:rPr>
        <w:fldChar w:fldCharType="begin" w:fldLock="1"/>
      </w:r>
      <w:r w:rsidR="00DF6CCC" w:rsidRPr="00B1522E">
        <w:rPr>
          <w:shd w:val="clear" w:color="auto" w:fill="FFFFFF"/>
        </w:rPr>
        <w:instrText>ADDIN CSL_CITATION {"citationItems":[{"id":"ITEM-1","itemData":{"ISSN":"0965-4283","author":[{"dropping-particle":"","family":"Ridder","given":"Monica A M","non-dropping-particle":"","parse-names":false,"suffix":""},{"dropping-particle":"","family":"Heuvelmans","given":"Maartje A","non-dropping-particle":"","parse-names":false,"suffix":""},{"dropping-particle":"","family":"Visscher","given":"Tommy L S","non-dropping-particle":"","parse-names":false,"suffix":""},{"dropping-particle":"","family":"Seidell","given":"Jacob C","non-dropping-particle":"","parse-names":false,"suffix":""},{"dropping-particle":"","family":"Renders","given":"Carry M","non-dropping-particle":"","parse-names":false,"suffix":""}],"container-title":"Health Education","id":"ITEM-1","issued":{"date-parts":[["2010"]]},"page":"30-42","publisher":"Emerald Group Publishing Limited","title":"We are healthy so we can behave unhealthily: a qualitative study of the health behaviour of Dutch lower vocational students","type":"article-journal","volume":"1"},"uris":["http://www.mendeley.com/documents/?uuid=83148334-2748-4d39-8192-9183215b2434"]},{"id":"ITEM-2","itemData":{"ISSN":"1471-2458","abstract":"The objective of this study was to assess dietary behavior among sixth- to eighth-grade students to inform the delivery and content of nutrition education.","author":[{"dropping-particle":"","family":"Vio","given":"F","non-dropping-particle":"","parse-names":false,"suffix":""},{"dropping-particle":"","family":"Olaya","given":"M","non-dropping-particle":"","parse-names":false,"suffix":""},{"dropping-particle":"","family":"Yañez","given":"M","non-dropping-particle":"","parse-names":false,"suffix":""},{"dropping-particle":"","family":"Montenegro","given":"E","non-dropping-particle":"","parse-names":false,"suffix":""}],"container-title":"BMC Public Health","id":"ITEM-2","issue":"1","issued":{"date-parts":[["2020"]]},"page":"803","title":"Adolescents’ perception of dietary behaviour in a public school in Chile: a focus groups study","type":"article-journal","volume":"20"},"uris":["http://www.mendeley.com/documents/?uuid=36e49685-c11a-46f2-a8da-d9f790c1b5b2"]}],"mendeley":{"formattedCitation":"(Ridder et al., 2010; Vio et al., 2020)","plainTextFormattedCitation":"(Ridder et al., 2010; Vio et al., 2020)","previouslyFormattedCitation":"(Ridder et al., 2010; Vio et al., 2020)"},"properties":{"noteIndex":0},"schema":"https://github.com/citation-style-language/schema/raw/master/csl-citation.json"}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(Ridder et al., 2010; Vio et al., 2020)</w:t>
      </w:r>
      <w:r w:rsidRPr="00B1522E">
        <w:rPr>
          <w:shd w:val="clear" w:color="auto" w:fill="FFFFFF"/>
        </w:rPr>
        <w:fldChar w:fldCharType="end"/>
      </w:r>
      <w:r w:rsidRPr="00B1522E">
        <w:rPr>
          <w:shd w:val="clear" w:color="auto" w:fill="FFFFFF"/>
        </w:rPr>
        <w:t xml:space="preserve">. Adolescents </w:t>
      </w:r>
      <w:r w:rsidRPr="00B1522E">
        <w:rPr>
          <w:rFonts w:eastAsia="Calibri"/>
        </w:rPr>
        <w:t xml:space="preserve">spend a significant portion of their time in a school setting with peers, and peers become an important social referent about what are normative and acceptable dietary behaviours </w:t>
      </w:r>
      <w:r w:rsidRPr="00B1522E">
        <w:rPr>
          <w:shd w:val="clear" w:color="auto" w:fill="FFFFFF"/>
        </w:rPr>
        <w:fldChar w:fldCharType="begin" w:fldLock="1"/>
      </w:r>
      <w:r w:rsidRPr="00B1522E">
        <w:rPr>
          <w:shd w:val="clear" w:color="auto" w:fill="FFFFFF"/>
        </w:rPr>
        <w:instrText>ADDIN CSL_CITATION {"citationItems":[{"id":"ITEM-1","itemData":{"ISSN":"0195-6663","abstract":"Objective Peers and siblings are considered an important influence on children's and adolescents' food choice. However, there is a lack of studies examining how peer and sibling impact is related to children's and adolescents' eating behavior. The purpose of this study was to analyze peers' and siblings' impact on children's and adolescents' healthy eating behavior identified from a literature review, summarize the results, and discuss potential social factors that may predict these associations. Method A systematic literature review. Results Findings of the systematic literature review show that peers, and to a lesser extent siblings' influence on children's and adolescents' healthy eating behavior more often is negative than positive, although in some studies, no significant effect was found. However, empirical research of which social factors related to relationships with siblings and peers may explain and predict peers' and siblings' influence on children's and adolescents' healthy eating behavior is limited. Conclusions Peers' influence on children's and adolescents' healthy eating behavior is often found to be negative by the increase in consumption of energy-dense and low-nutrition value foods. However, in some cases, this influence can also be a positive one, and there is a need to find effective ways of how it could be used in encouraging healthy eating behavior of children and adolescents. Studies exploring siblings' impact on children's and adolescents' eating behavior are scarce. In addition, factors related to social interaction that may explain peers' and siblings' influence on children's and adolescents' healthy eating behavior are ambiguous. Therefore, more research in this area is needed.","author":[{"dropping-particle":"","family":"Ragelienė","given":"Tija","non-dropping-particle":"","parse-names":false,"suffix":""},{"dropping-particle":"","family":"Grønhøj","given":"Alice","non-dropping-particle":"","parse-names":false,"suffix":""}],"container-title":"Appetite","id":"ITEM-1","issued":{"date-parts":[["2020"]]},"page":"104592","title":"The influence of peers′ and siblings′ on children’s and adolescents′ healthy eating behavior. A systematic literature review","type":"article-journal","volume":"148"},"uris":["http://www.mendeley.com/documents/?uuid=d792a6de-142c-47c7-9fac-4ccd6c7bb603"]}],"mendeley":{"formattedCitation":"(Ragelienė &amp; Grønhøj, 2020)","plainTextFormattedCitation":"(Ragelienė &amp; Grønhøj, 2020)","previouslyFormattedCitation":"(Ragelienė &amp; Grønhøj, 2020)"},"properties":{"noteIndex":0},"schema":"https://github.com/citation-style-language/schema/raw/master/csl-citation.json"}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(Ragelienė &amp; Grønhøj, 2020)</w:t>
      </w:r>
      <w:r w:rsidRPr="00B1522E">
        <w:rPr>
          <w:shd w:val="clear" w:color="auto" w:fill="FFFFFF"/>
        </w:rPr>
        <w:fldChar w:fldCharType="end"/>
      </w:r>
      <w:r w:rsidRPr="00B1522E">
        <w:t xml:space="preserve">. </w:t>
      </w:r>
      <w:r w:rsidRPr="00B1522E">
        <w:rPr>
          <w:rFonts w:eastAsia="Calibri"/>
        </w:rPr>
        <w:t xml:space="preserve">Adolescents are especially sensitive to social influence as they have a strong desire to be accepted by their peer group </w:t>
      </w:r>
      <w:r w:rsidRPr="00B1522E">
        <w:rPr>
          <w:rFonts w:eastAsia="Calibri"/>
        </w:rPr>
        <w:fldChar w:fldCharType="begin" w:fldLock="1"/>
      </w:r>
      <w:r w:rsidRPr="00B1522E">
        <w:rPr>
          <w:rFonts w:eastAsia="Calibri"/>
        </w:rPr>
        <w:instrText>ADDIN CSL_CITATION {"citationItems":[{"id":"ITEM-1","itemData":{"ISBN":"1136649468","author":[{"dropping-particle":"","family":"Coleman","given":"John","non-dropping-particle":"","parse-names":false,"suffix":""}],"id":"ITEM-1","issued":{"date-parts":[["2011"]]},"publisher":"Routledge","publisher-place":"London","title":"The nature of adolescence","type":"book"},"uris":["http://www.mendeley.com/documents/?uuid=2f77478c-db32-4802-9940-28d2e7c167d5"]}],"mendeley":{"formattedCitation":"(Coleman, 2011)","plainTextFormattedCitation":"(Coleman, 2011)","previouslyFormattedCitation":"(Coleman, 2011)"},"properties":{"noteIndex":0},"schema":"https://github.com/citation-style-language/schema/raw/master/csl-citation.json"}</w:instrText>
      </w:r>
      <w:r w:rsidRPr="00B1522E">
        <w:rPr>
          <w:rFonts w:eastAsia="Calibri"/>
        </w:rPr>
        <w:fldChar w:fldCharType="separate"/>
      </w:r>
      <w:r w:rsidRPr="00B1522E">
        <w:rPr>
          <w:rFonts w:eastAsia="Calibri"/>
          <w:noProof/>
        </w:rPr>
        <w:t>(Coleman, 2011)</w:t>
      </w:r>
      <w:r w:rsidRPr="00B1522E">
        <w:rPr>
          <w:rFonts w:eastAsia="Calibri"/>
        </w:rPr>
        <w:fldChar w:fldCharType="end"/>
      </w:r>
      <w:r w:rsidRPr="00B1522E">
        <w:rPr>
          <w:rFonts w:eastAsia="Calibri"/>
        </w:rPr>
        <w:t xml:space="preserve">, and will adjust their dietary behaviours to align with the perceived dietary behaviours of their peers </w:t>
      </w:r>
      <w:r w:rsidRPr="00B1522E">
        <w:rPr>
          <w:rFonts w:eastAsia="Calibri"/>
        </w:rPr>
        <w:fldChar w:fldCharType="begin" w:fldLock="1"/>
      </w:r>
      <w:r w:rsidR="005776BC" w:rsidRPr="00B1522E">
        <w:rPr>
          <w:rFonts w:eastAsia="Calibri"/>
        </w:rPr>
        <w:instrText>ADDIN CSL_CITATION {"citationItems":[{"id":"ITEM-1","itemData":{"ISBN":"0195-6663(Print)","abstract":"Perceptions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W","non-dropping-particle":"","parse-names":false,"suffix":""}],"container-title":"Appetite","id":"ITEM-1","issued":{"date-parts":[["2018"]]},"page":"82-93","publisher":"Elsevier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States.","type":"article-journal","volume":"129"},"uris":["http://www.mendeley.com/documents/?uuid=8512058f-516f-45e2-9148-9381fb740b26"]}],"mendeley":{"formattedCitation":"(J. M. Perkins et al., 2018)","manualFormatting":"(Perkins et al., 2018)","plainTextFormattedCitation":"(J. M. Perkins et al., 2018)","previouslyFormattedCitation":"(J. M. Perkins et al., 2018)"},"properties":{"noteIndex":0},"schema":"https://github.com/citation-style-language/schema/raw/master/csl-citation.json"}</w:instrText>
      </w:r>
      <w:r w:rsidRPr="00B1522E">
        <w:rPr>
          <w:rFonts w:eastAsia="Calibri"/>
        </w:rPr>
        <w:fldChar w:fldCharType="separate"/>
      </w:r>
      <w:r w:rsidRPr="00B1522E">
        <w:rPr>
          <w:rFonts w:eastAsia="Calibri"/>
          <w:noProof/>
        </w:rPr>
        <w:t>(Perkins et al., 2018)</w:t>
      </w:r>
      <w:r w:rsidRPr="00B1522E">
        <w:rPr>
          <w:rFonts w:eastAsia="Calibri"/>
        </w:rPr>
        <w:fldChar w:fldCharType="end"/>
      </w:r>
      <w:r w:rsidRPr="00B1522E">
        <w:rPr>
          <w:rFonts w:eastAsia="Calibri"/>
        </w:rPr>
        <w:t xml:space="preserve">. However, </w:t>
      </w:r>
      <w:r w:rsidRPr="00B1522E">
        <w:rPr>
          <w:shd w:val="clear" w:color="auto" w:fill="FFFFFF"/>
        </w:rPr>
        <w:t xml:space="preserve">these perceptions about peers’ normative dietary behaviours tend to be inaccurate which can lead to unhealthy dietary behaviour;  adolescents tend to overestimate peers’ consumption of unhealthy foodstuffs (e.g. unhealthy snacks) and underestimate peers’ consumption of </w:t>
      </w:r>
      <w:r w:rsidRPr="00B1522E">
        <w:t>healthy foodstuffs (e.g. fruit and vegetable consumption)</w:t>
      </w:r>
      <w:r w:rsidRPr="00B1522E">
        <w:rPr>
          <w:shd w:val="clear" w:color="auto" w:fill="FFFFFF"/>
        </w:rPr>
        <w:t xml:space="preserve"> and perceive peers to be more accepting of these behaviours than is the case  </w:t>
      </w:r>
      <w:r w:rsidRPr="00B1522E">
        <w:rPr>
          <w:shd w:val="clear" w:color="auto" w:fill="FFFFFF"/>
        </w:rPr>
        <w:fldChar w:fldCharType="begin" w:fldLock="1"/>
      </w:r>
      <w:r w:rsidR="005776BC" w:rsidRPr="00B1522E">
        <w:rPr>
          <w:shd w:val="clear" w:color="auto" w:fill="FFFFFF"/>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W","non-dropping-particle":"","parse-names":false,"suffix":""}],"container-title":"Appetite","id":"ITEM-2","issued":{"date-parts":[["2018"]]},"page":"82-93","publisher":"Elsevier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States.","type":"article-journal","volume":"129"},"uris":["http://www.mendeley.com/documents/?uuid=8512058f-516f-45e2-9148-9381fb740b26"]}],"mendeley":{"formattedCitation":"(P Lally et al., 2011; J. M. Perkins et al., 2018)","manualFormatting":"(Lally et al., 2011; Perkins et al., 2018)","plainTextFormattedCitation":"(P Lally et al., 2011; J. M. Perkins et al., 2018)","previouslyFormattedCitation":"(P Lally et al., 2011; J. M. Perkins et al., 2018)"},"properties":{"noteIndex":0},"schema":"https://github.com/citation-style-language/schema/raw/master/csl-citation.json"}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(Lally et al., 2011; Perkins et al., 2018)</w:t>
      </w:r>
      <w:r w:rsidRPr="00B1522E">
        <w:rPr>
          <w:shd w:val="clear" w:color="auto" w:fill="FFFFFF"/>
        </w:rPr>
        <w:fldChar w:fldCharType="end"/>
      </w:r>
      <w:r w:rsidRPr="00B1522E">
        <w:rPr>
          <w:shd w:val="clear" w:color="auto" w:fill="FFFFFF"/>
        </w:rPr>
        <w:t xml:space="preserve">. </w:t>
      </w:r>
      <w:r w:rsidRPr="00B1522E">
        <w:rPr>
          <w:rFonts w:cstheme="minorHAnsi"/>
        </w:rPr>
        <w:t xml:space="preserve">Research indicates that the greater the misperception of peers’ behaviours and/or attitude, the greater the likelihood of an individual engaging in negative behaviours and the lower the instance of positive behaviours </w:t>
      </w:r>
      <w:r w:rsidRPr="00B1522E">
        <w:rPr>
          <w:rFonts w:cstheme="minorHAnsi"/>
        </w:rPr>
        <w:fldChar w:fldCharType="begin" w:fldLock="1"/>
      </w:r>
      <w:r w:rsidR="007463D4"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adolescents.","type":"article-journal","volume":"57"},"uris":["http://www.mendeley.com/documents/?uuid=18a9583d-446e-4d40-8c46-37ad5a8b65e9"]},{"id":"ITEM-2","itemData":{"ISSN":"0744-8481","author":[{"dropping-particle":"","family":"Martens","given":"Matthew P","non-dropping-particle":"","parse-names":false,"suffix":""},{"dropping-particle":"","family":"Page","given":"Jennifer C","non-dropping-particle":"","parse-names":false,"suffix":""},{"dropping-particle":"","family":"Mowry","given":"Emily S","non-dropping-particle":"","parse-names":false,"suffix":""},{"dropping-particle":"","family":"Damann","given":"Krista M","non-dropping-particle":"","parse-names":false,"suffix":""},{"dropping-particle":"","family":"Taylor","given":"Kari K","non-dropping-particle":"","parse-names":false,"suffix":""},{"dropping-particle":"","family":"Cimini","given":"M Dolores","non-dropping-particle":"","parse-names":false,"suffix":""}],"container-title":"Journal of American College Health","id":"ITEM-2","issue":"5","issued":{"date-parts":[["2006","3","1"]]},"note":"doi: 10.3200/JACH.54.5.295-300","page":"295-300","publisher":"Taylor &amp; Francis","title":"Differences Between Actual and Perceived Student Norms: An Examination of Alcohol Use, Drug Use, and Sexual Behavior","type":"article-journal","volume":"54"},"uris":["http://www.mendeley.com/documents/?uuid=a6dee8f4-231e-4626-ab7a-7de99c7c6515"]}],"mendeley":{"formattedCitation":"(P Lally et al., 2011; M. P. Martens et al., 2006)","manualFormatting":"(Lally et al., 2011; Martens et al., 2006)","plainTextFormattedCitation":"(P Lally et al., 2011; M. P. Martens et al., 2006)","previouslyFormattedCitation":"(P Lally et al., 2011; M. P. Martens et al., 2006)"},"properties":{"noteIndex":0},"schema":"https://github.com/citation-style-language/schema/raw/master/csl-citation.json"}</w:instrText>
      </w:r>
      <w:r w:rsidRPr="00B1522E">
        <w:rPr>
          <w:rFonts w:cstheme="minorHAnsi"/>
        </w:rPr>
        <w:fldChar w:fldCharType="separate"/>
      </w:r>
      <w:r w:rsidRPr="00B1522E">
        <w:rPr>
          <w:rFonts w:cstheme="minorHAnsi"/>
          <w:noProof/>
        </w:rPr>
        <w:t>(Lally et al., 2011; Martens et al., 2006)</w:t>
      </w:r>
      <w:r w:rsidRPr="00B1522E">
        <w:rPr>
          <w:rFonts w:cstheme="minorHAnsi"/>
        </w:rPr>
        <w:fldChar w:fldCharType="end"/>
      </w:r>
      <w:r w:rsidRPr="00B1522E">
        <w:rPr>
          <w:rFonts w:cstheme="minorHAnsi"/>
        </w:rPr>
        <w:t>.</w:t>
      </w:r>
    </w:p>
    <w:p w14:paraId="5460ECC6" w14:textId="5C670EDC" w:rsidR="00A379FC" w:rsidRPr="00B1522E" w:rsidRDefault="00A379FC" w:rsidP="00E9621A">
      <w:pPr>
        <w:spacing w:line="480" w:lineRule="auto"/>
        <w:ind w:firstLine="720"/>
        <w:jc w:val="both"/>
        <w:rPr>
          <w:shd w:val="clear" w:color="auto" w:fill="FFFFFF"/>
        </w:rPr>
      </w:pPr>
      <w:r w:rsidRPr="00B1522E">
        <w:rPr>
          <w:shd w:val="clear" w:color="auto" w:fill="FFFFFF"/>
        </w:rPr>
        <w:t>The Social Norms Approach (SNA) operates on t</w:t>
      </w:r>
      <w:r w:rsidRPr="00B1522E">
        <w:rPr>
          <w:rFonts w:cstheme="minorHAnsi"/>
          <w:shd w:val="clear" w:color="auto" w:fill="FFFFFF"/>
        </w:rPr>
        <w:t>he premise that if normative misperceptions were challenged</w:t>
      </w:r>
      <w:r w:rsidRPr="00B1522E">
        <w:rPr>
          <w:rFonts w:cstheme="minorHAnsi"/>
        </w:rPr>
        <w:t>,</w:t>
      </w:r>
      <w:r w:rsidRPr="00B1522E">
        <w:rPr>
          <w:rFonts w:cstheme="minorHAnsi"/>
          <w:shd w:val="clear" w:color="auto" w:fill="FFFFFF"/>
        </w:rPr>
        <w:t xml:space="preserve"> it should decrease the social pressure, which can help to reduce negative behaviours (</w:t>
      </w:r>
      <w:r w:rsidRPr="00B1522E">
        <w:rPr>
          <w:shd w:val="clear" w:color="auto" w:fill="FFFFFF"/>
        </w:rPr>
        <w:t>e.g., consuming unhealthy snacks)</w:t>
      </w:r>
      <w:r w:rsidRPr="00B1522E">
        <w:rPr>
          <w:rFonts w:cstheme="minorHAnsi"/>
          <w:shd w:val="clear" w:color="auto" w:fill="FFFFFF"/>
        </w:rPr>
        <w:t xml:space="preserve"> and promote positive healthier behaviours </w:t>
      </w:r>
      <w:r w:rsidRPr="00B1522E">
        <w:rPr>
          <w:shd w:val="clear" w:color="auto" w:fill="FFFFFF"/>
        </w:rPr>
        <w:t xml:space="preserve">(e.g., consuming fruit and vegetables) </w:t>
      </w:r>
      <w:r w:rsidRPr="00B1522E">
        <w:rPr>
          <w:shd w:val="clear" w:color="auto" w:fill="FFFFFF"/>
        </w:rPr>
        <w:fldChar w:fldCharType="begin" w:fldLock="1"/>
      </w:r>
      <w:r w:rsidR="004A684E" w:rsidRPr="00B1522E">
        <w:rPr>
          <w:shd w:val="clear" w:color="auto" w:fill="FFFFFF"/>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programming","type":"article-journal","volume":"21"},"uris":["http://www.mendeley.com/documents/?uuid=c5bb1f76-719b-4b43-8537-bc1ecaff260b"]},{"id":"ITEM-2","itemData":{"ISSN":"1664-1078","author":[{"dropping-particle":"","family":"Dempsey","given":"Robert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psychology","id":"ITEM-2","issued":{"date-parts":[["2018"]]},"page":"2180","publisher":"Frontiers","title":"A critical appraisal of the Social Norms Approach as an interventional strategy for health-related behaviour and attitude change","type":"article-journal","volume":"9"},"uris":["http://www.mendeley.com/documents/?uuid=02ca1a91-c52d-4b33-a0ad-61e3e0cb1fce"]},{"id":"ITEM-3","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UK","id":"ITEM-3","issued":{"date-parts":[["2010"]]},"title":"Social norms guidebook: A guide to implementing the social norms approach in the UK","type":"article-journal"},"uris":["http://www.mendeley.com/documents/?uuid=cf5081f9-19e6-4ccf-aaab-a0311d1c876e"]}],"mendeley":{"formattedCitation":"(Dempsey et al., 2018; J McAlaney et al., 2010; H. W Perkins &amp; Berkowitz, 1986)","manualFormatting":"(Dempsey et al., 2018; McAlaney et al., 2010; Perkins &amp; Berkowitz, 1986)","plainTextFormattedCitation":"(Dempsey et al., 2018; J McAlaney et al., 2010; H. W Perkins &amp; Berkowitz, 1986)","previouslyFormattedCitation":"(Dempsey et al., 2018; J McAlaney et al., 2010; H. W Perkins &amp; Berkowitz, 1986)"},"properties":{"noteIndex":0},"schema":"https://github.com/citation-style-language/schema/raw/master/csl-citation.json"}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(Dempsey et al., 2018; McAlaney et al., 2010; Perkins &amp; Berkowitz, 1986)</w:t>
      </w:r>
      <w:r w:rsidRPr="00B1522E">
        <w:rPr>
          <w:shd w:val="clear" w:color="auto" w:fill="FFFFFF"/>
        </w:rPr>
        <w:fldChar w:fldCharType="end"/>
      </w:r>
      <w:r w:rsidRPr="00B1522E">
        <w:rPr>
          <w:shd w:val="clear" w:color="auto" w:fill="FFFFFF"/>
        </w:rPr>
        <w:t xml:space="preserve">. </w:t>
      </w:r>
      <w:r w:rsidRPr="00B1522E">
        <w:t xml:space="preserve">The Social Norms Approach focuses on two different types of norms which influence behaviour: </w:t>
      </w:r>
      <w:r w:rsidRPr="00B1522E">
        <w:rPr>
          <w:i/>
          <w:iCs/>
        </w:rPr>
        <w:t>descriptive norms</w:t>
      </w:r>
      <w:r w:rsidRPr="00B1522E">
        <w:t xml:space="preserve">, the perceived behavioural practices of peers; and </w:t>
      </w:r>
      <w:r w:rsidRPr="00B1522E">
        <w:rPr>
          <w:i/>
          <w:iCs/>
        </w:rPr>
        <w:t>injunctive norms</w:t>
      </w:r>
      <w:r w:rsidRPr="00B1522E">
        <w:t xml:space="preserve">, the perceived attitudes or perceived approval of peers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t>.</w:t>
      </w:r>
      <w:r w:rsidRPr="00B1522E">
        <w:rPr>
          <w:sz w:val="24"/>
          <w:szCs w:val="24"/>
        </w:rPr>
        <w:t xml:space="preserve"> </w:t>
      </w:r>
      <w:r w:rsidRPr="00B1522E">
        <w:t xml:space="preserve">Prior research has demonstrated that by challenging adolescents’ inaccurate perceptions of existing social norms, various kinds of negative (e.g., reducing alcohol intake) and positive (e.g., increasing condom use) behaviours can be improved </w:t>
      </w:r>
      <w:r w:rsidRPr="00B1522E">
        <w:fldChar w:fldCharType="begin" w:fldLock="1"/>
      </w:r>
      <w:r w:rsidR="004A684E" w:rsidRPr="00B1522E">
        <w:instrText>ADDIN CSL_CITATION {"citationItems":[{"id":"ITEM-1","itemData":{"ISSN":"2211-3355","abstract":"The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reports","id":"ITEM-1","issued":{"date-parts":[["2018","10","28"]]},"language":"eng","page":"304-311","publisher":"Elsevier","title":"Effects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trial","type":"article-journal","volume":"12"},"uris":["http://www.mendeley.com/documents/?uuid=d14f1680-42aa-4cdf-a003-eb1aa0293b67"]},{"id":"ITEM-2","itemData":{"ISSN":"1368-4302","author":[{"dropping-particle":"","family":"Perkins","given":"H.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Relations","id":"ITEM-2","issue":"5","issued":{"date-parts":[["2011"]]},"page":"703-722","publisher":"Sage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id":"ITEM-3","itemData":{"ISSN":"0965-4283","author":[{"dropping-particle":"","family":"Sheikh","given":"Afzal","non-dropping-particle":"","parse-names":false,"suffix":""},{"dropping-particle":"","family":"Vadera","given":"Sunil","non-dropping-particle":"","parse-names":false,"suffix":""},{"dropping-particle":"","family":"Ravey","given":"Michael","non-dropping-particle":"","parse-names":false,"suffix":""},{"dropping-particle":"","family":"Lovatt","given":"Gary","non-dropping-particle":"","parse-names":false,"suffix":""},{"dropping-particle":"","family":"Kelly","given":"Grace","non-dropping-particle":"","parse-names":false,"suffix":""}],"container-title":"Health Education","id":"ITEM-3","issue":"6","issued":{"date-parts":[["2017"]]},"page":"530-539","publisher":"Emerald Publishing Limited","title":"A social norms approach to changing school children’s perceptions of tobacco usage","type":"article-journal","volume":"117"},"uris":["http://www.mendeley.com/documents/?uuid=78f817d1-08ba-4c01-ad47-de933c360a0f"]},{"id":"ITEM-4","itemData":{"ISSN":"0744-8481","author":[{"dropping-particle":"","family":"Scholly","given":"Kristen","non-dropping-particle":"","parse-names":false,"suffix":""},{"dropping-particle":"","family":"Katz","given":"Alan R","non-dropping-particle":"","parse-names":false,"suffix":""},{"dropping-particle":"","family":"Gascoigne","given":"Jan","non-dropping-particle":"","parse-names":false,"suffix":""},{"dropping-particle":"","family":"Holck","given":"Peter S","non-dropping-particle":"","parse-names":false,"suffix":""}],"container-title":"Journal of American College Health","id":"ITEM-4","issue":"4","issued":{"date-parts":[["2005"]]},"page":"159-166","publisher":"Taylor &amp; Francis","title":"Using social norms theory to explain perceptions and sexual health behaviors of undergraduate college students: An exploratory study","type":"article-journal","volume":"53"},"uris":["http://www.mendeley.com/documents/?uuid=ce5b7e82-c2f9-4aa5-9519-778cddf4cbf1"]}],"mendeley":{"formattedCitation":"(H. W Perkins et al., 2011; Scholly et al., 2005; Sheikh et al., 2017; Vallentin-Holbech et al., 2018)","manualFormatting":"(Perkins et al., 2011; Scholly et al., 2005; Sheikh et al., 2017; Vallentin-Holbech et al., 2018)","plainTextFormattedCitation":"(H. W Perkins et al., 2011; Scholly et al., 2005; Sheikh et al., 2017; Vallentin-Holbech et al., 2018)","previouslyFormattedCitation":"(H. W Perkins et al., 2011; Scholly et al., 2005; Sheikh et al., 2017; Vallentin-Holbech et al., 2018)"},"properties":{"noteIndex":0},"schema":"https://github.com/citation-style-language/schema/raw/master/csl-citation.json"}</w:instrText>
      </w:r>
      <w:r w:rsidRPr="00B1522E">
        <w:fldChar w:fldCharType="separate"/>
      </w:r>
      <w:r w:rsidRPr="00B1522E">
        <w:rPr>
          <w:noProof/>
        </w:rPr>
        <w:t>(Perkins et al., 2011; Scholly et al., 2005; Sheikh et al., 2017; Vallentin-Holbech et al., 2018)</w:t>
      </w:r>
      <w:r w:rsidRPr="00B1522E">
        <w:fldChar w:fldCharType="end"/>
      </w:r>
      <w:r w:rsidRPr="00B1522E">
        <w:t xml:space="preserve">. However, no research to our knowledge has specifically investigated whether challenging adolescents’ </w:t>
      </w:r>
      <w:r w:rsidRPr="00B1522E">
        <w:lastRenderedPageBreak/>
        <w:t xml:space="preserve">normative dietary misperceptions, using an SNA intervention, would improve unhealthy dietary behaviours of adolescents. </w:t>
      </w:r>
    </w:p>
    <w:p w14:paraId="25683F73" w14:textId="77777777" w:rsidR="00A379FC" w:rsidRPr="00B1522E" w:rsidRDefault="00A379FC" w:rsidP="00A379FC">
      <w:pPr>
        <w:spacing w:line="480" w:lineRule="auto"/>
        <w:jc w:val="both"/>
      </w:pPr>
    </w:p>
    <w:p w14:paraId="2B56D840" w14:textId="398DF77C" w:rsidR="00A379FC" w:rsidRPr="00B1522E" w:rsidRDefault="0083137B" w:rsidP="00A379FC">
      <w:pPr>
        <w:spacing w:line="480" w:lineRule="auto"/>
        <w:jc w:val="both"/>
        <w:rPr>
          <w:b/>
          <w:bCs/>
        </w:rPr>
      </w:pPr>
      <w:r w:rsidRPr="00B1522E">
        <w:fldChar w:fldCharType="begin"/>
      </w:r>
      <w:r w:rsidRPr="00B1522E">
        <w:instrText xml:space="preserve"> TC  "</w:instrText>
      </w:r>
      <w:bookmarkStart w:id="16" w:name="_Toc97310405"/>
      <w:r w:rsidRPr="00B1522E">
        <w:instrText>1.3 School based intervention</w:instrText>
      </w:r>
      <w:bookmarkEnd w:id="16"/>
      <w:r w:rsidRPr="00B1522E">
        <w:instrText xml:space="preserve">" \f x\l 2 </w:instrText>
      </w:r>
      <w:r w:rsidRPr="00B1522E">
        <w:fldChar w:fldCharType="end"/>
      </w:r>
      <w:r w:rsidR="00A379FC" w:rsidRPr="00B1522E">
        <w:rPr>
          <w:b/>
          <w:bCs/>
        </w:rPr>
        <w:t>1.3 School-based interventions</w:t>
      </w:r>
    </w:p>
    <w:p w14:paraId="3DB2CEF1" w14:textId="7F7099DE" w:rsidR="00A379FC" w:rsidRPr="00B1522E" w:rsidRDefault="00A379FC" w:rsidP="00A379FC">
      <w:pPr>
        <w:spacing w:line="480" w:lineRule="auto"/>
        <w:jc w:val="both"/>
        <w:rPr>
          <w:shd w:val="clear" w:color="auto" w:fill="FFFFFF"/>
        </w:rPr>
      </w:pPr>
      <w:r w:rsidRPr="00B1522E">
        <w:t xml:space="preserve">The improvement of adolescents’ dietary behaviours has been proposed by the World Health Organization as a priority in every school </w:t>
      </w:r>
      <w:r w:rsidRPr="00B1522E">
        <w:fldChar w:fldCharType="begin" w:fldLock="1"/>
      </w:r>
      <w:r w:rsidRPr="00B1522E">
        <w:instrText>ADDIN CSL_CITATION {"citationItems":[{"id":"ITEM-1","itemData":{"URL":"https://www.who.int/health-topics/health-promoting-schools#tab=tab_1","author":[{"dropping-particle":"","family":"World Health Organization","given":"","non-dropping-particle":"","parse-names":false,"suffix":""}],"id":"ITEM-1","issued":{"date-parts":[["2014"]]},"title":"Health promoting schools","type":"webpage"},"uris":["http://www.mendeley.com/documents/?uuid=23f5809a-7e5c-4547-9f07-1c752f6b173c"]}],"mendeley":{"formattedCitation":"(World Health Organization, 2014)","plainTextFormattedCitation":"(World Health Organization, 2014)","previouslyFormattedCitation":"(World Health Organization, 2014)"},"properties":{"noteIndex":0},"schema":"https://github.com/citation-style-language/schema/raw/master/csl-citation.json"}</w:instrText>
      </w:r>
      <w:r w:rsidRPr="00B1522E">
        <w:fldChar w:fldCharType="separate"/>
      </w:r>
      <w:r w:rsidRPr="00B1522E">
        <w:rPr>
          <w:noProof/>
        </w:rPr>
        <w:t>(World Health Organization, 2014)</w:t>
      </w:r>
      <w:r w:rsidRPr="00B1522E">
        <w:fldChar w:fldCharType="end"/>
      </w:r>
      <w:r w:rsidRPr="00B1522E">
        <w:t xml:space="preserve"> because of the potential positive effects on general well-being both in the short-term (e.g. improving cognition and academic performance) and long-term (e.g. reduction in noncommunicable diseases) </w:t>
      </w:r>
      <w:r w:rsidRPr="00B1522E">
        <w:fldChar w:fldCharType="begin" w:fldLock="1"/>
      </w:r>
      <w:r w:rsidRPr="00B1522E">
        <w:instrText>ADDIN CSL_CITATION {"citationItems":[{"id":"ITEM-1","itemData":{"URL":"https://www.who.int/news-room/q-a-detail/noncommunicable-diseases-childhood-overweight-and-obesity","author":[{"dropping-particle":"","family":"World Health Organization","given":"","non-dropping-particle":"","parse-names":false,"suffix":""}],"id":"ITEM-1","issued":{"date-parts":[["2020"]]},"title":"Noncommunicable diseases: Childhood overweight and obesity","type":"webpage"},"uris":["http://www.mendeley.com/documents/?uuid=a80028c0-17e7-4c74-9a21-930354925d41"]}],"mendeley":{"formattedCitation":"(World Health Organization, 2020a)","plainTextFormattedCitation":"(World Health Organization, 2020a)","previouslyFormattedCitation":"(World Health Organization, 2020a)"},"properties":{"noteIndex":0},"schema":"https://github.com/citation-style-language/schema/raw/master/csl-citation.json"}</w:instrText>
      </w:r>
      <w:r w:rsidRPr="00B1522E">
        <w:fldChar w:fldCharType="separate"/>
      </w:r>
      <w:r w:rsidRPr="00B1522E">
        <w:rPr>
          <w:noProof/>
        </w:rPr>
        <w:t>(World Health Organization, 2020a)</w:t>
      </w:r>
      <w:r w:rsidRPr="00B1522E">
        <w:fldChar w:fldCharType="end"/>
      </w:r>
      <w:r w:rsidRPr="00B1522E">
        <w:t xml:space="preserve">. </w:t>
      </w:r>
      <w:r w:rsidRPr="00B1522E">
        <w:rPr>
          <w:shd w:val="clear" w:color="auto" w:fill="FFFFFF"/>
        </w:rPr>
        <w:t xml:space="preserve">Adolescents spend a large proportion of their time in school and </w:t>
      </w:r>
      <w:r w:rsidRPr="00B1522E">
        <w:t xml:space="preserve">young people consume around 40% of their </w:t>
      </w:r>
      <w:r w:rsidRPr="00B1522E">
        <w:rPr>
          <w:shd w:val="clear" w:color="auto" w:fill="FFFFFF"/>
        </w:rPr>
        <w:t xml:space="preserve">daily dietary intake during the school day </w:t>
      </w:r>
      <w:r w:rsidRPr="00B1522E">
        <w:rPr>
          <w:shd w:val="clear" w:color="auto" w:fill="FFFFFF"/>
        </w:rPr>
        <w:fldChar w:fldCharType="begin" w:fldLock="1"/>
      </w:r>
      <w:r w:rsidR="00DF6CCC" w:rsidRPr="00B1522E">
        <w:rPr>
          <w:shd w:val="clear" w:color="auto" w:fill="FFFFFF"/>
        </w:rPr>
        <w:instrText>ADDIN CSL_CITATION {"citationItems":[{"id":"ITEM-1","itemData":{"ISSN":"0002-8223","author":[{"dropping-particle":"","family":"Briefel","given":"Ronette R","non-dropping-particle":"","parse-names":false,"suffix":""},{"dropping-particle":"","family":"Wilson","given":"Ander","non-dropping-particle":"","parse-names":false,"suffix":""},{"dropping-particle":"","family":"Gleason","given":"Philip M","non-dropping-particle":"","parse-names":false,"suffix":""}],"container-title":"Journal of the American Dietetic Association","id":"ITEM-1","issue":"2","issued":{"date-parts":[["2009"]]},"page":"S79-S90","publisher":"Elsevier","title":"Consumption of low-nutrient, energy-dense foods and beverages at school, home, and other locations among school lunch participants and nonparticipants","type":"article-journal","volume":"109"},"uris":["http://www.mendeley.com/documents/?uuid=f80a7f0e-6398-4649-b8c7-6f865440e5b7"]}],"mendeley":{"formattedCitation":"(Briefel et al., 2009)","plainTextFormattedCitation":"(Briefel et al., 2009)","previouslyFormattedCitation":"(Briefel et al., 2009)"},"properties":{"noteIndex":0},"schema":"https://github.com/citation-style-language/schema/raw/master/csl-citation.json"}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(Briefel et al., 2009)</w:t>
      </w:r>
      <w:r w:rsidRPr="00B1522E">
        <w:rPr>
          <w:shd w:val="clear" w:color="auto" w:fill="FFFFFF"/>
        </w:rPr>
        <w:fldChar w:fldCharType="end"/>
      </w:r>
      <w:r w:rsidRPr="00B1522E">
        <w:rPr>
          <w:shd w:val="clear" w:color="auto" w:fill="FFFFFF"/>
        </w:rPr>
        <w:t xml:space="preserve">. </w:t>
      </w:r>
      <w:r w:rsidRPr="00B1522E">
        <w:t>Schools represent a unique social environment</w:t>
      </w:r>
      <w:r w:rsidRPr="00B1522E">
        <w:rPr>
          <w:shd w:val="clear" w:color="auto" w:fill="FFFFFF"/>
        </w:rPr>
        <w:t xml:space="preserve"> and are an important setting for promoting and supporting adolescents to have healthy dietary behaviours </w:t>
      </w:r>
      <w:r w:rsidRPr="00B1522E">
        <w:fldChar w:fldCharType="begin" w:fldLock="1"/>
      </w:r>
      <w:r w:rsidR="0063396E" w:rsidRPr="00B1522E">
        <w:instrText>ADDIN CSL_CITATION {"citationItems":[{"id":"ITEM-1","itemData":{"ISSN":"2072-6643","abstract":"INTRO: Globally, the prevalence of overweight and obesity is increasing among children and younger adults and is associated with unhealthy dietary habits and lack of physical activity. School food is increasingly brought forward as a policy to address the unhealthy eating patterns among young people. AIM: This study investigated the evidence for the effectiveness of school-based food and nutrition interventions on health outcomes by reviewing scientific evidence-based intervention studies amongst children at the international level. METHODS: This study was based on a systematic review using the PRISMA guidelines. Three electronic databases were systematically searched, reference lists were screened for studies evaluating school-based food and nutrition interventions that promoted children's dietary behaviour and health aiming changes in the body composition among children. Articles dating from 2014 to 2019 were selected and reported effects on anthropometry, dietary behaviour, nutritional knowledge, and attitude. RESULTS: The review showed that school-based interventions in general were able to affect attitudes, knowledge, behaviour and anthropometry, but that the design of the intervention affects the size of the effect. In general, food focused interventions taking an environmental approach seemed to be most effective. CONCLUSIONS: School-based interventions (including multicomponent interventions) can be an effective and promising means for promoting healthy eating, improving dietary behaviour, attitude and anthropometry among young children. Thus, schools as a system have the potential to make lasting improvements, ensuring healthy school environment around the globe for the betterment of children's short- and long-term health.","author":[{"dropping-particle":"","family":"Chaudhary","given":"Abina","non-dropping-particle":"","parse-names":false,"suffix":""},{"dropping-particle":"","family":"Sudzina","given":"František","non-dropping-particle":"","parse-names":false,"suffix":""},{"dropping-particle":"","family":"Mikkelsen","given":"Bent Egberg","non-dropping-particle":"","parse-names":false,"suffix":""}],"container-title":"Nutrients","id":"ITEM-1","issue":"9","issued":{"date-parts":[["2020","9","22"]]},"language":"eng","page":"2894-2928","publisher":"MDPI","title":"Promoting Healthy Eating among Young People-A Review of the Evidence of the Impact of School-Based Interventions","type":"article-journal","volume":"12"},"uris":["http://www.mendeley.com/documents/?uuid=35e25965-e61b-4c34-88e3-ea1a56347528"]}],"mendeley":{"formattedCitation":"(Chaudhary et al., 2020)","plainTextFormattedCitation":"(Chaudhary et al., 2020)","previouslyFormattedCitation":"(Chaudhary et al., 2020)"},"properties":{"noteIndex":0},"schema":"https://github.com/citation-style-language/schema/raw/master/csl-citation.json"}</w:instrText>
      </w:r>
      <w:r w:rsidRPr="00B1522E">
        <w:fldChar w:fldCharType="separate"/>
      </w:r>
      <w:r w:rsidR="004B7FAF" w:rsidRPr="00B1522E">
        <w:rPr>
          <w:noProof/>
        </w:rPr>
        <w:t>(Chaudhary et al., 2020)</w:t>
      </w:r>
      <w:r w:rsidRPr="00B1522E">
        <w:fldChar w:fldCharType="end"/>
      </w:r>
      <w:r w:rsidRPr="00B1522E">
        <w:rPr>
          <w:shd w:val="clear" w:color="auto" w:fill="FFFFFF"/>
        </w:rPr>
        <w:t xml:space="preserve">. </w:t>
      </w:r>
      <w:r w:rsidRPr="00B1522E">
        <w:t xml:space="preserve">Schools have continuous, direct, and intensive contact with adolescents where a supportive healthy environment can be created </w:t>
      </w:r>
      <w:r w:rsidRPr="00B1522E">
        <w:fldChar w:fldCharType="begin" w:fldLock="1"/>
      </w:r>
      <w:r w:rsidR="00DF6CCC" w:rsidRPr="00B1522E">
        <w:instrText>ADDIN CSL_CITATION {"citationItems":[{"id":"ITEM-1","itemData":{"ISSN":"0965-4283","abstract":"Purpose – The purpose of this paper is to summarize a consensus statement generated on the current challenges, strategies, and potential of health promoting schools (HPS) at a 2011 colloquium at the Stellenbosch Institute for Advanced Study where 40 people from five continents came together to share their global and regional experience surrounding the World Health Organization (WHO) HPS model. Design/methodology/approach – Using the consensus as its foundation, this review summarizes the underlying educational and social science concepts and factors that contribute to success or failure of HPS, and incorporates peer reviewed papers based on invited presentations at the colloquium and key related literature. Findings – HPS increase knowledge and develop behaviors that benefit the health of children, such schools are also an investment in the well-being of the larger community. Importantly for their long-term psychological health “resilience” is generated by effective HPS programs. Professional development ...","author":[{"dropping-particle":"","family":"Macnab","given":"Andrew J.","non-dropping-particle":"","parse-names":false,"suffix":""},{"dropping-particle":"","family":"Gagnon","given":"Faith A.","non-dropping-particle":"","parse-names":false,"suffix":""},{"dropping-particle":"","family":"Stewart","given":"Donald","non-dropping-particle":"","parse-names":false,"suffix":""}],"container-title":"Health Education","editor":[{"dropping-particle":"","family":"Andrew J. Macnab, Dr. Faith A. Gagn","given":"Professor","non-dropping-particle":"","parse-names":false,"suffix":""}],"id":"ITEM-1","issue":"3","issued":{"date-parts":[["2014","4","7"]]},"page":"170-185","publisher":"Emerald Group Publishing Limited","title":"Health promoting schools: consensus, strategies, and potential","type":"article-journal","volume":"114"},"uris":["http://www.mendeley.com/documents/?uuid=ad9d4f17-79e3-4b88-a4b7-b20200c8585e"]}],"mendeley":{"formattedCitation":"(Macnab et al., 2014)","plainTextFormattedCitation":"(Macnab et al., 2014)","previouslyFormattedCitation":"(Macnab et al., 2014)"},"properties":{"noteIndex":0},"schema":"https://github.com/citation-style-language/schema/raw/master/csl-citation.json"}</w:instrText>
      </w:r>
      <w:r w:rsidRPr="00B1522E">
        <w:fldChar w:fldCharType="separate"/>
      </w:r>
      <w:r w:rsidR="004B7FAF" w:rsidRPr="00B1522E">
        <w:rPr>
          <w:noProof/>
        </w:rPr>
        <w:t>(Macnab et al., 2014)</w:t>
      </w:r>
      <w:r w:rsidRPr="00B1522E">
        <w:fldChar w:fldCharType="end"/>
      </w:r>
      <w:r w:rsidRPr="00B1522E">
        <w:t xml:space="preserve">. School infrastructures mean that interventions can be easily implemented and evaluated, and the setting can be used to reach a large number of adolescents to positively impact their dietary behaviours </w:t>
      </w:r>
      <w:r w:rsidRPr="00B1522E">
        <w:fldChar w:fldCharType="begin" w:fldLock="1"/>
      </w:r>
      <w:r w:rsidR="00041A9F" w:rsidRPr="00B1522E">
        <w:instrText>ADDIN CSL_CITATION {"citationItems":[{"id":"ITEM-1","itemData":{"ISSN":"1486-3847","author":[{"dropping-particle":"","family":"Birch","given":"Leann","non-dropping-particle":"","parse-names":false,"suffix":""},{"dropping-particle":"","family":"Savage","given":"Jennifer S","non-dropping-particle":"","parse-names":false,"suffix":""},{"dropping-particle":"","family":"Ventura","given":"Alison","non-dropping-particle":"","parse-names":false,"suffix":""}],"container-title":"Canadian journal of dietetic practice and research","id":"ITEM-1","issue":"1","issued":{"date-parts":[["2007"]]},"language":"eng","page":"1-56","title":"Influences on the Development of Children's Eating Behaviours: From Infancy to Adolescence","type":"article-journal","volume":"68"},"uris":["http://www.mendeley.com/documents/?uuid=d0097277-c187-46c0-ac58-d5673a2979ba"]}],"mendeley":{"formattedCitation":"(Birch et al., 2007)","plainTextFormattedCitation":"(Birch et al., 2007)","previouslyFormattedCitation":"(Birch et al., 2007)"},"properties":{"noteIndex":0},"schema":"https://github.com/citation-style-language/schema/raw/master/csl-citation.json"}</w:instrText>
      </w:r>
      <w:r w:rsidRPr="00B1522E">
        <w:fldChar w:fldCharType="separate"/>
      </w:r>
      <w:r w:rsidR="004B7FAF" w:rsidRPr="00B1522E">
        <w:rPr>
          <w:noProof/>
        </w:rPr>
        <w:t>(Birch et al., 2007)</w:t>
      </w:r>
      <w:r w:rsidRPr="00B1522E">
        <w:fldChar w:fldCharType="end"/>
      </w:r>
      <w:r w:rsidRPr="00B1522E">
        <w:t>.</w:t>
      </w:r>
      <w:r w:rsidRPr="00B1522E">
        <w:rPr>
          <w:shd w:val="clear" w:color="auto" w:fill="FFFFFF"/>
        </w:rPr>
        <w:t xml:space="preserve"> School-based healthy eating interventions have the potential to cultivate healthier dietary consumption and food purchasing behaviours amongst adolescents </w:t>
      </w:r>
      <w:r w:rsidRPr="00B1522E">
        <w:rPr>
          <w:shd w:val="clear" w:color="auto" w:fill="FFFFFF"/>
        </w:rPr>
        <w:fldChar w:fldCharType="begin" w:fldLock="1"/>
      </w:r>
      <w:r w:rsidR="00DF6CCC" w:rsidRPr="00B1522E">
        <w:rPr>
          <w:shd w:val="clear" w:color="auto" w:fill="FFFFFF"/>
        </w:rPr>
        <w:instrText>ADDIN CSL_CITATION {"citationItems":[{"id":"ITEM-1","itemData":{"ISSN":"0021-7557","author":[{"dropping-particle":"","family":"Silveira","given":"Jonas A C","non-dropping-particle":"","parse-names":false,"suffix":""},{"dropping-particle":"","family":"Taddei","given":"José A A C","non-dropping-particle":"","parse-names":false,"suffix":""},{"dropping-particle":"","family":"Guerra","given":"Paulo H","non-dropping-particle":"","parse-names":false,"suffix":""},{"dropping-particle":"","family":"Nobre","given":"Moacyr R C","non-dropping-particle":"","parse-names":false,"suffix":""}],"container-title":"Jornal de pediatria","id":"ITEM-1","issue":"5","issued":{"date-parts":[["2011"]]},"page":"382-392","publisher":"SciELO Brasil","title":"Effectiveness of school-based nutrition education interventions to prevent and reduce excessive weight gain in children and adolescents: a systematic review","type":"article-journal","volume":"87"},"uris":["http://www.mendeley.com/documents/?uuid=11fdad33-76f4-42be-aaaa-72ee1660c161"]},{"id":"ITEM-2","itemData":{"ISSN":"1467-7881","author":[{"dropping-particle":"","family":"Driessen","given":"Christine E","non-dropping-particle":"","parse-names":false,"suffix":""},{"dropping-particle":"","family":"Cameron","given":"Adrian J","non-dropping-particle":"","parse-names":false,"suffix":""},{"dropping-particle":"","family":"Thornton","given":"Lukar E","non-dropping-particle":"","parse-names":false,"suffix":""},{"dropping-particle":"","family":"Lai","given":"Samuel K","non-dropping-particle":"","parse-names":false,"suffix":""},{"dropping-particle":"","family":"Barnett","given":"Lisa M","non-dropping-particle":"","parse-names":false,"suffix":""}],"container-title":"Obesity reviews","id":"ITEM-2","issue":"12","issued":{"date-parts":[["2014"]]},"page":"968-982","publisher":"Wiley Online Library","title":"Effect of changes to the school food environment on eating behaviours and/or body weight in children: a systematic review","type":"article-journal","volume":"15"},"uris":["http://www.mendeley.com/documents/?uuid=6917e22c-1b16-41e8-86ee-d4f81c23d8cc"]}],"mendeley":{"formattedCitation":"(Driessen et al., 2014; Silveira et al., 2011)","plainTextFormattedCitation":"(Driessen et al., 2014; Silveira et al., 2011)","previouslyFormattedCitation":"(Driessen et al., 2014; Silveira et al., 2011)"},"properties":{"noteIndex":0},"schema":"https://github.com/citation-style-language/schema/raw/master/csl-citation.json"}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(Driessen et al., 2014; Silveira et al., 2011)</w:t>
      </w:r>
      <w:r w:rsidRPr="00B1522E">
        <w:rPr>
          <w:shd w:val="clear" w:color="auto" w:fill="FFFFFF"/>
        </w:rPr>
        <w:fldChar w:fldCharType="end"/>
      </w:r>
      <w:r w:rsidRPr="00B1522E">
        <w:rPr>
          <w:shd w:val="clear" w:color="auto" w:fill="FFFFFF"/>
        </w:rPr>
        <w:t xml:space="preserve">. </w:t>
      </w:r>
    </w:p>
    <w:p w14:paraId="0FB9B62A" w14:textId="77777777" w:rsidR="00A379FC" w:rsidRPr="00B1522E" w:rsidRDefault="00A379FC" w:rsidP="00A379FC">
      <w:pPr>
        <w:spacing w:line="480" w:lineRule="auto"/>
        <w:jc w:val="both"/>
      </w:pPr>
    </w:p>
    <w:p w14:paraId="628E2F17" w14:textId="45D9595C" w:rsidR="00A379FC" w:rsidRPr="00B1522E" w:rsidRDefault="00936966" w:rsidP="00A379FC">
      <w:pPr>
        <w:spacing w:line="480" w:lineRule="auto"/>
        <w:jc w:val="both"/>
        <w:rPr>
          <w:b/>
          <w:bCs/>
        </w:rPr>
      </w:pPr>
      <w:r w:rsidRPr="00B1522E">
        <w:fldChar w:fldCharType="begin"/>
      </w:r>
      <w:r w:rsidRPr="00B1522E">
        <w:instrText xml:space="preserve"> TC  "</w:instrText>
      </w:r>
      <w:bookmarkStart w:id="17" w:name="_Toc97310406"/>
      <w:r w:rsidRPr="00B1522E">
        <w:instrText>1.4 Overview of the Thesis</w:instrText>
      </w:r>
      <w:bookmarkEnd w:id="17"/>
      <w:r w:rsidRPr="00B1522E">
        <w:instrText xml:space="preserve">" \f x\l 2 </w:instrText>
      </w:r>
      <w:r w:rsidRPr="00B1522E">
        <w:fldChar w:fldCharType="end"/>
      </w:r>
      <w:r w:rsidR="00A379FC" w:rsidRPr="00B1522E">
        <w:rPr>
          <w:b/>
          <w:bCs/>
        </w:rPr>
        <w:t>1.4 Overview of the Thesis</w:t>
      </w:r>
    </w:p>
    <w:p w14:paraId="03B16A4A" w14:textId="14EB56F0" w:rsidR="00A379FC" w:rsidRPr="00B1522E" w:rsidRDefault="00A379FC" w:rsidP="00A379FC">
      <w:pPr>
        <w:spacing w:line="480" w:lineRule="auto"/>
        <w:jc w:val="both"/>
      </w:pPr>
      <w:r w:rsidRPr="00B1522E">
        <w:t>The aim of this thesis was to examine whether an in-school SNA intervention could be used to reduce the unhealthy dietary behaviours of secondary school students</w:t>
      </w:r>
      <w:r w:rsidRPr="00B1522E">
        <w:rPr>
          <w:rFonts w:ascii="Calibri" w:hAnsi="Calibri" w:cs="Calibri"/>
          <w:shd w:val="clear" w:color="auto" w:fill="FFFFFF"/>
        </w:rPr>
        <w:t>.</w:t>
      </w:r>
      <w:r w:rsidRPr="00B1522E">
        <w:t xml:space="preserve"> Detailed aims and objectives of the thesis are given in section 4.2. Each Chapter included in this thesis is briefly described below:</w:t>
      </w:r>
    </w:p>
    <w:p w14:paraId="48473FB2" w14:textId="77777777" w:rsidR="00A379FC" w:rsidRPr="00B1522E" w:rsidRDefault="00A379FC" w:rsidP="00A379FC">
      <w:pPr>
        <w:spacing w:line="480" w:lineRule="auto"/>
        <w:jc w:val="both"/>
      </w:pPr>
    </w:p>
    <w:p w14:paraId="70636CF2" w14:textId="77777777" w:rsidR="00A379FC" w:rsidRPr="00B1522E" w:rsidRDefault="00A379FC" w:rsidP="00A379FC">
      <w:pPr>
        <w:spacing w:line="480" w:lineRule="auto"/>
        <w:jc w:val="both"/>
      </w:pPr>
      <w:r w:rsidRPr="00B1522E">
        <w:rPr>
          <w:i/>
          <w:iCs/>
        </w:rPr>
        <w:lastRenderedPageBreak/>
        <w:t xml:space="preserve">Chapter 2 (Systematic review) </w:t>
      </w:r>
      <w:r w:rsidRPr="00B1522E">
        <w:t>– Presents a review of the literature focused on school-based interventions which have been designed to improve dietary behaviours of adolescents.</w:t>
      </w:r>
    </w:p>
    <w:p w14:paraId="31578596" w14:textId="77777777" w:rsidR="00A379FC" w:rsidRPr="00B1522E" w:rsidRDefault="00A379FC" w:rsidP="00A379FC">
      <w:pPr>
        <w:spacing w:line="480" w:lineRule="auto"/>
        <w:jc w:val="both"/>
      </w:pPr>
    </w:p>
    <w:p w14:paraId="05ACA722" w14:textId="77777777" w:rsidR="00A379FC" w:rsidRPr="00B1522E" w:rsidRDefault="00A379FC" w:rsidP="00A379FC">
      <w:pPr>
        <w:spacing w:line="480" w:lineRule="auto"/>
        <w:jc w:val="both"/>
      </w:pPr>
      <w:r w:rsidRPr="00B1522E">
        <w:rPr>
          <w:i/>
          <w:iCs/>
        </w:rPr>
        <w:t xml:space="preserve">Chapter 3 (Narrative review) </w:t>
      </w:r>
      <w:r w:rsidRPr="00B1522E">
        <w:rPr>
          <w:i/>
          <w:iCs/>
        </w:rPr>
        <w:softHyphen/>
      </w:r>
      <w:r w:rsidRPr="00B1522E">
        <w:t>– Presents a review of the literature providing a comprehensive overview of the theoretical and empirical background of the Social Norms Approach and how it has been used as a behaviour change strategy.</w:t>
      </w:r>
    </w:p>
    <w:p w14:paraId="4B947C72" w14:textId="77777777" w:rsidR="00A379FC" w:rsidRPr="00B1522E" w:rsidRDefault="00A379FC" w:rsidP="00A379FC">
      <w:pPr>
        <w:spacing w:line="480" w:lineRule="auto"/>
        <w:jc w:val="both"/>
      </w:pPr>
    </w:p>
    <w:p w14:paraId="1A770AFE" w14:textId="2C1867B8" w:rsidR="00A379FC" w:rsidRPr="00B1522E" w:rsidRDefault="00A379FC" w:rsidP="00A379FC">
      <w:pPr>
        <w:spacing w:line="480" w:lineRule="auto"/>
        <w:jc w:val="both"/>
      </w:pPr>
      <w:r w:rsidRPr="00B1522E">
        <w:rPr>
          <w:i/>
          <w:iCs/>
        </w:rPr>
        <w:t xml:space="preserve">Chapter 4 (Aims and Methodology) </w:t>
      </w:r>
      <w:r w:rsidRPr="00B1522E">
        <w:t>– Outlines the aims and objective</w:t>
      </w:r>
      <w:r w:rsidR="00174C66" w:rsidRPr="00B1522E">
        <w:t>s</w:t>
      </w:r>
      <w:r w:rsidRPr="00B1522E">
        <w:t xml:space="preserve"> of the thesis and provides an overview of the methodologies used in the studies included in this thesis.</w:t>
      </w:r>
    </w:p>
    <w:p w14:paraId="63ED6320" w14:textId="77777777" w:rsidR="00A379FC" w:rsidRPr="00B1522E" w:rsidRDefault="00A379FC" w:rsidP="00A379FC">
      <w:pPr>
        <w:spacing w:line="480" w:lineRule="auto"/>
        <w:jc w:val="both"/>
      </w:pPr>
    </w:p>
    <w:p w14:paraId="2500ACF3" w14:textId="77777777" w:rsidR="00A379FC" w:rsidRPr="00B1522E" w:rsidRDefault="00A379FC" w:rsidP="00A379FC">
      <w:pPr>
        <w:spacing w:line="480" w:lineRule="auto"/>
        <w:jc w:val="both"/>
      </w:pPr>
      <w:r w:rsidRPr="00B1522E">
        <w:rPr>
          <w:i/>
          <w:iCs/>
        </w:rPr>
        <w:t xml:space="preserve">Chapter 5 (Study 1) - </w:t>
      </w:r>
      <w:r w:rsidRPr="00B1522E">
        <w:t>Explores the perceived influences and barriers associated with healthy and unhealthy food choices amongst secondary school students as part of a qualitative study.</w:t>
      </w:r>
    </w:p>
    <w:p w14:paraId="25F7B674" w14:textId="77777777" w:rsidR="00A379FC" w:rsidRPr="00B1522E" w:rsidRDefault="00A379FC" w:rsidP="00A379FC">
      <w:pPr>
        <w:spacing w:line="480" w:lineRule="auto"/>
        <w:jc w:val="both"/>
        <w:rPr>
          <w:i/>
          <w:iCs/>
        </w:rPr>
      </w:pPr>
    </w:p>
    <w:p w14:paraId="2B1F4141" w14:textId="77777777" w:rsidR="00A379FC" w:rsidRPr="00B1522E" w:rsidRDefault="00A379FC" w:rsidP="00A379FC">
      <w:pPr>
        <w:spacing w:line="480" w:lineRule="auto"/>
        <w:jc w:val="both"/>
      </w:pPr>
      <w:r w:rsidRPr="00B1522E">
        <w:rPr>
          <w:i/>
          <w:iCs/>
        </w:rPr>
        <w:t xml:space="preserve">Chapter 6 (Intervention Development) – </w:t>
      </w:r>
      <w:r w:rsidRPr="00B1522E">
        <w:t>Details the development of the in-school SNA intervention which targets unhealthy dietary behaviours of students.</w:t>
      </w:r>
    </w:p>
    <w:p w14:paraId="69172E88" w14:textId="77777777" w:rsidR="00A379FC" w:rsidRPr="00B1522E" w:rsidRDefault="00A379FC" w:rsidP="00A379FC">
      <w:pPr>
        <w:spacing w:line="480" w:lineRule="auto"/>
        <w:jc w:val="both"/>
        <w:rPr>
          <w:i/>
          <w:iCs/>
        </w:rPr>
      </w:pPr>
    </w:p>
    <w:p w14:paraId="39610208" w14:textId="77777777" w:rsidR="00A379FC" w:rsidRPr="00B1522E" w:rsidRDefault="00A379FC" w:rsidP="00A379FC">
      <w:pPr>
        <w:spacing w:line="480" w:lineRule="auto"/>
        <w:jc w:val="both"/>
      </w:pPr>
      <w:r w:rsidRPr="00B1522E">
        <w:rPr>
          <w:i/>
          <w:iCs/>
        </w:rPr>
        <w:t>Chapter 7 (Study 2)</w:t>
      </w:r>
      <w:r w:rsidRPr="00B1522E">
        <w:t xml:space="preserve"> – Tests for the existence of dietary-related misperceptions amongst students and whether these misperceptions are associated with personal behaviour.</w:t>
      </w:r>
    </w:p>
    <w:p w14:paraId="5997B297" w14:textId="77777777" w:rsidR="00A379FC" w:rsidRPr="00B1522E" w:rsidRDefault="00A379FC" w:rsidP="00A379FC">
      <w:pPr>
        <w:spacing w:line="480" w:lineRule="auto"/>
        <w:jc w:val="both"/>
      </w:pPr>
    </w:p>
    <w:p w14:paraId="2BAB21D9" w14:textId="77777777" w:rsidR="00A379FC" w:rsidRPr="00B1522E" w:rsidRDefault="00A379FC" w:rsidP="00A379FC">
      <w:pPr>
        <w:spacing w:line="480" w:lineRule="auto"/>
        <w:jc w:val="both"/>
      </w:pPr>
      <w:r w:rsidRPr="00B1522E">
        <w:rPr>
          <w:i/>
          <w:iCs/>
        </w:rPr>
        <w:t>Chapter 8 (Study 3)</w:t>
      </w:r>
      <w:r w:rsidRPr="00B1522E">
        <w:t xml:space="preserve"> – Tests the feasibility of the developed in-school SNA intervention to reduce unhealthy snacking behaviours of students.</w:t>
      </w:r>
    </w:p>
    <w:p w14:paraId="5F3E5740" w14:textId="77777777" w:rsidR="00A379FC" w:rsidRPr="00B1522E" w:rsidRDefault="00A379FC" w:rsidP="00A379FC">
      <w:pPr>
        <w:spacing w:line="480" w:lineRule="auto"/>
        <w:jc w:val="both"/>
      </w:pPr>
    </w:p>
    <w:p w14:paraId="75A60EC9" w14:textId="77777777" w:rsidR="00A379FC" w:rsidRPr="00B1522E" w:rsidRDefault="00A379FC" w:rsidP="00A379FC">
      <w:pPr>
        <w:spacing w:line="480" w:lineRule="auto"/>
        <w:jc w:val="both"/>
      </w:pPr>
      <w:r w:rsidRPr="00B1522E">
        <w:rPr>
          <w:i/>
          <w:iCs/>
        </w:rPr>
        <w:lastRenderedPageBreak/>
        <w:t xml:space="preserve">Chapter 9 (Study 4) – </w:t>
      </w:r>
      <w:r w:rsidRPr="00B1522E">
        <w:t>Evaluates the SNA intervention by exploring students' and teachers’ experiences of participating in the intervention.</w:t>
      </w:r>
    </w:p>
    <w:p w14:paraId="7E921B5E" w14:textId="77777777" w:rsidR="00A379FC" w:rsidRPr="00B1522E" w:rsidRDefault="00A379FC" w:rsidP="00A379FC">
      <w:pPr>
        <w:spacing w:line="480" w:lineRule="auto"/>
        <w:jc w:val="both"/>
      </w:pPr>
    </w:p>
    <w:p w14:paraId="4630EA25" w14:textId="68D19DF7" w:rsidR="00A379FC" w:rsidRPr="00B1522E" w:rsidRDefault="00A379FC" w:rsidP="00A379FC">
      <w:pPr>
        <w:spacing w:line="480" w:lineRule="auto"/>
        <w:jc w:val="both"/>
      </w:pPr>
      <w:r w:rsidRPr="00B1522E">
        <w:rPr>
          <w:i/>
          <w:iCs/>
        </w:rPr>
        <w:t>Chapter 10 (General Discussion)</w:t>
      </w:r>
      <w:r w:rsidRPr="00B1522E">
        <w:t xml:space="preserve"> - Discusses the overall findings in relation to the thesis aims and objectives, identifies strengths and limitations of the work, outlines </w:t>
      </w:r>
      <w:r w:rsidR="00D260EC" w:rsidRPr="00B1522E">
        <w:t xml:space="preserve">implications and </w:t>
      </w:r>
      <w:r w:rsidRPr="00B1522E">
        <w:t>areas for future research, and includes a reflection on how the research influenced, and was influenced by, the research.</w:t>
      </w:r>
    </w:p>
    <w:p w14:paraId="5D93772A" w14:textId="77777777" w:rsidR="00A379FC" w:rsidRPr="00B1522E" w:rsidRDefault="00A379FC" w:rsidP="00A379FC">
      <w:pPr>
        <w:spacing w:line="480" w:lineRule="auto"/>
        <w:jc w:val="both"/>
      </w:pPr>
    </w:p>
    <w:p w14:paraId="7A4C791D" w14:textId="2732B9E4" w:rsidR="00A379FC" w:rsidRPr="00B1522E" w:rsidRDefault="00A379FC" w:rsidP="00A379FC">
      <w:pPr>
        <w:spacing w:line="480" w:lineRule="auto"/>
        <w:jc w:val="both"/>
      </w:pPr>
      <w:r w:rsidRPr="00B1522E">
        <w:t>The systematic review (Chapter 2), and the studies presented in Chapter 5 and 7 have been published, and the study presented in Chapter 8 is currently under review.  All of these chapters in the thesis are presented as scientific papers in the format that they have been submitted to the journal.  Table 1 below provides the references for these studies. These Chapters were written to be read independently from one another, so as a result there may be some overlap between the Chapter</w:t>
      </w:r>
      <w:r w:rsidR="00C26FDE" w:rsidRPr="00B1522E">
        <w:t>s.</w:t>
      </w:r>
    </w:p>
    <w:p w14:paraId="1F971FDE" w14:textId="77777777" w:rsidR="006C235C" w:rsidRPr="00B1522E" w:rsidRDefault="006C235C" w:rsidP="00A379FC">
      <w:pPr>
        <w:spacing w:line="480" w:lineRule="auto"/>
        <w:jc w:val="both"/>
      </w:pPr>
    </w:p>
    <w:p w14:paraId="4DD72F88" w14:textId="77777777" w:rsidR="006C235C" w:rsidRPr="00B1522E" w:rsidRDefault="006C235C" w:rsidP="00A379FC">
      <w:pPr>
        <w:spacing w:line="480" w:lineRule="auto"/>
        <w:jc w:val="both"/>
      </w:pPr>
    </w:p>
    <w:p w14:paraId="6FB18E27" w14:textId="77777777" w:rsidR="006C235C" w:rsidRPr="00B1522E" w:rsidRDefault="006C235C" w:rsidP="00A379FC">
      <w:pPr>
        <w:spacing w:line="480" w:lineRule="auto"/>
        <w:jc w:val="both"/>
      </w:pPr>
    </w:p>
    <w:p w14:paraId="6062BD17" w14:textId="1EA4F45B" w:rsidR="006C235C" w:rsidRPr="00B1522E" w:rsidRDefault="006C235C" w:rsidP="00A379FC">
      <w:pPr>
        <w:spacing w:line="480" w:lineRule="auto"/>
        <w:jc w:val="both"/>
      </w:pPr>
    </w:p>
    <w:p w14:paraId="393F162F" w14:textId="4442DBB8" w:rsidR="000E2DE6" w:rsidRPr="00B1522E" w:rsidRDefault="000E2DE6" w:rsidP="00A379FC">
      <w:pPr>
        <w:spacing w:line="480" w:lineRule="auto"/>
        <w:jc w:val="both"/>
      </w:pPr>
    </w:p>
    <w:p w14:paraId="53F40918" w14:textId="797B6289" w:rsidR="000E2DE6" w:rsidRPr="00B1522E" w:rsidRDefault="000E2DE6" w:rsidP="00A379FC">
      <w:pPr>
        <w:spacing w:line="480" w:lineRule="auto"/>
        <w:jc w:val="both"/>
      </w:pPr>
    </w:p>
    <w:p w14:paraId="0D8027F8" w14:textId="77777777" w:rsidR="000A514C" w:rsidRPr="00B1522E" w:rsidRDefault="000A514C" w:rsidP="00A379FC">
      <w:pPr>
        <w:spacing w:line="480" w:lineRule="auto"/>
        <w:jc w:val="both"/>
      </w:pPr>
    </w:p>
    <w:p w14:paraId="2F0266B5" w14:textId="77777777" w:rsidR="000E2DE6" w:rsidRPr="00B1522E" w:rsidRDefault="000E2DE6" w:rsidP="00A379FC">
      <w:pPr>
        <w:spacing w:line="480" w:lineRule="auto"/>
        <w:jc w:val="both"/>
      </w:pPr>
    </w:p>
    <w:p w14:paraId="72DE3F3F" w14:textId="77777777" w:rsidR="006C235C" w:rsidRPr="00B1522E" w:rsidRDefault="006C235C" w:rsidP="00A379FC">
      <w:pPr>
        <w:spacing w:line="480" w:lineRule="auto"/>
        <w:jc w:val="both"/>
      </w:pPr>
    </w:p>
    <w:p w14:paraId="11902326" w14:textId="523242F9" w:rsidR="00A379FC" w:rsidRPr="00B1522E" w:rsidRDefault="00936966" w:rsidP="00A379FC">
      <w:pPr>
        <w:spacing w:line="480" w:lineRule="auto"/>
        <w:jc w:val="both"/>
        <w:rPr>
          <w:b/>
          <w:bCs/>
        </w:rPr>
      </w:pPr>
      <w:r w:rsidRPr="00B1522E">
        <w:lastRenderedPageBreak/>
        <w:fldChar w:fldCharType="begin"/>
      </w:r>
      <w:r w:rsidRPr="00B1522E">
        <w:instrText xml:space="preserve"> TC  "</w:instrText>
      </w:r>
      <w:bookmarkStart w:id="18" w:name="_Toc97310407"/>
      <w:r w:rsidRPr="00B1522E">
        <w:instrText>1.5 Published and under review publications emerging from the present thesis</w:instrText>
      </w:r>
      <w:bookmarkEnd w:id="18"/>
      <w:r w:rsidRPr="00B1522E">
        <w:instrText xml:space="preserve"> " \f x\l 2 </w:instrText>
      </w:r>
      <w:r w:rsidRPr="00B1522E">
        <w:fldChar w:fldCharType="end"/>
      </w:r>
      <w:r w:rsidR="00A379FC" w:rsidRPr="00B1522E">
        <w:rPr>
          <w:b/>
          <w:bCs/>
        </w:rPr>
        <w:t>1.5 Published and under review publications emerging from the present thesis</w:t>
      </w:r>
    </w:p>
    <w:p w14:paraId="61A119E2" w14:textId="703C2624" w:rsidR="00A379FC" w:rsidRPr="00B1522E" w:rsidRDefault="00C50A04" w:rsidP="00A379FC">
      <w:pPr>
        <w:spacing w:line="480" w:lineRule="auto"/>
        <w:jc w:val="both"/>
      </w:pPr>
      <w:r w:rsidRPr="00B1522E">
        <w:rPr>
          <w:b/>
          <w:bCs/>
          <w:i/>
          <w:iCs/>
        </w:rPr>
        <w:fldChar w:fldCharType="begin"/>
      </w:r>
      <w:r w:rsidRPr="00B1522E">
        <w:rPr>
          <w:b/>
          <w:bCs/>
        </w:rPr>
        <w:instrText xml:space="preserve"> TC  "</w:instrText>
      </w:r>
      <w:r w:rsidRPr="00B1522E">
        <w:rPr>
          <w:sz w:val="24"/>
          <w:szCs w:val="24"/>
        </w:rPr>
        <w:instrText xml:space="preserve"> </w:instrText>
      </w:r>
      <w:bookmarkStart w:id="19" w:name="_Toc97557124"/>
      <w:r w:rsidRPr="00B1522E">
        <w:instrText>Table 1. A list of publications corresponding to the specific thesis Chapters</w:instrText>
      </w:r>
      <w:bookmarkEnd w:id="19"/>
      <w:r w:rsidRPr="00B1522E">
        <w:rPr>
          <w:rFonts w:cstheme="minorHAnsi"/>
        </w:rPr>
        <w:instrText>”</w:instrText>
      </w:r>
      <w:r w:rsidRPr="00B1522E">
        <w:rPr>
          <w:b/>
          <w:bCs/>
        </w:rPr>
        <w:instrText xml:space="preserve">\f z\l 2 </w:instrText>
      </w:r>
      <w:r w:rsidRPr="00B1522E">
        <w:rPr>
          <w:b/>
          <w:bCs/>
          <w:i/>
          <w:iCs/>
        </w:rPr>
        <w:fldChar w:fldCharType="end"/>
      </w:r>
      <w:r w:rsidR="00A379FC" w:rsidRPr="00B1522E">
        <w:t xml:space="preserve">Table 1. A list of publications corresponding to the specific thesis Chapters.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E77769" w:rsidRPr="00B1522E" w14:paraId="62390297" w14:textId="77777777" w:rsidTr="005E3F82">
        <w:tc>
          <w:tcPr>
            <w:tcW w:w="1271" w:type="dxa"/>
            <w:tcBorders>
              <w:top w:val="single" w:sz="4" w:space="0" w:color="auto"/>
              <w:bottom w:val="single" w:sz="4" w:space="0" w:color="auto"/>
            </w:tcBorders>
          </w:tcPr>
          <w:p w14:paraId="7C6ACBF7" w14:textId="77777777" w:rsidR="00A379FC" w:rsidRPr="00B1522E" w:rsidRDefault="00A379FC" w:rsidP="005E3F82">
            <w:pPr>
              <w:spacing w:line="480" w:lineRule="auto"/>
              <w:jc w:val="both"/>
              <w:rPr>
                <w:b/>
                <w:bCs/>
              </w:rPr>
            </w:pPr>
            <w:r w:rsidRPr="00B1522E">
              <w:rPr>
                <w:b/>
                <w:bCs/>
              </w:rPr>
              <w:t xml:space="preserve">Chapter </w:t>
            </w:r>
          </w:p>
        </w:tc>
        <w:tc>
          <w:tcPr>
            <w:tcW w:w="7745" w:type="dxa"/>
            <w:tcBorders>
              <w:top w:val="single" w:sz="4" w:space="0" w:color="auto"/>
              <w:bottom w:val="single" w:sz="4" w:space="0" w:color="auto"/>
            </w:tcBorders>
          </w:tcPr>
          <w:p w14:paraId="281FACE8" w14:textId="77777777" w:rsidR="00A379FC" w:rsidRPr="00B1522E" w:rsidRDefault="00A379FC" w:rsidP="005E3F82">
            <w:pPr>
              <w:spacing w:line="480" w:lineRule="auto"/>
              <w:jc w:val="both"/>
              <w:rPr>
                <w:b/>
                <w:bCs/>
              </w:rPr>
            </w:pPr>
            <w:r w:rsidRPr="00B1522E">
              <w:rPr>
                <w:b/>
                <w:bCs/>
              </w:rPr>
              <w:t>Reference</w:t>
            </w:r>
          </w:p>
        </w:tc>
      </w:tr>
      <w:tr w:rsidR="00E77769" w:rsidRPr="00B1522E" w14:paraId="4DA59689" w14:textId="77777777" w:rsidTr="005E3F82">
        <w:tc>
          <w:tcPr>
            <w:tcW w:w="1271" w:type="dxa"/>
            <w:tcBorders>
              <w:top w:val="single" w:sz="4" w:space="0" w:color="auto"/>
            </w:tcBorders>
          </w:tcPr>
          <w:p w14:paraId="4025518B" w14:textId="77777777" w:rsidR="00A379FC" w:rsidRPr="00B1522E" w:rsidRDefault="00A379FC" w:rsidP="005E3F82">
            <w:pPr>
              <w:spacing w:line="360" w:lineRule="auto"/>
              <w:jc w:val="both"/>
            </w:pPr>
            <w:r w:rsidRPr="00B1522E">
              <w:t xml:space="preserve">Chapter 2 </w:t>
            </w:r>
          </w:p>
        </w:tc>
        <w:tc>
          <w:tcPr>
            <w:tcW w:w="7745" w:type="dxa"/>
            <w:tcBorders>
              <w:top w:val="single" w:sz="4" w:space="0" w:color="auto"/>
            </w:tcBorders>
          </w:tcPr>
          <w:p w14:paraId="72B6108B" w14:textId="77777777" w:rsidR="00A379FC" w:rsidRPr="00B1522E" w:rsidRDefault="00A379FC" w:rsidP="005E3F82">
            <w:pPr>
              <w:widowControl w:val="0"/>
              <w:autoSpaceDE w:val="0"/>
              <w:autoSpaceDN w:val="0"/>
              <w:adjustRightInd w:val="0"/>
              <w:spacing w:line="360" w:lineRule="auto"/>
            </w:pPr>
            <w:r w:rsidRPr="00B1522E">
              <w:rPr>
                <w:rFonts w:ascii="Calibri" w:hAnsi="Calibri" w:cs="Calibri"/>
                <w:noProof/>
                <w:szCs w:val="24"/>
              </w:rPr>
              <w:t xml:space="preserve">Calvert, S., Dempsey, R. C., &amp; Povey, R. (2019). Delivering in-school interventions to improve dietary behaviours amongst 11- to 16-year-olds: A systematic review. </w:t>
            </w:r>
            <w:r w:rsidRPr="00B1522E">
              <w:rPr>
                <w:rFonts w:ascii="Calibri" w:hAnsi="Calibri" w:cs="Calibri"/>
                <w:i/>
                <w:iCs/>
                <w:noProof/>
                <w:szCs w:val="24"/>
              </w:rPr>
              <w:t>Obesity Reviews</w:t>
            </w:r>
            <w:r w:rsidRPr="00B1522E">
              <w:rPr>
                <w:rFonts w:ascii="Calibri" w:hAnsi="Calibri" w:cs="Calibri"/>
                <w:noProof/>
                <w:szCs w:val="24"/>
              </w:rPr>
              <w:t xml:space="preserve">, </w:t>
            </w:r>
            <w:r w:rsidRPr="00B1522E">
              <w:rPr>
                <w:rFonts w:ascii="Calibri" w:hAnsi="Calibri" w:cs="Calibri"/>
                <w:i/>
                <w:iCs/>
                <w:noProof/>
                <w:szCs w:val="24"/>
              </w:rPr>
              <w:t>20</w:t>
            </w:r>
            <w:r w:rsidRPr="00B1522E">
              <w:rPr>
                <w:rFonts w:ascii="Calibri" w:hAnsi="Calibri" w:cs="Calibri"/>
                <w:noProof/>
                <w:szCs w:val="24"/>
              </w:rPr>
              <w:t>(4), 543–553.</w:t>
            </w:r>
          </w:p>
        </w:tc>
      </w:tr>
      <w:tr w:rsidR="00E77769" w:rsidRPr="00B1522E" w14:paraId="53D3E88E" w14:textId="77777777" w:rsidTr="005E3F82">
        <w:tc>
          <w:tcPr>
            <w:tcW w:w="1271" w:type="dxa"/>
          </w:tcPr>
          <w:p w14:paraId="648CF14A" w14:textId="77777777" w:rsidR="00A379FC" w:rsidRPr="00B1522E" w:rsidRDefault="00A379FC" w:rsidP="005E3F82">
            <w:pPr>
              <w:spacing w:line="360" w:lineRule="auto"/>
              <w:jc w:val="both"/>
            </w:pPr>
            <w:r w:rsidRPr="00B1522E">
              <w:t>Chapter 5</w:t>
            </w:r>
          </w:p>
        </w:tc>
        <w:tc>
          <w:tcPr>
            <w:tcW w:w="7745" w:type="dxa"/>
          </w:tcPr>
          <w:p w14:paraId="0E1196D4" w14:textId="77777777" w:rsidR="00A379FC" w:rsidRPr="00B1522E" w:rsidRDefault="00A379FC" w:rsidP="005E3F82">
            <w:pPr>
              <w:spacing w:line="360" w:lineRule="auto"/>
              <w:jc w:val="both"/>
            </w:pPr>
            <w:r w:rsidRPr="00B1522E">
              <w:rPr>
                <w:rFonts w:ascii="Calibri" w:hAnsi="Calibri" w:cs="Calibri"/>
                <w:noProof/>
                <w:szCs w:val="24"/>
              </w:rPr>
              <w:t xml:space="preserve">Calvert, S., Dempsey, R. C., &amp; Povey, R. (2020). A qualitative study investigating food choices and perceived psychosocial influences on eating behaviours in secondary school students. </w:t>
            </w:r>
            <w:r w:rsidRPr="00B1522E">
              <w:rPr>
                <w:rFonts w:ascii="Calibri" w:hAnsi="Calibri" w:cs="Calibri"/>
                <w:i/>
                <w:iCs/>
                <w:noProof/>
                <w:szCs w:val="24"/>
              </w:rPr>
              <w:t>British Food Journal</w:t>
            </w:r>
            <w:r w:rsidRPr="00B1522E">
              <w:rPr>
                <w:rFonts w:ascii="Calibri" w:hAnsi="Calibri" w:cs="Calibri"/>
                <w:noProof/>
                <w:szCs w:val="24"/>
              </w:rPr>
              <w:t xml:space="preserve">, </w:t>
            </w:r>
            <w:r w:rsidRPr="00B1522E">
              <w:rPr>
                <w:rFonts w:ascii="Calibri" w:hAnsi="Calibri" w:cs="Calibri"/>
                <w:i/>
                <w:iCs/>
                <w:noProof/>
                <w:szCs w:val="24"/>
              </w:rPr>
              <w:t>122</w:t>
            </w:r>
            <w:r w:rsidRPr="00B1522E">
              <w:rPr>
                <w:rFonts w:ascii="Calibri" w:hAnsi="Calibri" w:cs="Calibri"/>
                <w:noProof/>
                <w:szCs w:val="24"/>
              </w:rPr>
              <w:t>(4), 1027–1039.</w:t>
            </w:r>
          </w:p>
        </w:tc>
      </w:tr>
      <w:tr w:rsidR="00E77769" w:rsidRPr="00B1522E" w14:paraId="3E4B3659" w14:textId="77777777" w:rsidTr="005E3F82">
        <w:tc>
          <w:tcPr>
            <w:tcW w:w="1271" w:type="dxa"/>
          </w:tcPr>
          <w:p w14:paraId="038D6981" w14:textId="77777777" w:rsidR="00A379FC" w:rsidRPr="00B1522E" w:rsidRDefault="00A379FC" w:rsidP="005E3F82">
            <w:pPr>
              <w:spacing w:line="360" w:lineRule="auto"/>
              <w:jc w:val="both"/>
            </w:pPr>
            <w:r w:rsidRPr="00B1522E">
              <w:t>Chapter 7</w:t>
            </w:r>
          </w:p>
        </w:tc>
        <w:tc>
          <w:tcPr>
            <w:tcW w:w="7745" w:type="dxa"/>
          </w:tcPr>
          <w:p w14:paraId="63152C23" w14:textId="77777777" w:rsidR="00A379FC" w:rsidRPr="00B1522E" w:rsidRDefault="00A379FC" w:rsidP="005E3F82">
            <w:pPr>
              <w:spacing w:line="360" w:lineRule="auto"/>
              <w:jc w:val="both"/>
            </w:pPr>
            <w:r w:rsidRPr="00B1522E">
              <w:rPr>
                <w:rFonts w:ascii="Calibri" w:hAnsi="Calibri" w:cs="Calibri"/>
                <w:noProof/>
                <w:szCs w:val="24"/>
              </w:rPr>
              <w:t xml:space="preserve">Calvert, S., Dempsey, R. C., &amp; Povey, R. (2021). Normative misperceptions of unhealthy snacking amongst 11- to 12-year-old secondary school students. </w:t>
            </w:r>
            <w:r w:rsidRPr="00B1522E">
              <w:rPr>
                <w:rFonts w:ascii="Calibri" w:hAnsi="Calibri" w:cs="Calibri"/>
                <w:i/>
                <w:iCs/>
                <w:noProof/>
                <w:szCs w:val="24"/>
              </w:rPr>
              <w:t>Appetite</w:t>
            </w:r>
            <w:r w:rsidRPr="00B1522E">
              <w:rPr>
                <w:rFonts w:ascii="Calibri" w:hAnsi="Calibri" w:cs="Calibri"/>
                <w:noProof/>
                <w:szCs w:val="24"/>
              </w:rPr>
              <w:t>, 105462.</w:t>
            </w:r>
          </w:p>
        </w:tc>
      </w:tr>
      <w:tr w:rsidR="00E77769" w:rsidRPr="00B1522E" w14:paraId="1E2EDDD3" w14:textId="77777777" w:rsidTr="005E3F82">
        <w:tc>
          <w:tcPr>
            <w:tcW w:w="1271" w:type="dxa"/>
          </w:tcPr>
          <w:p w14:paraId="6670C2EE" w14:textId="77777777" w:rsidR="00A379FC" w:rsidRPr="00B1522E" w:rsidRDefault="00A379FC" w:rsidP="005E3F82">
            <w:pPr>
              <w:spacing w:line="360" w:lineRule="auto"/>
              <w:jc w:val="both"/>
            </w:pPr>
            <w:r w:rsidRPr="00B1522E">
              <w:t>Chapter 8</w:t>
            </w:r>
          </w:p>
        </w:tc>
        <w:tc>
          <w:tcPr>
            <w:tcW w:w="7745" w:type="dxa"/>
          </w:tcPr>
          <w:p w14:paraId="0EF3130F" w14:textId="77777777" w:rsidR="00A379FC" w:rsidRPr="00B1522E" w:rsidRDefault="00A379FC" w:rsidP="005E3F82">
            <w:pPr>
              <w:spacing w:line="360" w:lineRule="auto"/>
              <w:rPr>
                <w:rFonts w:cstheme="minorHAnsi"/>
              </w:rPr>
            </w:pPr>
            <w:r w:rsidRPr="00B1522E">
              <w:rPr>
                <w:rFonts w:ascii="Calibri" w:hAnsi="Calibri" w:cs="Calibri"/>
                <w:noProof/>
              </w:rPr>
              <w:t xml:space="preserve">Calvert, S., Dempsey, R. C., Povey, R. &amp; </w:t>
            </w:r>
            <w:r w:rsidRPr="00B1522E">
              <w:rPr>
                <w:rFonts w:cstheme="minorHAnsi"/>
              </w:rPr>
              <w:t>Clark-Carter, D. (under review).</w:t>
            </w:r>
            <w:r w:rsidRPr="00B1522E">
              <w:rPr>
                <w:rFonts w:ascii="Calibri" w:hAnsi="Calibri" w:cs="Calibri"/>
                <w:noProof/>
              </w:rPr>
              <w:t xml:space="preserve"> </w:t>
            </w:r>
            <w:r w:rsidRPr="00B1522E">
              <w:t xml:space="preserve">An in-school Social Norms Approach intervention for reducing unhealthy snacking behaviours amongst 11- to 12-year-olds. </w:t>
            </w:r>
            <w:r w:rsidRPr="00B1522E">
              <w:rPr>
                <w:i/>
                <w:iCs/>
              </w:rPr>
              <w:t>[Manuscript has been revised and resubmitted to the British Journal of Health Psychology]</w:t>
            </w:r>
          </w:p>
        </w:tc>
      </w:tr>
      <w:tr w:rsidR="00A379FC" w:rsidRPr="00B1522E" w14:paraId="6D2FEFC5" w14:textId="77777777" w:rsidTr="005E3F82">
        <w:tc>
          <w:tcPr>
            <w:tcW w:w="1271" w:type="dxa"/>
            <w:tcBorders>
              <w:bottom w:val="single" w:sz="4" w:space="0" w:color="auto"/>
            </w:tcBorders>
          </w:tcPr>
          <w:p w14:paraId="0700A40C" w14:textId="77777777" w:rsidR="00A379FC" w:rsidRPr="00B1522E" w:rsidRDefault="00A379FC" w:rsidP="005E3F82">
            <w:pPr>
              <w:spacing w:line="360" w:lineRule="auto"/>
              <w:jc w:val="both"/>
            </w:pPr>
            <w:r w:rsidRPr="00B1522E">
              <w:t xml:space="preserve">Chapter 9 </w:t>
            </w:r>
          </w:p>
        </w:tc>
        <w:tc>
          <w:tcPr>
            <w:tcW w:w="7745" w:type="dxa"/>
            <w:tcBorders>
              <w:bottom w:val="single" w:sz="4" w:space="0" w:color="auto"/>
            </w:tcBorders>
          </w:tcPr>
          <w:p w14:paraId="3EA22345" w14:textId="22C33D06" w:rsidR="00A379FC" w:rsidRPr="00B1522E" w:rsidRDefault="00A379FC" w:rsidP="005E3F82">
            <w:pPr>
              <w:spacing w:line="360" w:lineRule="auto"/>
              <w:rPr>
                <w:rFonts w:ascii="Calibri" w:hAnsi="Calibri" w:cs="Calibri"/>
                <w:noProof/>
              </w:rPr>
            </w:pPr>
            <w:r w:rsidRPr="00B1522E">
              <w:rPr>
                <w:rFonts w:ascii="Calibri" w:hAnsi="Calibri" w:cs="Calibri"/>
                <w:noProof/>
                <w:szCs w:val="24"/>
              </w:rPr>
              <w:t>Calvert, S., Dempsey, R. C., &amp; Povey, R. (in prepa</w:t>
            </w:r>
            <w:r w:rsidR="00833673" w:rsidRPr="00B1522E">
              <w:rPr>
                <w:rFonts w:ascii="Calibri" w:hAnsi="Calibri" w:cs="Calibri"/>
                <w:noProof/>
                <w:szCs w:val="24"/>
              </w:rPr>
              <w:t>ra</w:t>
            </w:r>
            <w:r w:rsidRPr="00B1522E">
              <w:rPr>
                <w:rFonts w:ascii="Calibri" w:hAnsi="Calibri" w:cs="Calibri"/>
                <w:noProof/>
                <w:szCs w:val="24"/>
              </w:rPr>
              <w:t xml:space="preserve">tion). </w:t>
            </w:r>
            <w:r w:rsidRPr="00B1522E">
              <w:rPr>
                <w:rFonts w:ascii="Calibri" w:hAnsi="Calibri" w:cs="Calibri"/>
                <w:noProof/>
              </w:rPr>
              <w:t xml:space="preserve">A qualitative evaluation of an in-school Social Norms Approach </w:t>
            </w:r>
            <w:r w:rsidRPr="00B1522E">
              <w:t xml:space="preserve">intervention for reducing unhealthy snacking behaviours amongst secondary school students. </w:t>
            </w:r>
          </w:p>
        </w:tc>
      </w:tr>
    </w:tbl>
    <w:p w14:paraId="630E535F" w14:textId="77777777" w:rsidR="00A379FC" w:rsidRPr="00B1522E" w:rsidRDefault="00A379FC" w:rsidP="00A379FC">
      <w:pPr>
        <w:spacing w:line="480" w:lineRule="auto"/>
        <w:jc w:val="both"/>
      </w:pPr>
    </w:p>
    <w:p w14:paraId="37A158A0" w14:textId="77777777" w:rsidR="00A379FC" w:rsidRPr="00B1522E" w:rsidRDefault="00A379FC" w:rsidP="00A379FC">
      <w:pPr>
        <w:jc w:val="both"/>
        <w:rPr>
          <w:b/>
          <w:bCs/>
          <w:lang w:val="it-IT"/>
        </w:rPr>
      </w:pPr>
    </w:p>
    <w:p w14:paraId="61DFE2C9" w14:textId="650C157B" w:rsidR="007F6053" w:rsidRPr="00B1522E" w:rsidRDefault="007F6053" w:rsidP="00F02C72"/>
    <w:p w14:paraId="1BA0EF12" w14:textId="080041C9" w:rsidR="007F6053" w:rsidRPr="00B1522E" w:rsidRDefault="007F6053" w:rsidP="00F02C72"/>
    <w:p w14:paraId="0CE870FF" w14:textId="4C43AA39" w:rsidR="007F6053" w:rsidRPr="00B1522E" w:rsidRDefault="007F6053" w:rsidP="00F02C72"/>
    <w:p w14:paraId="62A078CF" w14:textId="41478593" w:rsidR="00471458" w:rsidRPr="00B1522E" w:rsidRDefault="00471458" w:rsidP="00F02C72"/>
    <w:p w14:paraId="728269F0" w14:textId="21598F91" w:rsidR="00947B54" w:rsidRPr="00B1522E" w:rsidRDefault="00947B54" w:rsidP="00F02C72"/>
    <w:p w14:paraId="03E571A4" w14:textId="45B6F26B" w:rsidR="00076C97" w:rsidRPr="00B1522E" w:rsidRDefault="00076C97" w:rsidP="00F02C72"/>
    <w:p w14:paraId="41439F71" w14:textId="5A4885F8" w:rsidR="00076C97" w:rsidRPr="00B1522E" w:rsidRDefault="00076C97" w:rsidP="00F02C72"/>
    <w:p w14:paraId="2B4865B8" w14:textId="0DFDA946" w:rsidR="00076C97" w:rsidRPr="00B1522E" w:rsidRDefault="00076C97" w:rsidP="00F02C72"/>
    <w:p w14:paraId="575394B5" w14:textId="77777777" w:rsidR="00F51EA3" w:rsidRPr="00B1522E" w:rsidRDefault="00F51EA3" w:rsidP="00F02C72"/>
    <w:p w14:paraId="3F415709" w14:textId="556BDEB6" w:rsidR="00076C97" w:rsidRPr="00B1522E" w:rsidRDefault="00076C97" w:rsidP="00F02C72"/>
    <w:p w14:paraId="5AAA4179" w14:textId="01C659B0" w:rsidR="00076C97" w:rsidRPr="00B1522E" w:rsidRDefault="00076C97" w:rsidP="00F02C72"/>
    <w:p w14:paraId="7138A62E" w14:textId="254C34CA" w:rsidR="00076C97" w:rsidRPr="00B1522E" w:rsidRDefault="00076C97" w:rsidP="00F02C72"/>
    <w:p w14:paraId="14BDE6BC" w14:textId="10D1E0D2" w:rsidR="00947B54" w:rsidRPr="00B1522E" w:rsidRDefault="00947B54" w:rsidP="00F02C72"/>
    <w:p w14:paraId="5EAA9102" w14:textId="5089E6D2" w:rsidR="00641182" w:rsidRPr="00B1522E" w:rsidRDefault="00641182" w:rsidP="00F02C72"/>
    <w:p w14:paraId="5568F21C" w14:textId="3E3D2D0C" w:rsidR="00641182" w:rsidRPr="00B1522E" w:rsidRDefault="00641182" w:rsidP="00F02C72"/>
    <w:p w14:paraId="4BF60771" w14:textId="012502ED" w:rsidR="00AC29C0" w:rsidRPr="00B1522E" w:rsidRDefault="006B57E1" w:rsidP="00F02C72">
      <w:r w:rsidRPr="00B1522E">
        <w:rPr>
          <w:noProof/>
          <w:sz w:val="44"/>
          <w:szCs w:val="44"/>
        </w:rPr>
        <mc:AlternateContent>
          <mc:Choice Requires="wps">
            <w:drawing>
              <wp:anchor distT="91440" distB="91440" distL="114300" distR="114300" simplePos="0" relativeHeight="251692032" behindDoc="0" locked="0" layoutInCell="1" allowOverlap="1" wp14:anchorId="57B5E499" wp14:editId="3A255C81">
                <wp:simplePos x="0" y="0"/>
                <wp:positionH relativeFrom="page">
                  <wp:posOffset>975360</wp:posOffset>
                </wp:positionH>
                <wp:positionV relativeFrom="paragraph">
                  <wp:posOffset>309245</wp:posOffset>
                </wp:positionV>
                <wp:extent cx="5908675" cy="1699260"/>
                <wp:effectExtent l="0" t="0" r="15875" b="15240"/>
                <wp:wrapTopAndBottom/>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699260"/>
                        </a:xfrm>
                        <a:prstGeom prst="rect">
                          <a:avLst/>
                        </a:prstGeom>
                        <a:noFill/>
                        <a:ln w="9525">
                          <a:solidFill>
                            <a:schemeClr val="bg1"/>
                          </a:solidFill>
                          <a:miter lim="800000"/>
                          <a:headEnd/>
                          <a:tailEnd/>
                        </a:ln>
                      </wps:spPr>
                      <wps:txbx>
                        <w:txbxContent>
                          <w:p w14:paraId="226C688E" w14:textId="2B8337FC" w:rsidR="002A2568" w:rsidRPr="002A2568" w:rsidRDefault="002A2568" w:rsidP="002A2568">
                            <w:pPr>
                              <w:pBdr>
                                <w:top w:val="single" w:sz="24" w:space="8" w:color="auto"/>
                                <w:bottom w:val="single" w:sz="24" w:space="8" w:color="auto"/>
                              </w:pBdr>
                              <w:spacing w:after="0"/>
                              <w:jc w:val="center"/>
                              <w:rPr>
                                <w:sz w:val="48"/>
                                <w:szCs w:val="48"/>
                              </w:rPr>
                            </w:pPr>
                            <w:r w:rsidRPr="0046212A">
                              <w:fldChar w:fldCharType="begin"/>
                            </w:r>
                            <w:r w:rsidRPr="0046212A">
                              <w:instrText xml:space="preserve"> TC  "</w:instrText>
                            </w:r>
                            <w:r w:rsidRPr="0046212A">
                              <w:rPr>
                                <w:b/>
                                <w:bCs/>
                              </w:rPr>
                              <w:instrText xml:space="preserve"> </w:instrText>
                            </w:r>
                            <w:bookmarkStart w:id="20" w:name="_Toc97310408"/>
                            <w:r w:rsidRPr="0046212A">
                              <w:rPr>
                                <w:b/>
                                <w:bCs/>
                              </w:rPr>
                              <w:instrText>Chapter 2. Delivering in-school interventions to improve dietary behaviours amongst 11- to 16-year-olds: A systematic review</w:instrText>
                            </w:r>
                            <w:bookmarkEnd w:id="20"/>
                            <w:r w:rsidRPr="0046212A">
                              <w:rPr>
                                <w:b/>
                                <w:bCs/>
                              </w:rPr>
                              <w:instrText xml:space="preserve"> </w:instrText>
                            </w:r>
                            <w:r w:rsidRPr="0046212A">
                              <w:instrText xml:space="preserve">" \f x\l 1 </w:instrText>
                            </w:r>
                            <w:r w:rsidRPr="0046212A">
                              <w:fldChar w:fldCharType="end"/>
                            </w:r>
                            <w:r w:rsidRPr="0046212A">
                              <w:t xml:space="preserve"> </w:t>
                            </w:r>
                            <w:r w:rsidRPr="0046212A">
                              <w:rPr>
                                <w:sz w:val="48"/>
                                <w:szCs w:val="48"/>
                              </w:rPr>
                              <w:t>Chapter 2</w:t>
                            </w:r>
                          </w:p>
                          <w:p w14:paraId="6F94A80C" w14:textId="381634FD" w:rsidR="002A2568" w:rsidRPr="002A2568" w:rsidRDefault="002A2568" w:rsidP="002A2568">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2A2568">
                              <w:rPr>
                                <w:sz w:val="32"/>
                                <w:szCs w:val="32"/>
                              </w:rPr>
                              <w:t>Delivering in-school interventions to improve dietary behaviours amongst 11- to 16-year-</w:t>
                            </w:r>
                            <w:r w:rsidR="006B57E1">
                              <w:rPr>
                                <w:sz w:val="32"/>
                                <w:szCs w:val="32"/>
                              </w:rPr>
                              <w:t>olds: A systematic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5E499" id="_x0000_s1027" type="#_x0000_t202" style="position:absolute;margin-left:76.8pt;margin-top:24.35pt;width:465.25pt;height:133.8pt;z-index:2516920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" filled="f" strokecolor="white [3212]">
                <v:textbox>
                  <w:txbxContent>
                    <w:p w14:paraId="226C688E" w14:textId="2B8337FC" w:rsidR="002A2568" w:rsidRPr="002A2568" w:rsidRDefault="002A2568" w:rsidP="002A2568">
                      <w:pPr>
                        <w:pBdr>
                          <w:top w:val="single" w:sz="24" w:space="8" w:color="auto"/>
                          <w:bottom w:val="single" w:sz="24" w:space="8" w:color="auto"/>
                        </w:pBdr>
                        <w:spacing w:after="0"/>
                        <w:jc w:val="center"/>
                        <w:rPr>
                          <w:sz w:val="48"/>
                          <w:szCs w:val="48"/>
                        </w:rPr>
                      </w:pPr>
                      <w:r w:rsidRPr="0046212A">
                        <w:fldChar w:fldCharType="begin"/>
                      </w:r>
                      <w:r w:rsidRPr="0046212A">
                        <w:instrText xml:space="preserve"> TC  "</w:instrText>
                      </w:r>
                      <w:r w:rsidRPr="0046212A">
                        <w:rPr>
                          <w:b/>
                          <w:bCs/>
                        </w:rPr>
                        <w:instrText xml:space="preserve"> </w:instrText>
                      </w:r>
                      <w:bookmarkStart w:id="21" w:name="_Toc97310408"/>
                      <w:r w:rsidRPr="0046212A">
                        <w:rPr>
                          <w:b/>
                          <w:bCs/>
                        </w:rPr>
                        <w:instrText>Chapter 2. Delivering in-school interventions to improve dietary behaviours amongst 11- to 16-year-olds: A systematic review</w:instrText>
                      </w:r>
                      <w:bookmarkEnd w:id="21"/>
                      <w:r w:rsidRPr="0046212A">
                        <w:rPr>
                          <w:b/>
                          <w:bCs/>
                        </w:rPr>
                        <w:instrText xml:space="preserve"> </w:instrText>
                      </w:r>
                      <w:r w:rsidRPr="0046212A">
                        <w:instrText xml:space="preserve">" \f x\l 1 </w:instrText>
                      </w:r>
                      <w:r w:rsidRPr="0046212A">
                        <w:fldChar w:fldCharType="end"/>
                      </w:r>
                      <w:r w:rsidRPr="0046212A">
                        <w:t xml:space="preserve"> </w:t>
                      </w:r>
                      <w:r w:rsidRPr="0046212A">
                        <w:rPr>
                          <w:sz w:val="48"/>
                          <w:szCs w:val="48"/>
                        </w:rPr>
                        <w:t>Chapter 2</w:t>
                      </w:r>
                    </w:p>
                    <w:p w14:paraId="6F94A80C" w14:textId="381634FD" w:rsidR="002A2568" w:rsidRPr="002A2568" w:rsidRDefault="002A2568" w:rsidP="002A2568">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2A2568">
                        <w:rPr>
                          <w:sz w:val="32"/>
                          <w:szCs w:val="32"/>
                        </w:rPr>
                        <w:t>Delivering in-school interventions to improve dietary behaviours amongst 11- to 16-year-</w:t>
                      </w:r>
                      <w:r w:rsidR="006B57E1">
                        <w:rPr>
                          <w:sz w:val="32"/>
                          <w:szCs w:val="32"/>
                        </w:rPr>
                        <w:t>olds: A systematic review</w:t>
                      </w:r>
                    </w:p>
                  </w:txbxContent>
                </v:textbox>
                <w10:wrap type="topAndBottom" anchorx="page"/>
              </v:shape>
            </w:pict>
          </mc:Fallback>
        </mc:AlternateContent>
      </w:r>
    </w:p>
    <w:p w14:paraId="5FB112E3" w14:textId="4F79725C" w:rsidR="00AC29C0" w:rsidRPr="00B1522E" w:rsidRDefault="00AC29C0" w:rsidP="00F02C72"/>
    <w:p w14:paraId="3ED3B6ED" w14:textId="77777777" w:rsidR="00AC29C0" w:rsidRPr="00B1522E" w:rsidRDefault="00AC29C0" w:rsidP="00F02C72"/>
    <w:p w14:paraId="1247298C" w14:textId="4F1194E8" w:rsidR="00641182" w:rsidRPr="00B1522E" w:rsidRDefault="00641182" w:rsidP="00F02C72"/>
    <w:p w14:paraId="708A7932" w14:textId="0B58691B" w:rsidR="00641182" w:rsidRPr="00B1522E" w:rsidRDefault="00641182" w:rsidP="00F02C72"/>
    <w:p w14:paraId="59C4E0B0" w14:textId="70EC9C65" w:rsidR="00641182" w:rsidRPr="00B1522E" w:rsidRDefault="00641182" w:rsidP="00F02C72"/>
    <w:p w14:paraId="4038D470" w14:textId="6277CD07" w:rsidR="00641182" w:rsidRPr="00B1522E" w:rsidRDefault="00641182" w:rsidP="00F02C72"/>
    <w:p w14:paraId="29015E69" w14:textId="348FA5F5" w:rsidR="001A52CE" w:rsidRPr="00B1522E" w:rsidRDefault="001A52CE" w:rsidP="00F02C72"/>
    <w:p w14:paraId="05DE6A3F" w14:textId="3C7CB906" w:rsidR="001A52CE" w:rsidRPr="00B1522E" w:rsidRDefault="001A52CE" w:rsidP="00F02C72"/>
    <w:p w14:paraId="17D2E9C8" w14:textId="115F65E4" w:rsidR="00F51EA3" w:rsidRPr="00B1522E" w:rsidRDefault="00F51EA3" w:rsidP="00F02C72"/>
    <w:p w14:paraId="13D49334" w14:textId="5D1FEE48" w:rsidR="00F51EA3" w:rsidRPr="00B1522E" w:rsidRDefault="00F51EA3" w:rsidP="00F02C72"/>
    <w:p w14:paraId="2D05296F" w14:textId="3A1342AB" w:rsidR="00F51EA3" w:rsidRPr="00B1522E" w:rsidRDefault="00F51EA3" w:rsidP="00F02C72"/>
    <w:p w14:paraId="0FF16E92" w14:textId="3C2B7F5A" w:rsidR="00F51EA3" w:rsidRPr="00B1522E" w:rsidRDefault="00F51EA3" w:rsidP="00F02C72"/>
    <w:p w14:paraId="6BC16EE4" w14:textId="77777777" w:rsidR="00F51EA3" w:rsidRPr="00B1522E" w:rsidRDefault="00F51EA3" w:rsidP="00F02C72"/>
    <w:p w14:paraId="1EE8ABE9" w14:textId="77777777" w:rsidR="001A52CE" w:rsidRPr="00B1522E" w:rsidRDefault="001A52CE" w:rsidP="00F02C72"/>
    <w:p w14:paraId="44F99740" w14:textId="77777777" w:rsidR="00D93B6B" w:rsidRPr="00B1522E" w:rsidRDefault="00D93B6B" w:rsidP="00F02C72"/>
    <w:p w14:paraId="1E5D7992" w14:textId="6DC3F52A" w:rsidR="00987AC8" w:rsidRPr="00B1522E" w:rsidRDefault="00987AC8" w:rsidP="00F02C72">
      <w:r w:rsidRPr="00B1522E">
        <w:t xml:space="preserve">This chapter </w:t>
      </w:r>
      <w:r w:rsidR="00207953" w:rsidRPr="00B1522E">
        <w:t>has been published</w:t>
      </w:r>
      <w:r w:rsidRPr="00B1522E">
        <w:t xml:space="preserve"> as:</w:t>
      </w:r>
    </w:p>
    <w:p w14:paraId="72E2AE17" w14:textId="2EB7C8F7" w:rsidR="007D039D" w:rsidRPr="00B1522E" w:rsidRDefault="002E1B15" w:rsidP="00F02C72">
      <w:r w:rsidRPr="00B1522E">
        <w:t xml:space="preserve">Calvert, S., Dempsey, R. C., &amp; Povey, R. (2019). Delivering in-school interventions to improve dietary behaviours amongst 11- to 16-year-olds: A systematic review. </w:t>
      </w:r>
      <w:r w:rsidRPr="00B1522E">
        <w:rPr>
          <w:i/>
          <w:iCs/>
        </w:rPr>
        <w:t>Obesity Reviews</w:t>
      </w:r>
      <w:r w:rsidRPr="00B1522E">
        <w:t>, 20(4), 543–553.</w:t>
      </w:r>
    </w:p>
    <w:p w14:paraId="129AA9E0" w14:textId="77777777" w:rsidR="000E2DE6" w:rsidRPr="00B1522E" w:rsidRDefault="000E2DE6" w:rsidP="00F02C72">
      <w:pPr>
        <w:jc w:val="both"/>
      </w:pPr>
      <w:bookmarkStart w:id="22" w:name="_Toc84678895"/>
    </w:p>
    <w:p w14:paraId="3922AF0F" w14:textId="77777777" w:rsidR="000E2DE6" w:rsidRPr="00B1522E" w:rsidRDefault="000E2DE6" w:rsidP="00F02C72">
      <w:pPr>
        <w:jc w:val="both"/>
      </w:pPr>
    </w:p>
    <w:p w14:paraId="7E2A3660" w14:textId="5273A235" w:rsidR="00911F3D" w:rsidRPr="00B1522E" w:rsidRDefault="00186FC3" w:rsidP="00734D95">
      <w:pPr>
        <w:spacing w:line="480" w:lineRule="auto"/>
        <w:jc w:val="both"/>
        <w:rPr>
          <w:b/>
          <w:bCs/>
        </w:rPr>
      </w:pPr>
      <w:r w:rsidRPr="00B1522E">
        <w:fldChar w:fldCharType="begin"/>
      </w:r>
      <w:r w:rsidRPr="00B1522E">
        <w:instrText xml:space="preserve"> TC  "</w:instrText>
      </w:r>
      <w:bookmarkStart w:id="23" w:name="_Toc97310409"/>
      <w:r w:rsidRPr="00B1522E">
        <w:instrText>2.1 Chapter overview</w:instrText>
      </w:r>
      <w:bookmarkEnd w:id="23"/>
      <w:r w:rsidRPr="00B1522E">
        <w:instrText xml:space="preserve">" \f x\l </w:instrText>
      </w:r>
      <w:r w:rsidR="009C48A1" w:rsidRPr="00B1522E">
        <w:instrText>2</w:instrText>
      </w:r>
      <w:r w:rsidRPr="00B1522E">
        <w:instrText xml:space="preserve"> </w:instrText>
      </w:r>
      <w:r w:rsidRPr="00B1522E">
        <w:fldChar w:fldCharType="end"/>
      </w:r>
      <w:r w:rsidR="00911F3D" w:rsidRPr="00B1522E">
        <w:rPr>
          <w:b/>
          <w:bCs/>
        </w:rPr>
        <w:t>2.1 Chapter overview</w:t>
      </w:r>
      <w:bookmarkEnd w:id="22"/>
    </w:p>
    <w:p w14:paraId="6B662D94" w14:textId="5C526521" w:rsidR="00987AC8" w:rsidRPr="00B1522E" w:rsidRDefault="001E64D6" w:rsidP="00734D95">
      <w:pPr>
        <w:spacing w:line="480" w:lineRule="auto"/>
        <w:jc w:val="both"/>
      </w:pPr>
      <w:r w:rsidRPr="00B1522E">
        <w:t>Chapter 1 provid</w:t>
      </w:r>
      <w:r w:rsidR="00C91C6F" w:rsidRPr="00B1522E">
        <w:t>ed</w:t>
      </w:r>
      <w:r w:rsidRPr="00B1522E">
        <w:t xml:space="preserve"> </w:t>
      </w:r>
      <w:r w:rsidR="00C71262" w:rsidRPr="00B1522E">
        <w:t>a</w:t>
      </w:r>
      <w:r w:rsidR="0008366B" w:rsidRPr="00B1522E">
        <w:t xml:space="preserve"> </w:t>
      </w:r>
      <w:r w:rsidR="00A01991" w:rsidRPr="00B1522E">
        <w:t xml:space="preserve">brief </w:t>
      </w:r>
      <w:r w:rsidR="0008366B" w:rsidRPr="00B1522E">
        <w:t xml:space="preserve">overview </w:t>
      </w:r>
      <w:r w:rsidR="00C71262" w:rsidRPr="00B1522E">
        <w:t xml:space="preserve">of </w:t>
      </w:r>
      <w:r w:rsidR="009B4CF5" w:rsidRPr="00B1522E">
        <w:t>adolescents’</w:t>
      </w:r>
      <w:r w:rsidR="0008366B" w:rsidRPr="00B1522E">
        <w:t xml:space="preserve"> </w:t>
      </w:r>
      <w:r w:rsidR="00615D79" w:rsidRPr="00B1522E">
        <w:t xml:space="preserve">dietary behaviours, </w:t>
      </w:r>
      <w:r w:rsidR="005064C9" w:rsidRPr="00B1522E">
        <w:t>the Social Norms Approach and</w:t>
      </w:r>
      <w:r w:rsidR="00C71262" w:rsidRPr="00B1522E">
        <w:t xml:space="preserve"> the</w:t>
      </w:r>
      <w:r w:rsidR="005064C9" w:rsidRPr="00B1522E">
        <w:t xml:space="preserve"> </w:t>
      </w:r>
      <w:r w:rsidR="00EC6A79" w:rsidRPr="00B1522E">
        <w:t>value of implement</w:t>
      </w:r>
      <w:r w:rsidR="00A5347B" w:rsidRPr="00B1522E">
        <w:t>ing</w:t>
      </w:r>
      <w:r w:rsidR="00EC6A79" w:rsidRPr="00B1522E">
        <w:t xml:space="preserve"> </w:t>
      </w:r>
      <w:r w:rsidR="005064C9" w:rsidRPr="00B1522E">
        <w:t xml:space="preserve">school-based </w:t>
      </w:r>
      <w:r w:rsidR="00EC6A79" w:rsidRPr="00B1522E">
        <w:t>interventions</w:t>
      </w:r>
      <w:r w:rsidR="0058107B" w:rsidRPr="00B1522E">
        <w:t>.</w:t>
      </w:r>
      <w:r w:rsidR="00EC6A79" w:rsidRPr="00B1522E">
        <w:t xml:space="preserve"> </w:t>
      </w:r>
      <w:r w:rsidRPr="00B1522E">
        <w:t xml:space="preserve">This Chapter will provide a detailed literature review </w:t>
      </w:r>
      <w:r w:rsidR="009B4CF5" w:rsidRPr="00B1522E">
        <w:t xml:space="preserve">which evaluates school-based interventions designed to </w:t>
      </w:r>
      <w:r w:rsidR="007D4828" w:rsidRPr="00B1522E">
        <w:rPr>
          <w:rFonts w:eastAsia="Calibri" w:cstheme="minorHAnsi"/>
        </w:rPr>
        <w:t>promot</w:t>
      </w:r>
      <w:r w:rsidR="009170BC" w:rsidRPr="00B1522E">
        <w:rPr>
          <w:rFonts w:eastAsia="Calibri" w:cstheme="minorHAnsi"/>
        </w:rPr>
        <w:t xml:space="preserve">e </w:t>
      </w:r>
      <w:r w:rsidR="009F7BE2" w:rsidRPr="00B1522E">
        <w:rPr>
          <w:rFonts w:eastAsia="Calibri" w:cstheme="minorHAnsi"/>
        </w:rPr>
        <w:t xml:space="preserve">a positive change </w:t>
      </w:r>
      <w:r w:rsidR="00F306B9" w:rsidRPr="00B1522E">
        <w:rPr>
          <w:rFonts w:eastAsia="Calibri" w:cstheme="minorHAnsi"/>
        </w:rPr>
        <w:t xml:space="preserve">in </w:t>
      </w:r>
      <w:r w:rsidR="007D4828" w:rsidRPr="00B1522E">
        <w:rPr>
          <w:rFonts w:eastAsia="Calibri" w:cstheme="minorHAnsi"/>
        </w:rPr>
        <w:t>dietary behaviour</w:t>
      </w:r>
      <w:r w:rsidR="00F306B9" w:rsidRPr="00B1522E">
        <w:rPr>
          <w:rFonts w:eastAsia="Calibri" w:cstheme="minorHAnsi"/>
        </w:rPr>
        <w:t>s</w:t>
      </w:r>
      <w:r w:rsidR="007D4828" w:rsidRPr="00B1522E">
        <w:rPr>
          <w:rFonts w:eastAsia="Calibri" w:cstheme="minorHAnsi"/>
        </w:rPr>
        <w:t xml:space="preserve"> (</w:t>
      </w:r>
      <w:r w:rsidR="0012662C" w:rsidRPr="00B1522E">
        <w:rPr>
          <w:rFonts w:eastAsia="Calibri" w:cstheme="minorHAnsi"/>
        </w:rPr>
        <w:t xml:space="preserve">aiming to </w:t>
      </w:r>
      <w:r w:rsidR="007D4828" w:rsidRPr="00B1522E">
        <w:rPr>
          <w:rFonts w:eastAsia="Calibri" w:cstheme="minorHAnsi"/>
        </w:rPr>
        <w:t>both decreas</w:t>
      </w:r>
      <w:r w:rsidR="0030385A" w:rsidRPr="00B1522E">
        <w:rPr>
          <w:rFonts w:eastAsia="Calibri" w:cstheme="minorHAnsi"/>
        </w:rPr>
        <w:t>e</w:t>
      </w:r>
      <w:r w:rsidR="007D4828" w:rsidRPr="00B1522E">
        <w:rPr>
          <w:rFonts w:eastAsia="Calibri" w:cstheme="minorHAnsi"/>
        </w:rPr>
        <w:t xml:space="preserve"> unhealthy dietary behaviours e.g., unhealthy snacks and increas</w:t>
      </w:r>
      <w:r w:rsidR="00DF15AD" w:rsidRPr="00B1522E">
        <w:rPr>
          <w:rFonts w:eastAsia="Calibri" w:cstheme="minorHAnsi"/>
        </w:rPr>
        <w:t>e</w:t>
      </w:r>
      <w:r w:rsidR="007D4828" w:rsidRPr="00B1522E">
        <w:rPr>
          <w:rFonts w:eastAsia="Calibri" w:cstheme="minorHAnsi"/>
        </w:rPr>
        <w:t xml:space="preserve"> healthier </w:t>
      </w:r>
      <w:r w:rsidR="00D47B52" w:rsidRPr="00B1522E">
        <w:rPr>
          <w:rFonts w:eastAsia="Calibri" w:cstheme="minorHAnsi"/>
        </w:rPr>
        <w:t xml:space="preserve">dietary </w:t>
      </w:r>
      <w:r w:rsidR="007D4828" w:rsidRPr="00B1522E">
        <w:rPr>
          <w:rFonts w:eastAsia="Calibri" w:cstheme="minorHAnsi"/>
        </w:rPr>
        <w:t>behaviours e.g., fruit and vegetable</w:t>
      </w:r>
      <w:r w:rsidR="00DF15AD" w:rsidRPr="00B1522E">
        <w:rPr>
          <w:rFonts w:eastAsia="Calibri" w:cstheme="minorHAnsi"/>
        </w:rPr>
        <w:t xml:space="preserve"> consumption</w:t>
      </w:r>
      <w:r w:rsidR="007D4828" w:rsidRPr="00B1522E">
        <w:rPr>
          <w:rFonts w:eastAsia="Calibri" w:cstheme="minorHAnsi"/>
        </w:rPr>
        <w:t>)</w:t>
      </w:r>
      <w:r w:rsidR="007D4828" w:rsidRPr="00B1522E">
        <w:t xml:space="preserve"> </w:t>
      </w:r>
      <w:r w:rsidR="009B4CF5" w:rsidRPr="00B1522E">
        <w:t>among adolescents (11- to 16-year-olds).</w:t>
      </w:r>
    </w:p>
    <w:p w14:paraId="670B60AE" w14:textId="77777777" w:rsidR="00D47B52" w:rsidRPr="00B1522E" w:rsidRDefault="00D47B52" w:rsidP="00734D95">
      <w:pPr>
        <w:spacing w:line="480" w:lineRule="auto"/>
        <w:rPr>
          <w:rFonts w:eastAsia="Calibri" w:cstheme="minorHAnsi"/>
        </w:rPr>
      </w:pPr>
      <w:bookmarkStart w:id="24" w:name="_Toc84678896"/>
    </w:p>
    <w:p w14:paraId="3808FE24" w14:textId="6F4A20C4" w:rsidR="00FD4501" w:rsidRPr="00B1522E" w:rsidRDefault="00423E33" w:rsidP="00734D95">
      <w:pPr>
        <w:spacing w:line="480" w:lineRule="auto"/>
        <w:rPr>
          <w:b/>
          <w:bCs/>
        </w:rPr>
      </w:pPr>
      <w:r w:rsidRPr="00B1522E">
        <w:fldChar w:fldCharType="begin"/>
      </w:r>
      <w:r w:rsidRPr="00B1522E">
        <w:instrText xml:space="preserve"> TC  "</w:instrText>
      </w:r>
      <w:bookmarkStart w:id="25" w:name="_Toc97310410"/>
      <w:r w:rsidRPr="00B1522E">
        <w:instrText>2.2 Introduction</w:instrText>
      </w:r>
      <w:bookmarkEnd w:id="25"/>
      <w:r w:rsidRPr="00B1522E">
        <w:instrText xml:space="preserve">" \f x\l </w:instrText>
      </w:r>
      <w:r w:rsidR="009C48A1" w:rsidRPr="00B1522E">
        <w:instrText>2</w:instrText>
      </w:r>
      <w:r w:rsidRPr="00B1522E">
        <w:instrText xml:space="preserve"> </w:instrText>
      </w:r>
      <w:r w:rsidRPr="00B1522E">
        <w:fldChar w:fldCharType="end"/>
      </w:r>
      <w:r w:rsidR="00B77CFF" w:rsidRPr="00B1522E">
        <w:rPr>
          <w:b/>
          <w:bCs/>
        </w:rPr>
        <w:t xml:space="preserve">2.2 </w:t>
      </w:r>
      <w:r w:rsidR="00987AC8" w:rsidRPr="00B1522E">
        <w:rPr>
          <w:b/>
          <w:bCs/>
        </w:rPr>
        <w:t>Introduction</w:t>
      </w:r>
      <w:bookmarkEnd w:id="24"/>
    </w:p>
    <w:p w14:paraId="04C36DB9" w14:textId="4769DF53" w:rsidR="00987AC8" w:rsidRPr="00B1522E" w:rsidRDefault="00987AC8" w:rsidP="00734D95">
      <w:pPr>
        <w:spacing w:line="480" w:lineRule="auto"/>
        <w:jc w:val="both"/>
        <w:rPr>
          <w:rFonts w:eastAsia="Calibri" w:cstheme="minorHAnsi"/>
        </w:rPr>
      </w:pPr>
      <w:r w:rsidRPr="00B1522E">
        <w:rPr>
          <w:rFonts w:eastAsia="Calibri" w:cstheme="minorHAnsi"/>
        </w:rPr>
        <w:t xml:space="preserve">Childhood obesity is a global public health concern, which affects all socioeconomic groups irrespective of a child’s age, sex or ethnicity </w:t>
      </w:r>
      <w:r w:rsidRPr="00B1522E">
        <w:rPr>
          <w:rFonts w:eastAsia="Calibri" w:cstheme="minorHAnsi"/>
        </w:rPr>
        <w:fldChar w:fldCharType="begin" w:fldLock="1"/>
      </w:r>
      <w:r w:rsidR="00D671A4" w:rsidRPr="00B1522E">
        <w:rPr>
          <w:rFonts w:eastAsia="Calibri" w:cstheme="minorHAnsi"/>
        </w:rPr>
        <w:instrText>ADDIN CSL_CITATION {"citationItems":[{"id":"ITEM-1","itemData":{"ISSN":"0971-5916","abstract":"Worldwide, obesity trends are causing serious public health concern and in many countries threatening the viability of basic health care delivery. It is an independent risk factor for cardiovascular diseases and significantly increases the risk of morbidity and mortality. The last two decades have witnessed an increase in health care costs due to obesity and related issues among children and adolescents. Childhood obesity is a global phenomenon affecting all socio-economic groups, irrespective of age, sex or ethnicity. Aetiopathogenesis of childhood obesity is multi-factorial and includes genetic, neuroendocrine, metabolic, psychological, environmental and socio-cultural factors. Many co-morbid conditions like metabolic, cardiovascular, psychological, orthopaedic, neurological, hepatic, pulmonary and renal disorders are seen in association with childhood obesity. The treatment of overweight and obesity in children and adolescents requires a multidisciplinary, multi-phase approach, which includes dietary management, physical activity enhancement, restriction of sedentary behaviour, pharmacotherapy and bariatric surgery. A holistic approach to tackle the childhood obesity epidemic needs a collection of activities including influencing policy makers and legislation, mobilizing communities, restructuring organizational practices, establishing coalitions and networks, empowering providers, imparting community education as well as enriching and reinforcing individual awareness and skills. The implications of this global phenomenon on future generations will be serious unless appropriate action is taken.","author":[{"dropping-particle":"","family":"Raj","given":"Manu","non-dropping-particle":"","parse-names":false,"suffix":""},{"dropping-particle":"","family":"Kumar","given":"R Krishna","non-dropping-particle":"","parse-names":false,"suffix":""}],"container-title":"The Indian Journal of Medical Research","id":"ITEM-1","issue":"5","issued":{"date-parts":[["2010","11","30"]]},"page":"598-607","publisher":"Medknow Publications","publisher-place":"India","title":"Obesity in children &amp; adolescents","type":"article-journal","volume":"132"},"uris":["http://www.mendeley.com/documents/?uuid=3ec8a201-07dc-4a0c-8795-a1b9212583a7"]}],"mendeley":{"formattedCitation":"(Raj &amp; Kumar, 2010)","plainTextFormattedCitation":"(Raj &amp; Kumar, 2010)","previouslyFormattedCitation":"(Raj &amp; Kumar,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(Raj &amp; Kumar, 2010)</w:t>
      </w:r>
      <w:r w:rsidRPr="00B1522E">
        <w:rPr>
          <w:rFonts w:eastAsia="Calibri" w:cstheme="minorHAnsi"/>
        </w:rPr>
        <w:fldChar w:fldCharType="end"/>
      </w:r>
      <w:r w:rsidRPr="00B1522E">
        <w:rPr>
          <w:rFonts w:eastAsia="Calibri" w:cstheme="minorHAnsi"/>
        </w:rPr>
        <w:t xml:space="preserve">. Rates of childhood obesity have doubled over the past 30 years  </w:t>
      </w:r>
      <w:r w:rsidRPr="00B1522E">
        <w:rPr>
          <w:rFonts w:eastAsia="Calibri" w:cstheme="minorHAnsi"/>
        </w:rPr>
        <w:fldChar w:fldCharType="begin" w:fldLock="1"/>
      </w:r>
      <w:r w:rsidR="00FD502B" w:rsidRPr="00B1522E">
        <w:rPr>
          <w:rFonts w:eastAsia="Calibri" w:cstheme="minorHAnsi"/>
        </w:rPr>
        <w:instrText>ADDIN CSL_CITATION {"citationItems":[{"id":"ITEM-1","itemData":{"URL":"http://www.who.int/mediacentre/factsheets/fs311/en/#.WdzVcAdWy9A.mendeley","accessed":{"date-parts":[["2017","10","10"]]},"author":[{"dropping-particle":"","family":"World Health Organization","given":"","non-dropping-particle":"","parse-names":false,"suffix":""}],"id":"ITEM-1","issued":{"date-parts":[["2017"]]},"publisher":"World Health Organization","title":"WHO | Obesity and overweight","type":"webpage"},"uris":["http://www.mendeley.com/documents/?uuid=3b5cd173-a823-3482-9df5-fce120e650de"]}],"mendeley":{"formattedCitation":"(World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B1522E">
        <w:rPr>
          <w:rFonts w:eastAsia="Calibri" w:cstheme="minorHAnsi"/>
        </w:rPr>
        <w:fldChar w:fldCharType="separate"/>
      </w:r>
      <w:r w:rsidR="00D046DC" w:rsidRPr="00B1522E">
        <w:rPr>
          <w:rFonts w:eastAsia="Calibri" w:cstheme="minorHAnsi"/>
          <w:noProof/>
        </w:rPr>
        <w:t>(World Health Organization, 2017)</w:t>
      </w:r>
      <w:r w:rsidRPr="00B1522E">
        <w:rPr>
          <w:rFonts w:eastAsia="Calibri" w:cstheme="minorHAnsi"/>
        </w:rPr>
        <w:fldChar w:fldCharType="end"/>
      </w:r>
      <w:r w:rsidRPr="00B1522E">
        <w:rPr>
          <w:rFonts w:eastAsia="Calibri" w:cstheme="minorHAnsi"/>
        </w:rPr>
        <w:t xml:space="preserve">. </w:t>
      </w:r>
      <w:r w:rsidR="006741EA" w:rsidRPr="00B1522E">
        <w:rPr>
          <w:rFonts w:eastAsia="Calibri" w:cstheme="minorHAnsi"/>
        </w:rPr>
        <w:t>O</w:t>
      </w:r>
      <w:r w:rsidRPr="00B1522E">
        <w:rPr>
          <w:rFonts w:eastAsia="Calibri" w:cstheme="minorHAnsi"/>
        </w:rPr>
        <w:t>besity rates in England of children below 11 years of age appear to be stabilising; however, there is still an indication of rising obesity trends in children aged 11 years and above</w:t>
      </w:r>
      <w:r w:rsidR="006741EA" w:rsidRPr="00B1522E">
        <w:rPr>
          <w:rFonts w:eastAsia="Calibri" w:cstheme="minorHAnsi"/>
        </w:rPr>
        <w:t xml:space="preserve"> </w:t>
      </w:r>
      <w:r w:rsidR="006741EA" w:rsidRPr="00B1522E">
        <w:rPr>
          <w:rFonts w:eastAsia="Calibri" w:cstheme="minorHAnsi"/>
        </w:rPr>
        <w:fldChar w:fldCharType="begin" w:fldLock="1"/>
      </w:r>
      <w:r w:rsidR="006741EA" w:rsidRPr="00B1522E">
        <w:rPr>
          <w:rFonts w:eastAsia="Calibri" w:cstheme="minorHAnsi"/>
        </w:rPr>
        <w:instrText>ADDIN CSL_CITATION {"citationItems":[{"id":"ITEM-1","itemData":{"abstract":"The prevalence of obesity in children aged 11–15 years was 37.8% in 2013. Since 2004 there has been a statistically significant increase of 2.6% in prevalence, compared with stabilisation in the under-11s. The aetiology of this is multifactorial. Adolescent obesity is linked with comorbidities such as type 2 diabetes, cardiac abnormalities and obstructive sleep apnoea, and the psychosocial impact is significant. Weight management in this age group presents particular challenges. In this article, the evidence base for various weight loss interventions in adolescents, including residential weight loss camps, individual and family-based behavioural therapy, technology such as texting and apps, and bariatric surgery, are reviewed. The real challenge, however, is the obesogenic environment; failure to tackle this will result in increasing prevalence. I n recent years, while obesity rates appear to have stabilised in children aged 11 years and younger, there has been a pronounced rising trend in obesity in those aged 11–15 years, in whom the prevalence of obesity and overweight has risen from 26.7% in 1996 to 37.8% in 2013 (van Jaarsfeld and Gulliford, 2015). Between 2004 and 2013, there has been a statistically significant increase in prevalence of 2.6% in this age group, while prevalence has stabilised in the under-11s. Childhood obesity has a complex, multifactorial aetiology. Therefore, making an impact on the alarming upwards trend in child weight can only be achieved if the environment is changed to promote healthy weight (Davison and Birch, 2001). For children, this includes both the family and school, as well as the wider context of the community and society (Butland et al, 2007). Childhood and adolescent obesity is a global problem (Lobstein et al, 2004), which is linked to development of serious comorbidities at an early age. These can include type 2 diabetes, hypertension, cardiac abnormalities and obstructive sleep apnoea (Kelly et al, 2013). Furthermore, adolescents are at an extremely vulnerable age, and the psychosocial impact that obesity can have on a young person is significant. Affected individuals can suffer from depression, low self-esteem and bullying (Nieman and Leblanc, 2012). These issues not only affect them as adolescents but can also track through to adulthood, with elevated morbidity and mortality (Freedman et al, 2012) and reduced quality of life and productivity.","author":[{"dropping-particle":"","family":"Blake","given":"Virginia","non-dropping-particle":"","parse-names":false,"suffix":""},{"dropping-particle":"","family":"Patel","given":"Kiran","non-dropping-particle":"","parse-names":false,"suffix":""}],"container-title":"British Journal of Obesity","id":"ITEM-1","issue":"1","issued":{"date-parts":[["2015"]]},"page":"142-7","title":"Treatment of adolescent obesity","type":"article-journal","volume":"1"},"uris":["http://www.mendeley.com/documents/?uuid=1a45d840-6b3e-48b9-9a82-d86f3bf765cd"]}],"mendeley":{"formattedCitation":"(Blake &amp; Patel, 2015)","plainTextFormattedCitation":"(Blake &amp; Patel, 2015)","previouslyFormattedCitation":"(Blake &amp; Patel, 2015)"},"properties":{"noteIndex":0},"schema":"https://github.com/citation-style-language/schema/raw/master/csl-citation.json"}</w:instrText>
      </w:r>
      <w:r w:rsidR="006741EA" w:rsidRPr="00B1522E">
        <w:rPr>
          <w:rFonts w:eastAsia="Calibri" w:cstheme="minorHAnsi"/>
        </w:rPr>
        <w:fldChar w:fldCharType="separate"/>
      </w:r>
      <w:r w:rsidR="006741EA" w:rsidRPr="00B1522E">
        <w:rPr>
          <w:rFonts w:eastAsia="Calibri" w:cstheme="minorHAnsi"/>
          <w:noProof/>
        </w:rPr>
        <w:t>(Blake &amp; Patel, 2015)</w:t>
      </w:r>
      <w:r w:rsidR="006741EA" w:rsidRPr="00B1522E">
        <w:rPr>
          <w:rFonts w:eastAsia="Calibri" w:cstheme="minorHAnsi"/>
        </w:rPr>
        <w:fldChar w:fldCharType="end"/>
      </w:r>
      <w:r w:rsidR="008A6B29" w:rsidRPr="00B1522E">
        <w:rPr>
          <w:rFonts w:eastAsia="Calibri" w:cstheme="minorHAnsi"/>
        </w:rPr>
        <w:t>.</w:t>
      </w:r>
      <w:r w:rsidRPr="00B1522E">
        <w:rPr>
          <w:rFonts w:eastAsia="Calibri" w:cstheme="minorHAnsi"/>
        </w:rPr>
        <w:t xml:space="preserve"> Childhood obesity is linked with adulthood obesity, which has health (increased rates of morbidity) and economic (increased healthcare costs) consequences for the individual and for society as a whole </w:t>
      </w:r>
      <w:r w:rsidRPr="00B1522E">
        <w:rPr>
          <w:rFonts w:eastAsia="Calibri" w:cstheme="minorHAnsi"/>
        </w:rPr>
        <w:fldChar w:fldCharType="begin" w:fldLock="1"/>
      </w:r>
      <w:r w:rsidR="007463D4" w:rsidRPr="00B1522E">
        <w:rPr>
          <w:rFonts w:eastAsia="Calibri" w:cstheme="minorHAnsi"/>
        </w:rPr>
        <w:instrText>ADDIN CSL_CITATION {"citationItems":[{"id":"ITEM-1","itemData":{"ISSN":"0029-6643","abstract":"Pediatric obesity is a worldwide health epidemic affecting both developed and developing countries. Mexico ranks second to the United States in rates of pediatric obesity. Obesity among youth has immediate and long-term consequences on physical and psychosocial development, including cardiovascular, respiratory, and health-related quality of life. Eventual amelioration of this epidemic will require change at the level of the family and community, along with policy initiatives to support healthier eating and activity habits. Evidence-based interventions for overweight/obese youth include family-based lifestyle programs that incorporate attention to diet quantity and quality, physical activity, sedentary behavior, and behavioral strategies to support change. While much of this research has been conducted in the United States, several recent studies suggest the efficacy of similar approaches for youth in Mexico.","author":[{"dropping-particle":"","family":"Jelalian","given":"Elissa","non-dropping-particle":"","parse-names":false,"suffix":""},{"dropping-particle":"","family":"Evans","given":"E Whitney","non-dropping-particle":"","parse-names":false,"suffix":""}],"container-title":"Nutrition Reviews","id":"ITEM-1","issued":{"date-parts":[["2017","1","1"]]},"note":"10.1093/nutrit/nuw035","page":"79-84","title":"Behavioral intervention in the treatment of obesity in children and adolescents: implications for Mexico","type":"article-journal","volume":"75"},"uris":["http://www.mendeley.com/documents/?uuid=7733924b-400b-455e-a701-b30397232117"]}],"mendeley":{"formattedCitation":"(Jelalian &amp; Evans, 2017)","plainTextFormattedCitation":"(Jelalian &amp; Evans, 2017)","previouslyFormattedCitation":"(Jelalian &amp; Evans, 2017)"},"properties":{"noteIndex":0},"schema":"https://github.com/citation-style-language/schema/raw/master/csl-citation.json"}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(Jelalian &amp; Evans, 2017)</w:t>
      </w:r>
      <w:r w:rsidRPr="00B1522E">
        <w:rPr>
          <w:rFonts w:eastAsia="Calibri" w:cstheme="minorHAnsi"/>
        </w:rPr>
        <w:fldChar w:fldCharType="end"/>
      </w:r>
      <w:r w:rsidRPr="00B1522E">
        <w:rPr>
          <w:rFonts w:eastAsia="Calibri" w:cstheme="minorHAnsi"/>
        </w:rPr>
        <w:t>. Childhood obesity has also been suggested to be the least socially-acceptable condition of childhood</w:t>
      </w:r>
      <w:r w:rsidR="000A20CE" w:rsidRPr="00B1522E">
        <w:rPr>
          <w:rFonts w:eastAsia="Calibri" w:cstheme="minorHAnsi"/>
        </w:rPr>
        <w:t>;</w:t>
      </w:r>
      <w:r w:rsidRPr="00B1522E">
        <w:rPr>
          <w:rFonts w:eastAsia="Calibri" w:cstheme="minorHAnsi"/>
        </w:rPr>
        <w:t xml:space="preserve"> children </w:t>
      </w:r>
      <w:r w:rsidRPr="00646E6A">
        <w:rPr>
          <w:rFonts w:eastAsia="Calibri" w:cstheme="minorHAnsi"/>
        </w:rPr>
        <w:t xml:space="preserve">that are overweight can face discrimination and social marginalization, which can result in bullying by other children </w:t>
      </w:r>
      <w:r w:rsidRPr="00646E6A">
        <w:rPr>
          <w:rFonts w:eastAsia="Calibri" w:cstheme="minorHAnsi"/>
        </w:rPr>
        <w:fldChar w:fldCharType="begin" w:fldLock="1"/>
      </w:r>
      <w:r w:rsidR="004A6862" w:rsidRPr="00646E6A">
        <w:rPr>
          <w:rFonts w:eastAsia="Calibri" w:cstheme="minorHAnsi"/>
        </w:rPr>
        <w:instrText>ADDIN CSL_CITATION {"citationItems":[{"id":"ITEM-1","itemData":{"ISSN":"0361-929X","author":[{"dropping-particle":"","family":"Budd","given":"Geraldine M","non-dropping-particle":"","parse-names":false,"suffix":""},{"dropping-particle":"","family":"Hayman","given":"Laura L","non-dropping-particle":"","parse-names":false,"suffix":""}],"container-title":"Mcn. The American journal of maternal child nursing","id":"ITEM-1","issue":"2","issued":{"date-parts":[["2008"]]},"page":"111-118","title":"Addressing the childhood obesity crisis: a call to action.","type":"article-journal","volume":"33"},"uris":["http://www.mendeley.com/documents/?uuid=7a57a3c6-e6f9-46e0-9635-44364fdc072d"]},{"id":"ITEM-2","itemData":{"ISSN":"2153-2176","abstract":"Weight stigma is rooted in a fundamental misunderstanding of the origins of obesity, wherein the interplay of behavioral, environmental, genetic, and metabolic factors is deemphasized. Instead, the widespread societal and cultural presence of weight stigma fosters misconceptions of obesity being solely a result of unhealthy personal choices. Weight stigma is pervasive in childhood and adolescence and can affect individuals throughout their life. Although the prevalence of pediatric obesity remains high throughout the world, it becomes increasingly important to understand how weight stigma affects weight and health outcomes in children and adolescents with overweight or obesity, including in those with rare genetic diseases of obesity. We identified and reviewed recent literature (primarily published since 2000) on weight stigma in the pediatric setting. Articles were identified with search terms including pediatric obesity, weight bias, weight stigma, weight-based teasing and bullying, and weight bias in health care. In this narrative review, we discuss the stigma of pediatric obesity as it relates to the complex etiology of obesity as well as describe best practices for avoiding bias and perpetuating stigma in the health care setting.","author":[{"dropping-particle":"","family":"Haqq","given":"Andrea M","non-dropping-particle":"","parse-names":false,"suffix":""},{"dropping-particle":"","family":"Kebbe","given":"Maryam","non-dropping-particle":"","parse-names":false,"suffix":""},{"dropping-particle":"","family":"Tan","given":"Qiming","non-dropping-particle":"","parse-names":false,"suffix":""},{"dropping-particle":"","family":"Manco","given":"Melania","non-dropping-particle":"","parse-names":false,"suffix":""},{"dropping-particle":"","family":"Salas","given":"Ximena Ramos","non-dropping-particle":"","parse-names":false,"suffix":""}],"container-title":"Childhood obesity","edition":"2021/03/29","id":"ITEM-2","issue":"4","issued":{"date-parts":[["2021","6"]]},"language":"eng","page":"229-240","publisher":"Mary Ann Liebert, Inc., publishers","title":"Complexity and Stigma of Pediatric Obesity","type":"article-journal","volume":"17"},"uris":["http://www.mendeley.com/documents/?uuid=5255a020-5202-4806-9802-bd71ad24ba93"]},{"id":"ITEM-3","itemData":{"ISSN":"0098-7484","abstract":"Context One in 7 US children and adolescents is obese, yet little is known about their health-related quality of life (QOL).Objective To examine the health-related QOL of obese children and adolescents compared with children and adolescents who are healthy or those diagnosed as having cancer.Design, Setting, and Participants Cross-sectional study of 106 children and adolescents (57 males) between the ages of 5 and 18 years (mean [SD], 12.1 [3] years), who had been referred to an academic children's hospital for evaluation of obesity between January and June 2002. Children and adolescents had a mean (SD) body mass index (BMI) of 34.7 (9.3) and BMI z score of 2.6 (0.5).Main Outcome Measures Child self-report and parent proxy report using a pediatric QOL inventory generic core scale (range, 0-100). The inventory was administered by an interviewer for children aged 5 through 7 years. Scores were compared with previously published scores for healthy children and adolescents and children and adolescents diagnosed as having cancer.Results Compared with healthy children and adolescents, obese children and adolescents reported significantly (P&lt;.001) lower health-related QOL in all domains (mean [SD] total score, 67 [16.3] for obese children and adolescents; 83 [14.8] for healthy children and adolescents). Obese children and adolescents were more likely to have impaired health-related QOL than healthy children and adolescents (odds ratio [OR], 5.5; 95% confidence interval [CI], 3.4-8.7) and were similar to children and adolescents diagnosed as having cancer (OR, 1.3; 95% CI, 0.8-2.3). Children and adolescents with obstructive sleep apnea reported a significantly lower health-related QOL total score (mean [SD], 53.8 [13.3]) than obese children and adolescents without obstructive sleep apnea (mean [SD], 67.9 [16.2]). For parent proxy report, the child or adolescent's BMI z score was significantly inversely correlated with total score (r = −0.246; P = .01), physical functioning (r = −0.263; P&lt;.01), social functioning (r = −0.347; P&lt;.001), and psychosocial functioning (r = −0.209; P = .03).Conclusions Severely obese children and adolescents have lower health-related QOL than children and adolescents who are healthy and similar QOL as those diagnosed as having cancer. Physicians, parents, and teachers need to be informed of the risk for impaired health-related QOL among obese children and adolescents to target interventions that could enhance health outcomes.","author":[{"dropping-particle":"","family":"Schwimmer, J, Burwinkle, T, &amp; Varni","given":"J","non-dropping-particle":"","parse-names":false,"suffix":""}],"container-title":"JAMA","id":"ITEM-3","issue":"14","issued":{"date-parts":[["2003","4","9"]]},"note":"10.1001/jama.289.14.1813","page":"1813-1819","title":"Health-related quality of life of severely obese children and adolescents","type":"article-journal","volume":"289"},"uris":["http://www.mendeley.com/documents/?uuid=81e65898-7dc0-47f7-9496-15279ef2221a"]},{"id":"ITEM-4","itemData":{"ISSN":"0309-2402","author":[{"dropping-particle":"","family":"Roberts","given":"Karyn J","non-dropping-particle":"","parse-names":false,"suffix":""},{"dropping-particle":"","family":"Polfuss","given":"Michele L","non-dropping-particle":"","parse-names":false,"suffix":""},{"dropping-particle":"","family":"Marston","given":"Emma C","non-dropping-particle":"","parse-names":false,"suffix":""},{"dropping-particle":"","family":"Davis","given":"Renée L","non-dropping-particle":"","parse-names":false,"suffix":""}],"container-title":"Journal of advanced nursing","id":"ITEM-4","issue":"10","issued":{"date-parts":[["2021"]]},"page":"4184-4194","publisher":"Wiley Online Library","title":"Experiences of weight stigma in adolescents with severe obesity and their families","type":"article-journal","volume":"77"},"uris":["http://www.mendeley.com/documents/?uuid=c8e3eecf-b783-4cdb-8ebd-fd05c0992ae2"]},{"id":"ITEM-5","itemData":{"DOI":"10.1542/peds.2017-3034","ISSN":"0031-4005","abstract":"The stigmatization of people with obesity is widespread and causes harm. Weight stigma is often propagated and tolerated in society because of beliefs that stigma and shame will motivate people to lose weight. However, rather than motivating positive change, this stigma contributes to behaviors such as binge eating, social isolation, avoidance of health care services, decreased physical activity, and increased weight gain, which worsen obesity and create additional barriers to healthy behavior change. Furthermore, experiences of weight stigma also dramatically impair quality of life, especially for youth. Health care professionals continue to seek effective strategies and resources to address the obesity epidemic; however, they also frequently exhibit weight bias and stigmatizing behaviors. This policy statement seeks to raise awareness regarding the prevalence and negative effects of weight stigma on pediatric patients and their families and provides 6 clinical practice and 4 advocacy recommendations regarding the role of pediatricians in addressing weight stigma. In summary, these recommendations include improving the clinical setting by modeling best practices for nonbiased behaviors and language; using empathetic and empowering counseling techniques, such as motivational interviewing, and addressing weight stigma and bullying in the clinic visit; advocating for inclusion of training and education about weight stigma in medical schools, residency programs, and continuing medical education programs; and empowering families to be advocates to address weight stigma in the home environment and school setting.","author":[{"dropping-particle":"","family":"Pont","given":"Stephen J","non-dropping-particle":"","parse-names":false,"suffix":""},{"dropping-particle":"","family":"Puhl","given":"Rebecca","non-dropping-particle":"","parse-names":false,"suffix":""},{"dropping-particle":"","family":"Cook","given":"Stephen R","non-dropping-particle":"","parse-names":false,"suffix":""},{"dropping-particle":"","family":"Slusser","given":"Wendelin","non-dropping-particle":"","parse-names":false,"suffix":""},{"dropping-particle":"","family":"OBESITY","given":"SECTION O N","non-dropping-particle":"","parse-names":false,"suffix":""},{"dropping-particle":"","family":"SOCIETY","given":"T H E OBESITY","non-dropping-particle":"","parse-names":false,"suffix":""}],"container-title":"Pediatrics","id":"ITEM-5","issue":"6","issued":{"date-parts":[["2017","12","1"]]},"page":"e20173034","title":"Stigma Experienced by Children and Adolescents With Obesity","type":"article-journal","volume":"140"},"uris":["http://www.mendeley.com/documents/?uuid=b4636dc0-6edc-4684-b7cf-01bf1d67348f"]}],"mendeley":{"formattedCitation":"(Budd &amp; Hayman, 2008; Haqq et al., 2021; Pont et al., 2017; Roberts et al., 2021; Schwimmer, J, Burwinkle, T, &amp; Varni, 2003)","manualFormatting":"(Budd &amp; Hayman, 2008; Haqq et al., 2021; Pont et al., 2017; Roberts et al., 2021; Schwimmer, Burwinkle, &amp; Varni, 2003)","plainTextFormattedCitation":"(Budd &amp; Hayman, 2008; Haqq et al., 2021; Pont et al., 2017; Roberts et al., 2021; Schwimmer, J, Burwinkle, T, &amp; Varni, 2003)","previouslyFormattedCitation":"(Budd &amp; Hayman, 2008; Haqq et al., 2021; Pont et al., 2017; Roberts et al., 2021; Schwimmer, J, Burwinkle, T, &amp; Varni, 2003)"},"properties":{"noteIndex":0},"schema":"https://github.com/citation-style-language/schema/raw/master/csl-citation.json"}</w:instrText>
      </w:r>
      <w:r w:rsidRPr="00646E6A">
        <w:rPr>
          <w:rFonts w:eastAsia="Calibri" w:cstheme="minorHAnsi"/>
        </w:rPr>
        <w:fldChar w:fldCharType="separate"/>
      </w:r>
      <w:r w:rsidR="006966EE" w:rsidRPr="00646E6A">
        <w:rPr>
          <w:rFonts w:eastAsia="Calibri" w:cstheme="minorHAnsi"/>
          <w:noProof/>
        </w:rPr>
        <w:t>(Budd &amp; Hayman, 2008; Haqq et al., 2021; Pont et al., 2017; Roberts et al., 2021; Schwimmer, Burwinkle, &amp; Varni, 2003)</w:t>
      </w:r>
      <w:r w:rsidRPr="00646E6A">
        <w:rPr>
          <w:rFonts w:eastAsia="Calibri" w:cstheme="minorHAnsi"/>
        </w:rPr>
        <w:fldChar w:fldCharType="end"/>
      </w:r>
      <w:r w:rsidRPr="00B1522E">
        <w:rPr>
          <w:rFonts w:eastAsia="Calibri" w:cstheme="minorHAnsi"/>
        </w:rPr>
        <w:t xml:space="preserve">.  Interventions that help to prevent and decrease unhealthy dietary behaviours are essential to avoid the long-term effects of these behaviours </w:t>
      </w:r>
      <w:r w:rsidRPr="00B1522E">
        <w:rPr>
          <w:rFonts w:eastAsia="Calibri" w:cstheme="minorHAnsi"/>
        </w:rPr>
        <w:fldChar w:fldCharType="begin" w:fldLock="1"/>
      </w:r>
      <w:r w:rsidR="007463D4" w:rsidRPr="00B1522E">
        <w:rPr>
          <w:rFonts w:eastAsia="Calibri" w:cstheme="minorHAnsi"/>
        </w:rPr>
        <w:instrText>ADDIN CSL_CITATION {"citationItems":[{"id":"ITEM-1","itemData":{"ISSN":"0091-7435","author":[{"dropping-particle":"","family":"Lien","given":"N","non-dropping-particle":"","parse-names":false,"suffix":""},{"dropping-particle":"","family":"Lytle","given":"LA","non-dropping-particle":"","parse-names":false,"suffix":""},{"dropping-particle":"","family":"Klepp","given":"KI","non-dropping-particle":"","parse-names":false,"suffix":""}],"container-title":"Preventive Medicine","id":"ITEM-1","issue":"3","issued":{"date-parts":[["2001","9","1"]]},"page":"217-226","publisher":"Academic Press","title":"Stability in Consumption of Fruit, Vegetables, and Sugary Foods in a Cohort from Age 14 to Age 21","type":"article-journal","volume":"33"},"uris":["http://www.mendeley.com/documents/?uuid=7471c13e-1622-3e07-b970-0a03006e5d53"]}],"mendeley":{"formattedCitation":"(Lien et al., 2001)","plainTextFormattedCitation":"(Lien et al., 2001)","previouslyFormattedCitation":"(Lien et al., 2001)"},"properties":{"noteIndex":0},"schema":"https://github.com/citation-style-language/schema/raw/master/csl-citation.json"}</w:instrText>
      </w:r>
      <w:r w:rsidRPr="00B1522E">
        <w:rPr>
          <w:rFonts w:eastAsia="Calibri" w:cstheme="minorHAnsi"/>
        </w:rPr>
        <w:fldChar w:fldCharType="separate"/>
      </w:r>
      <w:r w:rsidR="0008465A" w:rsidRPr="00B1522E">
        <w:rPr>
          <w:rFonts w:eastAsia="Calibri" w:cstheme="minorHAnsi"/>
          <w:noProof/>
        </w:rPr>
        <w:t>(Lien et al., 2001)</w:t>
      </w:r>
      <w:r w:rsidRPr="00B1522E">
        <w:rPr>
          <w:rFonts w:eastAsia="Calibri" w:cstheme="minorHAnsi"/>
        </w:rPr>
        <w:fldChar w:fldCharType="end"/>
      </w:r>
      <w:r w:rsidRPr="00B1522E">
        <w:rPr>
          <w:rFonts w:eastAsia="Calibri" w:cstheme="minorHAnsi"/>
        </w:rPr>
        <w:t>.</w:t>
      </w:r>
      <w:r w:rsidRPr="00B1522E">
        <w:rPr>
          <w:rFonts w:cstheme="minorHAnsi"/>
        </w:rPr>
        <w:t xml:space="preserve"> </w:t>
      </w:r>
      <w:r w:rsidRPr="00B1522E">
        <w:rPr>
          <w:rFonts w:eastAsia="Calibri" w:cstheme="minorHAnsi"/>
        </w:rPr>
        <w:t xml:space="preserve">Dietary behaviour is defined as the pattern of consumption of food by an individual </w:t>
      </w:r>
      <w:r w:rsidRPr="00B1522E">
        <w:rPr>
          <w:rFonts w:eastAsia="Calibri" w:cstheme="minorHAnsi"/>
        </w:rPr>
        <w:fldChar w:fldCharType="begin" w:fldLock="1"/>
      </w:r>
      <w:r w:rsidR="007463D4" w:rsidRPr="00B1522E">
        <w:rPr>
          <w:rFonts w:eastAsia="Calibri" w:cstheme="minorHAnsi"/>
        </w:rPr>
        <w:instrText>ADDIN CSL_CITATION {"citationItems":[{"id":"ITEM-1","itemData":{"ISSN":"0029-6643","abstract":"Context: Multiple studies have been conducted on correlates of dietary behavior in adults, but a clear overview is currently lacking. Objective: An umbrella review, or review-of-reviews, was conducted to summarize and synthesize the scientific evidence on correlates and determinants of dietary behavior in adults. Data Sources: Eligible systematic reviews were identified in four databases: PubMed, PsycINFO, The Cochrane Library, and Web of Science. Only reviews published between January 1990 and May 2014 were included. Study Selection: Systematic reviews of observable food and dietary behavior that describe potential behavioral determinants of dietary behavior in adults were included. After independent selection of potentially relevant reviews by two authors, a total of 14 reviews were considered eligible. Data Extraction: For data extraction, the importance of determinants, the strength of the evidence, and the methodological quality of the eligible reviews were evaluated. Multiple observers conducted the data extraction independently. Data Synthesis: Social-cognitive determinants and environmental determinants (mainly the social-cultural environment) were included most often in the available reviews. Sedentary behavior and habit strength were consistently identified as important correlates of dietary behavior. Other correlates and potential determinants of dietary behavior, such as motivational regulation, shift work, and the political environment, have been studied in relatively few studies, but results are promising. Conclusions: The multitude of studies conducted on correlates of dietary behavior provides mixed, but sometimes quite convincing, evidence. However, because of the generally weak research design of the studies covered in the available reviews, the evidence for true determinants is suggestive, at best.","author":[{"dropping-particle":"","family":"Sleddens","given":"Ester F C","non-dropping-particle":"","parse-names":false,"suffix":""},{"dropping-particle":"","family":"Kroeze","given":"Willemieke","non-dropping-particle":"","parse-names":false,"suffix":""},{"dropping-particle":"","family":"Kohl","given":"Leonie F M","non-dropping-particle":"","parse-names":false,"suffix":""},{"dropping-particle":"","family":"Bolten","given":"Laura M","non-dropping-particle":"","parse-names":false,"suffix":""},{"dropping-particle":"","family":"Velema","given":"Elizabeth","non-dropping-particle":"","parse-names":false,"suffix":""},{"dropping-particle":"","family":"Kaspers","given":"Pam","non-dropping-particle":"","parse-names":false,"suffix":""},{"dropping-particle":"","family":"Kremers","given":"Stef P J","non-dropping-particle":"","parse-names":false,"suffix":""},{"dropping-particle":"","family":"Brug","given":"Johannes","non-dropping-particle":"","parse-names":false,"suffix":""}],"container-title":"Nutrition Reviews","id":"ITEM-1","issue":"8","issued":{"date-parts":[["2015","8","22"]]},"page":"477-499","publisher":"Oxford University Press","title":"Correlates of dietary behavior in adults: an umbrella review","type":"article-journal","volume":"73"},"uris":["http://www.mendeley.com/documents/?uuid=d19ec325-519f-4bb5-b89f-eb8757727284"]}],"mendeley":{"formattedCitation":"(Sleddens et al., 2015)","plainTextFormattedCitation":"(Sleddens et al., 2015)","previouslyFormattedCitation":"(Sleddens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(Sleddens et al., 2015)</w:t>
      </w:r>
      <w:r w:rsidRPr="00B1522E">
        <w:rPr>
          <w:rFonts w:eastAsia="Calibri" w:cstheme="minorHAnsi"/>
        </w:rPr>
        <w:fldChar w:fldCharType="end"/>
      </w:r>
      <w:r w:rsidRPr="00B1522E">
        <w:rPr>
          <w:rFonts w:eastAsia="Calibri" w:cstheme="minorHAnsi"/>
        </w:rPr>
        <w:t>.</w:t>
      </w:r>
    </w:p>
    <w:p w14:paraId="585514BE" w14:textId="65F5D698" w:rsidR="00987AC8" w:rsidRPr="00B1522E" w:rsidRDefault="00987AC8" w:rsidP="00734D95">
      <w:pPr>
        <w:spacing w:line="480" w:lineRule="auto"/>
        <w:jc w:val="both"/>
        <w:rPr>
          <w:rFonts w:eastAsia="Calibri" w:cstheme="minorHAnsi"/>
        </w:rPr>
      </w:pPr>
      <w:r w:rsidRPr="00B1522E">
        <w:rPr>
          <w:rFonts w:eastAsia="Calibri" w:cstheme="minorHAnsi"/>
        </w:rPr>
        <w:lastRenderedPageBreak/>
        <w:tab/>
      </w:r>
      <w:r w:rsidRPr="00B1522E">
        <w:rPr>
          <w:rFonts w:eastAsia="Calibri" w:cstheme="minorHAnsi"/>
        </w:rPr>
        <w:fldChar w:fldCharType="begin" w:fldLock="1"/>
      </w:r>
      <w:r w:rsidR="00D671A4" w:rsidRPr="00B1522E">
        <w:rPr>
          <w:rFonts w:eastAsia="Calibri" w:cstheme="minorHAnsi"/>
        </w:rPr>
        <w:instrText>ADDIN CSL_CITATION {"citationItems":[{"id":"ITEM-1","itemData":{"ISSN":"1467-7881","abstract":"The prevalence of overweight among children has doubled within the past two decades. Increases in the rate of childhood overweight are of particular concern due to the negative health and psychological effects noted among overweight children. As shown by previous research, the development of childhood overweight involves a complex set of factors from multiple contexts that interact with each other to place a child at risk of overweight. This multifaceted system can be conceptualized using Ecological Systems Theory (EST). EST highlights the importance of considering the context(s), or ecological niche, in which a person is located in order to understand the emergence of a particular characteristic. In the case of a child, the ecological niche includes the family and the school, which are in turn embedded in larger social contexts including the community and society at large. In this review, EST is used as a framework with which to summarize research assessing predictors of childhood overweight. Specifically, child characteristics that place children at risk of the development of overweight (including dietary intake, physical activity, and sedentary behaviour) will be reviewed while taking into consideration the influence of the familial environment, the school environment, and the community and larger social environments. It is concluded that future research needs to adopt a broader contextual approach in order to understand and intervene against the processes leading to the development of overweight among children and that the use of theories or paradigms such as EST will facilitate developing and testing models of causal processes.","author":[{"dropping-particle":"","family":"Davison","given":"K K","non-dropping-particle":"","parse-names":false,"suffix":""},{"dropping-particle":"","family":"Birch","given":"L L","non-dropping-particle":"","parse-names":false,"suffix":""}],"container-title":"Obesity reviews : an official journal of the International Association for the Study of Obesity","id":"ITEM-1","issue":"3","issued":{"date-parts":[["2001","8"]]},"page":"159-171","title":"Childhood overweight: a contextual model and recommendations for future research","type":"article-journal","volume":"2"},"uris":["http://www.mendeley.com/documents/?uuid=cbb05a2d-4b56-440a-812d-4b7e2b660122"]}],"mendeley":{"formattedCitation":"(Davison &amp; Birch, 2001)","manualFormatting":"Davison and Birch (2001)","plainTextFormattedCitation":"(Davison &amp; Birch, 2001)","previouslyFormattedCitation":"(Davison &amp; Birch, 2001)"},"properties":{"noteIndex":0},"schema":"https://github.com/citation-style-language/schema/raw/master/csl-citation.json"}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Davison and Birch (2001)</w:t>
      </w:r>
      <w:r w:rsidRPr="00B1522E">
        <w:rPr>
          <w:rFonts w:eastAsia="Calibri" w:cstheme="minorHAnsi"/>
        </w:rPr>
        <w:fldChar w:fldCharType="end"/>
      </w:r>
      <w:r w:rsidRPr="00B1522E">
        <w:rPr>
          <w:rFonts w:eastAsia="Calibri" w:cstheme="minorHAnsi"/>
        </w:rPr>
        <w:t xml:space="preserve"> suggest that to challenge the increasing prevalence of childhood obesity the immediate physical environment needs to change. Some authors </w:t>
      </w:r>
      <w:r w:rsidRPr="00B1522E">
        <w:rPr>
          <w:rFonts w:eastAsia="Calibri" w:cstheme="minorHAnsi"/>
        </w:rPr>
        <w:fldChar w:fldCharType="begin" w:fldLock="1"/>
      </w:r>
      <w:r w:rsidR="007463D4" w:rsidRPr="00B1522E">
        <w:rPr>
          <w:rFonts w:eastAsia="Calibri" w:cstheme="minorHAnsi"/>
        </w:rPr>
        <w:instrText>ADDIN CSL_CITATION {"citationItems":[{"id":"ITEM-1","itemData":{"ISSN":"1930-7381","abstract":"Objective: To evaluate whether a school‐based multicomponent educational program could improve adiposity measures in middle‐school adolescents. Methods: A non‐randomized controlled pilot study was conducted in six state middle schools (487 adolescents, 11‐15 years) in townships in an urban area around Milan, three schools (n = 262 adolescents) being assigned to the intervention group and three schools (n = 225 adolescents) to the control group. The two‐school‐year intervention included changes in the school environment (alternative healthy vending machines, educational posters) and individual reinforcement tools (school lessons, textbook, text messages, pedometers, re‐usable water bottles). The main outcome measure was change in BMI z‐score. The secondary outcomes were changes in waist‐to‐height ratio (WHtR) and behavioral habits. Results: The intervention was associated with a significant difference in BMI z‐score (−0.18 ± 0.03, P &lt; 0.01) and in WHtR (−0.04 ± 0.002, P &lt; 0.001), after controlling for baseline covariates. Subgroup analysis showed the maximum association between the intervention and the difference in BMI z‐score for girls with overweight/obesity. Physical activity increased and consumption of sugar‐sweetened beverages and high‐energy snacks decreased in adolescents after the intervention. Conclusions: A school‐based multicomponent intervention conducted at both environmental and individual levels may be effective for reducing adiposity measures mainly in adolescents with overweight/obesity. (PsycINFO Database Record (c) 2016 APA, all rights reserved)","author":[{"dropping-particle":"","family":"Ermetici","given":"Federica","non-dropping-particle":"","parse-names":false,"suffix":""},{"dropping-particle":"","family":"Zelaschi","given":"Roberta F","non-dropping-particle":"","parse-names":false,"suffix":""},{"dropping-particle":"","family":"Briganti","given":"Silvia","non-dropping-particle":"","parse-names":false,"suffix":""},{"dropping-particle":"","family":"Dozio","given":"Elena","non-dropping-particle":"","parse-names":false,"suffix":""},{"dropping-particle":"","family":"Gaeta","given":"Maddalena","non-dropping-particle":"","parse-names":false,"suffix":""},{"dropping-particle":"","family":"Ambrogi","given":"Federico","non-dropping-particle":"","parse-names":false,"suffix":""},{"dropping-particle":"","family":"Pelissero","given":"Gabriele","non-dropping-particle":"","parse-names":false,"suffix":""},{"dropping-particle":"","family":"Tettamanti","given":"Guido","non-dropping-particle":"","parse-names":false,"suffix":""},{"dropping-particle":"","family":"Romanelli","given":"Massimiliano Marco Corsi","non-dropping-particle":"","parse-names":false,"suffix":""},{"dropping-particle":"","family":"Carruba","given":"Michele","non-dropping-particle":"","parse-names":false,"suffix":""},{"dropping-particle":"","family":"Morricone","given":"Lelio","non-dropping-particle":"","parse-names":false,"suffix":""},{"dropping-particle":"","family":"Malavazos","given":"Alexis E","non-dropping-particle":"","parse-names":false,"suffix":""}],"container-title":"Obesity","id":"ITEM-1","issue":"3","issued":{"date-parts":[["2016","3"]]},"note":"Accession Number: 2016-10377-024. PMID: 26833570 Other Journal Title: Obesity Research. Partial author list: First Author &amp;amp; Affiliation: Ermetici, Federica; Diabetology and Metabolic Diseases Unit, I.R.C.C.S. Policlinico San Donato, Milan, Italy. Other Publishers: Nature Publishing Group; North American Assn for the Study of Obesity (NAASO). Release Date: 20160616. Publication Type: Journal (0100), Peer Reviewed Journal (0110). Format Covered: Electronic. Document Type: Journal Article. Language: English. Major Descriptor: Educational Programs; Middle School Students; School Based Intervention; School Environment; Body Fat. Minor Descriptor: Health Behavior; Health Education. Classification: Curriculum &amp;amp; Programs &amp;amp; Teaching Methods (3530); Promotion &amp;amp; Maintenance of Health &amp;amp; Wellness (3365). Population: Human (10); Male (30); Female (40). Location: Italy. Age Group: Childhood (birth-12 yrs) (100); School Age (6-12 yrs) (180); Adolescence (13-17 yrs) (200). Methodology: Empirical Study; Quantitative Study. References Available: Y. Page Count: 9. Issue Publication Date: Mar, 2016. Publication History: First Posted Date: Feb 1, 2016; Accepted Date: Sep 21, 2015; First Submitted Date: Jul 23, 2015. Copyright Statement: The Obesity Society. 2016.","page":"687-695","publisher":"Wiley-Blackwell Publishing Ltd.","publisher-place":"Ermetici, Federica, Diabetology and Metabolic Diseases Unit, I.R.C.C.S. Policlinico San Donato, San Donato Milanese, Milan, Italy","title":"Association between a school‐based intervention and adiposity outcomes in adolescents: The Italian 'EAT' project.","type":"article-journal","volume":"24"},"uris":["http://www.mendeley.com/documents/?uuid=d02f8e13-8377-4fbb-ad4b-0619e575c0ca"]}],"mendeley":{"formattedCitation":"(Ermetici et al., 2016)","plainTextFormattedCitation":"(Ermetici et al., 2016)","previouslyFormattedCitation":"(Ermetici et al., 2016)"},"properties":{"noteIndex":0},"schema":"https://github.com/citation-style-language/schema/raw/master/csl-citation.json"}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(Ermetici et al., 2016)</w:t>
      </w:r>
      <w:r w:rsidRPr="00B1522E">
        <w:rPr>
          <w:rFonts w:eastAsia="Calibri" w:cstheme="minorHAnsi"/>
        </w:rPr>
        <w:fldChar w:fldCharType="end"/>
      </w:r>
      <w:r w:rsidRPr="00B1522E">
        <w:rPr>
          <w:rFonts w:eastAsia="Calibri" w:cstheme="minorHAnsi"/>
        </w:rPr>
        <w:t xml:space="preserve"> argue that a school’s environment can play a part in the development and maintenance of obesity by promoting high energy food intake and sedentary behaviour </w:t>
      </w:r>
      <w:r w:rsidRPr="00B1522E">
        <w:rPr>
          <w:rFonts w:eastAsia="Calibri" w:cstheme="minorHAnsi"/>
        </w:rPr>
        <w:fldChar w:fldCharType="begin" w:fldLock="1"/>
      </w:r>
      <w:r w:rsidR="007463D4" w:rsidRPr="00B1522E">
        <w:rPr>
          <w:rFonts w:eastAsia="Calibri" w:cstheme="minorHAnsi"/>
        </w:rPr>
        <w:instrText>ADDIN CSL_CITATION {"citationItems":[{"id":"ITEM-1","itemData":{"ISSN":"1466-4240","abstract":"Obesity is a significant health and social problem which has reached pandemic levels. The obesogenicity of an environment has been defined as ?the sum of influences that the surroundings, opportunities, or conditions of life have on promoting obesity in individuals or populations?.1 Prevention and treatment of obesity has focused on pharmacological, educational and behavioural interventions, with limited overall success. A novel and a longer-term approach would be to investigate the environments that promote high energy intake and sedentary behaviour; this has not yet been fully understood. The obesity epidemic has attracted attention at all levels, from general media interest to policy and practice from health and other professions including urban designers and planners. Shaping the environment to better support healthful decisions has the potential to be a key aspect of a successful obesity prevention intervention. Thus in order to develop effective environmental interventions, in relation to obesity, we need to understand how individuals, and different groups of individuals, interact with their environments in terms of physical activity and food intake.","author":[{"dropping-particle":"","family":"Lake","given":"Amelia","non-dropping-particle":"","parse-names":false,"suffix":""},{"dropping-particle":"","family":"Townshend","given":"Tim","non-dropping-particle":"","parse-names":false,"suffix":""}],"container-title":"The journal of the Royal Society for the Promotion of Health","id":"ITEM-1","issue":"6","issued":{"date-parts":[["2006","11","1"]]},"note":"doi: 10.1177/1466424006070487","page":"262-267","publisher":"SAGE Publications","title":"Obesogenic environments: exploring the built and food environments","type":"article-journal","volume":"126"},"uris":["http://www.mendeley.com/documents/?uuid=c52e8827-48fa-4cb2-8859-893d5985e049"]},{"id":"ITEM-2","itemData":{"ISSN":"1930-7381","abstract":"Objective: To evaluate whether a school‐based multicomponent educational program could improve adiposity measures in middle‐school adolescents. Methods: A non‐randomized controlled pilot study was conducted in six state middle schools (487 adolescents, 11‐15 years) in townships in an urban area around Milan, three schools (n = 262 adolescents) being assigned to the intervention group and three schools (n = 225 adolescents) to the control group. The two‐school‐year intervention included changes in the school environment (alternative healthy vending machines, educational posters) and individual reinforcement tools (school lessons, textbook, text messages, pedometers, re‐usable water bottles). The main outcome measure was change in BMI z‐score. The secondary outcomes were changes in waist‐to‐height ratio (WHtR) and behavioral habits. Results: The intervention was associated with a significant difference in BMI z‐score (−0.18 ± 0.03, P &lt; 0.01) and in WHtR (−0.04 ± 0.002, P &lt; 0.001), after controlling for baseline covariates. Subgroup analysis showed the maximum association between the intervention and the difference in BMI z‐score for girls with overweight/obesity. Physical activity increased and consumption of sugar‐sweetened beverages and high‐energy snacks decreased in adolescents after the intervention. Conclusions: A school‐based multicomponent intervention conducted at both environmental and individual levels may be effective for reducing adiposity measures mainly in adolescents with overweight/obesity. (PsycINFO Database Record (c) 2016 APA, all rights reserved)","author":[{"dropping-particle":"","family":"Ermetici","given":"Federica","non-dropping-particle":"","parse-names":false,"suffix":""},{"dropping-particle":"","family":"Zelaschi","given":"Roberta F","non-dropping-particle":"","parse-names":false,"suffix":""},{"dropping-particle":"","family":"Briganti","given":"Silvia","non-dropping-particle":"","parse-names":false,"suffix":""},{"dropping-particle":"","family":"Dozio","given":"Elena","non-dropping-particle":"","parse-names":false,"suffix":""},{"dropping-particle":"","family":"Gaeta","given":"Maddalena","non-dropping-particle":"","parse-names":false,"suffix":""},{"dropping-particle":"","family":"Ambrogi","given":"Federico","non-dropping-particle":"","parse-names":false,"suffix":""},{"dropping-particle":"","family":"Pelissero","given":"Gabriele","non-dropping-particle":"","parse-names":false,"suffix":""},{"dropping-particle":"","family":"Tettamanti","given":"Guido","non-dropping-particle":"","parse-names":false,"suffix":""},{"dropping-particle":"","family":"Romanelli","given":"Massimiliano Marco Corsi","non-dropping-particle":"","parse-names":false,"suffix":""},{"dropping-particle":"","family":"Carruba","given":"Michele","non-dropping-particle":"","parse-names":false,"suffix":""},{"dropping-particle":"","family":"Morricone","given":"Lelio","non-dropping-particle":"","parse-names":false,"suffix":""},{"dropping-particle":"","family":"Malavazos","given":"Alexis E","non-dropping-particle":"","parse-names":false,"suffix":""}],"container-title":"Obesity","id":"ITEM-2","issue":"3","issued":{"date-parts":[["2016","3"]]},"note":"Accession Number: 2016-10377-024. PMID: 26833570 Other Journal Title: Obesity Research. Partial author list: First Author &amp;amp; Affiliation: Ermetici, Federica; Diabetology and Metabolic Diseases Unit, I.R.C.C.S. Policlinico San Donato, Milan, Italy. Other Publishers: Nature Publishing Group; North American Assn for the Study of Obesity (NAASO). Release Date: 20160616. Publication Type: Journal (0100), Peer Reviewed Journal (0110). Format Covered: Electronic. Document Type: Journal Article. Language: English. Major Descriptor: Educational Programs; Middle School Students; School Based Intervention; School Environment; Body Fat. Minor Descriptor: Health Behavior; Health Education. Classification: Curriculum &amp;amp; Programs &amp;amp; Teaching Methods (3530); Promotion &amp;amp; Maintenance of Health &amp;amp; Wellness (3365). Population: Human (10); Male (30); Female (40). Location: Italy. Age Group: Childhood (birth-12 yrs) (100); School Age (6-12 yrs) (180); Adolescence (13-17 yrs) (200). Methodology: Empirical Study; Quantitative Study. References Available: Y. Page Count: 9. Issue Publication Date: Mar, 2016. Publication History: First Posted Date: Feb 1, 2016; Accepted Date: Sep 21, 2015; First Submitted Date: Jul 23, 2015. Copyright Statement: The Obesity Society. 2016.","page":"687-695","publisher":"Wiley-Blackwell Publishing Ltd.","publisher-place":"Ermetici, Federica, Diabetology and Metabolic Diseases Unit, I.R.C.C.S. Policlinico San Donato, San Donato Milanese, Milan, Italy","title":"Association between a school‐based intervention and adiposity outcomes in adolescents: The Italian 'EAT' project.","type":"article-journal","volume":"24"},"uris":["http://www.mendeley.com/documents/?uuid=d02f8e13-8377-4fbb-ad4b-0619e575c0ca"]}],"mendeley":{"formattedCitation":"(Ermetici et al., 2016; Lake &amp; Townshend, 2006)","plainTextFormattedCitation":"(Ermetici et al., 2016; Lake &amp; Townshend, 2006)","previouslyFormattedCitation":"(Ermetici et al., 2016; Lake &amp; Townshend, 2006)"},"properties":{"noteIndex":0},"schema":"https://github.com/citation-style-language/schema/raw/master/csl-citation.json"}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(Ermetici et al., 2016; Lake &amp; Townshend, 2006)</w:t>
      </w:r>
      <w:r w:rsidRPr="00B1522E">
        <w:rPr>
          <w:rFonts w:eastAsia="Calibri" w:cstheme="minorHAnsi"/>
        </w:rPr>
        <w:fldChar w:fldCharType="end"/>
      </w:r>
      <w:r w:rsidRPr="00B1522E">
        <w:rPr>
          <w:rFonts w:eastAsia="Calibri" w:cstheme="minorHAnsi"/>
        </w:rPr>
        <w:t xml:space="preserve"> which may be conducive to weight gain </w:t>
      </w:r>
      <w:r w:rsidRPr="00B1522E">
        <w:rPr>
          <w:rFonts w:eastAsia="Calibri" w:cstheme="minorHAnsi"/>
        </w:rPr>
        <w:fldChar w:fldCharType="begin" w:fldLock="1"/>
      </w:r>
      <w:r w:rsidR="007463D4" w:rsidRPr="00B1522E">
        <w:rPr>
          <w:rFonts w:eastAsia="Calibri" w:cstheme="minorHAnsi"/>
        </w:rPr>
        <w:instrText>ADDIN CSL_CITATION {"citationItems":[{"id":"ITEM-1","itemData":{"ISSN":"0140-6736","author":[{"dropping-particle":"","family":"Swinburn BA, Sacks G, Hall KD, McPherson K, Finegood DT, Moodie ML","given":"Gortmaker SL.","non-dropping-particle":"","parse-names":false,"suffix":""}],"container-title":"The Lancet","id":"ITEM-1","issue":"9793","issued":{"date-parts":[["2011","8","27"]]},"page":"804-814","publisher":"Elsevier","title":"The global obesity pandemic: shaped by global drivers and local environments","type":"article-journal","volume":"378"},"uris":["http://www.mendeley.com/documents/?uuid=0fa619cc-6500-3e3d-940b-a3061b2a4f88"]}],"mendeley":{"formattedCitation":"(Swinburn BA, Sacks G, Hall KD, McPherson K, Finegood DT, Moodie ML, 2011)","manualFormatting":"(Swinburn et al., ","plainTextFormattedCitation":"(Swinburn BA, Sacks G, Hall KD, McPherson K, Finegood DT, Moodie ML, 2011)","previouslyFormattedCitation":"(Swinburn BA, Sacks G, Hall KD, McPherson K, Finegood DT, Moodie ML,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 xml:space="preserve">(Swinburn </w:t>
      </w:r>
      <w:r w:rsidR="00161E65" w:rsidRPr="00B1522E">
        <w:rPr>
          <w:rFonts w:eastAsia="Calibri" w:cstheme="minorHAnsi"/>
          <w:noProof/>
        </w:rPr>
        <w:t xml:space="preserve">et al., </w:t>
      </w:r>
      <w:r w:rsidRPr="00B1522E">
        <w:rPr>
          <w:rFonts w:eastAsia="Calibri" w:cstheme="minorHAnsi"/>
        </w:rPr>
        <w:fldChar w:fldCharType="end"/>
      </w:r>
      <w:r w:rsidR="00161E65" w:rsidRPr="00B1522E">
        <w:rPr>
          <w:rFonts w:eastAsia="Calibri" w:cstheme="minorHAnsi"/>
        </w:rPr>
        <w:t>2011)</w:t>
      </w:r>
      <w:r w:rsidRPr="00B1522E">
        <w:rPr>
          <w:rFonts w:eastAsia="Calibri" w:cstheme="minorHAnsi"/>
        </w:rPr>
        <w:t xml:space="preserve">. The school environment has been suggested as a platform where positive changes to behaviours can be implemented as interventions can be easily delivered and evaluated; given that schools have continuous, direct and intensive contact with children where a supportive healthy environment can be created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program.","type":"article-journal","volume":"5"},"uris":["http://www.mendeley.com/documents/?uuid=0ae3b1a2-a736-4e3f-8869-95e5f4733a34"]},{"id":"ITEM-2","itemData":{"ISBN":"2212-2672","ISSN":"22122672","PMID":"24054714","abstract":"It is the position of the Academy of Nutrition and Dietetics that prevention and treatment of pediatric overweight and obesity require systems-level approaches that include the skills of registered dietitians, as well as consistent and integrated messages and environmental support across all sectors of society to achieve sustained dietary and physical-activity behavior change. This position paper provides guidance and recommendations for levels of intervention targeting overweight and obesity prevention and treatment from preschool age through adolescence. Methods included a review of the literature from 2009 to April 2012, including the Academy's 2009 evidence analysis school-based reviews. Multicomponent interventions show the greatest impact for primary prevention; thus, early childhood and school-based interventions should integrate behavioral and environmental approaches that focus on dietary intake and physical activity using a systems-level approach targeting the multilevel structure of the socioecological model as well as interactions and relationships between levels. Secondary prevention and tertiary prevention/treatment should emphasize sustained family-based, developmentally appropriate approaches that include nutrition education, dietary counseling, parenting skills, behavioral strategies, and physical-activity promotion. For obese youth with concomitant serious comorbidities, structured dietary approaches and pharmacologic agents should be considered, and weight-loss surgery can be considered for severely obese adolescents. Policy and environmental interventions are recommended as feasible and sustainable ways to support healthful lifestyles for children and families. The Academy supports commitment of resources for interventions, policies, and research that promote healthful eating and physical-activity behaviors to ensure that all youth have the opportunity to achieve and maintain a weight that is optimal for health. © 2013 Academy of Nutrition and Dietetics.","author":[{"dropping-particle":"","family":"Hoelscher","given":"Deanna M.","non-dropping-particle":"","parse-names":false,"suffix":""},{"dropping-particle":"","family":"Kirk","given":"Shelley","non-dropping-particle":"","parse-names":false,"suffix":""},{"dropping-particle":"","family":"Ritchie","given":"Lorrene","non-dropping-particle":"","parse-names":false,"suffix":""},{"dropping-particle":"","family":"Cunningham-Sabo","given":"Leslie","non-dropping-particle":"","parse-names":false,"suffix":""}],"container-title":"Journal of the Academy of Nutrition and Dietetics","id":"ITEM-2","issue":"10","issued":{"date-parts":[["2013"]]},"page":"1375-1394","publisher":"Academy of Nutrition and Dietetics","title":"Position of the Academy of Nutrition and Dietetics: Interventions for the Prevention and Treatment of Pediatric Overweight and Obesity","type":"article-journal","volume":"113"},"uris":["http://www.mendeley.com/documents/?uuid=0a6a4121-8928-4cbe-8fbb-f4fde5ab9258"]},{"id":"ITEM-3","itemData":{"ISSN":"0965-4283","abstract":"Purpose – The purpose of this paper is to summarize a consensus statement generated on the current challenges, strategies, and potential of health promoting schools (HPS) at a 2011 colloquium at the Stellenbosch Institute for Advanced Study where 40 people from five continents came together to share their global and regional experience surrounding the World Health Organization (WHO) HPS model. Design/methodology/approach – Using the consensus as its foundation, this review summarizes the underlying educational and social science concepts and factors that contribute to success or failure of HPS, and incorporates peer reviewed papers based on invited presentations at the colloquium and key related literature. Findings – HPS increase knowledge and develop behaviors that benefit the health of children, such schools are also an investment in the well-being of the larger community. Importantly for their long-term psychological health “resilience” is generated by effective HPS programs. Professional development ...","author":[{"dropping-particle":"","family":"Macnab","given":"Andrew J.","non-dropping-particle":"","parse-names":false,"suffix":""},{"dropping-particle":"","family":"Gagnon","given":"Faith A.","non-dropping-particle":"","parse-names":false,"suffix":""},{"dropping-particle":"","family":"Stewart","given":"Donald","non-dropping-particle":"","parse-names":false,"suffix":""}],"container-title":"Health Education","editor":[{"dropping-particle":"","family":"Andrew J. Macnab, Dr. Faith A. Gagn","given":"Professor","non-dropping-particle":"","parse-names":false,"suffix":""}],"id":"ITEM-3","issue":"3","issued":{"date-parts":[["2014","4","7"]]},"page":"170-185","publisher":"Emerald Group Publishing Limited","title":"Health promoting schools: consensus, strategies, and potential","type":"article-journal","volume":"114"},"uris":["http://www.mendeley.com/documents/?uuid=ad9d4f17-79e3-4b88-a4b7-b20200c8585e"]}],"mendeley":{"formattedCitation":"(Chin A Paw et al., 2008; Hoelscher et al., 2013; Macnab et al., 2014)","plainTextFormattedCitation":"(Chin A Paw et al., 2008; Hoelscher et al., 2013; Macnab et al., 2014)","previouslyFormattedCitation":"(Chin A Paw et al., 2008; Hoelscher et al., 2013; Macnab et al., 2014)"},"properties":{"noteIndex":0},"schema":"https://github.com/citation-style-language/schema/raw/master/csl-citation.json"}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 Hoelscher et al., 2013; Macnab et al., 2014)</w:t>
      </w:r>
      <w:r w:rsidRPr="00B1522E">
        <w:rPr>
          <w:rFonts w:eastAsia="Calibri" w:cstheme="minorHAnsi"/>
        </w:rPr>
        <w:fldChar w:fldCharType="end"/>
      </w:r>
      <w:r w:rsidR="008D66FA" w:rsidRPr="00B1522E">
        <w:rPr>
          <w:rFonts w:eastAsia="Calibri" w:cstheme="minorHAnsi"/>
        </w:rPr>
        <w:t xml:space="preserve">. </w:t>
      </w:r>
      <w:r w:rsidRPr="00B1522E">
        <w:rPr>
          <w:rFonts w:eastAsia="Calibri" w:cstheme="minorHAnsi"/>
        </w:rPr>
        <w:t xml:space="preserve">Modifying the school environment could yield a long-lasting effect on childhood eating behaviours and obesity </w:t>
      </w:r>
      <w:r w:rsidRPr="00B1522E">
        <w:rPr>
          <w:rFonts w:eastAsia="Calibri" w:cstheme="minorHAnsi"/>
        </w:rPr>
        <w:fldChar w:fldCharType="begin" w:fldLock="1"/>
      </w:r>
      <w:r w:rsidR="007463D4" w:rsidRPr="00B1522E">
        <w:rPr>
          <w:rFonts w:eastAsia="Calibri" w:cstheme="minorHAnsi"/>
        </w:rPr>
        <w:instrText>ADDIN CSL_CITATION {"citationItems":[{"id":"ITEM-1","itemData":{"ISSN":"0140-6736","author":[{"dropping-particle":"","family":"Swinburn BA, Sacks G, Hall KD, McPherson K, Finegood DT, Moodie ML","given":"Gortmaker SL.","non-dropping-particle":"","parse-names":false,"suffix":""}],"container-title":"The Lancet","id":"ITEM-1","issue":"9793","issued":{"date-parts":[["2011","8","27"]]},"page":"804-814","publisher":"Elsevier","title":"The global obesity pandemic: shaped by global drivers and local environments","type":"article-journal","volume":"378"},"uris":["http://www.mendeley.com/documents/?uuid=0fa619cc-6500-3e3d-940b-a3061b2a4f88"]}],"mendeley":{"formattedCitation":"(Swinburn BA, Sacks G, Hall KD, McPherson K, Finegood DT, Moodie ML, 2011)","manualFormatting":"(Swinburn et al., 2011)","plainTextFormattedCitation":"(Swinburn BA, Sacks G, Hall KD, McPherson K, Finegood DT, Moodie ML, 2011)","previouslyFormattedCitation":"(Swinburn BA, Sacks G, Hall KD, McPherson K, Finegood DT, Moodie ML,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(Swinburn</w:t>
      </w:r>
      <w:r w:rsidR="00CF2646" w:rsidRPr="00B1522E">
        <w:rPr>
          <w:rFonts w:eastAsia="Calibri" w:cstheme="minorHAnsi"/>
          <w:noProof/>
        </w:rPr>
        <w:t xml:space="preserve"> et</w:t>
      </w:r>
      <w:r w:rsidR="00161E65" w:rsidRPr="00B1522E">
        <w:rPr>
          <w:rFonts w:eastAsia="Calibri" w:cstheme="minorHAnsi"/>
          <w:noProof/>
        </w:rPr>
        <w:t xml:space="preserve"> al.,</w:t>
      </w:r>
      <w:r w:rsidRPr="00B1522E">
        <w:rPr>
          <w:rFonts w:eastAsia="Calibri" w:cstheme="minorHAnsi"/>
          <w:noProof/>
        </w:rPr>
        <w:t xml:space="preserve"> 2011)</w:t>
      </w:r>
      <w:r w:rsidRPr="00B1522E">
        <w:rPr>
          <w:rFonts w:eastAsia="Calibri" w:cstheme="minorHAnsi"/>
        </w:rPr>
        <w:fldChar w:fldCharType="end"/>
      </w:r>
      <w:r w:rsidRPr="00B1522E">
        <w:rPr>
          <w:rFonts w:eastAsia="Calibri" w:cstheme="minorHAnsi"/>
        </w:rPr>
        <w:t xml:space="preserve"> by shaping the environment to allow children to make healthier choices </w:t>
      </w:r>
      <w:r w:rsidRPr="00B1522E">
        <w:rPr>
          <w:rFonts w:eastAsia="Calibri" w:cstheme="minorHAnsi"/>
        </w:rPr>
        <w:fldChar w:fldCharType="begin" w:fldLock="1"/>
      </w:r>
      <w:r w:rsidR="007463D4" w:rsidRPr="00B1522E">
        <w:rPr>
          <w:rFonts w:eastAsia="Calibri" w:cstheme="minorHAnsi"/>
        </w:rPr>
        <w:instrText>ADDIN CSL_CITATION {"citationItems":[{"id":"ITEM-1","itemData":{"ISSN":"1466-4240","abstract":"Obesity is a significant health and social problem which has reached pandemic levels. The obesogenicity of an environment has been defined as ?the sum of influences that the surroundings, opportunities, or conditions of life have on promoting obesity in individuals or populations?.1 Prevention and treatment of obesity has focused on pharmacological, educational and behavioural interventions, with limited overall success. A novel and a longer-term approach would be to investigate the environments that promote high energy intake and sedentary behaviour; this has not yet been fully understood. The obesity epidemic has attracted attention at all levels, from general media interest to policy and practice from health and other professions including urban designers and planners. Shaping the environment to better support healthful decisions has the potential to be a key aspect of a successful obesity prevention intervention. Thus in order to develop effective environmental interventions, in relation to obesity, we need to understand how individuals, and different groups of individuals, interact with their environments in terms of physical activity and food intake.","author":[{"dropping-particle":"","family":"Lake","given":"Amelia","non-dropping-particle":"","parse-names":false,"suffix":""},{"dropping-particle":"","family":"Townshend","given":"Tim","non-dropping-particle":"","parse-names":false,"suffix":""}],"container-title":"The journal of the Royal Society for the Promotion of Health","id":"ITEM-1","issue":"6","issued":{"date-parts":[["2006","11","1"]]},"note":"doi: 10.1177/1466424006070487","page":"262-267","publisher":"SAGE Publications","title":"Obesogenic environments: exploring the built and food environments","type":"article-journal","volume":"126"},"uris":["http://www.mendeley.com/documents/?uuid=c52e8827-48fa-4cb2-8859-893d5985e049"]}],"mendeley":{"formattedCitation":"(Lake &amp; Townshend, 2006)","plainTextFormattedCitation":"(Lake &amp; Townshend, 2006)","previouslyFormattedCitation":"(Lake &amp; Townshend, 2006)"},"properties":{"noteIndex":0},"schema":"https://github.com/citation-style-language/schema/raw/master/csl-citation.json"}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(Lake &amp; Townshend, 2006)</w:t>
      </w:r>
      <w:r w:rsidRPr="00B1522E">
        <w:rPr>
          <w:rFonts w:eastAsia="Calibri" w:cstheme="minorHAnsi"/>
        </w:rPr>
        <w:fldChar w:fldCharType="end"/>
      </w:r>
      <w:r w:rsidRPr="00B1522E">
        <w:rPr>
          <w:rFonts w:eastAsia="Calibri" w:cstheme="minorHAnsi"/>
        </w:rPr>
        <w:t>.</w:t>
      </w:r>
      <w:r w:rsidRPr="00B1522E">
        <w:rPr>
          <w:rFonts w:cstheme="minorHAnsi"/>
          <w:shd w:val="clear" w:color="auto" w:fill="FFFFFF"/>
        </w:rPr>
        <w:t xml:space="preserve"> </w:t>
      </w:r>
    </w:p>
    <w:p w14:paraId="5309A240" w14:textId="2719CFDF" w:rsidR="00987AC8" w:rsidRPr="00B1522E" w:rsidRDefault="00987AC8" w:rsidP="00734D95">
      <w:pPr>
        <w:spacing w:line="480" w:lineRule="auto"/>
        <w:ind w:firstLine="720"/>
        <w:jc w:val="both"/>
        <w:rPr>
          <w:rFonts w:eastAsia="Calibri" w:cstheme="minorHAnsi"/>
        </w:rPr>
      </w:pPr>
      <w:r w:rsidRPr="00B1522E">
        <w:rPr>
          <w:rFonts w:eastAsia="Calibri" w:cstheme="minorHAnsi"/>
        </w:rPr>
        <w:t xml:space="preserve">Interventions to help prevent obesity need to have a key focus on dietary behaviour change </w:t>
      </w:r>
      <w:r w:rsidRPr="00B1522E">
        <w:rPr>
          <w:rFonts w:eastAsia="Calibri" w:cstheme="minorHAnsi"/>
        </w:rPr>
        <w:fldChar w:fldCharType="begin" w:fldLock="1"/>
      </w:r>
      <w:r w:rsidR="00DF6CCC" w:rsidRPr="00B1522E">
        <w:rPr>
          <w:rFonts w:eastAsia="Calibri" w:cstheme="minorHAnsi"/>
        </w:rPr>
        <w:instrText>ADDIN CSL_CITATION {"citationItems":[{"id":"ITEM-1","itemData":{"ISSN":"2212-2672","author":[{"dropping-particle":"","family":"Johns","given":"David J","non-dropping-particle":"","parse-names":false,"suffix":""},{"dropping-particle":"","family":"Hartmann-Boyce","given":"Jamie","non-dropping-particle":"","parse-names":false,"suffix":""},{"dropping-particle":"","family":"Jebb","given":"Susan A","non-dropping-particle":"","parse-names":false,"suffix":""},{"dropping-particle":"","family":"Aveyard","given":"Paul","non-dropping-particle":"","parse-names":false,"suffix":""}],"container-title":"Journal of the Academy of Nutrition and Dietetics","id":"ITEM-1","issue":"10","issued":{"date-parts":[["2014"]]},"page":"1557-1568","title":"Diet or Exercise Interventions vs Combined Behavioral Weight Management Programs: A Systematic Review and Meta-Analysis of Direct Comparisons","type":"article-journal","volume":"114"},"uris":["http://www.mendeley.com/documents/?uuid=08fccefb-9fe7-4661-adca-f19dec332cc7"]}],"mendeley":{"formattedCitation":"(Johns et al., 2014)","plainTextFormattedCitation":"(Johns et al., 2014)","previouslyFormattedCitation":"(Johns et al., 2014)"},"properties":{"noteIndex":0},"schema":"https://github.com/citation-style-language/schema/raw/master/csl-citation.json"}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(Johns et al., 2014)</w:t>
      </w:r>
      <w:r w:rsidRPr="00B1522E">
        <w:rPr>
          <w:rFonts w:eastAsia="Calibri" w:cstheme="minorHAnsi"/>
        </w:rPr>
        <w:fldChar w:fldCharType="end"/>
      </w:r>
      <w:r w:rsidRPr="00B1522E">
        <w:rPr>
          <w:rFonts w:eastAsia="Calibri" w:cstheme="minorHAnsi"/>
        </w:rPr>
        <w:t xml:space="preserve">. The volume of unhealthy food consumed by children cannot be solely offset by physical activity; for example, an average high-calorie meal would take up two hours of vigorous physical activity to counteract it </w:t>
      </w:r>
      <w:r w:rsidRPr="00B1522E">
        <w:rPr>
          <w:rFonts w:eastAsia="Calibri" w:cstheme="minorHAnsi"/>
        </w:rPr>
        <w:fldChar w:fldCharType="begin" w:fldLock="1"/>
      </w:r>
      <w:r w:rsidR="00D046DC" w:rsidRPr="00B1522E">
        <w:rPr>
          <w:rFonts w:eastAsia="Calibri" w:cstheme="minorHAnsi"/>
        </w:rPr>
        <w:instrText>ADDIN CSL_CITATION {"citationItems":[{"id":"ITEM-1","itemData":{"author":[{"dropping-particle":"","family":"Styne","given":"Dennis M","non-dropping-particle":"","parse-names":false,"suffix":""}],"container-title":"American Journal of Clinical Nutrition","id":"ITEM-1","issue":"2","issued":{"date-parts":[["2005"]]},"page":"337-338","title":"Obesity in childhood : what ’ s activity got to do with it ?","type":"article-journal","volume":"81"},"uris":["http://www.mendeley.com/documents/?uuid=fd92fac8-bc9a-4deb-a657-cfa39450d993"]}],"mendeley":{"formattedCitation":"(Styne, 2005)","plainTextFormattedCitation":"(Styne, 2005)","previouslyFormattedCitation":"(Styne, 2005)"},"properties":{"noteIndex":0},"schema":"https://github.com/citation-style-language/schema/raw/master/csl-citation.json"}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(Styne, 2005)</w:t>
      </w:r>
      <w:r w:rsidRPr="00B1522E">
        <w:rPr>
          <w:rFonts w:eastAsia="Calibri" w:cstheme="minorHAnsi"/>
        </w:rPr>
        <w:fldChar w:fldCharType="end"/>
      </w:r>
      <w:r w:rsidRPr="00B1522E">
        <w:rPr>
          <w:rFonts w:eastAsia="Calibri" w:cstheme="minorHAnsi"/>
        </w:rPr>
        <w:t xml:space="preserve">. </w:t>
      </w:r>
      <w:r w:rsidRPr="00B1522E">
        <w:rPr>
          <w:rFonts w:cstheme="minorHAnsi"/>
        </w:rPr>
        <w:t xml:space="preserve"> </w:t>
      </w:r>
      <w:r w:rsidRPr="00B1522E">
        <w:rPr>
          <w:rFonts w:eastAsia="Calibri" w:cstheme="minorHAnsi"/>
        </w:rPr>
        <w:t xml:space="preserve">The improvement of children’s dietary behaviours has been proposed by the World Health Organization </w:t>
      </w:r>
      <w:r w:rsidRPr="00B1522E">
        <w:rPr>
          <w:rFonts w:eastAsia="Calibri" w:cstheme="minorHAnsi"/>
        </w:rPr>
        <w:fldChar w:fldCharType="begin" w:fldLock="1"/>
      </w:r>
      <w:r w:rsidR="00F8302A" w:rsidRPr="00B1522E">
        <w:rPr>
          <w:rFonts w:eastAsia="Calibri" w:cstheme="minorHAnsi"/>
        </w:rPr>
        <w:instrText>ADDIN CSL_CITATION {"citationItems":[{"id":"ITEM-1","itemData":{"author":[{"dropping-particle":"","family":"World Health Organization","given":"","non-dropping-particle":"","parse-names":false,"suffix":""}],"id":"ITEM-1","issued":{"date-parts":[["2006"]]},"publisher":"Copenhagen: WHO Regional Office for Europe","title":"Food and nutrition policy for schools: a tool for the development of school nutrition programmes in the European Region","type":"article-journal"},"uris":["http://www.mendeley.com/documents/?uuid=4aeb8fe4-eed9-41c3-9a17-cbca3b4d6d51"]}],"mendeley":{"formattedCitation":"(World Health Organization, 2006)","plainTextFormattedCitation":"(World Health Organization, 2006)","previouslyFormattedCitation":"(World Health Organization, 2006)"},"properties":{"noteIndex":0},"schema":"https://github.com/citation-style-language/schema/raw/master/csl-citation.json"}</w:instrText>
      </w:r>
      <w:r w:rsidRPr="00B1522E">
        <w:rPr>
          <w:rFonts w:eastAsia="Calibri" w:cstheme="minorHAnsi"/>
        </w:rPr>
        <w:fldChar w:fldCharType="separate"/>
      </w:r>
      <w:r w:rsidR="00D671A4" w:rsidRPr="00B1522E">
        <w:rPr>
          <w:rFonts w:eastAsia="Calibri" w:cstheme="minorHAnsi"/>
          <w:noProof/>
        </w:rPr>
        <w:t>(World Health Organization, 2006)</w:t>
      </w:r>
      <w:r w:rsidRPr="00B1522E">
        <w:rPr>
          <w:rFonts w:eastAsia="Calibri" w:cstheme="minorHAnsi"/>
        </w:rPr>
        <w:fldChar w:fldCharType="end"/>
      </w:r>
      <w:r w:rsidRPr="00B1522E">
        <w:rPr>
          <w:rFonts w:eastAsia="Calibri" w:cstheme="minorHAnsi"/>
        </w:rPr>
        <w:t xml:space="preserve"> as a priority in every school because of the potential positive effects on general well-being. A healthy diet will not only help prevent obesity but can improve cognitive function that can lead to better concentration in class, which can in turn improve academic grades </w:t>
      </w:r>
      <w:r w:rsidRPr="00B1522E">
        <w:rPr>
          <w:rFonts w:eastAsia="Calibri" w:cstheme="minorHAnsi"/>
        </w:rPr>
        <w:fldChar w:fldCharType="begin" w:fldLock="1"/>
      </w:r>
      <w:r w:rsidR="00DF6CCC" w:rsidRPr="00B1522E">
        <w:rPr>
          <w:rFonts w:eastAsia="Calibri" w:cstheme="minorHAnsi"/>
        </w:rPr>
        <w:instrText>ADDIN CSL_CITATION {"citationItems":[{"id":"ITEM-1","itemData":{"ISSN":"0002-8223","author":[{"dropping-particle":"","family":"Rampersaud","given":"Gail C","non-dropping-particle":"","parse-names":false,"suffix":""},{"dropping-particle":"","family":"Pereira","given":"Mark A","non-dropping-particle":"","parse-names":false,"suffix":""},{"dropping-particle":"","family":"Girard","given":"Beverly L","non-dropping-particle":"","parse-names":false,"suffix":""},{"dropping-particle":"","family":"Adams","given":"Judi","non-dropping-particle":"","parse-names":false,"suffix":""},{"dropping-particle":"","family":"Metzl","given":"Jordan D","non-dropping-particle":"","parse-names":false,"suffix":""}],"container-title":"Journal of the American Dietetic Association","id":"ITEM-1","issue":"5","issued":{"date-parts":[["2005"]]},"page":"743-760","title":"Breakfast Habits, Nutritional Status, Body Weight, and Academic Performance in Children and Adolescents","type":"article-journal","volume":"105"},"uris":["http://www.mendeley.com/documents/?uuid=fc25e3e1-6d08-4917-97f3-5ee4cb77f194"]}],"mendeley":{"formattedCitation":"(Rampersaud et al., 2005)","plainTextFormattedCitation":"(Rampersaud et al., 2005)","previouslyFormattedCitation":"(Rampersaud et al., 2005)"},"properties":{"noteIndex":0},"schema":"https://github.com/citation-style-language/schema/raw/master/csl-citation.json"}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(Rampersaud et al., 2005)</w:t>
      </w:r>
      <w:r w:rsidRPr="00B1522E">
        <w:rPr>
          <w:rFonts w:eastAsia="Calibri" w:cstheme="minorHAnsi"/>
        </w:rPr>
        <w:fldChar w:fldCharType="end"/>
      </w:r>
      <w:r w:rsidRPr="00B1522E">
        <w:rPr>
          <w:rFonts w:eastAsia="Calibri" w:cstheme="minorHAnsi"/>
        </w:rPr>
        <w:t xml:space="preserve">. Evidence suggests that maintaining a balanced diet supports a child’s normal development and energy levels and reduces the risk of non-communicable diseases </w:t>
      </w:r>
      <w:r w:rsidRPr="00B1522E">
        <w:rPr>
          <w:rFonts w:eastAsia="Calibri" w:cstheme="minorHAnsi"/>
        </w:rPr>
        <w:fldChar w:fldCharType="begin" w:fldLock="1"/>
      </w:r>
      <w:r w:rsidR="00FD502B" w:rsidRPr="00B1522E">
        <w:rPr>
          <w:rFonts w:eastAsia="Calibri" w:cstheme="minorHAnsi"/>
        </w:rPr>
        <w:instrText>ADDIN CSL_CITATION {"citationItems":[{"id":"ITEM-1","itemData":{"URL":"http://www.who.int/mediacentre/factsheets/fs311/en/#.WdzVcAdWy9A.mendeley","accessed":{"date-parts":[["2017","10","10"]]},"author":[{"dropping-particle":"","family":"World Health Organization","given":"","non-dropping-particle":"","parse-names":false,"suffix":""}],"id":"ITEM-1","issued":{"date-parts":[["2017"]]},"publisher":"World Health Organization","title":"WHO | Obesity and overweight","type":"webpage"},"uris":["http://www.mendeley.com/documents/?uuid=3b5cd173-a823-3482-9df5-fce120e650de"]}],"mendeley":{"formattedCitation":"(World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B1522E">
        <w:rPr>
          <w:rFonts w:eastAsia="Calibri" w:cstheme="minorHAnsi"/>
        </w:rPr>
        <w:fldChar w:fldCharType="separate"/>
      </w:r>
      <w:r w:rsidR="00D046DC" w:rsidRPr="00B1522E">
        <w:rPr>
          <w:rFonts w:eastAsia="Calibri" w:cstheme="minorHAnsi"/>
          <w:noProof/>
        </w:rPr>
        <w:t>(World Health Organization, 2017)</w:t>
      </w:r>
      <w:r w:rsidRPr="00B1522E">
        <w:rPr>
          <w:rFonts w:eastAsia="Calibri" w:cstheme="minorHAnsi"/>
        </w:rPr>
        <w:fldChar w:fldCharType="end"/>
      </w:r>
      <w:r w:rsidRPr="00B1522E">
        <w:rPr>
          <w:rFonts w:eastAsia="Calibri" w:cstheme="minorHAnsi"/>
        </w:rPr>
        <w:t>. Therefore, dietary behaviour change will be the focus of interventions evaluated in this present review. In addition, the review will focus on early adolescence (11 to 16 years) as this is a key time for the formation of dietary habits</w:t>
      </w:r>
      <w:r w:rsidRPr="00B1522E">
        <w:rPr>
          <w:rFonts w:cstheme="minorHAnsi"/>
        </w:rPr>
        <w:t xml:space="preserve"> where adolescents </w:t>
      </w:r>
      <w:r w:rsidRPr="00B1522E">
        <w:rPr>
          <w:rFonts w:eastAsia="Calibri" w:cstheme="minorHAnsi"/>
        </w:rPr>
        <w:t xml:space="preserve">are becoming increasingly independent and have more control over their own diets compared to younger children </w:t>
      </w:r>
      <w:r w:rsidRPr="00B1522E">
        <w:rPr>
          <w:rFonts w:eastAsia="Calibri" w:cstheme="minorHAnsi"/>
        </w:rPr>
        <w:fldChar w:fldCharType="begin" w:fldLock="1"/>
      </w:r>
      <w:r w:rsidR="00971CA4" w:rsidRPr="00B1522E">
        <w:rPr>
          <w:rFonts w:eastAsia="Calibri" w:cstheme="minorHAnsi"/>
        </w:rPr>
        <w:instrText>ADDIN CSL_CITATION {"citationItems":[{"id":"ITEM-1","itemData":{"ISBN":"0000000000000","ISSN":"1486-3847","PMID":"19430591","abstract":"Eating behaviours evolve during the first years of life; children learn what, when, and how much to eat through direct experiences with food and by observing the eating behaviours of others. In light of the increasing prevalence of overweight and obesity in North America among all age groups1, including very young children, an understanding of the factors that influence eating behaviours during childhood is needed to improve the dietary patterns and health status of this age group. In this review, we will describe behavioural factors that shape the development of food acceptance, including food selection and food preferences, as well as the regulation of food intake in young children. Although a range of environmental factors may directly influence the development of child eating behaviours2,3, the primary focus of this review will be on ways in which caregivers influence children's eating environments and eating behaviours. The","author":[{"dropping-particle":"","family":"Birch","given":"Leann","non-dropping-particle":"","parse-names":false,"suffix":""},{"dropping-particle":"","family":"Arbor","given":"Ann","non-dropping-particle":"","parse-names":false,"suffix":""},{"dropping-particle":"","family":"Savage","given":"Jennifer S","non-dropping-particle":"","parse-names":false,"suffix":""},{"dropping-particle":"","family":"Ventura","given":"Alison","non-dropping-particle":"","parse-names":false,"suffix":""}],"container-title":"Canadian journal of dietetic practice and research","id":"ITEM-1","issue":"1","issued":{"date-parts":[["2009"]]},"page":"1-11","title":"Influences on the Development of Children's Eating Behaviours: From Infancy to Adolescence","type":"article-journal","volume":"68"},"uris":["http://www.mendeley.com/documents/?uuid=cf7f67f5-17b1-48d8-b99f-6d1b7b943c8a"]}],"mendeley":{"formattedCitation":"(Birch et al., 2009)","plainTextFormattedCitation":"(Birch et al., 2009)","previouslyFormattedCitation":"(Birch et al., 2009)"},"properties":{"noteIndex":0},"schema":"https://github.com/citation-style-language/schema/raw/master/csl-citation.json"}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(Birch et al., 2009)</w:t>
      </w:r>
      <w:r w:rsidRPr="00B1522E">
        <w:rPr>
          <w:rFonts w:eastAsia="Calibri" w:cstheme="minorHAnsi"/>
        </w:rPr>
        <w:fldChar w:fldCharType="end"/>
      </w:r>
      <w:r w:rsidRPr="00B1522E">
        <w:rPr>
          <w:rFonts w:eastAsia="Calibri" w:cstheme="minorHAnsi"/>
        </w:rPr>
        <w:t xml:space="preserve"> given that in later adolescence (age 16 and above), behaviours are more resistant to change </w:t>
      </w:r>
      <w:r w:rsidRPr="00B1522E">
        <w:rPr>
          <w:rFonts w:eastAsia="Calibri" w:cstheme="minorHAnsi"/>
        </w:rPr>
        <w:fldChar w:fldCharType="begin" w:fldLock="1"/>
      </w:r>
      <w:r w:rsidR="007463D4" w:rsidRPr="00B1522E">
        <w:rPr>
          <w:rFonts w:eastAsia="Calibri" w:cstheme="minorHAnsi"/>
        </w:rPr>
        <w:instrText>ADDIN CSL_CITATION {"citationItems":[{"id":"ITEM-1","itemData":{"ISSN":"0091-7435","author":[{"dropping-particle":"","family":"Lien","given":"N","non-dropping-particle":"","parse-names":false,"suffix":""},{"dropping-particle":"","family":"Lytle","given":"LA","non-dropping-particle":"","parse-names":false,"suffix":""},{"dropping-particle":"","family":"Klepp","given":"KI","non-dropping-particle":"","parse-names":false,"suffix":""}],"container-title":"Preventive Medicine","id":"ITEM-1","issue":"3","issued":{"date-parts":[["2001","9","1"]]},"page":"217-226","publisher":"Academic Press","title":"Stability in Consumption of Fruit, Vegetables, and Sugary Foods in a Cohort from Age 14 to Age 21","type":"article-journal","volume":"33"},"uris":["http://www.mendeley.com/documents/?uuid=7471c13e-1622-3e07-b970-0a03006e5d53"]}],"mendeley":{"formattedCitation":"(Lien et al., 2001)","manualFormatting":"(Lien, Lytle,  &amp; Klepp, 2001)","plainTextFormattedCitation":"(Lien et al., 2001)","previouslyFormattedCitation":"(Lien et al., 2001)"},"properties":{"noteIndex":0},"schema":"https://github.com/citation-style-language/schema/raw/master/csl-citation.json"}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 xml:space="preserve">(Lien, Lytle, </w:t>
      </w:r>
      <w:r w:rsidR="00672AED" w:rsidRPr="00B1522E">
        <w:rPr>
          <w:rFonts w:eastAsia="Calibri" w:cstheme="minorHAnsi"/>
          <w:noProof/>
        </w:rPr>
        <w:t xml:space="preserve"> &amp; </w:t>
      </w:r>
      <w:r w:rsidRPr="00B1522E">
        <w:rPr>
          <w:rFonts w:eastAsia="Calibri" w:cstheme="minorHAnsi"/>
          <w:noProof/>
        </w:rPr>
        <w:t>Klepp, 2001)</w:t>
      </w:r>
      <w:r w:rsidRPr="00B1522E">
        <w:rPr>
          <w:rFonts w:eastAsia="Calibri" w:cstheme="minorHAnsi"/>
        </w:rPr>
        <w:fldChar w:fldCharType="end"/>
      </w:r>
      <w:r w:rsidRPr="00B1522E">
        <w:rPr>
          <w:rFonts w:eastAsia="Calibri" w:cstheme="minorHAnsi"/>
        </w:rPr>
        <w:t xml:space="preserve">. </w:t>
      </w:r>
    </w:p>
    <w:p w14:paraId="33A25A4D" w14:textId="1DFD5D43" w:rsidR="00987AC8" w:rsidRPr="00B1522E" w:rsidRDefault="00987AC8" w:rsidP="00734D95">
      <w:pPr>
        <w:spacing w:line="480" w:lineRule="auto"/>
        <w:ind w:firstLine="720"/>
        <w:jc w:val="both"/>
        <w:rPr>
          <w:rFonts w:eastAsia="Calibri" w:cstheme="minorHAnsi"/>
        </w:rPr>
      </w:pPr>
      <w:r w:rsidRPr="00B1522E">
        <w:rPr>
          <w:rFonts w:eastAsia="Calibri" w:cstheme="minorHAnsi"/>
        </w:rPr>
        <w:lastRenderedPageBreak/>
        <w:t xml:space="preserve">Previous systematic reviews that aimed to evaluated interventions designed to improve dietary behaviours have focused on using education with a younger age range within a school </w:t>
      </w:r>
      <w:r w:rsidRPr="00B1522E">
        <w:rPr>
          <w:rFonts w:eastAsia="Calibri" w:cstheme="minorHAnsi"/>
        </w:rPr>
        <w:fldChar w:fldCharType="begin" w:fldLock="1"/>
      </w:r>
      <w:r w:rsidR="00DF6CCC" w:rsidRPr="00B1522E">
        <w:rPr>
          <w:rFonts w:eastAsia="Calibri" w:cstheme="minorHAnsi"/>
        </w:rPr>
        <w:instrText>ADDIN CSL_CITATION {"citationItems":[{"id":"ITEM-1","itemData":{"ISSN":"1720-8386","abstract":"&lt;p&gt;&lt;b&gt;PURPOSE:&lt;/b&gt; Two crucial aspects of obesity prevention are early childhood and school-based interventions. The main purpose of this systematic review wass to evaluate the efficacy and the feasibility of school-based interventions performed in primary schools.&lt;br/&gt;&lt;b&gt;METHODS:&lt;/b&gt; All pertinent data from the literature have been critically examined and reviewed to evaluate the efficacy and the feasibility of different strategies of interventions. In particular, many studies have been performed in school-aged children.&lt;br/&gt;&lt;b&gt;RESULTS:&lt;/b&gt; Data from literature suggest that educational interventions toward healthy eating habits and physical activity at school could be a key strategy in the prevention of obesity, because it has been shown that is difficult to treat obesity in adults through changes in the lifestyle rather than during childhood. Recent advances in technology, especially web-based interventions, have been used to provide a specific content addressing healthy lifestyle with regard diet and exercise. These data suggest the opportunity to use web-interactive programs as a new challenging technique of communication in order to promote healthy behaviors.&lt;br/&gt;&lt;b&gt;CONCLUSIONS:&lt;/b&gt; The early detection and treatment of obesity in children may be the best approach to prevent future increases in morbidity, as well as healthcare costs that will likely occur as overweight and obese children age.&lt;/p&gt;\\n","author":[{"dropping-particle":"","family":"Verrotti","given":"A","non-dropping-particle":"","parse-names":false,"suffix":""},{"dropping-particle":"","family":"Penta","given":"L","non-dropping-particle":"","parse-names":false,"suffix":""},{"dropping-particle":"","family":"Zenzeri","given":"L","non-dropping-particle":"","parse-names":false,"suffix":""},{"dropping-particle":"","family":"Agostinelli","given":"S","non-dropping-particle":"","parse-names":false,"suffix":""},{"dropping-particle":"","family":"Feo","given":"P","non-dropping-particle":"De","parse-names":false,"suffix":""}],"container-title":"Journal of endocrinological investigation","id":"ITEM-1","issue":"12","issued":{"date-parts":[["2014"]]},"page":"1155-1164","publisher":"Springer","title":"Childhood obesity: prevention and strategies of intervention. A systematic review of school-based interventions in primary schools","type":"article-journal","volume":"37"},"uris":["http://www.mendeley.com/documents/?uuid=69e3de4a-ce92-4d2e-9a63-99d71835570f"]}],"mendeley":{"formattedCitation":"(Verrotti et al., 2014)","plainTextFormattedCitation":"(Verrotti et al., 2014)","previouslyFormattedCitation":"(Verrotti et al., 2014)"},"properties":{"noteIndex":0},"schema":"https://github.com/citation-style-language/schema/raw/master/csl-citation.json"}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(Verrotti et al., 2014)</w:t>
      </w:r>
      <w:r w:rsidRPr="00B1522E">
        <w:rPr>
          <w:rFonts w:eastAsia="Calibri" w:cstheme="minorHAnsi"/>
        </w:rPr>
        <w:fldChar w:fldCharType="end"/>
      </w:r>
      <w:r w:rsidRPr="00B1522E">
        <w:rPr>
          <w:rFonts w:eastAsia="Calibri" w:cstheme="minorHAnsi"/>
        </w:rPr>
        <w:t xml:space="preserve"> or on older adolescents to young adults in a mixture of settings to improve nutrition </w:t>
      </w:r>
      <w:r w:rsidRPr="00B1522E">
        <w:rPr>
          <w:rFonts w:eastAsia="Calibri" w:cstheme="minorHAnsi"/>
        </w:rPr>
        <w:fldChar w:fldCharType="begin" w:fldLock="1"/>
      </w:r>
      <w:r w:rsidR="00FD502B" w:rsidRPr="00B1522E">
        <w:rPr>
          <w:rFonts w:eastAsia="Calibri" w:cstheme="minorHAnsi"/>
        </w:rPr>
        <w:instrText>ADDIN CSL_CITATION {"citationItems":[{"id":"ITEM-1","itemData":{"ISSN":"1879-1972 (Electronic)","PMID":"27664593","abstract":"Adequate adolescent nutrition is an important step for optimal growth and development. In this article, we systematically reviewed published studies till December 2014 to ascertain the effectiveness of interventions to improve adolescent nutrition. We found one existing systematic review on interventions to prevent obesity which we updated and conducted de novo reviews for micronutrient supplementation and nutrition interventions for pregnant adolescents. Our review findings suggest that micronutrient supplementation among adolescents (predominantly females) can significantly decrease anemia prevalence (relative risk [RR]: .69; 95% confidence interval [CI]: .62-.76) while interventions to improve nutritional status among \"pregnant adolescents\" showed statistically significant improved birth weight (standard mean difference: .25; 95% CI: .08-.41), decreased low birth weight (RR: .70; 95% CI: .57-.84), and preterm birth (RR: .73; 95% CI: .57-.95). Interventions to promote nutrition and prevent obesity had a marginal impact on reducing body mass index (standard mean difference: -.08; 95% CI: -.17 to .01). However, these findings should be interpreted with caution due to significant statistical heterogeneity.","author":[{"dropping-particle":"","family":"Salam","given":"Rehana A","non-dropping-particle":"","parse-names":false,"suffix":""},{"dropping-particle":"","family":"Hooda","given":"Mehar","non-dropping-particle":"","parse-names":false,"suffix":""},{"dropping-particle":"","family":"Das","given":"Jai K","non-dropping-particle":"","parse-names":false,"suffix":""},{"dropping-particle":"","family":"Arshad","given":"Ahmed","non-dropping-particle":"","parse-names":false,"suffix":""},{"dropping-particle":"","family":"Lassi","given":"Zohra S","non-dropping-particle":"","parse-names":false,"suffix":""},{"dropping-particle":"","family":"Middleton","given":"Philippa","non-dropping-particle":"","parse-names":false,"suffix":""},{"dropping-particle":"","family":"Bhutta","given":"Zulfiqar A","non-dropping-particle":"","parse-names":false,"suffix":""}],"container-title":"The Journal of adolescent health : official publication of the Society for Adolescent Medicine","id":"ITEM-1","issue":"4","issued":{"date-parts":[["2016","10"]]},"language":"eng","page":"29-39","publisher-place":"United States, United States","title":"Interventions to Improve Adolescent Nutrition: A Systematic Review and Meta-Analysis.","type":"article-journal","volume":"59"},"uris":["http://www.mendeley.com/documents/?uuid=f79d066a-4bed-47bb-b95e-d31c8dc3b57f"]}],"mendeley":{"formattedCitation":"(Salam et al., 2016)","plainTextFormattedCitation":"(Salam et al., 2016)","previouslyFormattedCitation":"(Salam et al., 2016)"},"properties":{"noteIndex":0},"schema":"https://github.com/citation-style-language/schema/raw/master/csl-citation.json"}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(Salam et al., 2016)</w:t>
      </w:r>
      <w:r w:rsidRPr="00B1522E">
        <w:rPr>
          <w:rFonts w:eastAsia="Calibri" w:cstheme="minorHAnsi"/>
        </w:rPr>
        <w:fldChar w:fldCharType="end"/>
      </w:r>
      <w:r w:rsidRPr="00B1522E">
        <w:rPr>
          <w:rFonts w:eastAsia="Calibri" w:cstheme="minorHAnsi"/>
        </w:rPr>
        <w:t xml:space="preserve">, or targeted both dietary and physical activity behaviour change within schools  </w:t>
      </w:r>
      <w:r w:rsidRPr="00B1522E">
        <w:rPr>
          <w:rFonts w:eastAsia="Calibri" w:cstheme="minorHAnsi"/>
        </w:rPr>
        <w:fldChar w:fldCharType="begin" w:fldLock="1"/>
      </w:r>
      <w:r w:rsidR="00D671A4" w:rsidRPr="00B1522E">
        <w:rPr>
          <w:rFonts w:eastAsia="Calibri" w:cstheme="minorHAnsi"/>
        </w:rPr>
        <w:instrText>ADDIN CSL_CITATION {"citationItems":[{"id":"ITEM-1","itemData":{"ISSN":"1467-7881","author":[{"dropping-particle":"","family":"Bourdeaudhuij","given":"Ilse","non-dropping-particle":"De","parse-names":false,"suffix":""},{"dropping-particle":"","family":"Cauwenberghe","given":"Eveline","non-dropping-particle":"Van","parse-names":false,"suffix":""},{"dropping-particle":"","family":"Spittaels","given":"Heleen","non-dropping-particle":"","parse-names":false,"suffix":""},{"dropping-particle":"","family":"Oppert","given":"J‐M","non-dropping-particle":"","parse-names":false,"suffix":""},{"dropping-particle":"","family":"Rostami","given":"Cyrus","non-dropping-particle":"","parse-names":false,"suffix":""},{"dropping-particle":"","family":"Brug","given":"J","non-dropping-particle":"","parse-names":false,"suffix":""},{"dropping-particle":"","family":"Lenthe","given":"Frank","non-dropping-particle":"Van","parse-names":false,"suffix":""},{"dropping-particle":"","family":"Lobstein","given":"Tim","non-dropping-particle":"","parse-names":false,"suffix":""},{"dropping-particle":"","family":"Maes","given":"Lea","non-dropping-particle":"","parse-names":false,"suffix":""}],"container-title":"Obesity Reviews","id":"ITEM-1","issue":"3","issued":{"date-parts":[["2011"]]},"page":"205-216","publisher":"Wiley Online Library","title":"School‐based interventions promoting both physical activity and healthy eating in Europe: a systematic review within the HOPE project","type":"article-journal","volume":"12"},"uris":["http://www.mendeley.com/documents/?uuid=741843e1-dea8-4327-8f6e-cc69adf56395","http://www.mendeley.com/documents/?uuid=56eb229d-8a57-49cb-8dcf-367acf595fd2"]}],"mendeley":{"formattedCitation":"(De Bourdeaudhuij et al., 2011)","plainTextFormattedCitation":"(De Bourdeaudhuij et al., 2011)","previouslyFormattedCitation":"(De Bourdeaudhuij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(De Bourdeaudhuij et al., 2011)</w:t>
      </w:r>
      <w:r w:rsidRPr="00B1522E">
        <w:rPr>
          <w:rFonts w:eastAsia="Calibri" w:cstheme="minorHAnsi"/>
        </w:rPr>
        <w:fldChar w:fldCharType="end"/>
      </w:r>
      <w:r w:rsidRPr="00B1522E">
        <w:rPr>
          <w:rFonts w:eastAsia="Calibri" w:cstheme="minorHAnsi"/>
        </w:rPr>
        <w:t xml:space="preserve">, altered school environment policy (e.g. reduced the availability of certain unhealthy food) only </w:t>
      </w:r>
      <w:r w:rsidRPr="00B1522E">
        <w:rPr>
          <w:rFonts w:eastAsia="Calibri" w:cstheme="minorHAnsi"/>
        </w:rPr>
        <w:fldChar w:fldCharType="begin" w:fldLock="1"/>
      </w:r>
      <w:r w:rsidR="00D671A4" w:rsidRPr="00B1522E">
        <w:rPr>
          <w:rFonts w:eastAsia="Calibri" w:cstheme="minorHAnsi"/>
        </w:rPr>
        <w:instrText>ADDIN CSL_CITATION {"citationItems":[{"id":"ITEM-1","itemData":{"ISSN":"1932-6203","author":[{"dropping-particle":"","family":"Micha","given":"Renata","non-dropping-particle":"","parse-names":false,"suffix":""},{"dropping-particle":"","family":"Karageorgou","given":"Dimitra","non-dropping-particle":"","parse-names":false,"suffix":""},{"dropping-particle":"","family":"Bakogianni","given":"Ioanna","non-dropping-particle":"","parse-names":false,"suffix":""},{"dropping-particle":"","family":"Trichia","given":"Eirini","non-dropping-particle":"","parse-names":false,"suffix":""},{"dropping-particle":"","family":"Whitsel","given":"Laurie P","non-dropping-particle":"","parse-names":false,"suffix":""},{"dropping-particle":"","family":"Story","given":"Mary","non-dropping-particle":"","parse-names":false,"suffix":""},{"dropping-particle":"","family":"Peñalvo","given":"Jose L","non-dropping-particle":"","parse-names":false,"suffix":""},{"dropping-particle":"","family":"Mozaffarian","given":"Dariush","non-dropping-particle":"","parse-names":false,"suffix":""}],"container-title":"PloS one","id":"ITEM-1","issue":"3","issued":{"date-parts":[["2018"]]},"page":"e0194555","publisher":"Public Library of Science","title":"Effectiveness of school food environment policies on children’s dietary behaviors: A systematic review and meta-analysis","type":"article-journal","volume":"13"},"uris":["http://www.mendeley.com/documents/?uuid=74adf8f4-b783-4929-b3bc-18f171506cf3"]},{"id":"ITEM-2","itemData":{"ISSN":"2153-2168","author":[{"dropping-particle":"","family":"Katz","given":"David L","non-dropping-particle":"","parse-names":false,"suffix":""}],"container-title":"Childhood Obesity (Formerly Obesity and Weight Management)","id":"ITEM-2","issue":"4","issued":{"date-parts":[["2012"]]},"page":"273-275","publisher":"Mary Ann Liebert, Inc. 140 Huguenot Street, 3rd Floor New Rochelle, NY 10801-5215 USA","title":"Improving school food: for the good of kids, with the help of kids","type":"article-journal","volume":"8"},"uris":["http://www.mendeley.com/documents/?uuid=383a4027-c872-40e7-b654-c617569c69d1"]}],"mendeley":{"formattedCitation":"(Katz, 2012; Micha et al., 2018)","plainTextFormattedCitation":"(Katz, 2012; Micha et al., 2018)","previouslyFormattedCitation":"(Katz, 2012; Micha et al., 2018)"},"properties":{"noteIndex":0},"schema":"https://github.com/citation-style-language/schema/raw/master/csl-citation.json"}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(Katz, 2012; Micha et al., 2018)</w:t>
      </w:r>
      <w:r w:rsidRPr="00B1522E">
        <w:rPr>
          <w:rFonts w:eastAsia="Calibri" w:cstheme="minorHAnsi"/>
        </w:rPr>
        <w:fldChar w:fldCharType="end"/>
      </w:r>
      <w:r w:rsidRPr="00B1522E">
        <w:rPr>
          <w:rFonts w:eastAsia="Calibri" w:cstheme="minorHAnsi"/>
        </w:rPr>
        <w:t xml:space="preserve"> or were not in a school setting </w:t>
      </w:r>
      <w:r w:rsidRPr="00B1522E">
        <w:rPr>
          <w:rFonts w:eastAsia="Calibri" w:cstheme="minorHAnsi"/>
        </w:rPr>
        <w:fldChar w:fldCharType="begin" w:fldLock="1"/>
      </w:r>
      <w:r w:rsidR="00971CA4" w:rsidRPr="00B1522E">
        <w:rPr>
          <w:rFonts w:eastAsia="Calibri" w:cstheme="minorHAnsi"/>
        </w:rPr>
        <w:instrText>ADDIN CSL_CITATION {"citationItems":[{"id":"ITEM-1","itemData":{"author":[{"dropping-particle":"","family":"Knai","given":"C","non-dropping-particle":"","parse-names":false,"suffix":""},{"dropping-particle":"","family":"Pomerleau","given":"J","non-dropping-particle":"","parse-names":false,"suffix":""},{"dropping-particle":"","family":"Lock","given":"K","non-dropping-particle":"","parse-names":false,"suffix":""},{"dropping-particle":"","family":"McKee","given":"M","non-dropping-particle":"","parse-names":false,"suffix":""}],"container-title":"Preventive Medicine","id":"ITEM-1","issue":"2","issued":{"date-parts":[["2006"]]},"page":"85-95","title":"Getting children to eat more fruit and vegetables: a systematic review","type":"article-journal","volume":"42"},"uris":["http://www.mendeley.com/documents/?uuid=38f6337b-86f5-4bf2-bd91-2a830e9d37ee"]},{"id":"ITEM-2","itemData":{"ISBN":"1054-139X 1879-1972","ISSN":"18791972","PMID":"28822682","abstract":"Many adolescents have poor diet and physical activity behaviors, which can lead to the development of noncommunicable diseases in later life. Digital platforms offer inexpensive means of delivering health interventions, but little is known about their effectiveness. This systematic review was conducted to synthesize evidence on the effectiveness of digital interventions to improve diet quality and increase physical activity in adolescents, to effective intervention components and to assess the cost-effectiveness of these interventions. Following a systematic search, abstracts were assessed against inclusion criteria, and data extraction and quality assessment were performed for included studies. Data were analyzed to identify key features that are associated with significant improvement in behavior. A total of 27 studies met inclusion criteria. Most (n = 15) were Web site interventions. Other delivery methods were text messages, games, multicomponent interventions, emails, and social media. Significant behavior change was often seen when interventions included education, goal setting, self-monitoring, and parental involvement. None of the publications reported cost-effectiveness. Due to heterogeneity of studies, meta-analysis was not feasible.It is possible to effect significant health behavior change in adolescents through digital interventions that incorporate education, goal setting, self-monitoring, and parental involvement. Most of the evidence relates to Web sites and further research into alternate media is needed, and longer term outcomes should be evaluated. There is a paucity of data on the cost-effectiveness of digital health interventions, and future trials should report these data.","author":[{"dropping-particle":"","family":"Rose","given":"Taylor","non-dropping-particle":"","parse-names":false,"suffix":""},{"dropping-particle":"","family":"Barker","given":"Mary","non-dropping-particle":"","parse-names":false,"suffix":""},{"dropping-particle":"","family":"Maria Jacob","given":"Chandni","non-dropping-particle":"","parse-names":false,"suffix":""},{"dropping-particle":"","family":"Morrison","given":"Leanne","non-dropping-particle":"","parse-names":false,"suffix":""},{"dropping-particle":"","family":"Lawrence","given":"Wendy","non-dropping-particle":"","parse-names":false,"suffix":""},{"dropping-particle":"","family":"Strömmer","given":"Sofia","non-dropping-particle":"","parse-names":false,"suffix":""},{"dropping-particle":"","family":"Vogel","given":"Christina","non-dropping-particle":"","parse-names":false,"suffix":""},{"dropping-particle":"","family":"Woods-Townsend","given":"Kathryn","non-dropping-particle":"","parse-names":false,"suffix":""},{"dropping-particle":"","family":"Farrell","given":"David","non-dropping-particle":"","parse-names":false,"suffix":""},{"dropping-particle":"","family":"Inskip","given":"Hazel","non-dropping-particle":"","parse-names":false,"suffix":""},{"dropping-particle":"","family":"Baird","given":"Janis","non-dropping-particle":"","parse-names":false,"suffix":""}],"container-title":"Journal of Adolescent Health","id":"ITEM-2","issue":"6","issued":{"date-parts":[["2017"]]},"page":"669-677","title":"A Systematic Review of Digital Interventions for Improving the Diet and Physical Activity Behaviors of Adolescents","type":"article-journal","volume":"61"},"uris":["http://www.mendeley.com/documents/?uuid=4968c014-975d-480f-a34f-e602220e4dd7"]}],"mendeley":{"formattedCitation":"(Knai et al., 2006; Rose et al., 2017)","plainTextFormattedCitation":"(Knai et al., 2006; Rose et al., 2017)","previouslyFormattedCitation":"(Knai et al., 2006; Rose et al., 2017)"},"properties":{"noteIndex":0},"schema":"https://github.com/citation-style-language/schema/raw/master/csl-citation.json"}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(Knai et al., 2006; Rose et al., 2017)</w:t>
      </w:r>
      <w:r w:rsidRPr="00B1522E">
        <w:rPr>
          <w:rFonts w:eastAsia="Calibri" w:cstheme="minorHAnsi"/>
        </w:rPr>
        <w:fldChar w:fldCharType="end"/>
      </w:r>
      <w:r w:rsidRPr="00B1522E">
        <w:rPr>
          <w:rFonts w:eastAsia="Calibri" w:cstheme="minorHAnsi"/>
        </w:rPr>
        <w:t>. None of these reviews has focused on improving dietary behaviours using school-based interventions solely with 11</w:t>
      </w:r>
      <w:r w:rsidR="00754FA3" w:rsidRPr="00B1522E">
        <w:rPr>
          <w:rFonts w:eastAsia="Calibri" w:cstheme="minorHAnsi"/>
        </w:rPr>
        <w:t xml:space="preserve">- </w:t>
      </w:r>
      <w:r w:rsidRPr="00B1522E">
        <w:rPr>
          <w:rFonts w:eastAsia="Calibri" w:cstheme="minorHAnsi"/>
        </w:rPr>
        <w:t xml:space="preserve">to 16-year-olds. The primary aim of this current review is therefore to evaluate the effectiveness of school-based interventions in improving dietary behaviour for 11- to 16-year-olds. The secondary aim is to identify intervention characteristics and moderators that may contribute to the effectiveness of such school-based dietary behaviour change interventions. </w:t>
      </w:r>
    </w:p>
    <w:p w14:paraId="07E69E06" w14:textId="77777777" w:rsidR="00B77CFF" w:rsidRPr="00B1522E" w:rsidRDefault="00B77CFF" w:rsidP="00734D95">
      <w:pPr>
        <w:spacing w:line="480" w:lineRule="auto"/>
        <w:rPr>
          <w:rFonts w:eastAsia="Calibri" w:cstheme="minorHAnsi"/>
        </w:rPr>
      </w:pPr>
    </w:p>
    <w:bookmarkStart w:id="26" w:name="_Toc84678897"/>
    <w:p w14:paraId="485B16E8" w14:textId="44CD794D" w:rsidR="00FD4501" w:rsidRPr="00B1522E" w:rsidRDefault="004B1178" w:rsidP="00734D95">
      <w:pPr>
        <w:spacing w:line="480" w:lineRule="auto"/>
        <w:rPr>
          <w:b/>
          <w:bCs/>
        </w:rPr>
      </w:pPr>
      <w:r w:rsidRPr="00B1522E">
        <w:fldChar w:fldCharType="begin"/>
      </w:r>
      <w:r w:rsidRPr="00B1522E">
        <w:instrText xml:space="preserve"> TC  "</w:instrText>
      </w:r>
      <w:bookmarkStart w:id="27" w:name="_Toc97310411"/>
      <w:r w:rsidRPr="00B1522E">
        <w:instrText>2.3 Methods</w:instrText>
      </w:r>
      <w:bookmarkEnd w:id="27"/>
      <w:r w:rsidRPr="00B1522E">
        <w:instrText xml:space="preserve">" \f x\l 2 </w:instrText>
      </w:r>
      <w:r w:rsidRPr="00B1522E">
        <w:fldChar w:fldCharType="end"/>
      </w:r>
      <w:r w:rsidR="00B77CFF" w:rsidRPr="00B1522E">
        <w:rPr>
          <w:b/>
          <w:bCs/>
        </w:rPr>
        <w:t xml:space="preserve">2.3 </w:t>
      </w:r>
      <w:r w:rsidR="00987AC8" w:rsidRPr="00B1522E">
        <w:rPr>
          <w:b/>
          <w:bCs/>
        </w:rPr>
        <w:t>Methods</w:t>
      </w:r>
      <w:bookmarkEnd w:id="26"/>
    </w:p>
    <w:bookmarkStart w:id="28" w:name="_Toc84678898"/>
    <w:p w14:paraId="387B4436" w14:textId="694DBF6C" w:rsidR="00987AC8" w:rsidRPr="00B1522E" w:rsidRDefault="004B1178" w:rsidP="00734D95">
      <w:pPr>
        <w:spacing w:line="480" w:lineRule="auto"/>
      </w:pPr>
      <w:r w:rsidRPr="00B1522E">
        <w:fldChar w:fldCharType="begin"/>
      </w:r>
      <w:r w:rsidRPr="00B1522E">
        <w:instrText xml:space="preserve"> TC  "</w:instrText>
      </w:r>
      <w:bookmarkStart w:id="29" w:name="_Toc97310412"/>
      <w:r w:rsidRPr="00B1522E">
        <w:instrText>2.3.1 Identification of studies</w:instrText>
      </w:r>
      <w:bookmarkEnd w:id="29"/>
      <w:r w:rsidRPr="00B1522E">
        <w:instrText xml:space="preserve"> " \f x\l 3 </w:instrText>
      </w:r>
      <w:r w:rsidRPr="00B1522E">
        <w:fldChar w:fldCharType="end"/>
      </w:r>
      <w:r w:rsidR="00B77CFF" w:rsidRPr="00B1522E">
        <w:t xml:space="preserve">2.3.1 </w:t>
      </w:r>
      <w:r w:rsidR="00987AC8" w:rsidRPr="00B1522E">
        <w:t>Identification of studies</w:t>
      </w:r>
      <w:bookmarkEnd w:id="28"/>
      <w:r w:rsidR="00987AC8" w:rsidRPr="00B1522E">
        <w:t xml:space="preserve"> </w:t>
      </w:r>
    </w:p>
    <w:p w14:paraId="6BF4A561" w14:textId="64BE444F" w:rsidR="00987AC8" w:rsidRPr="00B1522E" w:rsidRDefault="00383D7E" w:rsidP="00734D95">
      <w:pPr>
        <w:spacing w:line="480" w:lineRule="auto"/>
        <w:jc w:val="both"/>
        <w:rPr>
          <w:rFonts w:eastAsia="Calibri" w:cstheme="minorHAnsi"/>
        </w:rPr>
      </w:pPr>
      <w:r w:rsidRPr="00B1522E">
        <w:rPr>
          <w:rFonts w:eastAsia="Calibri" w:cstheme="minorHAnsi"/>
        </w:rPr>
        <w:t>The initial</w:t>
      </w:r>
      <w:r w:rsidR="00987AC8" w:rsidRPr="00B1522E">
        <w:rPr>
          <w:rFonts w:eastAsia="Calibri" w:cstheme="minorHAnsi"/>
        </w:rPr>
        <w:t xml:space="preserve"> literature searches</w:t>
      </w:r>
      <w:r w:rsidR="00672AED" w:rsidRPr="00B1522E">
        <w:rPr>
          <w:rFonts w:eastAsia="Calibri" w:cstheme="minorHAnsi"/>
        </w:rPr>
        <w:t xml:space="preserve"> were conducted</w:t>
      </w:r>
      <w:r w:rsidR="00987AC8" w:rsidRPr="00B1522E">
        <w:rPr>
          <w:rFonts w:eastAsia="Calibri" w:cstheme="minorHAnsi"/>
        </w:rPr>
        <w:t xml:space="preserve"> in February 2016, with a top-up search performed in May 2018 (the top-up search used the same search terms and databases as the initial search). </w:t>
      </w:r>
    </w:p>
    <w:p w14:paraId="23796B4F" w14:textId="77777777" w:rsidR="00987AC8" w:rsidRPr="00B1522E" w:rsidRDefault="00987AC8" w:rsidP="00734D95">
      <w:pPr>
        <w:spacing w:line="480" w:lineRule="auto"/>
        <w:jc w:val="both"/>
        <w:rPr>
          <w:rFonts w:eastAsia="Calibri" w:cstheme="minorHAnsi"/>
        </w:rPr>
      </w:pPr>
    </w:p>
    <w:p w14:paraId="47AE00C3" w14:textId="7D0FB5A6" w:rsidR="00F67AA7" w:rsidRPr="00B1522E" w:rsidRDefault="00F67AA7" w:rsidP="00734D95">
      <w:pPr>
        <w:spacing w:line="480" w:lineRule="auto"/>
      </w:pPr>
      <w:r w:rsidRPr="00B1522E">
        <w:t xml:space="preserve">2.3.1.1 </w:t>
      </w:r>
      <w:r w:rsidR="00987AC8" w:rsidRPr="00B1522E">
        <w:t xml:space="preserve">PICO search </w:t>
      </w:r>
    </w:p>
    <w:p w14:paraId="6B5D6E8D" w14:textId="38969E7E" w:rsidR="00987AC8" w:rsidRPr="00B1522E" w:rsidRDefault="00987AC8" w:rsidP="00734D95">
      <w:pPr>
        <w:spacing w:line="480" w:lineRule="auto"/>
        <w:jc w:val="both"/>
        <w:rPr>
          <w:rFonts w:eastAsia="Calibri" w:cstheme="minorHAnsi"/>
        </w:rPr>
      </w:pPr>
      <w:r w:rsidRPr="00B1522E">
        <w:rPr>
          <w:rFonts w:eastAsia="Calibri" w:cstheme="minorHAnsi"/>
        </w:rPr>
        <w:t xml:space="preserve">The PICO (population, intervention, comparator, and outcome) framework which was as follows: (P) students 11-16 years old; (I) healthy eating intervention; (C) school-based intervention; (O) change in dietary behaviours. To maximize the yield of results we conducted a PICO search of key words, which were: </w:t>
      </w:r>
      <w:r w:rsidRPr="00B1522E">
        <w:rPr>
          <w:rFonts w:eastAsia="Calibri" w:cstheme="minorHAnsi"/>
          <w:i/>
        </w:rPr>
        <w:t>child, intervention</w:t>
      </w:r>
      <w:r w:rsidRPr="00646E6A">
        <w:rPr>
          <w:rFonts w:eastAsia="Calibri" w:cstheme="minorHAnsi"/>
          <w:i/>
        </w:rPr>
        <w:t xml:space="preserve">, school </w:t>
      </w:r>
      <w:r w:rsidRPr="00646E6A">
        <w:rPr>
          <w:rFonts w:eastAsia="Calibri" w:cstheme="minorHAnsi"/>
        </w:rPr>
        <w:t>and</w:t>
      </w:r>
      <w:r w:rsidRPr="00646E6A">
        <w:rPr>
          <w:rFonts w:eastAsia="Calibri" w:cstheme="minorHAnsi"/>
          <w:i/>
        </w:rPr>
        <w:t xml:space="preserve"> healthy eating</w:t>
      </w:r>
      <w:r w:rsidR="006A6E58" w:rsidRPr="00646E6A">
        <w:rPr>
          <w:rFonts w:eastAsia="Calibri" w:cstheme="minorHAnsi"/>
        </w:rPr>
        <w:t xml:space="preserve"> (</w:t>
      </w:r>
      <w:r w:rsidR="00F66F87" w:rsidRPr="00646E6A">
        <w:rPr>
          <w:rFonts w:eastAsia="Calibri" w:cstheme="minorHAnsi"/>
        </w:rPr>
        <w:t>Table 2</w:t>
      </w:r>
      <w:r w:rsidR="006A6E58" w:rsidRPr="00646E6A">
        <w:rPr>
          <w:rFonts w:eastAsia="Calibri" w:cstheme="minorHAnsi"/>
        </w:rPr>
        <w:t>)</w:t>
      </w:r>
      <w:r w:rsidRPr="00646E6A">
        <w:rPr>
          <w:rFonts w:eastAsia="Calibri" w:cstheme="minorHAnsi"/>
        </w:rPr>
        <w:t>. A broad search strategy was employed to maximize the results</w:t>
      </w:r>
      <w:r w:rsidRPr="00B1522E">
        <w:rPr>
          <w:rFonts w:eastAsia="Calibri" w:cstheme="minorHAnsi"/>
        </w:rPr>
        <w:t xml:space="preserve"> of the search</w:t>
      </w:r>
      <w:r w:rsidRPr="00B1522E">
        <w:rPr>
          <w:rFonts w:cstheme="minorHAnsi"/>
        </w:rPr>
        <w:t xml:space="preserve"> </w:t>
      </w:r>
      <w:r w:rsidRPr="00B1522E">
        <w:rPr>
          <w:rFonts w:eastAsia="Calibri" w:cstheme="minorHAnsi"/>
        </w:rPr>
        <w:t>to help avoid excluding potential relevant studies.</w:t>
      </w:r>
    </w:p>
    <w:p w14:paraId="2E3E56BE" w14:textId="77777777" w:rsidR="00F66F87" w:rsidRPr="00B1522E" w:rsidRDefault="00F66F87" w:rsidP="0054770E"/>
    <w:p w14:paraId="19E08805" w14:textId="7402EEA9" w:rsidR="0054770E" w:rsidRPr="00646E6A" w:rsidRDefault="00CC6B48" w:rsidP="0054770E">
      <w:r w:rsidRPr="00646E6A">
        <w:rPr>
          <w:b/>
          <w:bCs/>
          <w:i/>
          <w:iCs/>
        </w:rPr>
        <w:lastRenderedPageBreak/>
        <w:fldChar w:fldCharType="begin"/>
      </w:r>
      <w:r w:rsidRPr="00646E6A">
        <w:rPr>
          <w:b/>
          <w:bCs/>
        </w:rPr>
        <w:instrText xml:space="preserve"> TC  "</w:instrText>
      </w:r>
      <w:r w:rsidRPr="00646E6A">
        <w:rPr>
          <w:sz w:val="24"/>
          <w:szCs w:val="24"/>
        </w:rPr>
        <w:instrText xml:space="preserve"> </w:instrText>
      </w:r>
      <w:bookmarkStart w:id="30" w:name="_Toc97557125"/>
      <w:r w:rsidRPr="00646E6A">
        <w:instrText>Table 2. PICO search terms used in the systematic review</w:instrText>
      </w:r>
      <w:bookmarkEnd w:id="30"/>
      <w:r w:rsidRPr="00646E6A">
        <w:rPr>
          <w:rFonts w:cstheme="minorHAnsi"/>
        </w:rPr>
        <w:instrText>”</w:instrText>
      </w:r>
      <w:r w:rsidRPr="00646E6A">
        <w:rPr>
          <w:b/>
          <w:bCs/>
        </w:rPr>
        <w:instrText xml:space="preserve">\f z\l 2 </w:instrText>
      </w:r>
      <w:r w:rsidRPr="00646E6A">
        <w:rPr>
          <w:b/>
          <w:bCs/>
          <w:i/>
          <w:iCs/>
        </w:rPr>
        <w:fldChar w:fldCharType="end"/>
      </w:r>
      <w:r w:rsidR="0054770E" w:rsidRPr="00646E6A">
        <w:t xml:space="preserve">Table </w:t>
      </w:r>
      <w:r w:rsidR="00F66F87" w:rsidRPr="00646E6A">
        <w:t>2</w:t>
      </w:r>
      <w:r w:rsidR="0054770E" w:rsidRPr="00646E6A">
        <w:t>. PICO search terms used in the systematic review</w:t>
      </w:r>
    </w:p>
    <w:tbl>
      <w:tblPr>
        <w:tblStyle w:val="TableGrid"/>
        <w:tblpPr w:leftFromText="180" w:rightFromText="180" w:horzAnchor="margin" w:tblpY="420"/>
        <w:tblW w:w="0" w:type="auto"/>
        <w:tblLook w:val="04A0" w:firstRow="1" w:lastRow="0" w:firstColumn="1" w:lastColumn="0" w:noHBand="0" w:noVBand="1"/>
      </w:tblPr>
      <w:tblGrid>
        <w:gridCol w:w="1838"/>
        <w:gridCol w:w="2410"/>
        <w:gridCol w:w="4768"/>
      </w:tblGrid>
      <w:tr w:rsidR="00E77769" w:rsidRPr="00B1522E" w14:paraId="2BFE6995" w14:textId="77777777" w:rsidTr="001713DD">
        <w:tc>
          <w:tcPr>
            <w:tcW w:w="1838" w:type="dxa"/>
            <w:tcBorders>
              <w:top w:val="single" w:sz="4" w:space="0" w:color="auto"/>
              <w:left w:val="nil"/>
              <w:bottom w:val="single" w:sz="4" w:space="0" w:color="auto"/>
              <w:right w:val="nil"/>
            </w:tcBorders>
          </w:tcPr>
          <w:p w14:paraId="7F50BDEF" w14:textId="77777777" w:rsidR="00462736" w:rsidRPr="00646E6A" w:rsidRDefault="00462736" w:rsidP="00AF23B9">
            <w:pPr>
              <w:spacing w:line="480" w:lineRule="auto"/>
            </w:pPr>
            <w:r w:rsidRPr="00646E6A">
              <w:t xml:space="preserve">PICO elements </w:t>
            </w:r>
          </w:p>
        </w:tc>
        <w:tc>
          <w:tcPr>
            <w:tcW w:w="2410" w:type="dxa"/>
            <w:tcBorders>
              <w:top w:val="single" w:sz="4" w:space="0" w:color="auto"/>
              <w:left w:val="nil"/>
              <w:bottom w:val="single" w:sz="4" w:space="0" w:color="auto"/>
              <w:right w:val="nil"/>
            </w:tcBorders>
          </w:tcPr>
          <w:p w14:paraId="579375AE" w14:textId="77777777" w:rsidR="00462736" w:rsidRPr="00646E6A" w:rsidRDefault="00462736" w:rsidP="00AF23B9">
            <w:pPr>
              <w:spacing w:line="480" w:lineRule="auto"/>
            </w:pPr>
            <w:r w:rsidRPr="00646E6A">
              <w:t>Keywords</w:t>
            </w:r>
          </w:p>
        </w:tc>
        <w:tc>
          <w:tcPr>
            <w:tcW w:w="4768" w:type="dxa"/>
            <w:tcBorders>
              <w:top w:val="single" w:sz="4" w:space="0" w:color="auto"/>
              <w:left w:val="nil"/>
              <w:bottom w:val="single" w:sz="4" w:space="0" w:color="auto"/>
              <w:right w:val="nil"/>
            </w:tcBorders>
          </w:tcPr>
          <w:p w14:paraId="4F1677CA" w14:textId="77777777" w:rsidR="00462736" w:rsidRPr="00B1522E" w:rsidRDefault="00462736" w:rsidP="00AF23B9">
            <w:pPr>
              <w:spacing w:line="480" w:lineRule="auto"/>
            </w:pPr>
            <w:r w:rsidRPr="00646E6A">
              <w:t>Search terms</w:t>
            </w:r>
          </w:p>
        </w:tc>
      </w:tr>
      <w:tr w:rsidR="00E77769" w:rsidRPr="00B1522E" w14:paraId="6BB55CE0" w14:textId="77777777" w:rsidTr="001713DD">
        <w:tc>
          <w:tcPr>
            <w:tcW w:w="1838" w:type="dxa"/>
            <w:tcBorders>
              <w:top w:val="single" w:sz="4" w:space="0" w:color="auto"/>
              <w:left w:val="nil"/>
              <w:bottom w:val="nil"/>
              <w:right w:val="nil"/>
            </w:tcBorders>
          </w:tcPr>
          <w:p w14:paraId="5A2553DE" w14:textId="77777777" w:rsidR="00462736" w:rsidRPr="00B1522E" w:rsidRDefault="00462736" w:rsidP="001713DD">
            <w:pPr>
              <w:spacing w:line="480" w:lineRule="auto"/>
            </w:pPr>
            <w:r w:rsidRPr="00B1522E">
              <w:rPr>
                <w:b/>
                <w:bCs/>
              </w:rPr>
              <w:t xml:space="preserve">P </w:t>
            </w:r>
            <w:r w:rsidRPr="00B1522E">
              <w:t>(Population)</w:t>
            </w:r>
          </w:p>
        </w:tc>
        <w:tc>
          <w:tcPr>
            <w:tcW w:w="2410" w:type="dxa"/>
            <w:tcBorders>
              <w:top w:val="single" w:sz="4" w:space="0" w:color="auto"/>
              <w:left w:val="nil"/>
              <w:bottom w:val="nil"/>
              <w:right w:val="nil"/>
            </w:tcBorders>
          </w:tcPr>
          <w:p w14:paraId="650F4436" w14:textId="77777777" w:rsidR="00462736" w:rsidRPr="00B1522E" w:rsidRDefault="00462736" w:rsidP="001713DD">
            <w:pPr>
              <w:spacing w:line="480" w:lineRule="auto"/>
            </w:pPr>
            <w:r w:rsidRPr="00B1522E">
              <w:t>Child</w:t>
            </w:r>
          </w:p>
        </w:tc>
        <w:tc>
          <w:tcPr>
            <w:tcW w:w="4768" w:type="dxa"/>
            <w:tcBorders>
              <w:top w:val="single" w:sz="4" w:space="0" w:color="auto"/>
              <w:left w:val="nil"/>
              <w:bottom w:val="nil"/>
              <w:right w:val="nil"/>
            </w:tcBorders>
          </w:tcPr>
          <w:p w14:paraId="0CBBC333" w14:textId="77777777" w:rsidR="00462736" w:rsidRPr="00B1522E" w:rsidRDefault="002E6682" w:rsidP="00AF23B9">
            <w:pPr>
              <w:spacing w:line="480" w:lineRule="auto"/>
              <w:jc w:val="both"/>
            </w:pPr>
            <w:r w:rsidRPr="00B1522E">
              <w:t>C</w:t>
            </w:r>
            <w:r w:rsidR="00462736" w:rsidRPr="00B1522E">
              <w:t>hild* OR adolescent* OR teenager OR young person OR kids OR “school children” OR students OR pupils OR minors OR youngster OR junior</w:t>
            </w:r>
          </w:p>
          <w:p w14:paraId="15B8C049" w14:textId="468C3AE2" w:rsidR="002E6682" w:rsidRPr="00B1522E" w:rsidRDefault="002E6682" w:rsidP="00AF23B9">
            <w:pPr>
              <w:spacing w:line="480" w:lineRule="auto"/>
              <w:jc w:val="both"/>
            </w:pPr>
          </w:p>
        </w:tc>
      </w:tr>
      <w:tr w:rsidR="00E77769" w:rsidRPr="00B1522E" w14:paraId="6A9D08DD" w14:textId="77777777" w:rsidTr="001713DD">
        <w:tc>
          <w:tcPr>
            <w:tcW w:w="1838" w:type="dxa"/>
            <w:tcBorders>
              <w:top w:val="nil"/>
              <w:left w:val="nil"/>
              <w:bottom w:val="nil"/>
              <w:right w:val="nil"/>
            </w:tcBorders>
          </w:tcPr>
          <w:p w14:paraId="27B8EB99" w14:textId="77777777" w:rsidR="00462736" w:rsidRPr="00B1522E" w:rsidRDefault="00462736" w:rsidP="001713DD">
            <w:pPr>
              <w:spacing w:line="480" w:lineRule="auto"/>
            </w:pPr>
            <w:r w:rsidRPr="00B1522E">
              <w:rPr>
                <w:b/>
                <w:bCs/>
              </w:rPr>
              <w:t>I</w:t>
            </w:r>
            <w:r w:rsidRPr="00B1522E">
              <w:t xml:space="preserve"> (Intervention)</w:t>
            </w:r>
          </w:p>
        </w:tc>
        <w:tc>
          <w:tcPr>
            <w:tcW w:w="2410" w:type="dxa"/>
            <w:tcBorders>
              <w:top w:val="nil"/>
              <w:left w:val="nil"/>
              <w:bottom w:val="nil"/>
              <w:right w:val="nil"/>
            </w:tcBorders>
          </w:tcPr>
          <w:p w14:paraId="7C33078C" w14:textId="77777777" w:rsidR="00462736" w:rsidRPr="00B1522E" w:rsidRDefault="00462736" w:rsidP="001713DD">
            <w:pPr>
              <w:spacing w:line="480" w:lineRule="auto"/>
            </w:pPr>
            <w:r w:rsidRPr="00B1522E">
              <w:t>Intervention</w:t>
            </w:r>
          </w:p>
        </w:tc>
        <w:tc>
          <w:tcPr>
            <w:tcW w:w="4768" w:type="dxa"/>
            <w:tcBorders>
              <w:top w:val="nil"/>
              <w:left w:val="nil"/>
              <w:bottom w:val="nil"/>
              <w:right w:val="nil"/>
            </w:tcBorders>
          </w:tcPr>
          <w:p w14:paraId="146ACDF1" w14:textId="77777777" w:rsidR="00462736" w:rsidRPr="00B1522E" w:rsidRDefault="002E6682" w:rsidP="00AF23B9">
            <w:pPr>
              <w:spacing w:line="480" w:lineRule="auto"/>
              <w:jc w:val="both"/>
            </w:pPr>
            <w:r w:rsidRPr="00B1522E">
              <w:t>I</w:t>
            </w:r>
            <w:r w:rsidR="00462736" w:rsidRPr="00B1522E">
              <w:t>ntervention* OR prevention* OR promotion OR trial OR study</w:t>
            </w:r>
          </w:p>
          <w:p w14:paraId="4CB58430" w14:textId="1A3C3FDD" w:rsidR="002E6682" w:rsidRPr="00B1522E" w:rsidRDefault="002E6682" w:rsidP="00AF23B9">
            <w:pPr>
              <w:spacing w:line="480" w:lineRule="auto"/>
              <w:jc w:val="both"/>
            </w:pPr>
          </w:p>
        </w:tc>
      </w:tr>
      <w:tr w:rsidR="00E77769" w:rsidRPr="00B1522E" w14:paraId="5A01F7E5" w14:textId="77777777" w:rsidTr="001713DD">
        <w:tc>
          <w:tcPr>
            <w:tcW w:w="1838" w:type="dxa"/>
            <w:tcBorders>
              <w:top w:val="nil"/>
              <w:left w:val="nil"/>
              <w:bottom w:val="nil"/>
              <w:right w:val="nil"/>
            </w:tcBorders>
          </w:tcPr>
          <w:p w14:paraId="256A07EA" w14:textId="77777777" w:rsidR="00462736" w:rsidRPr="00B1522E" w:rsidRDefault="00462736" w:rsidP="001713DD">
            <w:pPr>
              <w:spacing w:line="480" w:lineRule="auto"/>
            </w:pPr>
            <w:r w:rsidRPr="00B1522E">
              <w:rPr>
                <w:b/>
                <w:bCs/>
              </w:rPr>
              <w:t>C</w:t>
            </w:r>
            <w:r w:rsidRPr="00B1522E">
              <w:t xml:space="preserve"> (Comparator)</w:t>
            </w:r>
          </w:p>
        </w:tc>
        <w:tc>
          <w:tcPr>
            <w:tcW w:w="2410" w:type="dxa"/>
            <w:tcBorders>
              <w:top w:val="nil"/>
              <w:left w:val="nil"/>
              <w:bottom w:val="nil"/>
              <w:right w:val="nil"/>
            </w:tcBorders>
          </w:tcPr>
          <w:p w14:paraId="6FBE589F" w14:textId="77777777" w:rsidR="00462736" w:rsidRPr="00B1522E" w:rsidRDefault="00462736" w:rsidP="001713DD">
            <w:pPr>
              <w:spacing w:line="480" w:lineRule="auto"/>
            </w:pPr>
            <w:r w:rsidRPr="00B1522E">
              <w:t>School</w:t>
            </w:r>
          </w:p>
        </w:tc>
        <w:tc>
          <w:tcPr>
            <w:tcW w:w="4768" w:type="dxa"/>
            <w:tcBorders>
              <w:top w:val="nil"/>
              <w:left w:val="nil"/>
              <w:bottom w:val="nil"/>
              <w:right w:val="nil"/>
            </w:tcBorders>
          </w:tcPr>
          <w:p w14:paraId="0DF86C3F" w14:textId="77777777" w:rsidR="00462736" w:rsidRPr="00B1522E" w:rsidRDefault="002E6682" w:rsidP="00AF23B9">
            <w:pPr>
              <w:spacing w:line="480" w:lineRule="auto"/>
              <w:jc w:val="both"/>
            </w:pPr>
            <w:r w:rsidRPr="00B1522E">
              <w:t>S</w:t>
            </w:r>
            <w:r w:rsidR="00462736" w:rsidRPr="00B1522E">
              <w:t>chool OR school-based OR “secondary school” OR “high school” OR “junior high” OR “middle school” OR “secondary education”</w:t>
            </w:r>
          </w:p>
          <w:p w14:paraId="745AC9F0" w14:textId="606B430E" w:rsidR="002E6682" w:rsidRPr="00B1522E" w:rsidRDefault="002E6682" w:rsidP="00AF23B9">
            <w:pPr>
              <w:spacing w:line="480" w:lineRule="auto"/>
              <w:jc w:val="both"/>
            </w:pPr>
          </w:p>
        </w:tc>
      </w:tr>
      <w:tr w:rsidR="00E77769" w:rsidRPr="00B1522E" w14:paraId="7C996E66" w14:textId="77777777" w:rsidTr="001713DD">
        <w:tc>
          <w:tcPr>
            <w:tcW w:w="1838" w:type="dxa"/>
            <w:tcBorders>
              <w:top w:val="nil"/>
              <w:left w:val="nil"/>
              <w:bottom w:val="single" w:sz="4" w:space="0" w:color="auto"/>
              <w:right w:val="nil"/>
            </w:tcBorders>
          </w:tcPr>
          <w:p w14:paraId="188FE1D6" w14:textId="77777777" w:rsidR="00462736" w:rsidRPr="00B1522E" w:rsidRDefault="00462736" w:rsidP="001713DD">
            <w:pPr>
              <w:spacing w:line="480" w:lineRule="auto"/>
            </w:pPr>
            <w:r w:rsidRPr="00B1522E">
              <w:rPr>
                <w:b/>
                <w:bCs/>
              </w:rPr>
              <w:t>O</w:t>
            </w:r>
            <w:r w:rsidRPr="00B1522E">
              <w:t xml:space="preserve"> (Outcome)</w:t>
            </w:r>
          </w:p>
        </w:tc>
        <w:tc>
          <w:tcPr>
            <w:tcW w:w="2410" w:type="dxa"/>
            <w:tcBorders>
              <w:top w:val="nil"/>
              <w:left w:val="nil"/>
              <w:bottom w:val="single" w:sz="4" w:space="0" w:color="auto"/>
              <w:right w:val="nil"/>
            </w:tcBorders>
          </w:tcPr>
          <w:p w14:paraId="62D799D2" w14:textId="77777777" w:rsidR="00462736" w:rsidRPr="00B1522E" w:rsidRDefault="00462736" w:rsidP="001713DD">
            <w:pPr>
              <w:spacing w:line="480" w:lineRule="auto"/>
            </w:pPr>
            <w:r w:rsidRPr="00B1522E">
              <w:t>Healthy eating</w:t>
            </w:r>
          </w:p>
        </w:tc>
        <w:tc>
          <w:tcPr>
            <w:tcW w:w="4768" w:type="dxa"/>
            <w:tcBorders>
              <w:top w:val="nil"/>
              <w:left w:val="nil"/>
              <w:bottom w:val="single" w:sz="4" w:space="0" w:color="auto"/>
              <w:right w:val="nil"/>
            </w:tcBorders>
          </w:tcPr>
          <w:p w14:paraId="0434E748" w14:textId="0F764044" w:rsidR="00462736" w:rsidRPr="00B1522E" w:rsidRDefault="00462736" w:rsidP="00AF23B9">
            <w:pPr>
              <w:spacing w:line="480" w:lineRule="auto"/>
              <w:jc w:val="both"/>
            </w:pPr>
            <w:r w:rsidRPr="00B1522E">
              <w:t>“</w:t>
            </w:r>
            <w:r w:rsidR="002E6682" w:rsidRPr="00B1522E">
              <w:t>Healthy</w:t>
            </w:r>
            <w:r w:rsidRPr="00B1522E">
              <w:t xml:space="preserve"> eating” OR “healthy diet” OR “improved diet” OR “dietary behavi*” OR “food attitude change” OR “food behavi* change” OR fruit OR vegetables OR “eating habit” OR “food intake” OR “reducing unhealthy foods” OR sugar OR soda OR sweets OR “junk food” OR “sugary drinks”</w:t>
            </w:r>
          </w:p>
        </w:tc>
      </w:tr>
    </w:tbl>
    <w:p w14:paraId="7A6708BC" w14:textId="77777777" w:rsidR="00987AC8" w:rsidRPr="00B1522E" w:rsidRDefault="00987AC8" w:rsidP="00734D95">
      <w:pPr>
        <w:spacing w:line="480" w:lineRule="auto"/>
        <w:jc w:val="both"/>
        <w:rPr>
          <w:rFonts w:eastAsia="Calibri" w:cstheme="minorHAnsi"/>
        </w:rPr>
      </w:pPr>
    </w:p>
    <w:p w14:paraId="5DC71BB1" w14:textId="722728F5" w:rsidR="00987AC8" w:rsidRPr="00B1522E" w:rsidRDefault="006956FB" w:rsidP="00734D95">
      <w:pPr>
        <w:spacing w:line="480" w:lineRule="auto"/>
      </w:pPr>
      <w:r w:rsidRPr="00B1522E">
        <w:t xml:space="preserve">2.3.1.2 </w:t>
      </w:r>
      <w:r w:rsidR="00987AC8" w:rsidRPr="00B1522E">
        <w:t xml:space="preserve">Literature search </w:t>
      </w:r>
      <w:bookmarkStart w:id="31" w:name="_Hlk489433451"/>
    </w:p>
    <w:p w14:paraId="3A7E37D5" w14:textId="77777777" w:rsidR="00987AC8" w:rsidRPr="00B1522E" w:rsidRDefault="00987AC8" w:rsidP="00734D95">
      <w:pPr>
        <w:spacing w:line="480" w:lineRule="auto"/>
        <w:jc w:val="both"/>
        <w:rPr>
          <w:rFonts w:eastAsia="Calibri" w:cstheme="minorHAnsi"/>
        </w:rPr>
      </w:pPr>
      <w:r w:rsidRPr="00B1522E">
        <w:rPr>
          <w:rFonts w:eastAsia="Calibri" w:cstheme="minorHAnsi"/>
        </w:rPr>
        <w:t xml:space="preserve">We conducted a systematic literature search for research published in English, with no date restrictions. Electronic searches were conducted using the following databases:  CINAHL, ERIC, MEDLINE, PsycInfo, SPORTDiscus, ScienceDirect, and Opengrey. Additional literature searches using the reference lists of identified articles were also conducted. </w:t>
      </w:r>
      <w:bookmarkEnd w:id="31"/>
      <w:r w:rsidRPr="00B1522E">
        <w:rPr>
          <w:rFonts w:eastAsia="Calibri" w:cstheme="minorHAnsi"/>
        </w:rPr>
        <w:t xml:space="preserve">Restrictions were applied when searching databases, which were participant age (to include 8-18 years old) and quantitative-only studies. </w:t>
      </w:r>
    </w:p>
    <w:p w14:paraId="1730BAC0" w14:textId="77777777" w:rsidR="00987AC8" w:rsidRPr="00B1522E" w:rsidRDefault="00987AC8" w:rsidP="00734D95">
      <w:pPr>
        <w:spacing w:line="480" w:lineRule="auto"/>
        <w:jc w:val="both"/>
        <w:rPr>
          <w:rFonts w:eastAsia="Calibri" w:cstheme="minorHAnsi"/>
        </w:rPr>
      </w:pPr>
    </w:p>
    <w:p w14:paraId="43791F75" w14:textId="1C7F3C59" w:rsidR="00987AC8" w:rsidRPr="00B1522E" w:rsidRDefault="006956FB" w:rsidP="00734D95">
      <w:pPr>
        <w:spacing w:line="480" w:lineRule="auto"/>
      </w:pPr>
      <w:r w:rsidRPr="00B1522E">
        <w:t xml:space="preserve">2.3.1.3 </w:t>
      </w:r>
      <w:r w:rsidR="00987AC8" w:rsidRPr="00B1522E">
        <w:t xml:space="preserve">Inclusion and exclusion criteria </w:t>
      </w:r>
    </w:p>
    <w:p w14:paraId="18B89ED4" w14:textId="77777777" w:rsidR="00987AC8" w:rsidRPr="00B1522E" w:rsidRDefault="00987AC8" w:rsidP="00734D95">
      <w:pPr>
        <w:spacing w:line="480" w:lineRule="auto"/>
        <w:jc w:val="both"/>
        <w:rPr>
          <w:rFonts w:eastAsia="Calibri" w:cstheme="minorHAnsi"/>
        </w:rPr>
      </w:pPr>
      <w:r w:rsidRPr="00B1522E">
        <w:rPr>
          <w:rFonts w:eastAsia="Calibri" w:cstheme="minorHAnsi"/>
        </w:rPr>
        <w:t xml:space="preserve">Studies were selected for inclusion in the review if they met the following criteria: (1) the sample included children aged between 11-16 years old; (2) the dietary behaviour intervention included a component delivered in a school setting (e.g. at lunchtime, during class time, or at before/after school clubs); (3) at least one outcome measure of dietary behaviour was reported (can also include non-dietary behaviour measure e.g. amount of physical activity or anthropometric assessment); and (4) there was at least one pre- and post-intervention comparison of dietary behaviour. Articles describing observational methodology or qualitative studies, process evaluations or scale development were ineligible for this review. </w:t>
      </w:r>
    </w:p>
    <w:p w14:paraId="7DB1DDE3" w14:textId="77777777" w:rsidR="00987AC8" w:rsidRPr="00B1522E" w:rsidRDefault="00987AC8" w:rsidP="00734D95">
      <w:pPr>
        <w:spacing w:line="480" w:lineRule="auto"/>
        <w:jc w:val="both"/>
        <w:rPr>
          <w:rFonts w:eastAsia="Calibri" w:cstheme="minorHAnsi"/>
        </w:rPr>
      </w:pPr>
    </w:p>
    <w:p w14:paraId="2B9A5A7B" w14:textId="33D55465" w:rsidR="00987AC8" w:rsidRPr="00B1522E" w:rsidRDefault="006956FB" w:rsidP="00734D95">
      <w:pPr>
        <w:spacing w:line="480" w:lineRule="auto"/>
      </w:pPr>
      <w:r w:rsidRPr="00B1522E">
        <w:t xml:space="preserve">2.3.1.4 </w:t>
      </w:r>
      <w:r w:rsidR="00987AC8" w:rsidRPr="00B1522E">
        <w:t>Selection process</w:t>
      </w:r>
    </w:p>
    <w:p w14:paraId="5B8DF4D4" w14:textId="35F7AB83" w:rsidR="00987AC8" w:rsidRPr="00B1522E" w:rsidRDefault="00987AC8" w:rsidP="00734D95">
      <w:pPr>
        <w:spacing w:line="480" w:lineRule="auto"/>
        <w:jc w:val="both"/>
        <w:rPr>
          <w:rFonts w:eastAsia="Calibri" w:cstheme="minorHAnsi"/>
        </w:rPr>
      </w:pPr>
      <w:r w:rsidRPr="00B1522E">
        <w:rPr>
          <w:rFonts w:eastAsia="Calibri" w:cstheme="minorHAnsi"/>
        </w:rPr>
        <w:t xml:space="preserve">All search results retrieved were exported into reference management software for eligibility screening. </w:t>
      </w:r>
      <w:r w:rsidR="009C454E" w:rsidRPr="00B1522E">
        <w:rPr>
          <w:rFonts w:eastAsia="Calibri" w:cstheme="minorHAnsi"/>
        </w:rPr>
        <w:t>The researcher (S</w:t>
      </w:r>
      <w:r w:rsidR="00F24CC7" w:rsidRPr="00B1522E">
        <w:rPr>
          <w:rFonts w:eastAsia="Calibri" w:cstheme="minorHAnsi"/>
        </w:rPr>
        <w:t>C</w:t>
      </w:r>
      <w:r w:rsidR="009C454E" w:rsidRPr="00B1522E">
        <w:rPr>
          <w:rFonts w:eastAsia="Calibri" w:cstheme="minorHAnsi"/>
        </w:rPr>
        <w:t>)</w:t>
      </w:r>
      <w:r w:rsidRPr="00B1522E">
        <w:rPr>
          <w:rFonts w:eastAsia="Calibri" w:cstheme="minorHAnsi"/>
        </w:rPr>
        <w:t xml:space="preserve"> initially screened all titles and abstracts independently and removed duplicates from the database. The abstracts of studies were then screened for their eligibility for the review based on the inclusion and exclusion criteria. Ineligible studies were removed from the database and the reason for exclusion was noted (e.g., had no measure of dietary behaviour, did not include a school-based intervention). </w:t>
      </w:r>
      <w:r w:rsidR="00C616F6" w:rsidRPr="00B1522E">
        <w:rPr>
          <w:rFonts w:eastAsia="Calibri" w:cstheme="minorHAnsi"/>
        </w:rPr>
        <w:t>Th</w:t>
      </w:r>
      <w:r w:rsidR="008D4FD8" w:rsidRPr="00B1522E">
        <w:rPr>
          <w:rFonts w:eastAsia="Calibri" w:cstheme="minorHAnsi"/>
        </w:rPr>
        <w:t>e</w:t>
      </w:r>
      <w:r w:rsidR="00C616F6" w:rsidRPr="00B1522E">
        <w:rPr>
          <w:rFonts w:eastAsia="Calibri" w:cstheme="minorHAnsi"/>
        </w:rPr>
        <w:t xml:space="preserve"> first </w:t>
      </w:r>
      <w:r w:rsidR="008D4FD8" w:rsidRPr="00B1522E">
        <w:rPr>
          <w:rFonts w:eastAsia="Calibri" w:cstheme="minorHAnsi"/>
        </w:rPr>
        <w:t>supervisor</w:t>
      </w:r>
      <w:r w:rsidR="007B635F" w:rsidRPr="00B1522E">
        <w:rPr>
          <w:rFonts w:eastAsia="Calibri" w:cstheme="minorHAnsi"/>
        </w:rPr>
        <w:t xml:space="preserve"> (</w:t>
      </w:r>
      <w:r w:rsidR="008D4FD8" w:rsidRPr="00B1522E">
        <w:rPr>
          <w:rFonts w:eastAsia="Calibri" w:cstheme="minorHAnsi"/>
        </w:rPr>
        <w:t>RD</w:t>
      </w:r>
      <w:r w:rsidR="007B635F" w:rsidRPr="00B1522E">
        <w:rPr>
          <w:rFonts w:eastAsia="Calibri" w:cstheme="minorHAnsi"/>
        </w:rPr>
        <w:t>)</w:t>
      </w:r>
      <w:r w:rsidRPr="00B1522E">
        <w:rPr>
          <w:rFonts w:eastAsia="Calibri" w:cstheme="minorHAnsi"/>
        </w:rPr>
        <w:t xml:space="preserve"> independently screened a sample (10%) of the initial abstracts using the inclusion and exclusion criteria to ensure consistency. There were no discrepancies in ratings between the two authors. Finally, the full texts of the remaining studies were read by</w:t>
      </w:r>
      <w:r w:rsidR="0063009D" w:rsidRPr="00B1522E">
        <w:rPr>
          <w:rFonts w:eastAsia="Calibri" w:cstheme="minorHAnsi"/>
        </w:rPr>
        <w:t xml:space="preserve"> the researcher</w:t>
      </w:r>
      <w:r w:rsidRPr="00B1522E">
        <w:rPr>
          <w:rFonts w:eastAsia="Calibri" w:cstheme="minorHAnsi"/>
        </w:rPr>
        <w:t xml:space="preserve"> </w:t>
      </w:r>
      <w:r w:rsidR="0063009D" w:rsidRPr="00B1522E">
        <w:rPr>
          <w:rFonts w:eastAsia="Calibri" w:cstheme="minorHAnsi"/>
        </w:rPr>
        <w:t>(</w:t>
      </w:r>
      <w:r w:rsidRPr="00B1522E">
        <w:rPr>
          <w:rFonts w:eastAsia="Calibri" w:cstheme="minorHAnsi"/>
        </w:rPr>
        <w:t>SC</w:t>
      </w:r>
      <w:r w:rsidR="0063009D" w:rsidRPr="00B1522E">
        <w:rPr>
          <w:rFonts w:eastAsia="Calibri" w:cstheme="minorHAnsi"/>
        </w:rPr>
        <w:t>)</w:t>
      </w:r>
      <w:r w:rsidRPr="00B1522E">
        <w:rPr>
          <w:rFonts w:eastAsia="Calibri" w:cstheme="minorHAnsi"/>
        </w:rPr>
        <w:t xml:space="preserve"> initially, and a random proportion (10%) were additionally</w:t>
      </w:r>
      <w:r w:rsidR="005C672D" w:rsidRPr="00B1522E">
        <w:rPr>
          <w:rFonts w:eastAsia="Calibri" w:cstheme="minorHAnsi"/>
        </w:rPr>
        <w:t xml:space="preserve"> </w:t>
      </w:r>
      <w:r w:rsidRPr="00B1522E">
        <w:rPr>
          <w:rFonts w:eastAsia="Calibri" w:cstheme="minorHAnsi"/>
        </w:rPr>
        <w:t xml:space="preserve">reviewed by </w:t>
      </w:r>
      <w:r w:rsidR="007F1FC4" w:rsidRPr="00B1522E">
        <w:rPr>
          <w:rFonts w:eastAsia="Calibri" w:cstheme="minorHAnsi"/>
        </w:rPr>
        <w:t>(</w:t>
      </w:r>
      <w:r w:rsidR="00A104C5" w:rsidRPr="00B1522E">
        <w:rPr>
          <w:rFonts w:eastAsia="Calibri" w:cstheme="minorHAnsi"/>
        </w:rPr>
        <w:t>RD</w:t>
      </w:r>
      <w:r w:rsidR="007F1FC4" w:rsidRPr="00B1522E">
        <w:rPr>
          <w:rFonts w:eastAsia="Calibri" w:cstheme="minorHAnsi"/>
        </w:rPr>
        <w:t>)</w:t>
      </w:r>
      <w:r w:rsidRPr="00B1522E">
        <w:rPr>
          <w:rFonts w:eastAsia="Calibri" w:cstheme="minorHAnsi"/>
        </w:rPr>
        <w:t>. Some further studies at the full text reading stage were discussed as a group (</w:t>
      </w:r>
      <w:r w:rsidR="009C72A2" w:rsidRPr="00B1522E">
        <w:rPr>
          <w:rFonts w:eastAsia="Calibri" w:cstheme="minorHAnsi"/>
        </w:rPr>
        <w:t xml:space="preserve">with the researcher (SC) and both </w:t>
      </w:r>
      <w:r w:rsidR="008D4FD8" w:rsidRPr="00B1522E">
        <w:rPr>
          <w:rFonts w:eastAsia="Calibri" w:cstheme="minorHAnsi"/>
        </w:rPr>
        <w:t>of the supervisors (RD and RP</w:t>
      </w:r>
      <w:r w:rsidRPr="00B1522E">
        <w:rPr>
          <w:rFonts w:eastAsia="Calibri" w:cstheme="minorHAnsi"/>
        </w:rPr>
        <w:t xml:space="preserve">) to make a final decision on inclusion or exclusion. A high </w:t>
      </w:r>
      <w:r w:rsidRPr="00B1522E">
        <w:rPr>
          <w:rFonts w:eastAsia="Calibri" w:cstheme="minorHAnsi"/>
        </w:rPr>
        <w:lastRenderedPageBreak/>
        <w:t>level of agreement was observed for inclusion of studies (&gt;90%). Disagreements between the reviewers were resolved by discussion until consensus was reached.</w:t>
      </w:r>
    </w:p>
    <w:p w14:paraId="6FF6422D" w14:textId="77777777" w:rsidR="00987AC8" w:rsidRPr="00B1522E" w:rsidRDefault="00987AC8" w:rsidP="00734D95">
      <w:pPr>
        <w:spacing w:line="480" w:lineRule="auto"/>
        <w:jc w:val="both"/>
        <w:rPr>
          <w:rFonts w:eastAsia="Calibri" w:cstheme="minorHAnsi"/>
        </w:rPr>
      </w:pPr>
    </w:p>
    <w:bookmarkStart w:id="32" w:name="_Toc84678899"/>
    <w:p w14:paraId="5555BE65" w14:textId="2FA61A58" w:rsidR="00987AC8" w:rsidRPr="00B1522E" w:rsidRDefault="00815BC1" w:rsidP="00734D95">
      <w:pPr>
        <w:spacing w:line="480" w:lineRule="auto"/>
      </w:pPr>
      <w:r w:rsidRPr="00B1522E">
        <w:fldChar w:fldCharType="begin"/>
      </w:r>
      <w:r w:rsidRPr="00B1522E">
        <w:instrText xml:space="preserve"> TC  "</w:instrText>
      </w:r>
      <w:bookmarkStart w:id="33" w:name="_Toc97310413"/>
      <w:r w:rsidRPr="00B1522E">
        <w:instrText>2.3.2 Data extraction and analysis</w:instrText>
      </w:r>
      <w:bookmarkEnd w:id="33"/>
      <w:r w:rsidRPr="00B1522E">
        <w:instrText xml:space="preserve"> " \f x\l 3 </w:instrText>
      </w:r>
      <w:r w:rsidRPr="00B1522E">
        <w:fldChar w:fldCharType="end"/>
      </w:r>
      <w:r w:rsidR="00383D7E" w:rsidRPr="00B1522E">
        <w:t xml:space="preserve">2.3.2 </w:t>
      </w:r>
      <w:r w:rsidR="00987AC8" w:rsidRPr="00B1522E">
        <w:t>Data extraction and analysis</w:t>
      </w:r>
      <w:bookmarkEnd w:id="32"/>
      <w:r w:rsidR="00987AC8" w:rsidRPr="00B1522E">
        <w:t xml:space="preserve"> </w:t>
      </w:r>
    </w:p>
    <w:p w14:paraId="557600E2" w14:textId="77777777" w:rsidR="00987AC8" w:rsidRPr="00B1522E" w:rsidRDefault="00987AC8" w:rsidP="00734D95">
      <w:pPr>
        <w:spacing w:line="480" w:lineRule="auto"/>
        <w:jc w:val="both"/>
        <w:rPr>
          <w:rFonts w:eastAsia="Calibri" w:cstheme="minorHAnsi"/>
        </w:rPr>
      </w:pPr>
      <w:r w:rsidRPr="00B1522E">
        <w:rPr>
          <w:rFonts w:eastAsia="Calibri" w:cstheme="minorHAnsi"/>
        </w:rPr>
        <w:t xml:space="preserve">An extraction sheet was used to extract relevant data including: title of the study; author name(s); year of publication; journal name; target behaviour; context and sample; design of the study; behavioural measure; theoretical base; and results. A random sample (10%) of the studies’ extraction data were checked for accuracy by an independent researcher. A meta-analysis of the results from the reviewed interventions was not conducted owing to the diversity of outcome measures featured in the screened studies.  </w:t>
      </w:r>
    </w:p>
    <w:p w14:paraId="2B0CAFED" w14:textId="77777777" w:rsidR="00987AC8" w:rsidRPr="00B1522E" w:rsidRDefault="00987AC8" w:rsidP="00734D95">
      <w:pPr>
        <w:spacing w:line="480" w:lineRule="auto"/>
        <w:jc w:val="both"/>
        <w:rPr>
          <w:rFonts w:eastAsia="Calibri" w:cstheme="minorHAnsi"/>
        </w:rPr>
      </w:pPr>
    </w:p>
    <w:p w14:paraId="20C5D810" w14:textId="1A92C901" w:rsidR="00987AC8" w:rsidRPr="00B1522E" w:rsidRDefault="006956FB" w:rsidP="00734D95">
      <w:pPr>
        <w:spacing w:line="480" w:lineRule="auto"/>
      </w:pPr>
      <w:r w:rsidRPr="00B1522E">
        <w:t xml:space="preserve">2.3.2.1 </w:t>
      </w:r>
      <w:r w:rsidR="00987AC8" w:rsidRPr="00B1522E">
        <w:t xml:space="preserve">Analysis of intervention components </w:t>
      </w:r>
    </w:p>
    <w:p w14:paraId="60FEA3CB" w14:textId="450AD7EE" w:rsidR="00987AC8" w:rsidRPr="00B1522E" w:rsidRDefault="00987AC8" w:rsidP="00734D95">
      <w:pPr>
        <w:spacing w:line="480" w:lineRule="auto"/>
        <w:jc w:val="both"/>
        <w:rPr>
          <w:rFonts w:eastAsia="Calibri" w:cstheme="minorHAnsi"/>
        </w:rPr>
      </w:pPr>
      <w:r w:rsidRPr="00B1522E">
        <w:rPr>
          <w:rFonts w:eastAsia="Calibri" w:cstheme="minorHAnsi"/>
        </w:rPr>
        <w:t xml:space="preserve">To identify common intervention components that were documented as contributing to successful interventions, we synthesised the data to compare intervention components between studies.  Stage one of the analysis was to identify specific intervention components within each study as described by the author(s) (See Table </w:t>
      </w:r>
      <w:r w:rsidR="00AF7C70" w:rsidRPr="00B1522E">
        <w:rPr>
          <w:rFonts w:eastAsia="Calibri" w:cstheme="minorHAnsi"/>
        </w:rPr>
        <w:t>5</w:t>
      </w:r>
      <w:r w:rsidRPr="00B1522E">
        <w:rPr>
          <w:rFonts w:eastAsia="Calibri" w:cstheme="minorHAnsi"/>
        </w:rPr>
        <w:t xml:space="preserve">).  Stage two was to identify studies that improved dietary behaviours (29 studies) and cross-match any common intervention components. Once common components were identified, the contextual information of these individual components within studies was compared to investigate whether there were any common features of the individual components. </w:t>
      </w:r>
    </w:p>
    <w:p w14:paraId="23DE959D" w14:textId="77777777" w:rsidR="00987AC8" w:rsidRPr="00B1522E" w:rsidRDefault="00987AC8" w:rsidP="00734D95">
      <w:pPr>
        <w:spacing w:line="480" w:lineRule="auto"/>
        <w:jc w:val="both"/>
        <w:rPr>
          <w:rFonts w:eastAsia="Calibri" w:cstheme="minorHAnsi"/>
          <w:i/>
        </w:rPr>
      </w:pPr>
    </w:p>
    <w:p w14:paraId="2D1E6CF8" w14:textId="0BA65FC3" w:rsidR="00987AC8" w:rsidRPr="00B1522E" w:rsidRDefault="006956FB" w:rsidP="00734D95">
      <w:pPr>
        <w:spacing w:line="480" w:lineRule="auto"/>
      </w:pPr>
      <w:r w:rsidRPr="00B1522E">
        <w:t xml:space="preserve">2.3.2.2 </w:t>
      </w:r>
      <w:r w:rsidR="00987AC8" w:rsidRPr="00B1522E">
        <w:t xml:space="preserve">Quality assessment </w:t>
      </w:r>
    </w:p>
    <w:p w14:paraId="03474422" w14:textId="16884094" w:rsidR="00987AC8" w:rsidRPr="00B1522E" w:rsidRDefault="00987AC8" w:rsidP="00734D95">
      <w:pPr>
        <w:spacing w:line="480" w:lineRule="auto"/>
        <w:jc w:val="both"/>
        <w:rPr>
          <w:rFonts w:eastAsia="Calibri" w:cstheme="minorHAnsi"/>
        </w:rPr>
      </w:pPr>
      <w:r w:rsidRPr="00B1522E">
        <w:rPr>
          <w:rFonts w:eastAsia="Calibri" w:cstheme="minorHAnsi"/>
        </w:rPr>
        <w:t xml:space="preserve">The Effective Public Health Practice Project tool (EPHPP) </w:t>
      </w:r>
      <w:r w:rsidR="00A30E62" w:rsidRPr="00B1522E">
        <w:rPr>
          <w:rFonts w:eastAsia="Calibri" w:cstheme="minorHAnsi"/>
        </w:rPr>
        <w:fldChar w:fldCharType="begin" w:fldLock="1"/>
      </w:r>
      <w:r w:rsidR="00DF6CCC" w:rsidRPr="00B1522E">
        <w:rPr>
          <w:rFonts w:eastAsia="Calibri" w:cstheme="minorHAnsi"/>
        </w:rPr>
        <w:instrText>ADDIN CSL_CITATION {"citationItems":[{"id":"ITEM-1","itemData":{"ISSN":"1741-6787","abstract":"Background: Several groups have outlined methodologies for systematic literature reviews of the effectiveness of interventions. The Effective Public Health Practice Project (EPHPP) began in 1998. Its mandate is to provide research evidence to guide and support the Ontario Ministry of Health in outlining minimum requirements for public health services in the province. Also, the project is expected to disseminate the results provincially, nationally, and internationally. Most of the reviews are relevant to public health nursing practice. Aims: This article describes four issues related to the systematic literature reviews of the effectiveness of public health nursing interventions: (1) the process of systematically reviewing the literature, (2) the development of a quality assessment instrument, (3) the results of the EPHPP to date, and (4) some results of the dissemination strategies used. Methods: The eight steps of the systematic review process including question formulation, searching and retrieving the literature, establishing relevance criteria, assessing studies for relevance, assessing relevant studies for methodological quality, data extraction and synthesis, writing the report, and dissemination are outlined. Also, the development and assessment of content and construct validity and intrarater reliability of the quality assessment questionnaire used in the process are described. Results: More than 20 systematic reviews have been completed. Content validity was ascertained by the use of a number of experts to review the questionnaire during its development. Construct validity was demonstrated through comparisons with another highly rated instrument. Intrarater reliability was established using Cohen's Kappa. Dissemination strategies used appear to be effective in that professionals report being aware of the reviews and using them in program planning/policymaking decisions. Conclusions: The EPHPP has demonstrated the ability to adapt the most current methods of systematic literature reviews of effectiveness to questions related to public health nursing. Other positive outcomes from the process include the development of a critical mass of public health researchers and practitioners who can actively participate in the process, and the work on dissemination has been successful in attracting external funds. A program of research in this area is being developed.","author":[{"dropping-particle":"","family":"Thomas","given":"B H","non-dropping-particle":"","parse-names":false,"suffix":""},{"dropping-particle":"","family":"Ciliska","given":"D","non-dropping-particle":"","parse-names":false,"suffix":""},{"dropping-particle":"","family":"Dobbins","given":"M","non-dropping-particle":"","parse-names":false,"suffix":""},{"dropping-particle":"","family":"Micucci","given":"S","non-dropping-particle":"","parse-names":false,"suffix":""}],"container-title":"Worldviews on Evidence‐Based Nursing","id":"ITEM-1","issue":"3","issued":{"date-parts":[["2004"]]},"page":"176-184","publisher":"Wiley Online Library","title":"A Process for Systematically Reviewing the Literature: Providing the Research Evidence for Public Health Nursing Interventions","type":"article-journal","volume":"1"},"uris":["http://www.mendeley.com/documents/?uuid=368d3dc4-e537-4331-8a92-d597db8db083"]}],"mendeley":{"formattedCitation":"(B. H. Thomas et al., 2004)","manualFormatting":"(Thomas et al., 2004)","plainTextFormattedCitation":"(B. H. Thomas et al., 2004)","previouslyFormattedCitation":"(B. H. Thomas et al., 2004)"},"properties":{"noteIndex":0},"schema":"https://github.com/citation-style-language/schema/raw/master/csl-citation.json"}</w:instrText>
      </w:r>
      <w:r w:rsidR="00A30E62" w:rsidRPr="00B1522E">
        <w:rPr>
          <w:rFonts w:eastAsia="Calibri" w:cstheme="minorHAnsi"/>
        </w:rPr>
        <w:fldChar w:fldCharType="separate"/>
      </w:r>
      <w:r w:rsidR="00A30E62" w:rsidRPr="00B1522E">
        <w:rPr>
          <w:rFonts w:eastAsia="Calibri" w:cstheme="minorHAnsi"/>
          <w:noProof/>
        </w:rPr>
        <w:t>(Thomas et al., 2004)</w:t>
      </w:r>
      <w:r w:rsidR="00A30E62" w:rsidRPr="00B1522E">
        <w:rPr>
          <w:rFonts w:eastAsia="Calibri" w:cstheme="minorHAnsi"/>
        </w:rPr>
        <w:fldChar w:fldCharType="end"/>
      </w:r>
      <w:r w:rsidR="00C545B9" w:rsidRPr="00B1522E">
        <w:rPr>
          <w:rFonts w:eastAsia="Calibri" w:cstheme="minorHAnsi"/>
        </w:rPr>
        <w:t xml:space="preserve"> </w:t>
      </w:r>
      <w:r w:rsidRPr="00B1522E">
        <w:rPr>
          <w:rFonts w:eastAsia="Calibri" w:cstheme="minorHAnsi"/>
        </w:rPr>
        <w:t xml:space="preserve">was used to rate the quality of the studies included within the review. In the EPHPP, quality of studies is assessed based </w:t>
      </w:r>
      <w:r w:rsidRPr="00B1522E">
        <w:rPr>
          <w:rFonts w:eastAsia="Calibri" w:cstheme="minorHAnsi"/>
        </w:rPr>
        <w:lastRenderedPageBreak/>
        <w:t xml:space="preserve">on:  selection bias (whether the sample was reflective of the target population); study design (whether the study was described as randomized and if so to what extent); confounding variables (whether the authors identified any confounding variables and if so were they controlled); blinding (whether participants and/or researchers delivering the intervention are blind to the aims of the studies); data collection methods (whether reliable and valid measures were used, and withdrawal and dropout rates were reported). Each component received a global rating of weak, moderate or strong, with scores across components calculated to provide an overall quality assessment of the study as weak, moderate or strong. Studies rated ‘strong’ overall were required to have no ‘weak’ rated components on the EPHPP, with ‘moderate’ studies having only one ‘weak’ rating, and ‘weak’ studies having two or more ‘weak’ ratings.  </w:t>
      </w:r>
      <w:r w:rsidR="001056B7" w:rsidRPr="00B1522E">
        <w:rPr>
          <w:rFonts w:eastAsia="Calibri" w:cstheme="minorHAnsi"/>
        </w:rPr>
        <w:t xml:space="preserve">The researcher </w:t>
      </w:r>
      <w:r w:rsidRPr="00B1522E">
        <w:rPr>
          <w:rFonts w:eastAsia="Calibri" w:cstheme="minorHAnsi"/>
        </w:rPr>
        <w:t xml:space="preserve">(SC) assessed the quality of all studies and </w:t>
      </w:r>
      <w:r w:rsidR="00FF1B7C" w:rsidRPr="00B1522E">
        <w:rPr>
          <w:rFonts w:eastAsia="Calibri" w:cstheme="minorHAnsi"/>
        </w:rPr>
        <w:t xml:space="preserve">the first </w:t>
      </w:r>
      <w:r w:rsidR="001056B7" w:rsidRPr="00B1522E">
        <w:rPr>
          <w:rFonts w:eastAsia="Calibri" w:cstheme="minorHAnsi"/>
        </w:rPr>
        <w:t xml:space="preserve">supervisor </w:t>
      </w:r>
      <w:r w:rsidRPr="00B1522E">
        <w:rPr>
          <w:rFonts w:eastAsia="Calibri" w:cstheme="minorHAnsi"/>
        </w:rPr>
        <w:t xml:space="preserve">(RD) assessed the quality of 10% of the final studies </w:t>
      </w:r>
      <w:r w:rsidRPr="00B1522E">
        <w:rPr>
          <w:rFonts w:eastAsia="Calibri" w:cstheme="minorHAnsi"/>
        </w:rPr>
        <w:fldChar w:fldCharType="begin" w:fldLock="1"/>
      </w:r>
      <w:r w:rsidR="007463D4" w:rsidRPr="00B1522E">
        <w:rPr>
          <w:rFonts w:eastAsia="Calibri" w:cstheme="minorHAnsi"/>
        </w:rPr>
        <w:instrText>ADDIN CSL_CITATION {"citationItems":[{"id":"ITEM-1","itemData":{"ISSN":"1741-6787","abstract":"Background: Several groups have outlined methodologies for systematic literature reviews of the effectiveness of interventions. The Effective Public Health Practice Project (EPHPP) began in 1998. Its mandate is to provide research evidence to guide and support the Ontario Ministry of Health in outlining minimum requirements for public health services in the province. Also, the project is expected to disseminate the results provincially, nationally, and internationally. Most of the reviews are relevant to public health nursing practice. Aims: This article describes four issues related to the systematic literature reviews of the effectiveness of public health nursing interventions: (1) the process of systematically reviewing the literature, (2) the development of a quality assessment instrument, (3) the results of the EPHPP to date, and (4) some results of the dissemination strategies used. Methods: The eight steps of the systematic review process including question formulation, searching and retrieving the literature, establishing relevance criteria, assessing studies for relevance, assessing relevant studies for methodological quality, data extraction and synthesis, writing the report, and dissemination are outlined. Also, the development and assessment of content and construct validity and intrarater reliability of the quality assessment questionnaire used in the process are described. Results: More than 20 systematic reviews have been completed. Content validity was ascertained by the use of a number of experts to review the questionnaire during its development. Construct validity was demonstrated through comparisons with another highly rated instrument. Intrarater reliability was established using Cohen's Kappa. Dissemination strategies used appear to be effective in that professionals report being aware of the reviews and using them in program planning/policymaking decisions. Conclusions: The EPHPP has demonstrated the ability to adapt the most current methods of systematic literature reviews of effectiveness to questions related to public health nursing. Other positive outcomes from the process include the development of a critical mass of public health researchers and practitioners who can actively participate in the process, and the work on dissemination has been successful in attracting external funds. A program of research in this area is being developed.","author":[{"dropping-particle":"","family":"Thomas","given":"B H","non-dropping-particle":"","parse-names":false,"suffix":""},{"dropping-particle":"","family":"Ciliska","given":"D","non-dropping-particle":"","parse-names":false,"suffix":""},{"dropping-particle":"","family":"Dobbins","given":"M","non-dropping-particle":"","parse-names":false,"suffix":""},{"dropping-particle":"","family":"Micucci","given":"S","non-dropping-particle":"","parse-names":false,"suffix":""}],"container-title":"Worldviews on Evidence‐Based Nursing","id":"ITEM-1","issue":"3","issued":{"date-parts":[["2004"]]},"page":"176-184","publisher":"Wiley Online Library","title":"A Process for Systematically Reviewing the Literature: Providing the Research Evidence for Public Health Nursing Interventions","type":"article-journal","volume":"1"},"uris":["http://www.mendeley.com/documents/?uuid=368d3dc4-e537-4331-8a92-d597db8db083"]}],"mendeley":{"formattedCitation":"(B. H. Thomas et al., 2004)","manualFormatting":"(Thomas et al., 2004)","plainTextFormattedCitation":"(B. H. Thomas et al., 2004)","previouslyFormattedCitation":"(B. H. Thomas et al., 2004)"},"properties":{"noteIndex":0},"schema":"https://github.com/citation-style-language/schema/raw/master/csl-citation.json"}</w:instrText>
      </w:r>
      <w:r w:rsidRPr="00B1522E">
        <w:rPr>
          <w:rFonts w:eastAsia="Calibri" w:cstheme="minorHAnsi"/>
        </w:rPr>
        <w:fldChar w:fldCharType="separate"/>
      </w:r>
      <w:r w:rsidR="0048570A" w:rsidRPr="00B1522E">
        <w:rPr>
          <w:rFonts w:eastAsia="Calibri" w:cstheme="minorHAnsi"/>
          <w:noProof/>
        </w:rPr>
        <w:t>(Thomas et al., 2004)</w:t>
      </w:r>
      <w:r w:rsidRPr="00B1522E">
        <w:rPr>
          <w:rFonts w:eastAsia="Calibri" w:cstheme="minorHAnsi"/>
        </w:rPr>
        <w:fldChar w:fldCharType="end"/>
      </w:r>
      <w:r w:rsidRPr="00B1522E">
        <w:rPr>
          <w:rFonts w:eastAsia="Calibri" w:cstheme="minorHAnsi"/>
        </w:rPr>
        <w:t>. The authors agreed in their quality assessment of the reviews and there were no conflicts between authors of the final ratings (100% agreement).</w:t>
      </w:r>
    </w:p>
    <w:p w14:paraId="600D7E41" w14:textId="77777777" w:rsidR="00987AC8" w:rsidRPr="00B1522E" w:rsidRDefault="00987AC8" w:rsidP="00734D95">
      <w:pPr>
        <w:spacing w:line="480" w:lineRule="auto"/>
      </w:pPr>
    </w:p>
    <w:p w14:paraId="00B15C69" w14:textId="55533FAB" w:rsidR="00987AC8" w:rsidRPr="00B1522E" w:rsidRDefault="006956FB" w:rsidP="00734D95">
      <w:pPr>
        <w:spacing w:line="480" w:lineRule="auto"/>
      </w:pPr>
      <w:r w:rsidRPr="00B1522E">
        <w:t xml:space="preserve">2.3.2.3 </w:t>
      </w:r>
      <w:r w:rsidR="00987AC8" w:rsidRPr="00B1522E">
        <w:t>Risk of bias</w:t>
      </w:r>
    </w:p>
    <w:p w14:paraId="5CD6EF57" w14:textId="23BD4A5C" w:rsidR="00C2435E" w:rsidRPr="00B1522E" w:rsidRDefault="00987AC8" w:rsidP="00734D95">
      <w:pPr>
        <w:spacing w:line="480" w:lineRule="auto"/>
        <w:jc w:val="both"/>
        <w:rPr>
          <w:rFonts w:eastAsia="Calibri" w:cstheme="minorHAnsi"/>
        </w:rPr>
      </w:pPr>
      <w:r w:rsidRPr="00B1522E">
        <w:rPr>
          <w:rFonts w:eastAsia="Calibri" w:cstheme="minorHAnsi"/>
        </w:rPr>
        <w:t xml:space="preserve">All studies were assessed individually for their risk of bias using six domains based on the Cochrane Risk of Bias tool (selection bias, study design, confounding variables, blinding, data collection methods, withdrawal and dropout rates) (see Table </w:t>
      </w:r>
      <w:r w:rsidR="00EE7F0D" w:rsidRPr="00B1522E">
        <w:rPr>
          <w:rFonts w:eastAsia="Calibri" w:cstheme="minorHAnsi"/>
        </w:rPr>
        <w:t>3</w:t>
      </w:r>
      <w:r w:rsidRPr="00B1522E">
        <w:rPr>
          <w:rFonts w:eastAsia="Calibri" w:cstheme="minorHAnsi"/>
        </w:rPr>
        <w:t xml:space="preserve">) </w:t>
      </w:r>
      <w:r w:rsidRPr="00B1522E">
        <w:rPr>
          <w:rFonts w:eastAsia="Calibri" w:cstheme="minorHAnsi"/>
        </w:rPr>
        <w:fldChar w:fldCharType="begin" w:fldLock="1"/>
      </w:r>
      <w:r w:rsidR="00D671A4" w:rsidRPr="00B1522E">
        <w:rPr>
          <w:rFonts w:eastAsia="Calibri" w:cstheme="minorHAnsi"/>
        </w:rPr>
        <w:instrText>ADDIN CSL_CITATION {"citationItems":[{"id":"ITEM-1","itemData":{"ISSN":"047071218X","author":[{"dropping-particle":"","family":"Higgins","given":"Julian","non-dropping-particle":"","parse-names":false,"suffix":""},{"dropping-particle":"","family":"Altman","given":"Douglas G","non-dropping-particle":"","parse-names":false,"suffix":""}],"container-title":"Cochrane handbook for systematic reviews of interventions: Cochrane book series","id":"ITEM-1","issued":{"date-parts":[["2008"]]},"page":"187-241","publisher":"Wiley Online Library","title":"Assessing risk of bias in included studies","type":"article-journal"},"uris":["http://www.mendeley.com/documents/?uuid=e8ab8fad-63aa-3e53-9c64-1635f2b6f997"]}],"mendeley":{"formattedCitation":"(Higgins &amp; Altman, 2008)","plainTextFormattedCitation":"(Higgins &amp; Altman, 2008)","previouslyFormattedCitation":"(Higgins &amp; Altman, 2008)"},"properties":{"noteIndex":0},"schema":"https://github.com/citation-style-language/schema/raw/master/csl-citation.json"}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(Higgins &amp; Altman, 2008)</w:t>
      </w:r>
      <w:r w:rsidRPr="00B1522E">
        <w:rPr>
          <w:rFonts w:eastAsia="Calibri" w:cstheme="minorHAnsi"/>
        </w:rPr>
        <w:fldChar w:fldCharType="end"/>
      </w:r>
      <w:r w:rsidRPr="00B1522E">
        <w:rPr>
          <w:rFonts w:eastAsia="Calibri" w:cstheme="minorHAnsi"/>
        </w:rPr>
        <w:t>. Seven studies were judged to be a</w:t>
      </w:r>
      <w:r w:rsidR="00052AD7" w:rsidRPr="00B1522E">
        <w:rPr>
          <w:rFonts w:eastAsia="Calibri" w:cstheme="minorHAnsi"/>
        </w:rPr>
        <w:t>t a</w:t>
      </w:r>
      <w:r w:rsidRPr="00B1522E">
        <w:rPr>
          <w:rFonts w:eastAsia="Calibri" w:cstheme="minorHAnsi"/>
        </w:rPr>
        <w:t xml:space="preserve"> low </w:t>
      </w:r>
      <w:r w:rsidR="00052AD7" w:rsidRPr="00B1522E">
        <w:rPr>
          <w:rFonts w:eastAsia="Calibri" w:cstheme="minorHAnsi"/>
        </w:rPr>
        <w:t>r</w:t>
      </w:r>
      <w:r w:rsidRPr="00B1522E">
        <w:rPr>
          <w:rFonts w:eastAsia="Calibri" w:cstheme="minorHAnsi"/>
        </w:rPr>
        <w:t xml:space="preserve">isk of bias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Behavior","id":"ITEM-2","issue":"3","issued":{"date-parts":[["2009","6"]]},"note":"Accession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schools.","type":"article-journal","volume":"36"},"uris":["http://www.mendeley.com/documents/?uuid=74f4efaf-f648-40ee-a537-6d3097cacbbf"]},{"id":"ITEM-3","itemData":{"ISSN":"0268-1153","abstract":"The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Research","id":"ITEM-3","issue":"6","issued":{"date-parts":[["2006","12"]]},"note":"Accession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children.","type":"article-journal","volume":"21"},"uris":["http://www.mendeley.com/documents/?uuid=bbef8914-979d-4764-8405-477314275444"]},{"id":"ITEM-4","itemData":{"ISSN":"0268-1153","abstract":"Conducted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Research","id":"ITEM-4","issue":"4","issued":{"date-parts":[["1990","12"]]},"note":"Accession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study.","type":"article-journal","volume":"5"},"uris":["http://www.mendeley.com/documents/?uuid=9a48b06a-99b7-4f0b-b92b-862a85f3beb5"]},{"id":"ITEM-5","itemData":{"ISSN":"1054-139X","abstract":"Purpose: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Health","id":"ITEM-5","issue":"2","issued":{"date-parts":[["2009","2"]]},"note":"Accession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intervention.","type":"article-journal","volume":"44"},"uris":["http://www.mendeley.com/documents/?uuid=3436d664-5481-4deb-9498-5b6cd81039b0"]},{"id":"ITEM-6","itemData":{"ISSN":"08901171","abstract":"Purpose.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Promotion","id":"ITEM-6","issue":"3","issued":{"date-parts":[["2010","1"]]},"note":"Accession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Adolescents.","type":"article-journal","volume":"24"},"uris":["http://www.mendeley.com/documents/?uuid=dcce02ba-d07b-4b8a-9d22-177816d0f2ff"]},{"id":"ITEM-7","itemData":{"ISSN":"0091-7435","abstract":"Background: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Theory","id":"ITEM-7","issue":"6","issued":{"date-parts":[["2010","12"]]},"note":"Accession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adolescents.","type":"article-journal","volume":"51"},"uris":["http://www.mendeley.com/documents/?uuid=74acfc22-4c53-4fd1-8464-3f7cdd79586e"]}],"mendeley":{"formattedCitation":"(Chin A Paw et al., 2008; Dzewaltowski et al., 2009; Haerens et al., 2006; Hölund, 1990; Lubans et al., 2009; M. Martens et al., 2010; Mauriello et al., 2010)","manualFormatting":"(Chin A Paw et al., 2008; Dzewaltowski et al., 2009; Haerens et al., 2006; Hölund, 1990; Lubans et al., 2009; Martens et al., 2010; Mauriello et al., 2010)","plainTextFormattedCitation":"(Chin A Paw et al., 2008; Dzewaltowski et al., 2009; Haerens et al., 2006; Hölund, 1990; Lubans et al., 2009; M. Martens et al., 2010; Mauriello et al., 2010)","previouslyFormattedCitation":"(Chin A Paw et al., 2008; Dzewaltowski et al., 2009; Haerens et al., 2006; Hölund, 1990; Lubans et al., 2009; M. Martens et al., 2010; Mauriello et al., 2010)"},"properties":{"noteIndex":0},"schema":"https://github.com/citation-style-language/schema/raw/master/csl-citation.json"}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(Chin A Paw et al., 2008; Dzewaltowski et al., 2009; Haerens et al., 2006; Hölund, 1990; Lubans et al., 2009;</w:t>
      </w:r>
      <w:r w:rsidR="00377507" w:rsidRPr="00B1522E">
        <w:rPr>
          <w:rFonts w:eastAsia="Calibri" w:cstheme="minorHAnsi"/>
          <w:noProof/>
        </w:rPr>
        <w:t xml:space="preserve"> </w:t>
      </w:r>
      <w:r w:rsidR="00795693" w:rsidRPr="00B1522E">
        <w:rPr>
          <w:rFonts w:eastAsia="Calibri" w:cstheme="minorHAnsi"/>
          <w:noProof/>
        </w:rPr>
        <w:t>Martens et al., 2010; Mauriello et al., 2010)</w:t>
      </w:r>
      <w:r w:rsidRPr="00B1522E">
        <w:rPr>
          <w:rFonts w:eastAsia="Calibri" w:cstheme="minorHAnsi"/>
        </w:rPr>
        <w:fldChar w:fldCharType="end"/>
      </w:r>
      <w:r w:rsidRPr="00B1522E">
        <w:rPr>
          <w:rFonts w:eastAsia="Calibri" w:cstheme="minorHAnsi"/>
        </w:rPr>
        <w:t xml:space="preserve">. An additional seven studies were judged to be at high risk of bias </w:t>
      </w:r>
      <w:r w:rsidRPr="00B1522E">
        <w:rPr>
          <w:rFonts w:eastAsia="Calibri" w:cstheme="minorHAnsi"/>
        </w:rPr>
        <w:fldChar w:fldCharType="begin" w:fldLock="1"/>
      </w:r>
      <w:r w:rsidR="00CD35E5"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later","type":"article-journal","volume":"4"},"uris":["http://www.mendeley.com/documents/?uuid=c57324e0-7849-4506-9783-9bf0eec726c9"]},{"id":"ITEM-2","itemData":{"ISSN":"1087-3244","abstract":"Objective: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Behavior","id":"ITEM-2","issue":"5","issued":{"date-parts":[["2016","9"]]},"note":"Accession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behaviors.","type":"article-journal","volume":"40"},"uris":["http://www.mendeley.com/documents/?uuid=d63aebec-2716-44e4-bcb3-02defb99b8f6"]},{"id":"ITEM-3","itemData":{"ISSN":"1869-6716","abstract":"The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Medicine","id":"ITEM-3","issue":"1","issued":{"date-parts":[["2015","3"]]},"note":"Accession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girls.","type":"article-journal","volume":"5"},"uris":["http://www.mendeley.com/documents/?uuid=caa5507f-dbd0-4a8e-8a1f-8c2b3fd377e1"]},{"id":"ITEM-4","itemData":{"ISSN":"1879-0739","PMID":"19083401","abstract":"Certain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research","id":"ITEM-4","issue":"3","issued":{"date-parts":[["2008","3"]]},"page":"144-50","title":"Beverage intake improvement by high school students in Saskatchewan, Canada.","type":"article-journal","volume":"28"},"uris":["http://www.mendeley.com/documents/?uuid=fdc5051e-cbf7-4dcc-9784-097b6caadb05"]},{"id":"ITEM-5","itemData":{"ISSN":"1524-8399","abstract":"This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Practice","id":"ITEM-5","issue":"1","issued":{"date-parts":[["2011","1"]]},"note":"Accession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consumption.","type":"article-journal","volume":"12"},"uris":["http://www.mendeley.com/documents/?uuid=5e69dc5b-a75e-44cd-a690-1ad10a553ee8"]},{"id":"ITEM-6","itemData":{"author":[{"dropping-particle":"","family":"Revill","given":"S. A.","non-dropping-particle":"","parse-names":false,"suffix":""}],"id":"ITEM-6","issued":{"date-parts":[["2004"]]},"publisher":"Newcastle-upon-tyme","title":"Evaluation of a school-based nutrition and food delivered intervention to schoolchildren preparation skills from deprived social backgrounds","type":"thesis"},"uris":["http://www.mendeley.com/documents/?uuid=44c9923f-702d-4966-8c0c-73345f576954"]},{"id":"ITEM-7","itemData":{"ISSN":"0360-1315","abstract":"Nutrition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Education","id":"ITEM-7","issued":{"date-parts":[["2015","10"]]},"note":"Accession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elements.","type":"article-journal","volume":"88"},"uris":["http://www.mendeley.com/documents/?uuid=d0bc6350-9c55-462b-82b0-80648f3f942f"]}],"mendeley":{"formattedCitation":"(Bere et al., 2007; de Visser et al., 2016; Dowd et al., 2015; Lo et al., 2008; Ratcliffe et al., 2011; Revill, 2004; Yang et al., 2015)","manualFormatting":"(Bere et al., 2007; de Visser et al., 2016; Dowd et al., 2015; Lo et al., 2008; Ratcliffe et al., 2011; Revill, 2004; Yang et al., 2015)","plainTextFormattedCitation":"(Bere et al., 2007; de Visser et al., 2016; Dowd et al., 2015; Lo et al., 2008; Ratcliffe et al., 2011; Revill, 2004; Yang et al., 2015)","previouslyFormattedCitation":"(Bere et al., 2007; de Visser et al., 2016; Dowd et al., 2015; Lo et al., 2008; Ratcliffe et al., 2011; Revill, 2004; 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2007; de Visser et al., 2016; Dowd et al., 2015; Lo et al., 2008; Ratcliffe et al., 2011; Revill, 2004; Yang et al., 2015)</w:t>
      </w:r>
      <w:r w:rsidRPr="00B1522E">
        <w:rPr>
          <w:rFonts w:eastAsia="Calibri" w:cstheme="minorHAnsi"/>
        </w:rPr>
        <w:fldChar w:fldCharType="end"/>
      </w:r>
      <w:r w:rsidRPr="00B1522E">
        <w:rPr>
          <w:rFonts w:eastAsia="Calibri" w:cstheme="minorHAnsi"/>
        </w:rPr>
        <w:t xml:space="preserve"> primarily because the individual study designs were identified as not being random control trials (RCTs). Most of the studies </w:t>
      </w:r>
      <w:r w:rsidRPr="00B1522E">
        <w:rPr>
          <w:rFonts w:eastAsia="Calibri" w:cstheme="minorHAnsi"/>
        </w:rPr>
        <w:fldChar w:fldCharType="begin" w:fldLock="1"/>
      </w:r>
      <w:r w:rsidR="00971CA4" w:rsidRPr="00B1522E">
        <w:rPr>
          <w:rFonts w:eastAsia="Calibri" w:cstheme="minorHAnsi"/>
        </w:rPr>
        <w:instrText>ADDIN CSL_CITATION {"citationItems":[{"id":"ITEM-1","itemData":{"ISBN":"2153-2168","ISSN":"2153-2168","PMID":"28448174","abstract":"Background: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Behavior","id":"ITEM-3","issue":"5","issued":{"date-parts":[["2011","9"]]},"note":"Accession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choices.","type":"article-journal","volume":"43"},"uris":["http://www.mendeley.com/documents/?uuid=7656a537-f4ec-41dc-aa44-b227ceddf977"]},{"id":"ITEM-4","itemData":{"ISSN":"1479-5868","abstract":"Objectives: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Activity","id":"ITEM-4","issue":"41","issued":{"date-parts":[["2008","8","11"]]},"note":"Accession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program.","type":"article-journal","volume":"5"},"uris":["http://www.mendeley.com/documents/?uuid=0ae3b1a2-a736-4e3f-8869-95e5f4733a34"]},{"id":"ITEM-5","itemData":{"ISSN":"1087-3244","abstract":"Objective: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Behavior","id":"ITEM-5","issue":"5","issued":{"date-parts":[["2016","9"]]},"note":"Accession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behaviors.","type":"article-journal","volume":"40"},"uris":["http://www.mendeley.com/documents/?uuid=d63aebec-2716-44e4-bcb3-02defb99b8f6"]},{"id":"ITEM-6","itemData":{"ISSN":"1869-6716","abstract":"The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Medicine","id":"ITEM-6","issue":"1","issued":{"date-parts":[["2015","3"]]},"note":"Accession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girls.","type":"article-journal","volume":"5"},"uris":["http://www.mendeley.com/documents/?uuid=caa5507f-dbd0-4a8e-8a1f-8c2b3fd377e1"]},{"id":"ITEM-7","itemData":{"ISSN":"1090-1981","abstract":"The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Behavior","id":"ITEM-7","issue":"3","issued":{"date-parts":[["2009","6"]]},"note":"Accession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schools.","type":"article-journal","volume":"36"},"uris":["http://www.mendeley.com/documents/?uuid=74f4efaf-f648-40ee-a537-6d3097cacbbf"]},{"id":"ITEM-8","itemData":{"ISSN":"1471-2458","abstract":"Few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Health","id":"ITEM-8","issue":"1","issued":{"date-parts":[["2017","9"]]},"page":"695","title":"Evaluation of a peer education program on student leaders' energy balance-related behaviors","type":"article-journal","volume":"17"},"uris":["http://www.mendeley.com/documents/?uuid=560d1118-94b4-43a0-8347-10a81bff7b3e"]},{"id":"ITEM-9","itemData":{"ISSN":"0268-1153","abstract":"The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Research","id":"ITEM-9","issue":"6","issued":{"date-parts":[["2006","12"]]},"note":"Accession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children.","type":"article-journal","volume":"21"},"uris":["http://www.mendeley.com/documents/?uuid=bbef8914-979d-4764-8405-477314275444"]},{"id":"ITEM-10","itemData":{"ISSN":"0268-1153","abstract":"Conducted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Research","id":"ITEM-10","issue":"4","issued":{"date-parts":[["1990","12"]]},"note":"Accession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study.","type":"article-journal","volume":"5"},"uris":["http://www.mendeley.com/documents/?uuid=9a48b06a-99b7-4f0b-b92b-862a85f3beb5"]},{"id":"ITEM-11","itemData":{"ISSN":"1403-4948","abstract":"Background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Health","id":"ITEM-11","issue":"5","issued":{"date-parts":[["2010","11"]]},"note":"Accession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study.","type":"article-journal","volume":"38"},"uris":["http://www.mendeley.com/documents/?uuid=78beb7d0-a0fa-4834-9f1b-52f489a9a220"]},{"id":"ITEM-12","itemData":{"ISSN":"1879-0739","PMID":"19083401","abstract":"Certain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research","id":"ITEM-12","issue":"3","issued":{"date-parts":[["2008","3"]]},"page":"144-50","title":"Beverage intake improvement by high school students in Saskatchewan, Canada.","type":"article-journal","volume":"28"},"uris":["http://www.mendeley.com/documents/?uuid=fdc5051e-cbf7-4dcc-9784-097b6caadb05"]},{"id":"ITEM-13","itemData":{"ISSN":"0195-6663","abstract":"Much of the research on the determinants of dietary behavior has been guided by Bandura’s Social Cognitive Theory (SCT), yet few studies have tested the utility of its proposed structural paths. The aim of this paper was to test the capacity of SCT to explain dietary behaviors in a sample of 357 adolescent girls (13.2 ± 0.5 years) from 12 secondary schools located in low-income communities in New South Wales, Australia. Participants completed validated SCT scales assessing nutrition-related self-efficacy, intention, behavioral strategies, family support, situation, outcome expectations, and outcome expectancies. Participants completed a validated food frequency questionnaire, from which, the percentage of total kilojoules from core-foods, non-core foods and saturated fat were calculated. The theoretical models were tested using structural equation modeling in AMOS. The models explained 48–51% and 13–19% of the variance in intention and dietary behavior, respectively. The models provided an adequate fit to the data, and self-efficacy was positively associated with healthy eating and inversely associated with unhealthy eating. However, the pathway from intention to behavior was not statistically significant in any of the models. While this study has demonstrated the utility of SCT constructs to explain behavior in adolescents girls, the proposed structural pathways were not supported. Further study of the role that implementation intentions play in explaining adolescent girls’ dietary behaviors is required. (PsycINFO Database Record (c) 2015 APA, all rights reserved). (journal abstract)","author":[{"dropping-particle":"","family":"Lubans","given":"David R","non-dropping-particle":"","parse-names":false,"suffix":""},{"dropping-particle":"","family":"Plotnikoff","given":"Ronald C","non-dropping-particle":"","parse-names":false,"suffix":""},{"dropping-particle":"","family":"Morgan","given":"Philip J","non-dropping-particle":"","parse-names":false,"suffix":""},{"dropping-particle":"","family":"Dewar","given":"Deborah","non-dropping-particle":"","parse-names":false,"suffix":""},{"dropping-particle":"","family":"Costigan","given":"Sarah","non-dropping-particle":"","parse-names":false,"suffix":""},{"dropping-particle":"","family":"Collins","given":"Clare E","non-dropping-particle":"","parse-names":false,"suffix":""}],"container-title":"Appetite","id":"ITEM-13","issue":"2","issued":{"date-parts":[["2012","4"]]},"note":"Accession Number: 2012-04681-018. PMID: 22227067 Partial author list: First Author &amp;amp; Affiliation: Lubans, David R.; Priority Research Centre in Physical Activity and Nutrition, School of Education, University of Newcastle, Newcastle, NSW, Australia. Release Date: 20120402. Correction Date: 20151214. Publication Type: Journal (0100), Peer Reviewed Journal (0110). Format Covered: Electronic. Document Type: Journal Article. Language: English. Major Descriptor: Diets; Disadvantaged; Food Intake; Secondary Education; Social Cognition. Minor Descriptor: Adolescent Development; Human Females; Lower Income Level; Nutrition; Schools; Theories. Classification: Developmental Psychology (2800). Population: Human (10); Female (40). Location: Australia. Age Group: Adolescence (13-17 yrs) (200). Tests &amp;amp; Measures: Australian Child and Adolescent Eating Survey; Goals Scale; Behavioral Strategies Scale; Family Support Scale; Situation Scale; Outcome Expectations Scale; Outcome Expectancies Scale; Self-Efficacy Scale; Food Frequency Questionnaire. Methodology: Empirical Study; Quantitative Study. References Available: Y. Page Count: 8. Issue Publication Date: Apr, 2012. Publication History: First Posted Date: Dec 29, 2011; Accepted Date: Dec 18, 2011; Revised Date: Dec 1, 2011; First Submitted Date: Aug 31, 2011. Copyright Statement: All rights reserved. Elsevier Ltd. 2012.","page":"517-524","publisher":"Elsevier Science","publisher-place":"Lubans, David R.","title":"Explaining dietary intake in adolescent girls from disadvantaged secondary schools. A test of Social Cognitive Theory.","type":"article-journal","volume":"58"},"uris":["http://www.mendeley.com/documents/?uuid=cc86c7d6-b8ab-44e5-a280-38e479ffc6fc"]},{"id":"ITEM-14","itemData":{"ISSN":"1545-1151","abstract":"INTRODUCTION: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Disease","id":"ITEM-14","issued":{"date-parts":[["2015","9","24"]]},"page":"1-105","publisher":"Centers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2009–2014","type":"article-journal","volume":"12"},"uris":["http://www.mendeley.com/documents/?uuid=7a939433-5065-4b4f-8418-9bf888206d98"]},{"id":"ITEM-15","itemData":{"ISSN":"08901171","abstract":"Purpose.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Promotion","id":"ITEM-15","issue":"3","issued":{"date-parts":[["2010","1"]]},"note":"Accession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Adolescents.","type":"article-journal","volume":"24"},"uris":["http://www.mendeley.com/documents/?uuid=dcce02ba-d07b-4b8a-9d22-177816d0f2ff"]},{"id":"ITEM-16","itemData":{"ISSN":"0091-7435","abstract":"Background: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Theory","id":"ITEM-16","issue":"6","issued":{"date-parts":[["2010","12"]]},"note":"Accession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adolescents.","type":"article-journal","volume":"51"},"uris":["http://www.mendeley.com/documents/?uuid=74acfc22-4c53-4fd1-8464-3f7cdd79586e"]},{"id":"ITEM-17","itemData":{"ISSN":"1087-3244","abstract":"Objectives: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Behavior","id":"ITEM-17","issue":"1","issued":{"date-parts":[["2015","1"]]},"note":"Accession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girls.","type":"article-journal","volume":"39"},"uris":["http://www.mendeley.com/documents/?uuid=7b8ee571-076a-4b5d-8ae8-9e0a03d039ae"]},{"id":"ITEM-18","itemData":{"ISSN":"00223182","abstract":"A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Education","id":"ITEM-18","issue":"1","issued":{"date-parts":[["1995","1"]]},"page":"24-31","title":"Eating disturbances among adolescent girls: Evaluation of a school-based primary prevention program","type":"article-journal","volume":"27"},"uris":["http://www.mendeley.com/documents/?uuid=588adb0d-18f3-406d-bdf5-5d66e25338c4"]},{"id":"ITEM-19","itemData":{"ISSN":"0268-1153","abstract":"Describes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Research","id":"ITEM-19","issue":"2","issued":{"date-parts":[["1987","6"]]},"note":"Accession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Life.'","type":"article-journal","volume":"2"},"uris":["http://www.mendeley.com/documents/?uuid=4ba034f3-de40-4333-9846-e6881c339756"]},{"id":"ITEM-20","itemData":{"ISSN":"1524-8399","abstract":"This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Practice","id":"ITEM-20","issue":"1","issued":{"date-parts":[["2011","1"]]},"note":"Accession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consumption.","type":"article-journal","volume":"12"},"uris":["http://www.mendeley.com/documents/?uuid=5e69dc5b-a75e-44cd-a690-1ad10a553ee8"]},{"id":"ITEM-21","itemData":{"author":[{"dropping-particle":"","family":"Revill","given":"S. A.","non-dropping-particle":"","parse-names":false,"suffix":""}],"id":"ITEM-21","issued":{"date-parts":[["2004"]]},"publisher":"Newcastle-upon-tyme","title":"Evaluation of a school-based nutrition and food delivered intervention to schoolchildren preparation skills from deprived social backgrounds","type":"thesis"},"uris":["http://www.mendeley.com/documents/?uuid=44c9923f-702d-4966-8c0c-73345f576954"]},{"id":"ITEM-22","itemData":{"ISSN":"1479-5868","abstract":"Background: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Activity","id":"ITEM-22","issued":{"date-parts":[["2011","2","4"]]},"note":"Accession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intakes.","type":"article-journal","volume":"8"},"uris":["http://www.mendeley.com/documents/?uuid=827f05f5-1374-4d29-b4c3-d6c4de5de2d7"]},{"id":"ITEM-23","itemData":{"ISSN":"0031-5125","abstract":"The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Skills","id":"ITEM-23","issue":"2","issued":{"date-parts":[["2005","10"]]},"note":"Accession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eating.","type":"article-journal","volume":"101"},"uris":["http://www.mendeley.com/documents/?uuid=f16d6371-ae55-47d3-b34f-6f5099c47b13"]},{"id":"ITEM-24","itemData":{"ISSN":"0957-4824","abstract":"To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International","id":"ITEM-24","issue":"2","issued":{"date-parts":[["2015","6"]]},"note":"Accession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China?","type":"article-journal","volume":"30"},"uris":["http://www.mendeley.com/documents/?uuid=145ecf81-8117-453e-bf69-159987f54f3c"]},{"id":"ITEM-25","itemData":{"ISSN":"0091-7435","abstract":"Objective: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Theory","id":"ITEM-25","issue":"2","issued":{"date-parts":[["2012","2","1"]]},"note":"Accession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trial.","type":"article-journal","volume":"54"},"uris":["http://www.mendeley.com/documents/?uuid=7e4d5a33-052f-4c99-ab20-b4bf103139ae"]},{"id":"ITEM-26","itemData":{"ISSN":"0360-1315","abstract":"Nutrition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Education","id":"ITEM-26","issued":{"date-parts":[["2015","10"]]},"note":"Accession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elements.","type":"article-journal","volume":"88"},"uris":["http://www.mendeley.com/documents/?uuid=d0bc6350-9c55-462b-82b0-80648f3f942f"]}],"mendeley":{"formattedCitation":"(Aceves-Martins et al., 2017; Birnbaum et al., 2002; Bukhari et al., 2011; Chin A Paw et al., 2008; de Visser et al., 2016; Dowd et al., 2015; Dzewaltowski et al., 2009; Foley et al., 2017; Haerens et al., 2006; Hölund, 1990; Lien et al., 2010; Lo et al., 2008; Lubans et al., 2012; Maatoug et al., 2015; M. Martens et al., 2010; Mauriello et al., 2010; McCabe et al., 2015; Neumark-Sztainer et al., 1995; Perry et al., 1987; Ratcliffe et al., 2011; Revill, 2004; Siega-Riz et al., 2011; Tsorbatzoudis, 2005; Wang et al., 2015; Wilson et al., 2012; Yang et al., 2015)","manualFormatting":"(Aceves-Martins et al., 2017; Birnbaum et al., 2002; Bukhari et al., 2011; Chin A Paw et al., 2008; de Visser et al., 2016; Dowd et al., 2015; Dzewaltowski et al., 2009; Foley et al., 2017; Haerens et al., 2006; Hölund, 1990; Lien et al., 2010; Lo et al., 2008; Lubans et al., 2012; Maatoug et al., 2015; Martens et al., 2010; Mauriello et al., 2010; McCabe et al., 2015; Neumark-Sztainer et al., 1995; Perry et al., 1987; Ratcliffe et al., 2011; Revill, 2004; Siega-Riz et al., 2011; Tsorbatzoudis, 2005; Wang et al., 2015; Wilson et al., 2012; Yang et al., 2015)","plainTextFormattedCitation":"(Aceves-Martins et al., 2017; Birnbaum et al., 2002; Bukhari et al., 2011; Chin A Paw et al., 2008; de Visser et al., 2016; Dowd et al., 2015; Dzewaltowski et al., 2009; Foley et al., 2017; Haerens et al., 2006; Hölund, 1990; Lien et al., 2010; Lo et al., 2008; Lubans et al., 2012; Maatoug et al., 2015; M. Martens et al., 2010; Mauriello et al., 2010; McCabe et al., 2015; Neumark-Sztainer et al., 1995; Perry et al., 1987; Ratcliffe et al., 2011; Revill, 2004; Siega-Riz et al., 2011; Tsorbatzoudis, 2005; Wang et al., 2015; Wilson et al., 2012; Yang et al., 2015)","previouslyFormattedCitation":"(Aceves-Martins et al., 2017; Birnbaum et al., 2002; Bukhari et al., 2011; Chin A Paw et al., 2008; de Visser et al., 2016; Dowd et al., 2015; Dzewaltowski et al., 2009; Foley et al., 2017; Haerens et al., 2006; Hölund, 1990; Lien et al., 2010; Lo et al., 2008; Lubans et al., 2012; Maatoug et al., 2015; M. Martens et al., 2010; Mauriello et al., 2010; McCabe et al., 2015; Neumark-Sztainer et al., 1995; Perry et al., 1987; Ratcliffe et al., 2011; Revill, 2004; Siega-Riz et al., 2011; Tsorbatzoudis, 2005; Wang et al., 2015; Wilson et al., 2012;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 xml:space="preserve">(Aceves-Martins et al., 2017; Birnbaum et al., 2002; Bukhari et al., 2011; Chin A Paw et al., 2008; de Visser et al., 2016; Dowd et al., 2015; Dzewaltowski et al., 2009; Foley et al., 2017; Haerens et al., 2006; Hölund, 1990; </w:t>
      </w:r>
      <w:r w:rsidR="00795693" w:rsidRPr="00B1522E">
        <w:rPr>
          <w:rFonts w:eastAsia="Calibri" w:cstheme="minorHAnsi"/>
          <w:noProof/>
        </w:rPr>
        <w:lastRenderedPageBreak/>
        <w:t>Lien et al., 2010; Lo et al., 2008; Lubans et al., 2012; Maatoug et al., 2015; Martens et al., 2010; Mauriello et al., 2010; McCabe et al., 2015; Neumark-Sztainer et al., 1995; Perry et al., 1987; Ratcliffe et al., 2011; Revill, 2004; Siega-Riz et al., 2011; Tsorbatzoudis, 2005; Wang et al., 2015; Wilson et al., 2012; Yang et al., 2015)</w:t>
      </w:r>
      <w:r w:rsidRPr="00B1522E">
        <w:rPr>
          <w:rFonts w:eastAsia="Calibri" w:cstheme="minorHAnsi"/>
        </w:rPr>
        <w:fldChar w:fldCharType="end"/>
      </w:r>
      <w:r w:rsidRPr="00B1522E">
        <w:rPr>
          <w:rFonts w:eastAsia="Calibri" w:cstheme="minorHAnsi"/>
        </w:rPr>
        <w:t xml:space="preserve"> were judged to have at least one domain of unclear risk of bias, this was mainly owing to the selective reporting of features of these studies. The main feature that was not reported</w:t>
      </w:r>
      <w:r w:rsidR="0015771A" w:rsidRPr="00B1522E">
        <w:rPr>
          <w:rFonts w:eastAsia="Calibri" w:cstheme="minorHAnsi"/>
        </w:rPr>
        <w:t xml:space="preserve"> </w:t>
      </w:r>
      <w:r w:rsidRPr="00B1522E">
        <w:rPr>
          <w:rFonts w:eastAsia="Calibri" w:cstheme="minorHAnsi"/>
        </w:rPr>
        <w:t>was the blinding of participants and/or researchers to study group allocation.</w:t>
      </w:r>
    </w:p>
    <w:bookmarkStart w:id="34" w:name="_Toc84678900"/>
    <w:p w14:paraId="671E93D5" w14:textId="5749A93C" w:rsidR="008535DC" w:rsidRPr="00B1522E" w:rsidRDefault="00B16221" w:rsidP="008535DC">
      <w:pPr>
        <w:pStyle w:val="Caption"/>
        <w:keepNext/>
        <w:rPr>
          <w:rFonts w:cstheme="minorHAnsi"/>
          <w:i w:val="0"/>
          <w:color w:val="auto"/>
          <w:sz w:val="22"/>
          <w:szCs w:val="22"/>
        </w:rPr>
      </w:pPr>
      <w:r w:rsidRPr="00B1522E">
        <w:rPr>
          <w:b/>
          <w:bCs/>
          <w:i w:val="0"/>
          <w:iCs w:val="0"/>
          <w:color w:val="auto"/>
          <w:sz w:val="22"/>
          <w:szCs w:val="22"/>
        </w:rPr>
        <w:lastRenderedPageBreak/>
        <w:fldChar w:fldCharType="begin"/>
      </w:r>
      <w:r w:rsidRPr="00B1522E">
        <w:rPr>
          <w:b/>
          <w:bCs/>
          <w:i w:val="0"/>
          <w:iCs w:val="0"/>
          <w:color w:val="auto"/>
          <w:sz w:val="22"/>
          <w:szCs w:val="22"/>
        </w:rPr>
        <w:instrText xml:space="preserve"> TC  "</w:instrText>
      </w:r>
      <w:r w:rsidRPr="00B1522E">
        <w:rPr>
          <w:i w:val="0"/>
          <w:iCs w:val="0"/>
          <w:color w:val="auto"/>
          <w:sz w:val="24"/>
          <w:szCs w:val="24"/>
        </w:rPr>
        <w:instrText xml:space="preserve"> </w:instrText>
      </w:r>
      <w:bookmarkStart w:id="35" w:name="_Toc97557126"/>
      <w:r w:rsidR="00B7764F" w:rsidRPr="00B1522E">
        <w:rPr>
          <w:rFonts w:cstheme="minorHAnsi"/>
          <w:i w:val="0"/>
          <w:color w:val="auto"/>
          <w:sz w:val="22"/>
          <w:szCs w:val="22"/>
        </w:rPr>
        <w:instrText xml:space="preserve">Table </w:instrText>
      </w:r>
      <w:r w:rsidR="000E1BF1" w:rsidRPr="00B1522E">
        <w:rPr>
          <w:rFonts w:cstheme="minorHAnsi"/>
          <w:i w:val="0"/>
          <w:color w:val="auto"/>
          <w:sz w:val="22"/>
          <w:szCs w:val="22"/>
        </w:rPr>
        <w:instrText>3</w:instrText>
      </w:r>
      <w:r w:rsidR="006157A4" w:rsidRPr="00B1522E">
        <w:rPr>
          <w:rFonts w:cstheme="minorHAnsi"/>
          <w:i w:val="0"/>
          <w:color w:val="auto"/>
          <w:sz w:val="22"/>
          <w:szCs w:val="22"/>
        </w:rPr>
        <w:instrText xml:space="preserve">. </w:instrText>
      </w:r>
      <w:r w:rsidRPr="00B1522E">
        <w:rPr>
          <w:rFonts w:cstheme="minorHAnsi"/>
          <w:i w:val="0"/>
          <w:color w:val="auto"/>
          <w:sz w:val="22"/>
          <w:szCs w:val="22"/>
        </w:rPr>
        <w:instrText>Table showing forms of risk bias across studies (adapted from the Cochrane Risk of Bias</w:instrText>
      </w:r>
      <w:r w:rsidR="00E765AE" w:rsidRPr="00B1522E">
        <w:rPr>
          <w:rFonts w:cstheme="minorHAnsi"/>
          <w:i w:val="0"/>
          <w:color w:val="auto"/>
          <w:sz w:val="22"/>
          <w:szCs w:val="22"/>
        </w:rPr>
        <w:instrText>)</w:instrText>
      </w:r>
      <w:bookmarkEnd w:id="35"/>
      <w:r w:rsidRPr="00B1522E">
        <w:rPr>
          <w:rFonts w:cstheme="minorHAnsi"/>
          <w:i w:val="0"/>
          <w:iCs w:val="0"/>
          <w:color w:val="auto"/>
          <w:sz w:val="22"/>
          <w:szCs w:val="22"/>
        </w:rPr>
        <w:instrText>”</w:instrText>
      </w:r>
      <w:r w:rsidRPr="00B1522E">
        <w:rPr>
          <w:b/>
          <w:bCs/>
          <w:i w:val="0"/>
          <w:iCs w:val="0"/>
          <w:color w:val="auto"/>
          <w:sz w:val="22"/>
          <w:szCs w:val="22"/>
        </w:rPr>
        <w:instrText xml:space="preserve">\f z\l 2 </w:instrText>
      </w:r>
      <w:r w:rsidRPr="00B1522E">
        <w:rPr>
          <w:b/>
          <w:bCs/>
          <w:i w:val="0"/>
          <w:iCs w:val="0"/>
          <w:color w:val="auto"/>
          <w:sz w:val="22"/>
          <w:szCs w:val="22"/>
        </w:rPr>
        <w:fldChar w:fldCharType="end"/>
      </w:r>
      <w:r w:rsidR="008535DC" w:rsidRPr="00B1522E">
        <w:rPr>
          <w:rFonts w:cstheme="minorHAnsi"/>
          <w:i w:val="0"/>
          <w:color w:val="auto"/>
          <w:sz w:val="22"/>
          <w:szCs w:val="22"/>
        </w:rPr>
        <w:t xml:space="preserve">Table </w:t>
      </w:r>
      <w:r w:rsidR="000E1BF1" w:rsidRPr="00B1522E">
        <w:rPr>
          <w:rFonts w:cstheme="minorHAnsi"/>
          <w:i w:val="0"/>
          <w:color w:val="auto"/>
          <w:sz w:val="22"/>
          <w:szCs w:val="22"/>
        </w:rPr>
        <w:t>3</w:t>
      </w:r>
      <w:r w:rsidR="006157A4" w:rsidRPr="00B1522E">
        <w:rPr>
          <w:rFonts w:cstheme="minorHAnsi"/>
          <w:i w:val="0"/>
          <w:color w:val="auto"/>
          <w:sz w:val="22"/>
          <w:szCs w:val="22"/>
        </w:rPr>
        <w:t xml:space="preserve">. </w:t>
      </w:r>
      <w:r w:rsidR="008535DC" w:rsidRPr="00B1522E">
        <w:rPr>
          <w:rFonts w:cstheme="minorHAnsi"/>
          <w:i w:val="0"/>
          <w:color w:val="auto"/>
          <w:sz w:val="22"/>
          <w:szCs w:val="22"/>
        </w:rPr>
        <w:t>Table showing forms of risk bias across studies (adapted from the Cochrane Risk of Bias Tool)</w:t>
      </w:r>
    </w:p>
    <w:tbl>
      <w:tblPr>
        <w:tblpPr w:leftFromText="180" w:rightFromText="180" w:vertAnchor="page" w:horzAnchor="margin" w:tblpY="2233"/>
        <w:tblW w:w="9696" w:type="dxa"/>
        <w:tblLayout w:type="fixed"/>
        <w:tblLook w:val="04A0" w:firstRow="1" w:lastRow="0" w:firstColumn="1" w:lastColumn="0" w:noHBand="0" w:noVBand="1"/>
      </w:tblPr>
      <w:tblGrid>
        <w:gridCol w:w="4097"/>
        <w:gridCol w:w="933"/>
        <w:gridCol w:w="933"/>
        <w:gridCol w:w="933"/>
        <w:gridCol w:w="933"/>
        <w:gridCol w:w="933"/>
        <w:gridCol w:w="934"/>
      </w:tblGrid>
      <w:tr w:rsidR="00E77769" w:rsidRPr="00B1522E" w14:paraId="2EBA2777" w14:textId="77777777" w:rsidTr="00FD4501">
        <w:trPr>
          <w:cantSplit/>
          <w:trHeight w:val="1550"/>
        </w:trPr>
        <w:tc>
          <w:tcPr>
            <w:tcW w:w="409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435728" w14:textId="77777777" w:rsidR="00FD4501" w:rsidRPr="00B1522E" w:rsidRDefault="00FD4501" w:rsidP="00FD4501">
            <w:pPr>
              <w:spacing w:after="0" w:line="240" w:lineRule="auto"/>
              <w:rPr>
                <w:rFonts w:eastAsia="Times New Roman" w:cstheme="minorHAnsi"/>
                <w:i/>
                <w:iCs/>
                <w:lang w:eastAsia="en-GB"/>
              </w:rPr>
            </w:pPr>
            <w:r w:rsidRPr="00B1522E">
              <w:rPr>
                <w:rFonts w:eastAsia="Times New Roman" w:cstheme="minorHAnsi"/>
                <w:i/>
                <w:iCs/>
                <w:lang w:eastAsia="en-GB"/>
              </w:rPr>
              <w:t> </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738833" w14:textId="77777777" w:rsidR="00FD4501" w:rsidRPr="00B1522E" w:rsidRDefault="00FD4501" w:rsidP="00FD4501">
            <w:pPr>
              <w:spacing w:after="0" w:line="240" w:lineRule="auto"/>
              <w:ind w:right="113"/>
              <w:rPr>
                <w:rFonts w:eastAsia="Times New Roman" w:cstheme="minorHAnsi"/>
                <w:b/>
                <w:lang w:eastAsia="en-GB"/>
              </w:rPr>
            </w:pPr>
            <w:r w:rsidRPr="00B1522E">
              <w:rPr>
                <w:rFonts w:eastAsia="Times New Roman" w:cstheme="minorHAnsi"/>
                <w:b/>
                <w:lang w:eastAsia="en-GB"/>
              </w:rPr>
              <w:t>Selection Bias</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1C3CF13C" w14:textId="77777777" w:rsidR="00FD4501" w:rsidRPr="00B1522E" w:rsidRDefault="00FD4501" w:rsidP="00FD4501">
            <w:pPr>
              <w:spacing w:after="0" w:line="240" w:lineRule="auto"/>
              <w:ind w:right="113"/>
              <w:rPr>
                <w:rFonts w:eastAsia="Times New Roman" w:cstheme="minorHAnsi"/>
                <w:b/>
                <w:lang w:eastAsia="en-GB"/>
              </w:rPr>
            </w:pPr>
            <w:r w:rsidRPr="00B1522E">
              <w:rPr>
                <w:rFonts w:eastAsia="Times New Roman" w:cstheme="minorHAnsi"/>
                <w:b/>
                <w:lang w:eastAsia="en-GB"/>
              </w:rPr>
              <w:t>Study design*</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68FF4311" w14:textId="77777777" w:rsidR="00FD4501" w:rsidRPr="00B1522E" w:rsidRDefault="00FD4501" w:rsidP="00FD4501">
            <w:pPr>
              <w:spacing w:after="0" w:line="240" w:lineRule="auto"/>
              <w:ind w:right="113"/>
              <w:rPr>
                <w:rFonts w:eastAsia="Times New Roman" w:cstheme="minorHAnsi"/>
                <w:b/>
                <w:lang w:eastAsia="en-GB"/>
              </w:rPr>
            </w:pPr>
            <w:r w:rsidRPr="00B1522E">
              <w:rPr>
                <w:rFonts w:eastAsia="Times New Roman" w:cstheme="minorHAnsi"/>
                <w:b/>
                <w:lang w:eastAsia="en-GB"/>
              </w:rPr>
              <w:t>Confounding variables</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23BCCCD4" w14:textId="77777777" w:rsidR="00FD4501" w:rsidRPr="00B1522E" w:rsidRDefault="00FD4501" w:rsidP="00FD4501">
            <w:pPr>
              <w:spacing w:after="0" w:line="240" w:lineRule="auto"/>
              <w:ind w:right="113"/>
              <w:rPr>
                <w:rFonts w:eastAsia="Times New Roman" w:cstheme="minorHAnsi"/>
                <w:b/>
                <w:lang w:eastAsia="en-GB"/>
              </w:rPr>
            </w:pPr>
            <w:r w:rsidRPr="00B1522E">
              <w:rPr>
                <w:rFonts w:eastAsia="Times New Roman" w:cstheme="minorHAnsi"/>
                <w:b/>
                <w:lang w:eastAsia="en-GB"/>
              </w:rPr>
              <w:t>Blinding</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1D0A98D7" w14:textId="77777777" w:rsidR="00FD4501" w:rsidRPr="00B1522E" w:rsidRDefault="00FD4501" w:rsidP="00FD4501">
            <w:pPr>
              <w:spacing w:after="0" w:line="240" w:lineRule="auto"/>
              <w:ind w:right="113"/>
              <w:rPr>
                <w:rFonts w:eastAsia="Times New Roman" w:cstheme="minorHAnsi"/>
                <w:b/>
                <w:lang w:eastAsia="en-GB"/>
              </w:rPr>
            </w:pPr>
            <w:r w:rsidRPr="00B1522E">
              <w:rPr>
                <w:rFonts w:eastAsia="Times New Roman" w:cstheme="minorHAnsi"/>
                <w:b/>
                <w:lang w:eastAsia="en-GB"/>
              </w:rPr>
              <w:t>Data collection methods</w:t>
            </w:r>
          </w:p>
        </w:tc>
        <w:tc>
          <w:tcPr>
            <w:tcW w:w="93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962FF2" w14:textId="77777777" w:rsidR="00FD4501" w:rsidRPr="00B1522E" w:rsidRDefault="00FD4501" w:rsidP="00FD4501">
            <w:pPr>
              <w:spacing w:after="0" w:line="240" w:lineRule="auto"/>
              <w:ind w:right="113"/>
              <w:rPr>
                <w:rFonts w:eastAsia="Times New Roman" w:cstheme="minorHAnsi"/>
                <w:b/>
                <w:lang w:eastAsia="en-GB"/>
              </w:rPr>
            </w:pPr>
            <w:r w:rsidRPr="00B1522E">
              <w:rPr>
                <w:rFonts w:eastAsia="Times New Roman" w:cstheme="minorHAnsi"/>
                <w:b/>
                <w:lang w:eastAsia="en-GB"/>
              </w:rPr>
              <w:t>Withdrawal and dropout rates</w:t>
            </w:r>
          </w:p>
        </w:tc>
      </w:tr>
      <w:tr w:rsidR="00E77769" w:rsidRPr="00B1522E" w14:paraId="6F62D6BE"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tcPr>
          <w:p w14:paraId="3688BDD3"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Aceves-Martins et al. (2017)</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36E706F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58031E3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0AAB7183"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6E2E6B4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05D687F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1229F9D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2A8C9177"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519DB"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Bere et al. (2006)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34DB08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679762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CB63A2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5E1429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DC511B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C46934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5813BE07"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53C13"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Birnbaum et al. (2002)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CCE876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A2E81C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535313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4AEE6D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4DBE09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0242CF3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2AF8C3CB"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DFEF8"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Bukhari et al, (2011)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EDB3433"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A6E8D0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E24183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9C28A7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746DAD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445206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79E65404"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C1B50"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Chin A Paw et al. (2008)</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8309A5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B9EB48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27FA71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639B1E3"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E6A227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8B8F04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5A189169"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20C33"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de Visser et al. (2016)</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F0AC5F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B5A3CF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FE2E46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E61B84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5E7931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0020F7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2DDD8C3A"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F5E08"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Dowd et al. (2015)</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617408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513835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8A2639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8D3808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4F6B1B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70D21F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6D81BCF8"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95215"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Dzewaltowski et al. (2009)</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8AEAE4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060613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C7E2DC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FAF315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F04AEB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1AFBA1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439053E"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tcPr>
          <w:p w14:paraId="253B6909"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Foley at al. (2017)</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73394A5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77E513A3"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2A2F4B2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7361EEA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0F0D695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108E0A9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B11AA21"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AF2D2"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Gratton et al. (2007)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F9206D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01DCB9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219078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542703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0D8450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3DCDCD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30A54E7"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89565"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Haerens et al. (2006)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74822A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565334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66D453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9055D0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DCF57D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668F19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2BF3FC3D"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7EA60"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Hölund (1990)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397312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A457B9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6A2075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100B87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3B1DD4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09841A5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C93DB16"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06835"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Hoelscher et al. (2016)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84A8DF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F365A2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32EA22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F0F8D4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ABD83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591FC9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55473E8D"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8B79B"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Lien et al. (2010)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3B87C43"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784171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175C36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DD683F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99249A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C20E6E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1E139531"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7931F"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Lo et al. (2008)</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413D55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7EB621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C1EC1C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2FCDCB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9AB2D4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76F4880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401C8CE5"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F3D0F"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Lubans et al. (2009)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AE6547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144634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7A17E2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9714C1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A81422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BD4DC8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13DB7385"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tcPr>
          <w:p w14:paraId="2255F7F9"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Maatoug et al. (2015)</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5716C99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203FD62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4C06A60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361B2B1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4B4FCF3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4FCD58F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 xml:space="preserve">- </w:t>
            </w:r>
          </w:p>
        </w:tc>
      </w:tr>
      <w:tr w:rsidR="00E77769" w:rsidRPr="00B1522E" w14:paraId="19948312"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8317"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Martens et al. (2010)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A10F80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807E2E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197D6B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915D3F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570C91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2DFAA4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46479E56"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50721"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Mauriello et al. (2010)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19F62A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99005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AAE77E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23B77A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E6ABA4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F7929D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43D79AF8"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212AC"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McCabe et al. (2015)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2E32AA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FE7034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C76B69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148280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8349EE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45C2237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5DCF2934"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0F6E8"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Neumark-Sztainer et al. (1995)</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FED01D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26B791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011D3E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6FB2F9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D5EA42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52CB56D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E662625"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CAB72"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Perry et al. (1987).</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6FA226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506E27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42BFF7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6F5916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5D86707"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9F5310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19ED48F"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21C0D"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Ratcliffe (2011)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A8B0AE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32EBE4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3475D2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3CD583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7BF096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6D8AE2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D0C14CC"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D2E1E"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Revill (2004)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CEF094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94363C6"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957765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B632E5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6F661F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518A203"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6674D507"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6A96F"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Siega-Riz et al. (2011)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01EBA3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5DA1D2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B9E41B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14B87FB"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9AC901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C21598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5B188E52"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5BD7"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Tsorbatzoudis (2005)</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05908F8"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2B9DEF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ABB7D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9B9AF7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38C5C3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AB98B0F"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87797DA"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8D1C1"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Wang et al. (2015)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B33BD8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AFA5A15"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15E850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22286F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1A032E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69CEAAB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325FD174" w14:textId="77777777" w:rsidTr="00FD4501">
        <w:trPr>
          <w:trHeight w:val="295"/>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96594"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Wilson (2012)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68AC16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42934D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BDD52C9"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4BD965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83DD06A"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3671448E"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r w:rsidR="00E77769" w:rsidRPr="00B1522E" w14:paraId="530D62B0" w14:textId="77777777" w:rsidTr="00FD4501">
        <w:trPr>
          <w:trHeight w:val="51"/>
        </w:trPr>
        <w:tc>
          <w:tcPr>
            <w:tcW w:w="4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32F20" w14:textId="77777777" w:rsidR="00FD4501" w:rsidRPr="00B1522E" w:rsidRDefault="00FD4501" w:rsidP="00FD4501">
            <w:pPr>
              <w:spacing w:after="0" w:line="240" w:lineRule="auto"/>
              <w:rPr>
                <w:rFonts w:eastAsia="Times New Roman" w:cstheme="minorHAnsi"/>
                <w:lang w:eastAsia="en-GB"/>
              </w:rPr>
            </w:pPr>
            <w:r w:rsidRPr="00B1522E">
              <w:rPr>
                <w:rFonts w:eastAsia="Times New Roman" w:cstheme="minorHAnsi"/>
                <w:lang w:eastAsia="en-GB"/>
              </w:rPr>
              <w:t xml:space="preserve">Yang et al. (2015) </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C63AC41"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6D3F3FC"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C43D122"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0BABCE0"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6ECA7B4"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2FEA856D" w14:textId="77777777" w:rsidR="00FD4501" w:rsidRPr="00B1522E" w:rsidRDefault="00FD4501" w:rsidP="00FD4501">
            <w:pPr>
              <w:spacing w:after="0" w:line="240" w:lineRule="auto"/>
              <w:jc w:val="center"/>
              <w:rPr>
                <w:rFonts w:eastAsia="Times New Roman" w:cstheme="minorHAnsi"/>
                <w:lang w:eastAsia="en-GB"/>
              </w:rPr>
            </w:pPr>
            <w:r w:rsidRPr="00B1522E">
              <w:rPr>
                <w:rFonts w:eastAsia="Times New Roman" w:cstheme="minorHAnsi"/>
                <w:lang w:eastAsia="en-GB"/>
              </w:rPr>
              <w:t>?</w:t>
            </w:r>
          </w:p>
        </w:tc>
      </w:tr>
    </w:tbl>
    <w:p w14:paraId="6CE23CBC" w14:textId="77777777" w:rsidR="008535DC" w:rsidRPr="00B1522E" w:rsidRDefault="008535DC" w:rsidP="008535DC">
      <w:pPr>
        <w:rPr>
          <w:rFonts w:cstheme="minorHAnsi"/>
        </w:rPr>
      </w:pPr>
    </w:p>
    <w:p w14:paraId="3E40E05F" w14:textId="4F2EBDB5" w:rsidR="008535DC" w:rsidRPr="00B1522E" w:rsidRDefault="008535DC" w:rsidP="008535DC">
      <w:pPr>
        <w:rPr>
          <w:rFonts w:cstheme="minorHAnsi"/>
          <w:b/>
        </w:rPr>
      </w:pPr>
      <w:r w:rsidRPr="00B1522E">
        <w:rPr>
          <w:rFonts w:cstheme="minorHAnsi"/>
          <w:b/>
        </w:rPr>
        <w:t>Key</w:t>
      </w:r>
      <w:r w:rsidR="00FD470D" w:rsidRPr="00B1522E">
        <w:rPr>
          <w:rStyle w:val="FootnoteReference"/>
          <w:rFonts w:cstheme="minorHAnsi"/>
          <w:b/>
        </w:rPr>
        <w:footnoteReference w:id="1"/>
      </w:r>
    </w:p>
    <w:p w14:paraId="59EC81E3" w14:textId="77777777" w:rsidR="008535DC" w:rsidRPr="00B1522E" w:rsidRDefault="008535DC" w:rsidP="008535DC">
      <w:pPr>
        <w:spacing w:after="0"/>
        <w:rPr>
          <w:rFonts w:cstheme="minorHAnsi"/>
        </w:rPr>
      </w:pPr>
      <w:r w:rsidRPr="00B1522E">
        <w:rPr>
          <w:rFonts w:cstheme="minorHAnsi"/>
        </w:rPr>
        <w:t>(+) High risk of bias</w:t>
      </w:r>
    </w:p>
    <w:p w14:paraId="613FD873" w14:textId="77777777" w:rsidR="008535DC" w:rsidRPr="00B1522E" w:rsidRDefault="008535DC" w:rsidP="008535DC">
      <w:pPr>
        <w:spacing w:after="0"/>
        <w:rPr>
          <w:rFonts w:cstheme="minorHAnsi"/>
        </w:rPr>
      </w:pPr>
      <w:r w:rsidRPr="00B1522E">
        <w:rPr>
          <w:rFonts w:cstheme="minorHAnsi"/>
        </w:rPr>
        <w:t>(-) Low risk of bias</w:t>
      </w:r>
    </w:p>
    <w:p w14:paraId="695F9EB3" w14:textId="77777777" w:rsidR="008535DC" w:rsidRPr="00B1522E" w:rsidRDefault="008535DC" w:rsidP="008535DC">
      <w:pPr>
        <w:spacing w:after="0"/>
        <w:rPr>
          <w:rFonts w:cstheme="minorHAnsi"/>
        </w:rPr>
      </w:pPr>
      <w:r w:rsidRPr="00B1522E">
        <w:rPr>
          <w:rFonts w:cstheme="minorHAnsi"/>
        </w:rPr>
        <w:t>(?) Unclear risk of bias</w:t>
      </w:r>
    </w:p>
    <w:p w14:paraId="6FACE9AB" w14:textId="1D3A4A21" w:rsidR="00987AC8" w:rsidRPr="00B1522E" w:rsidRDefault="00815BC1" w:rsidP="00734D95">
      <w:pPr>
        <w:spacing w:line="480" w:lineRule="auto"/>
        <w:rPr>
          <w:b/>
          <w:bCs/>
        </w:rPr>
      </w:pPr>
      <w:r w:rsidRPr="00B1522E">
        <w:lastRenderedPageBreak/>
        <w:fldChar w:fldCharType="begin"/>
      </w:r>
      <w:r w:rsidRPr="00B1522E">
        <w:instrText xml:space="preserve"> TC  "</w:instrText>
      </w:r>
      <w:bookmarkStart w:id="36" w:name="_Toc97310414"/>
      <w:r w:rsidRPr="00B1522E">
        <w:instrText>2.</w:instrText>
      </w:r>
      <w:r w:rsidR="00D01E90" w:rsidRPr="00B1522E">
        <w:instrText>4 Results</w:instrText>
      </w:r>
      <w:bookmarkEnd w:id="36"/>
      <w:r w:rsidR="00D01E90" w:rsidRPr="00B1522E">
        <w:instrText xml:space="preserve"> </w:instrText>
      </w:r>
      <w:r w:rsidRPr="00B1522E">
        <w:instrText xml:space="preserve">" \f x\l </w:instrText>
      </w:r>
      <w:r w:rsidR="00D01E90" w:rsidRPr="00B1522E">
        <w:instrText>2</w:instrText>
      </w:r>
      <w:r w:rsidRPr="00B1522E">
        <w:instrText xml:space="preserve"> </w:instrText>
      </w:r>
      <w:r w:rsidRPr="00B1522E">
        <w:fldChar w:fldCharType="end"/>
      </w:r>
      <w:r w:rsidR="00383D7E" w:rsidRPr="00B1522E">
        <w:rPr>
          <w:b/>
          <w:bCs/>
        </w:rPr>
        <w:t xml:space="preserve">2.4 </w:t>
      </w:r>
      <w:r w:rsidR="00987AC8" w:rsidRPr="00B1522E">
        <w:rPr>
          <w:b/>
          <w:bCs/>
        </w:rPr>
        <w:t>Results</w:t>
      </w:r>
      <w:bookmarkEnd w:id="34"/>
    </w:p>
    <w:p w14:paraId="578D3523" w14:textId="5038C519" w:rsidR="00987AC8" w:rsidRPr="00B1522E" w:rsidRDefault="00987AC8" w:rsidP="00734D95">
      <w:pPr>
        <w:spacing w:line="480" w:lineRule="auto"/>
        <w:jc w:val="both"/>
        <w:rPr>
          <w:rFonts w:eastAsia="Calibri" w:cstheme="minorHAnsi"/>
        </w:rPr>
      </w:pPr>
      <w:r w:rsidRPr="00B1522E">
        <w:rPr>
          <w:rFonts w:eastAsia="Calibri" w:cstheme="minorHAnsi"/>
        </w:rPr>
        <w:t xml:space="preserve">A total of 1991 articles were initially identified, 1961 from electronic databases and 30 using reference lists, with seven duplicated articles removed. Of the 1984 titles, 24 studies met the inclusion and exclusion criteria after a title, abstract and full article review (see Figure 1 for the review flowchart and Table </w:t>
      </w:r>
      <w:r w:rsidR="009A6242" w:rsidRPr="00B1522E">
        <w:rPr>
          <w:rFonts w:eastAsia="Calibri" w:cstheme="minorHAnsi"/>
        </w:rPr>
        <w:t>4</w:t>
      </w:r>
      <w:r w:rsidRPr="00B1522E">
        <w:rPr>
          <w:rFonts w:eastAsia="Calibri" w:cstheme="minorHAnsi"/>
        </w:rPr>
        <w:t xml:space="preserve"> for details of the reviewed studies) and the top-up search identified 77 extra studies by title; 5 studies were added to the final review, resulting in a total of 29 studies. </w:t>
      </w:r>
    </w:p>
    <w:p w14:paraId="1DEA7F8F" w14:textId="77777777" w:rsidR="001B5050" w:rsidRPr="00B1522E" w:rsidRDefault="001B5050" w:rsidP="00987AC8">
      <w:pPr>
        <w:spacing w:line="480" w:lineRule="auto"/>
        <w:jc w:val="both"/>
        <w:rPr>
          <w:rFonts w:eastAsia="Calibri" w:cstheme="minorHAnsi"/>
        </w:rPr>
      </w:pPr>
    </w:p>
    <w:p w14:paraId="669FEBE1" w14:textId="2BF8D8E6" w:rsidR="001B5050" w:rsidRPr="00B1522E" w:rsidRDefault="003329B0" w:rsidP="00987AC8">
      <w:pPr>
        <w:spacing w:line="480" w:lineRule="auto"/>
        <w:jc w:val="both"/>
        <w:rPr>
          <w:rFonts w:eastAsia="Calibri" w:cstheme="minorHAnsi"/>
        </w:rPr>
      </w:pPr>
      <w:r w:rsidRPr="00B1522E">
        <w:rPr>
          <w:noProof/>
        </w:rPr>
        <mc:AlternateContent>
          <mc:Choice Requires="wps">
            <w:drawing>
              <wp:anchor distT="0" distB="0" distL="114300" distR="114300" simplePos="0" relativeHeight="251694080" behindDoc="1" locked="0" layoutInCell="1" allowOverlap="1" wp14:anchorId="04A5CBB8" wp14:editId="444F71AB">
                <wp:simplePos x="0" y="0"/>
                <wp:positionH relativeFrom="column">
                  <wp:posOffset>57785</wp:posOffset>
                </wp:positionH>
                <wp:positionV relativeFrom="paragraph">
                  <wp:posOffset>5194300</wp:posOffset>
                </wp:positionV>
                <wp:extent cx="5730875" cy="635"/>
                <wp:effectExtent l="0" t="0" r="0" b="0"/>
                <wp:wrapTight wrapText="bothSides">
                  <wp:wrapPolygon edited="0">
                    <wp:start x="0" y="0"/>
                    <wp:lineTo x="0" y="21600"/>
                    <wp:lineTo x="21600" y="21600"/>
                    <wp:lineTo x="21600" y="0"/>
                  </wp:wrapPolygon>
                </wp:wrapTight>
                <wp:docPr id="256" name="Text Box 256"/>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129CF0C" w14:textId="1BC7D697" w:rsidR="003329B0" w:rsidRPr="006F7238" w:rsidRDefault="002B31D3" w:rsidP="003329B0">
                            <w:pPr>
                              <w:pStyle w:val="Caption"/>
                              <w:rPr>
                                <w:rFonts w:eastAsia="Calibri" w:cstheme="minorHAnsi"/>
                                <w:i w:val="0"/>
                                <w:iCs w:val="0"/>
                                <w:noProof/>
                                <w:color w:val="auto"/>
                                <w:sz w:val="22"/>
                                <w:szCs w:val="22"/>
                              </w:rPr>
                            </w:pPr>
                            <w:r w:rsidRPr="006F7238">
                              <w:rPr>
                                <w:b/>
                                <w:bCs/>
                                <w:i w:val="0"/>
                                <w:iCs w:val="0"/>
                                <w:color w:val="auto"/>
                                <w:sz w:val="22"/>
                                <w:szCs w:val="22"/>
                              </w:rPr>
                              <w:fldChar w:fldCharType="begin"/>
                            </w:r>
                            <w:r w:rsidRPr="006F7238">
                              <w:rPr>
                                <w:b/>
                                <w:bCs/>
                                <w:i w:val="0"/>
                                <w:iCs w:val="0"/>
                                <w:color w:val="auto"/>
                                <w:sz w:val="22"/>
                                <w:szCs w:val="22"/>
                              </w:rPr>
                              <w:instrText xml:space="preserve"> TC  "</w:instrText>
                            </w:r>
                            <w:r w:rsidRPr="006F7238">
                              <w:rPr>
                                <w:i w:val="0"/>
                                <w:iCs w:val="0"/>
                                <w:color w:val="auto"/>
                                <w:sz w:val="22"/>
                                <w:szCs w:val="22"/>
                              </w:rPr>
                              <w:instrText xml:space="preserve"> </w:instrText>
                            </w:r>
                            <w:bookmarkStart w:id="37" w:name="_Toc85800606"/>
                            <w:bookmarkStart w:id="38" w:name="_Toc97557148"/>
                            <w:r w:rsidRPr="006F7238">
                              <w:rPr>
                                <w:rFonts w:cstheme="minorHAnsi"/>
                                <w:i w:val="0"/>
                                <w:iCs w:val="0"/>
                                <w:color w:val="auto"/>
                                <w:sz w:val="22"/>
                                <w:szCs w:val="22"/>
                              </w:rPr>
                              <w:instrText>F</w:instrText>
                            </w:r>
                            <w:r w:rsidRPr="006F7238">
                              <w:rPr>
                                <w:i w:val="0"/>
                                <w:iCs w:val="0"/>
                                <w:color w:val="auto"/>
                                <w:sz w:val="22"/>
                                <w:szCs w:val="22"/>
                              </w:rPr>
                              <w:instrText xml:space="preserve">igure </w:instrText>
                            </w:r>
                            <w:r w:rsidR="009808FF">
                              <w:rPr>
                                <w:i w:val="0"/>
                                <w:iCs w:val="0"/>
                                <w:color w:val="auto"/>
                                <w:sz w:val="22"/>
                                <w:szCs w:val="22"/>
                              </w:rPr>
                              <w:instrText>1</w:instrText>
                            </w:r>
                            <w:r w:rsidRPr="006F7238">
                              <w:rPr>
                                <w:i w:val="0"/>
                                <w:iCs w:val="0"/>
                                <w:color w:val="auto"/>
                                <w:sz w:val="22"/>
                                <w:szCs w:val="22"/>
                              </w:rPr>
                              <w:instrText>. Flow dia</w:instrText>
                            </w:r>
                            <w:r w:rsidR="00E07699" w:rsidRPr="006F7238">
                              <w:rPr>
                                <w:i w:val="0"/>
                                <w:iCs w:val="0"/>
                                <w:color w:val="auto"/>
                                <w:sz w:val="22"/>
                                <w:szCs w:val="22"/>
                              </w:rPr>
                              <w:instrText>gram of selection studies</w:instrText>
                            </w:r>
                            <w:r w:rsidRPr="006F7238">
                              <w:rPr>
                                <w:i w:val="0"/>
                                <w:iCs w:val="0"/>
                                <w:color w:val="auto"/>
                                <w:sz w:val="22"/>
                                <w:szCs w:val="22"/>
                              </w:rPr>
                              <w:instrText>.</w:instrText>
                            </w:r>
                            <w:bookmarkEnd w:id="37"/>
                            <w:bookmarkEnd w:id="38"/>
                            <w:r w:rsidRPr="006F7238">
                              <w:rPr>
                                <w:rFonts w:cstheme="minorHAnsi"/>
                                <w:i w:val="0"/>
                                <w:iCs w:val="0"/>
                                <w:color w:val="auto"/>
                                <w:sz w:val="22"/>
                                <w:szCs w:val="22"/>
                              </w:rPr>
                              <w:instrText>”</w:instrText>
                            </w:r>
                            <w:r w:rsidRPr="006F7238">
                              <w:rPr>
                                <w:b/>
                                <w:bCs/>
                                <w:i w:val="0"/>
                                <w:iCs w:val="0"/>
                                <w:color w:val="auto"/>
                                <w:sz w:val="22"/>
                                <w:szCs w:val="22"/>
                              </w:rPr>
                              <w:instrText xml:space="preserve">\f w\l 2 </w:instrText>
                            </w:r>
                            <w:r w:rsidRPr="006F7238">
                              <w:rPr>
                                <w:b/>
                                <w:bCs/>
                                <w:i w:val="0"/>
                                <w:iCs w:val="0"/>
                                <w:color w:val="auto"/>
                                <w:sz w:val="22"/>
                                <w:szCs w:val="22"/>
                              </w:rPr>
                              <w:fldChar w:fldCharType="end"/>
                            </w:r>
                            <w:r w:rsidR="003329B0" w:rsidRPr="006F7238">
                              <w:rPr>
                                <w:i w:val="0"/>
                                <w:iCs w:val="0"/>
                                <w:color w:val="auto"/>
                                <w:sz w:val="22"/>
                                <w:szCs w:val="22"/>
                              </w:rPr>
                              <w:t xml:space="preserve">Figure </w:t>
                            </w:r>
                            <w:r w:rsidR="003329B0" w:rsidRPr="006F7238">
                              <w:rPr>
                                <w:i w:val="0"/>
                                <w:iCs w:val="0"/>
                                <w:color w:val="auto"/>
                                <w:sz w:val="22"/>
                                <w:szCs w:val="22"/>
                              </w:rPr>
                              <w:fldChar w:fldCharType="begin"/>
                            </w:r>
                            <w:r w:rsidR="003329B0" w:rsidRPr="006F7238">
                              <w:rPr>
                                <w:i w:val="0"/>
                                <w:iCs w:val="0"/>
                                <w:color w:val="auto"/>
                                <w:sz w:val="22"/>
                                <w:szCs w:val="22"/>
                              </w:rPr>
                              <w:instrText xml:space="preserve"> SEQ Figure \* ARABIC </w:instrText>
                            </w:r>
                            <w:r w:rsidR="003329B0" w:rsidRPr="006F7238">
                              <w:rPr>
                                <w:i w:val="0"/>
                                <w:iCs w:val="0"/>
                                <w:color w:val="auto"/>
                                <w:sz w:val="22"/>
                                <w:szCs w:val="22"/>
                              </w:rPr>
                              <w:fldChar w:fldCharType="separate"/>
                            </w:r>
                            <w:r w:rsidR="007F5296">
                              <w:rPr>
                                <w:i w:val="0"/>
                                <w:iCs w:val="0"/>
                                <w:noProof/>
                                <w:color w:val="auto"/>
                                <w:sz w:val="22"/>
                                <w:szCs w:val="22"/>
                              </w:rPr>
                              <w:t>1</w:t>
                            </w:r>
                            <w:r w:rsidR="003329B0" w:rsidRPr="006F7238">
                              <w:rPr>
                                <w:i w:val="0"/>
                                <w:iCs w:val="0"/>
                                <w:color w:val="auto"/>
                                <w:sz w:val="22"/>
                                <w:szCs w:val="22"/>
                              </w:rPr>
                              <w:fldChar w:fldCharType="end"/>
                            </w:r>
                            <w:r w:rsidR="003329B0" w:rsidRPr="006F7238">
                              <w:rPr>
                                <w:i w:val="0"/>
                                <w:iCs w:val="0"/>
                                <w:color w:val="auto"/>
                                <w:sz w:val="22"/>
                                <w:szCs w:val="22"/>
                              </w:rPr>
                              <w:t>. Flow diagram of selection of studies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A5CBB8" id="Text Box 256" o:spid="_x0000_s1028" type="#_x0000_t202" style="position:absolute;left:0;text-align:left;margin-left:4.55pt;margin-top:409pt;width:451.2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IGwIAAD8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" stroked="f">
                <v:textbox style="mso-fit-shape-to-text:t" inset="0,0,0,0">
                  <w:txbxContent>
                    <w:p w14:paraId="3129CF0C" w14:textId="1BC7D697" w:rsidR="003329B0" w:rsidRPr="006F7238" w:rsidRDefault="002B31D3" w:rsidP="003329B0">
                      <w:pPr>
                        <w:pStyle w:val="Caption"/>
                        <w:rPr>
                          <w:rFonts w:eastAsia="Calibri" w:cstheme="minorHAnsi"/>
                          <w:i w:val="0"/>
                          <w:iCs w:val="0"/>
                          <w:noProof/>
                          <w:color w:val="auto"/>
                          <w:sz w:val="22"/>
                          <w:szCs w:val="22"/>
                        </w:rPr>
                      </w:pPr>
                      <w:r w:rsidRPr="006F7238">
                        <w:rPr>
                          <w:b/>
                          <w:bCs/>
                          <w:i w:val="0"/>
                          <w:iCs w:val="0"/>
                          <w:color w:val="auto"/>
                          <w:sz w:val="22"/>
                          <w:szCs w:val="22"/>
                        </w:rPr>
                        <w:fldChar w:fldCharType="begin"/>
                      </w:r>
                      <w:r w:rsidRPr="006F7238">
                        <w:rPr>
                          <w:b/>
                          <w:bCs/>
                          <w:i w:val="0"/>
                          <w:iCs w:val="0"/>
                          <w:color w:val="auto"/>
                          <w:sz w:val="22"/>
                          <w:szCs w:val="22"/>
                        </w:rPr>
                        <w:instrText xml:space="preserve"> TC  "</w:instrText>
                      </w:r>
                      <w:r w:rsidRPr="006F7238">
                        <w:rPr>
                          <w:i w:val="0"/>
                          <w:iCs w:val="0"/>
                          <w:color w:val="auto"/>
                          <w:sz w:val="22"/>
                          <w:szCs w:val="22"/>
                        </w:rPr>
                        <w:instrText xml:space="preserve"> </w:instrText>
                      </w:r>
                      <w:bookmarkStart w:id="39" w:name="_Toc85800606"/>
                      <w:bookmarkStart w:id="40" w:name="_Toc97557148"/>
                      <w:r w:rsidRPr="006F7238">
                        <w:rPr>
                          <w:rFonts w:cstheme="minorHAnsi"/>
                          <w:i w:val="0"/>
                          <w:iCs w:val="0"/>
                          <w:color w:val="auto"/>
                          <w:sz w:val="22"/>
                          <w:szCs w:val="22"/>
                        </w:rPr>
                        <w:instrText>F</w:instrText>
                      </w:r>
                      <w:r w:rsidRPr="006F7238">
                        <w:rPr>
                          <w:i w:val="0"/>
                          <w:iCs w:val="0"/>
                          <w:color w:val="auto"/>
                          <w:sz w:val="22"/>
                          <w:szCs w:val="22"/>
                        </w:rPr>
                        <w:instrText xml:space="preserve">igure </w:instrText>
                      </w:r>
                      <w:r w:rsidR="009808FF">
                        <w:rPr>
                          <w:i w:val="0"/>
                          <w:iCs w:val="0"/>
                          <w:color w:val="auto"/>
                          <w:sz w:val="22"/>
                          <w:szCs w:val="22"/>
                        </w:rPr>
                        <w:instrText>1</w:instrText>
                      </w:r>
                      <w:r w:rsidRPr="006F7238">
                        <w:rPr>
                          <w:i w:val="0"/>
                          <w:iCs w:val="0"/>
                          <w:color w:val="auto"/>
                          <w:sz w:val="22"/>
                          <w:szCs w:val="22"/>
                        </w:rPr>
                        <w:instrText>. Flow dia</w:instrText>
                      </w:r>
                      <w:r w:rsidR="00E07699" w:rsidRPr="006F7238">
                        <w:rPr>
                          <w:i w:val="0"/>
                          <w:iCs w:val="0"/>
                          <w:color w:val="auto"/>
                          <w:sz w:val="22"/>
                          <w:szCs w:val="22"/>
                        </w:rPr>
                        <w:instrText>gram of selection studies</w:instrText>
                      </w:r>
                      <w:r w:rsidRPr="006F7238">
                        <w:rPr>
                          <w:i w:val="0"/>
                          <w:iCs w:val="0"/>
                          <w:color w:val="auto"/>
                          <w:sz w:val="22"/>
                          <w:szCs w:val="22"/>
                        </w:rPr>
                        <w:instrText>.</w:instrText>
                      </w:r>
                      <w:bookmarkEnd w:id="39"/>
                      <w:bookmarkEnd w:id="40"/>
                      <w:r w:rsidRPr="006F7238">
                        <w:rPr>
                          <w:rFonts w:cstheme="minorHAnsi"/>
                          <w:i w:val="0"/>
                          <w:iCs w:val="0"/>
                          <w:color w:val="auto"/>
                          <w:sz w:val="22"/>
                          <w:szCs w:val="22"/>
                        </w:rPr>
                        <w:instrText>”</w:instrText>
                      </w:r>
                      <w:r w:rsidRPr="006F7238">
                        <w:rPr>
                          <w:b/>
                          <w:bCs/>
                          <w:i w:val="0"/>
                          <w:iCs w:val="0"/>
                          <w:color w:val="auto"/>
                          <w:sz w:val="22"/>
                          <w:szCs w:val="22"/>
                        </w:rPr>
                        <w:instrText xml:space="preserve">\f w\l 2 </w:instrText>
                      </w:r>
                      <w:r w:rsidRPr="006F7238">
                        <w:rPr>
                          <w:b/>
                          <w:bCs/>
                          <w:i w:val="0"/>
                          <w:iCs w:val="0"/>
                          <w:color w:val="auto"/>
                          <w:sz w:val="22"/>
                          <w:szCs w:val="22"/>
                        </w:rPr>
                        <w:fldChar w:fldCharType="end"/>
                      </w:r>
                      <w:r w:rsidR="003329B0" w:rsidRPr="006F7238">
                        <w:rPr>
                          <w:i w:val="0"/>
                          <w:iCs w:val="0"/>
                          <w:color w:val="auto"/>
                          <w:sz w:val="22"/>
                          <w:szCs w:val="22"/>
                        </w:rPr>
                        <w:t xml:space="preserve">Figure </w:t>
                      </w:r>
                      <w:r w:rsidR="003329B0" w:rsidRPr="006F7238">
                        <w:rPr>
                          <w:i w:val="0"/>
                          <w:iCs w:val="0"/>
                          <w:color w:val="auto"/>
                          <w:sz w:val="22"/>
                          <w:szCs w:val="22"/>
                        </w:rPr>
                        <w:fldChar w:fldCharType="begin"/>
                      </w:r>
                      <w:r w:rsidR="003329B0" w:rsidRPr="006F7238">
                        <w:rPr>
                          <w:i w:val="0"/>
                          <w:iCs w:val="0"/>
                          <w:color w:val="auto"/>
                          <w:sz w:val="22"/>
                          <w:szCs w:val="22"/>
                        </w:rPr>
                        <w:instrText xml:space="preserve"> SEQ Figure \* ARABIC </w:instrText>
                      </w:r>
                      <w:r w:rsidR="003329B0" w:rsidRPr="006F7238">
                        <w:rPr>
                          <w:i w:val="0"/>
                          <w:iCs w:val="0"/>
                          <w:color w:val="auto"/>
                          <w:sz w:val="22"/>
                          <w:szCs w:val="22"/>
                        </w:rPr>
                        <w:fldChar w:fldCharType="separate"/>
                      </w:r>
                      <w:r w:rsidR="007F5296">
                        <w:rPr>
                          <w:i w:val="0"/>
                          <w:iCs w:val="0"/>
                          <w:noProof/>
                          <w:color w:val="auto"/>
                          <w:sz w:val="22"/>
                          <w:szCs w:val="22"/>
                        </w:rPr>
                        <w:t>1</w:t>
                      </w:r>
                      <w:r w:rsidR="003329B0" w:rsidRPr="006F7238">
                        <w:rPr>
                          <w:i w:val="0"/>
                          <w:iCs w:val="0"/>
                          <w:color w:val="auto"/>
                          <w:sz w:val="22"/>
                          <w:szCs w:val="22"/>
                        </w:rPr>
                        <w:fldChar w:fldCharType="end"/>
                      </w:r>
                      <w:r w:rsidR="003329B0" w:rsidRPr="006F7238">
                        <w:rPr>
                          <w:i w:val="0"/>
                          <w:iCs w:val="0"/>
                          <w:color w:val="auto"/>
                          <w:sz w:val="22"/>
                          <w:szCs w:val="22"/>
                        </w:rPr>
                        <w:t>. Flow diagram of selection of studies</w:t>
                      </w:r>
                    </w:p>
                  </w:txbxContent>
                </v:textbox>
                <w10:wrap type="tight"/>
              </v:shape>
            </w:pict>
          </mc:Fallback>
        </mc:AlternateContent>
      </w:r>
      <w:r w:rsidRPr="00B1522E">
        <w:rPr>
          <w:rFonts w:eastAsia="Calibri" w:cstheme="minorHAnsi"/>
          <w:noProof/>
        </w:rPr>
        <w:drawing>
          <wp:anchor distT="0" distB="0" distL="114300" distR="114300" simplePos="0" relativeHeight="251688960" behindDoc="1" locked="0" layoutInCell="1" allowOverlap="1" wp14:anchorId="62415CFB" wp14:editId="63F46502">
            <wp:simplePos x="0" y="0"/>
            <wp:positionH relativeFrom="column">
              <wp:posOffset>57785</wp:posOffset>
            </wp:positionH>
            <wp:positionV relativeFrom="paragraph">
              <wp:posOffset>107950</wp:posOffset>
            </wp:positionV>
            <wp:extent cx="5730875" cy="5029200"/>
            <wp:effectExtent l="0" t="0" r="3175" b="0"/>
            <wp:wrapTight wrapText="bothSides">
              <wp:wrapPolygon edited="0">
                <wp:start x="0" y="0"/>
                <wp:lineTo x="0" y="21518"/>
                <wp:lineTo x="21540" y="21518"/>
                <wp:lineTo x="21540"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26">
                      <a:extLst>
                        <a:ext uri="{28A0092B-C50C-407E-A947-70E740481C1C}">
                          <a14:useLocalDpi xmlns:a14="http://schemas.microsoft.com/office/drawing/2010/main" val="0"/>
                        </a:ext>
                      </a:extLst>
                    </a:blip>
                    <a:srcRect t="770" b="2540"/>
                    <a:stretch/>
                  </pic:blipFill>
                  <pic:spPr bwMode="auto">
                    <a:xfrm>
                      <a:off x="0" y="0"/>
                      <a:ext cx="5730875" cy="5029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642C51" w14:textId="79F44CF7" w:rsidR="00987AC8" w:rsidRPr="00B1522E" w:rsidRDefault="00987AC8" w:rsidP="00734D95">
      <w:pPr>
        <w:spacing w:line="480" w:lineRule="auto"/>
        <w:rPr>
          <w:rFonts w:eastAsia="Calibri" w:cstheme="minorHAnsi"/>
        </w:rPr>
      </w:pPr>
    </w:p>
    <w:bookmarkStart w:id="41" w:name="_Toc84678901"/>
    <w:p w14:paraId="7904E4F5" w14:textId="43180BC4" w:rsidR="00987AC8" w:rsidRPr="00B1522E" w:rsidRDefault="00D01E90" w:rsidP="00734D95">
      <w:pPr>
        <w:spacing w:line="480" w:lineRule="auto"/>
      </w:pPr>
      <w:r w:rsidRPr="00B1522E">
        <w:fldChar w:fldCharType="begin"/>
      </w:r>
      <w:r w:rsidRPr="00B1522E">
        <w:instrText xml:space="preserve"> TC  "</w:instrText>
      </w:r>
      <w:bookmarkStart w:id="42" w:name="_Toc97310415"/>
      <w:r w:rsidRPr="00B1522E">
        <w:instrText>2.4.1 General characterist</w:instrText>
      </w:r>
      <w:r w:rsidR="003D3E63" w:rsidRPr="00B1522E">
        <w:instrText>ics of the studies</w:instrText>
      </w:r>
      <w:bookmarkEnd w:id="42"/>
      <w:r w:rsidR="003D3E63" w:rsidRPr="00B1522E">
        <w:instrText xml:space="preserve"> </w:instrText>
      </w:r>
      <w:r w:rsidRPr="00B1522E">
        <w:instrText xml:space="preserve">" \f x\l 3 </w:instrText>
      </w:r>
      <w:r w:rsidRPr="00B1522E">
        <w:fldChar w:fldCharType="end"/>
      </w:r>
      <w:r w:rsidR="00383D7E" w:rsidRPr="00B1522E">
        <w:t xml:space="preserve">2.4.1 </w:t>
      </w:r>
      <w:r w:rsidR="00987AC8" w:rsidRPr="00B1522E">
        <w:t>General characteristics of the studies</w:t>
      </w:r>
      <w:bookmarkEnd w:id="41"/>
      <w:r w:rsidR="00987AC8" w:rsidRPr="00B1522E">
        <w:t xml:space="preserve"> </w:t>
      </w:r>
    </w:p>
    <w:p w14:paraId="4BD07A6C" w14:textId="489A0B18" w:rsidR="00987AC8" w:rsidRPr="00B1522E" w:rsidRDefault="00987AC8" w:rsidP="00734D95">
      <w:pPr>
        <w:spacing w:line="480" w:lineRule="auto"/>
        <w:jc w:val="both"/>
        <w:rPr>
          <w:rFonts w:eastAsia="Calibri" w:cstheme="minorHAnsi"/>
        </w:rPr>
      </w:pPr>
      <w:r w:rsidRPr="00B1522E">
        <w:rPr>
          <w:rFonts w:eastAsia="Calibri" w:cstheme="minorHAnsi"/>
        </w:rPr>
        <w:t xml:space="preserve">The number of participants per study ranged from 88 to 32,482, and included adolescents aged 11-16 years old from a number of different countries.  The majority of studies were conducted in the United States of America (n = 10) followed by Australia (n = 3), Canada (n = 2), England (n = 2), Norway (n = 2), Denmark (n = 2), Greece (n = 1), China (n = 1), Taiwan (n = 1), Israel (n = 1), Belgium (n = 1), Spain (n = 1), Tunisia (n = 1) and the Netherlands (n = 1). Of the 29 reviewed studies, 19 were randomized controlled trials (RCTs), 7 were of quasi-experimental design and 3 were cross-sectional. Intervention durations ranged from 2 weeks to 3 school years (see Table </w:t>
      </w:r>
      <w:r w:rsidR="009A6242" w:rsidRPr="00B1522E">
        <w:rPr>
          <w:rFonts w:eastAsia="Calibri" w:cstheme="minorHAnsi"/>
        </w:rPr>
        <w:t>4</w:t>
      </w:r>
      <w:r w:rsidRPr="00B1522E">
        <w:rPr>
          <w:rFonts w:eastAsia="Calibri" w:cstheme="minorHAnsi"/>
        </w:rPr>
        <w:t>).</w:t>
      </w:r>
    </w:p>
    <w:p w14:paraId="17F55EF9" w14:textId="77777777" w:rsidR="00987AC8" w:rsidRPr="00B1522E" w:rsidRDefault="00987AC8" w:rsidP="00734D95">
      <w:pPr>
        <w:spacing w:line="480" w:lineRule="auto"/>
        <w:jc w:val="both"/>
        <w:rPr>
          <w:rFonts w:eastAsia="Calibri" w:cstheme="minorHAnsi"/>
        </w:rPr>
      </w:pPr>
    </w:p>
    <w:bookmarkStart w:id="43" w:name="_Toc84678902"/>
    <w:p w14:paraId="3B4932DA" w14:textId="3EB7DCD3" w:rsidR="00987AC8" w:rsidRPr="00B1522E" w:rsidRDefault="003D3E63" w:rsidP="00734D95">
      <w:pPr>
        <w:spacing w:line="480" w:lineRule="auto"/>
      </w:pPr>
      <w:r w:rsidRPr="00B1522E">
        <w:fldChar w:fldCharType="begin"/>
      </w:r>
      <w:r w:rsidRPr="00B1522E">
        <w:instrText xml:space="preserve"> TC  "</w:instrText>
      </w:r>
      <w:bookmarkStart w:id="44" w:name="_Toc97310416"/>
      <w:r w:rsidRPr="00B1522E">
        <w:instrText>2.4.2 Target behaviours and measurements</w:instrText>
      </w:r>
      <w:bookmarkEnd w:id="44"/>
      <w:r w:rsidRPr="00B1522E">
        <w:instrText xml:space="preserve"> " \f x\l 3 </w:instrText>
      </w:r>
      <w:r w:rsidRPr="00B1522E">
        <w:fldChar w:fldCharType="end"/>
      </w:r>
      <w:r w:rsidR="00383D7E" w:rsidRPr="00B1522E">
        <w:t xml:space="preserve">2.4.2 </w:t>
      </w:r>
      <w:r w:rsidR="00987AC8" w:rsidRPr="00B1522E">
        <w:t>Target behaviours and measurements</w:t>
      </w:r>
      <w:bookmarkEnd w:id="43"/>
      <w:r w:rsidR="00987AC8" w:rsidRPr="00B1522E">
        <w:t xml:space="preserve"> </w:t>
      </w:r>
    </w:p>
    <w:p w14:paraId="0230981C" w14:textId="18F5AF2B" w:rsidR="00987AC8" w:rsidRPr="00B1522E" w:rsidRDefault="00987AC8" w:rsidP="00734D95">
      <w:pPr>
        <w:spacing w:line="480" w:lineRule="auto"/>
        <w:jc w:val="both"/>
        <w:rPr>
          <w:rFonts w:eastAsia="Calibri" w:cstheme="minorHAnsi"/>
        </w:rPr>
      </w:pPr>
      <w:r w:rsidRPr="00B1522E">
        <w:rPr>
          <w:rFonts w:eastAsia="Calibri" w:cstheme="minorHAnsi"/>
        </w:rPr>
        <w:t xml:space="preserve">The target behaviours in the reviewed studies included: increasing fruit and/or vegetable consumption (n = 19) </w:t>
      </w:r>
      <w:r w:rsidRPr="00B1522E">
        <w:rPr>
          <w:rFonts w:eastAsia="Calibri" w:cstheme="minorHAnsi"/>
        </w:rPr>
        <w:fldChar w:fldCharType="begin" w:fldLock="1"/>
      </w:r>
      <w:r w:rsidR="00FD502B"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Behavior","id":"ITEM-3","issue":"5","issued":{"date-parts":[["2016","9"]]},"note":"Accession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behaviors.","type":"article-journal","volume":"40"},"uris":["http://www.mendeley.com/documents/?uuid=d63aebec-2716-44e4-bcb3-02defb99b8f6"]},{"id":"ITEM-4","itemData":{"ISSN":"1869-6716","abstract":"The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Medicine","id":"ITEM-4","issue":"1","issued":{"date-parts":[["2015","3"]]},"note":"Accession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girls.","type":"article-journal","volume":"5"},"uris":["http://www.mendeley.com/documents/?uuid=caa5507f-dbd0-4a8e-8a1f-8c2b3fd377e1"]},{"id":"ITEM-5","itemData":{"ISSN":"1090-1981","abstract":"The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Behavior","id":"ITEM-5","issue":"3","issued":{"date-parts":[["2009","6"]]},"note":"Accession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schools.","type":"article-journal","volume":"36"},"uris":["http://www.mendeley.com/documents/?uuid=74f4efaf-f648-40ee-a537-6d3097cacbbf"]},{"id":"ITEM-6","itemData":{"ISSN":"1359-107X","abstract":"Objective: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Psychology","id":"ITEM-6","issue":"4","issued":{"date-parts":[["2007","11"]]},"note":"Accession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framework.","type":"article-journal","volume":"12"},"uris":["http://www.mendeley.com/documents/?uuid=2c69d806-7516-4cd4-b2a3-27913c06c285"]},{"id":"ITEM-7","itemData":{"ISSN":"0268-1153","abstract":"The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Research","id":"ITEM-7","issue":"6","issued":{"date-parts":[["2006","12"]]},"note":"Accession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children.","type":"article-journal","volume":"21"},"uris":["http://www.mendeley.com/documents/?uuid=bbef8914-979d-4764-8405-477314275444"]},{"id":"ITEM-8","itemData":{"ISSN":"1479-5868","abstract":"Background: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Activity","id":"ITEM-8","issued":{"date-parts":[["2016","12"]]},"note":"Accession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behaviors.","type":"article-journal","volume":"13"},"uris":["http://www.mendeley.com/documents/?uuid=823d9b1e-16f3-4ad7-ba7d-86b6176dc2c7"]},{"id":"ITEM-9","itemData":{"ISSN":"1403-4948","abstract":"Background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Health","id":"ITEM-9","issue":"5","issued":{"date-parts":[["2010","11"]]},"note":"Accession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study.","type":"article-journal","volume":"38"},"uris":["http://www.mendeley.com/documents/?uuid=78beb7d0-a0fa-4834-9f1b-52f489a9a220"]},{"id":"ITEM-10","itemData":{"ISSN":"1054-139X","abstract":"Purpose: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Health","id":"ITEM-10","issue":"2","issued":{"date-parts":[["2009","2"]]},"note":"Accession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intervention.","type":"article-journal","volume":"44"},"uris":["http://www.mendeley.com/documents/?uuid=3436d664-5481-4deb-9498-5b6cd81039b0"]},{"id":"ITEM-11","itemData":{"ISSN":"08901171","abstract":"Purpose.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Promotion","id":"ITEM-11","issue":"3","issued":{"date-parts":[["2010","1"]]},"note":"Accession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Adolescents.","type":"article-journal","volume":"24"},"uris":["http://www.mendeley.com/documents/?uuid=dcce02ba-d07b-4b8a-9d22-177816d0f2ff"]},{"id":"ITEM-12","itemData":{"ISSN":"0091-7435","abstract":"Background: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Theory","id":"ITEM-12","issue":"6","issued":{"date-parts":[["2010","12"]]},"note":"Accession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adolescents.","type":"article-journal","volume":"51"},"uris":["http://www.mendeley.com/documents/?uuid=74acfc22-4c53-4fd1-8464-3f7cdd79586e"]},{"id":"ITEM-13","itemData":{"ISSN":"1087-3244","abstract":"Objectives: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Behavior","id":"ITEM-13","issue":"1","issued":{"date-parts":[["2015","1"]]},"note":"Accession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girls.","type":"article-journal","volume":"39"},"uris":["http://www.mendeley.com/documents/?uuid=7b8ee571-076a-4b5d-8ae8-9e0a03d039ae"]},{"id":"ITEM-14","itemData":{"ISSN":"1524-8399","abstract":"This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Practice","id":"ITEM-14","issue":"1","issued":{"date-parts":[["2011","1"]]},"note":"Accession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consumption.","type":"article-journal","volume":"12"},"uris":["http://www.mendeley.com/documents/?uuid=5e69dc5b-a75e-44cd-a690-1ad10a553ee8"]},{"id":"ITEM-15","itemData":{"ISSN":"1479-5868","abstract":"Background: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Activity","id":"ITEM-15","issued":{"date-parts":[["2011","2","4"]]},"note":"Accession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intakes.","type":"article-journal","volume":"8"},"uris":["http://www.mendeley.com/documents/?uuid=827f05f5-1374-4d29-b4c3-d6c4de5de2d7"]},{"id":"ITEM-16","itemData":{"ISSN":"0091-7435","abstract":"Objective: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Theory","id":"ITEM-16","issue":"2","issued":{"date-parts":[["2012","2","1"]]},"note":"Accession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trial.","type":"article-journal","volume":"54"},"uris":["http://www.mendeley.com/documents/?uuid=7e4d5a33-052f-4c99-ab20-b4bf103139ae"]},{"id":"ITEM-17","itemData":{"ISBN":"2153-2168","ISSN":"2153-2168","PMID":"28448174","abstract":"Background: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Obesity","id":"ITEM-17","issue":"4","issued":{"date-parts":[["2017"]]},"page":"300-313","title":"A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Study","type":"article-journal","volume":"13"},"uris":["http://www.mendeley.com/documents/?uuid=74a21169-2cf5-4820-beb8-c5f53e15a838"]},{"id":"ITEM-18","itemData":{"ISSN":"1545-1151","abstract":"INTRODUCTION: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Disease","id":"ITEM-18","issued":{"date-parts":[["2015","9","24"]]},"page":"1-105","publisher":"Centers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2009–2014","type":"article-journal","volume":"12"},"uris":["http://www.mendeley.com/documents/?uuid=7a939433-5065-4b4f-8418-9bf888206d98"]},{"id":"ITEM-19","itemData":{"ISSN":"1471-2458","abstract":"Few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Health","id":"ITEM-19","issue":"1","issued":{"date-parts":[["2017","9"]]},"page":"695","title":"Evaluation of a peer education program on student leaders' energy balance-related behaviors","type":"article-journal","volume":"17"},"uris":["http://www.mendeley.com/documents/?uuid=560d1118-94b4-43a0-8347-10a81bff7b3e"]}],"mendeley":{"formattedCitation":"(Aceves-Martins et al., 2017; Bere et al., 2007; Birnbaum et al., 2002; de Visser et al., 2016; Dowd et al., 2015; Dzewaltowski et al., 2009; Foley et al., 2017; Gratton et al., 2007; Haerens et al., 2006; Hoelscher et al., 2016; Lien et al., 2010; Lubans et al., 2009; Maatoug et al., 2015; M. Martens et al., 2010; Mauriello et al., 2010; McCabe et al., 2015; Ratcliffe et al., 2011; Siega-Riz et al., 2011; Wilson et al., 2012)","manualFormatting":"(Aceves-Martins et al., 2017; Bere et al., 2007; Birnbaum et al., 2002; de Visser et al., 2016; Dowd et al., 2015; Dzewaltowski et al., 2009; Foley et al., 2017; Gratton et al., 2007; Haerens et al., 2006; Hoelscher et al., 2016; Lien et al., 2010; Lubans et al., 2009; Maatoug et al., 2015; Martens et al., 2010; Mauriello et al., 2010; McCabe et al., 2015; Ratcliffe et al., 2011; Siega-Riz et al., 2011; Wilson et al., 2012)","plainTextFormattedCitation":"(Aceves-Martins et al., 2017; Bere et al., 2007; Birnbaum et al., 2002; de Visser et al., 2016; Dowd et al., 2015; Dzewaltowski et al., 2009; Foley et al., 2017; Gratton et al., 2007; Haerens et al., 2006; Hoelscher et al., 2016; Lien et al., 2010; Lubans et al., 2009; Maatoug et al., 2015; M. Martens et al., 2010; Mauriello et al., 2010; McCabe et al., 2015; Ratcliffe et al., 2011; Siega-Riz et al., 2011; Wilson et al., 2012)","previouslyFormattedCitation":"(Aceves-Martins et al., 2017; Bere et al., 2007; Birnbaum et al., 2002; de Visser et al., 2016; Dowd et al., 2015; Dzewaltowski et al., 2009; Foley et al., 2017; Gratton et al., 2007; Haerens et al., 2006; Hoelscher et al., 2016; Lien et al., 2010; Lubans et al., 2009; Maatoug et al., 2015; M. Martens et al., 2010; Mauriello et al., 2010; McCabe et al., 2015; Ratcliffe et al., 2011; Siega-Riz et al., 2011;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Bere et al., 2007; Birnbaum et al., 2002; de Visser et al., 2016; Dowd et al., 2015; Dzewaltowski et al., 2009; Foley et al., 2017; Gratton et al., 2007; Haerens et al., 2006; Hoelscher et al., 2016; Lien et al., 2010; Lubans et al., 2009; Maatoug et al., 2015; Martens et al., 2010; Mauriello et al., 2010; McCabe et al., 2015; Ratcliffe et al., 2011; Siega-Riz et al., 2011; Wilson et al., 2012)</w:t>
      </w:r>
      <w:r w:rsidRPr="00B1522E">
        <w:rPr>
          <w:rFonts w:eastAsia="Calibri" w:cstheme="minorHAnsi"/>
        </w:rPr>
        <w:fldChar w:fldCharType="end"/>
      </w:r>
      <w:r w:rsidRPr="00B1522E">
        <w:rPr>
          <w:rFonts w:eastAsia="Calibri" w:cstheme="minorHAnsi"/>
        </w:rPr>
        <w:t xml:space="preserve">; improving snacking behaviours (n = 8) (this included both decreasing the intake of energy-dense nutrient-poor snacks,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study.","type":"article-journal","volume":"38"},"uris":["http://www.mendeley.com/documents/?uuid=78beb7d0-a0fa-4834-9f1b-52f489a9a220"]},{"id":"ITEM-3","itemData":{"ISSN":"1054-139X","abstract":"Purpose: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Health","id":"ITEM-3","issue":"2","issued":{"date-parts":[["2009","2"]]},"note":"Accession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intervention.","type":"article-journal","volume":"44"},"uris":["http://www.mendeley.com/documents/?uuid=3436d664-5481-4deb-9498-5b6cd81039b0"]},{"id":"ITEM-4","itemData":{"ISSN":"1087-3244","abstract":"Objectives: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Behavior","id":"ITEM-4","issue":"1","issued":{"date-parts":[["2015","1"]]},"note":"Accession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girls.","type":"article-journal","volume":"39"},"uris":["http://www.mendeley.com/documents/?uuid=7b8ee571-076a-4b5d-8ae8-9e0a03d039ae"]}],"mendeley":{"formattedCitation":"(Chin A Paw et al., 2008; Lien et al., 2010; Lubans et al., 2009; McCabe et al., 2015)","plainTextFormattedCitation":"(Chin A Paw et al., 2008; Lien et al., 2010; Lubans et al., 2009; McCabe et al., 2015)","previouslyFormattedCitation":"(Chin A Paw et al., 2008; Lien et al., 2010; Lubans et al., 2009; McCabe et al., 2015)"},"properties":{"noteIndex":0},"schema":"https://github.com/citation-style-language/schema/raw/master/csl-citation.json"}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 Lien et al., 2010; Lubans et al., 2009; McCabe et al., 2015)</w:t>
      </w:r>
      <w:r w:rsidRPr="00B1522E">
        <w:rPr>
          <w:rFonts w:eastAsia="Calibri" w:cstheme="minorHAnsi"/>
        </w:rPr>
        <w:fldChar w:fldCharType="end"/>
      </w:r>
      <w:r w:rsidRPr="00B1522E">
        <w:rPr>
          <w:rFonts w:eastAsia="Calibri" w:cstheme="minorHAnsi"/>
        </w:rPr>
        <w:t>) and increasing healthy snacks like fruits and vegetables</w:t>
      </w:r>
      <w:r w:rsidRPr="00B1522E">
        <w:rPr>
          <w:rStyle w:val="CommentReference"/>
          <w:rFonts w:cstheme="minorHAnsi"/>
          <w:sz w:val="22"/>
          <w:szCs w:val="22"/>
        </w:rPr>
        <w:t>,</w:t>
      </w:r>
      <w:r w:rsidRPr="00B1522E">
        <w:rPr>
          <w:rFonts w:eastAsia="Calibri" w:cstheme="minorHAnsi"/>
        </w:rPr>
        <w:t xml:space="preserve"> </w:t>
      </w:r>
      <w:r w:rsidRPr="00B1522E">
        <w:rPr>
          <w:rFonts w:eastAsia="Calibri" w:cstheme="minorHAnsi"/>
        </w:rPr>
        <w:fldChar w:fldCharType="begin" w:fldLock="1"/>
      </w:r>
      <w:r w:rsidR="007463D4" w:rsidRPr="00B1522E">
        <w:rPr>
          <w:rFonts w:eastAsia="Calibri" w:cstheme="minorHAnsi"/>
        </w:rPr>
        <w:instrText>ADDIN CSL_CITATION {"citationItems":[{"id":"ITEM-1","itemData":{"ISSN":"1499-4046","abstract":"The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Behavior","id":"ITEM-1","issue":"5","issued":{"date-parts":[["2011","9"]]},"note":"Accession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choices.","type":"article-journal","volume":"43"},"uris":["http://www.mendeley.com/documents/?uuid=7656a537-f4ec-41dc-aa44-b227ceddf977"]},{"id":"ITEM-2","itemData":{"ISSN":"1869-6716","abstract":"The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Medicine","id":"ITEM-2","issue":"1","issued":{"date-parts":[["2015","3"]]},"note":"Accession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girls.","type":"article-journal","volume":"5"},"uris":["http://www.mendeley.com/documents/?uuid=caa5507f-dbd0-4a8e-8a1f-8c2b3fd377e1"]},{"id":"ITEM-3","itemData":{"ISSN":"08901171","abstract":"Purpose.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Promotion","id":"ITEM-3","issue":"3","issued":{"date-parts":[["2010","1"]]},"note":"Accession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Adolescents.","type":"article-journal","volume":"24"},"uris":["http://www.mendeley.com/documents/?uuid=dcce02ba-d07b-4b8a-9d22-177816d0f2ff"]},{"id":"ITEM-4","itemData":{"ISSN":"0268-1153","abstract":"Describes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Research","id":"ITEM-4","issue":"2","issued":{"date-parts":[["1987","6"]]},"note":"Accession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Life.'","type":"article-journal","volume":"2"},"uris":["http://www.mendeley.com/documents/?uuid=4ba034f3-de40-4333-9846-e6881c339756"]}],"mendeley":{"formattedCitation":"(Bukhari et al., 2011; Dowd et al., 2015; M. Martens et al., 2010; Perry et al., 1987)","manualFormatting":"(Bukhari et al., 2011; Dowd et al., 2015; Martens et al., 2010; Perry et al., 1987)","plainTextFormattedCitation":"(Bukhari et al., 2011; Dowd et al., 2015; M. Martens et al., 2010; Perry et al., 1987)","previouslyFormattedCitation":"(Bukhari et al., 2011; Dowd et al., 2015; M. Martens et al., 2010; Perry et al., 1987)"},"properties":{"noteIndex":0},"schema":"https://github.com/citation-style-language/schema/raw/master/csl-citation.json"}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(Bukhari et al., 2011; Dowd et al., 2015; Martens et al., 2010; Perry et al., 1987)</w:t>
      </w:r>
      <w:r w:rsidRPr="00B1522E">
        <w:rPr>
          <w:rFonts w:eastAsia="Calibri" w:cstheme="minorHAnsi"/>
        </w:rPr>
        <w:fldChar w:fldCharType="end"/>
      </w:r>
      <w:r w:rsidRPr="00B1522E">
        <w:rPr>
          <w:rFonts w:eastAsia="Calibri" w:cstheme="minorHAnsi"/>
        </w:rPr>
        <w:t xml:space="preserve">; decreasing sugar-sweetened beverage (SSB) intake (n = 8)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Behavior","id":"ITEM-2","issue":"5","issued":{"date-parts":[["2016","9"]]},"note":"Accession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behaviors.","type":"article-journal","volume":"40"},"uris":["http://www.mendeley.com/documents/?uuid=d63aebec-2716-44e4-bcb3-02defb99b8f6"]},{"id":"ITEM-3","itemData":{"ISSN":"0268-1153","abstract":"The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Research","id":"ITEM-3","issue":"6","issued":{"date-parts":[["2006","12"]]},"note":"Accession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children.","type":"article-journal","volume":"21"},"uris":["http://www.mendeley.com/documents/?uuid=bbef8914-979d-4764-8405-477314275444"]},{"id":"ITEM-4","itemData":{"ISSN":"1403-4948","abstract":"Background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Health","id":"ITEM-4","issue":"5","issued":{"date-parts":[["2010","11"]]},"note":"Accession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study.","type":"article-journal","volume":"38"},"uris":["http://www.mendeley.com/documents/?uuid=78beb7d0-a0fa-4834-9f1b-52f489a9a220"]},{"id":"ITEM-5","itemData":{"ISSN":"1879-0739","PMID":"19083401","abstract":"Certain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research","id":"ITEM-5","issue":"3","issued":{"date-parts":[["2008","3"]]},"page":"144-50","title":"Beverage intake improvement by high school students in Saskatchewan, Canada.","type":"article-journal","volume":"28"},"uris":["http://www.mendeley.com/documents/?uuid=fdc5051e-cbf7-4dcc-9784-097b6caadb05"]},{"id":"ITEM-6","itemData":{"ISSN":"1054-139X","abstract":"Purpose: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Health","id":"ITEM-6","issue":"2","issued":{"date-parts":[["2009","2"]]},"note":"Accession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intervention.","type":"article-journal","volume":"44"},"uris":["http://www.mendeley.com/documents/?uuid=3436d664-5481-4deb-9498-5b6cd81039b0"]},{"id":"ITEM-7","itemData":{"ISSN":"1087-3244","abstract":"Objectives: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Behavior","id":"ITEM-7","issue":"1","issued":{"date-parts":[["2015","1"]]},"note":"Accession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girls.","type":"article-journal","volume":"39"},"uris":["http://www.mendeley.com/documents/?uuid=7b8ee571-076a-4b5d-8ae8-9e0a03d039ae"]},{"id":"ITEM-8","itemData":{"ISSN":"1471-2458","abstract":"Few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Health","id":"ITEM-8","issue":"1","issued":{"date-parts":[["2017","9"]]},"page":"695","title":"Evaluation of a peer education program on student leaders' energy balance-related behaviors","type":"article-journal","volume":"17"},"uris":["http://www.mendeley.com/documents/?uuid=560d1118-94b4-43a0-8347-10a81bff7b3e"]}],"mendeley":{"formattedCitation":"(Chin A Paw et al., 2008; de Visser et al., 2016; Foley et al., 2017; Haerens et al., 2006; Lien et al., 2010; Lo et al., 2008; Lubans et al., 2009; McCabe et al., 2015)","plainTextFormattedCitation":"(Chin A Paw et al., 2008; de Visser et al., 2016; Foley et al., 2017; Haerens et al., 2006; Lien et al., 2010; Lo et al., 2008; Lubans et al., 2009; McCabe et al., 2015)","previouslyFormattedCitation":"(Chin A Paw et al., 2008; de Visser et al., 2016; Foley et al., 2017; Haerens et al., 2006; Lien et al., 2010; Lo et al., 2008; Lubans et al., 2009; McCabe et al., 2015)"},"properties":{"noteIndex":0},"schema":"https://github.com/citation-style-language/schema/raw/master/csl-citation.json"}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 de Visser et al., 2016; Foley et al., 2017; Haerens et al., 2006; Lien et al., 2010; Lo et al., 2008; Lubans et al., 2009; McCabe et al., 2015)</w:t>
      </w:r>
      <w:r w:rsidRPr="00B1522E">
        <w:rPr>
          <w:rFonts w:eastAsia="Calibri" w:cstheme="minorHAnsi"/>
        </w:rPr>
        <w:fldChar w:fldCharType="end"/>
      </w:r>
      <w:r w:rsidRPr="00B1522E">
        <w:rPr>
          <w:rFonts w:eastAsia="Calibri" w:cstheme="minorHAnsi"/>
        </w:rPr>
        <w:t xml:space="preserve">; encouragement to eat meals on a regular basis (n = 4) </w:t>
      </w:r>
      <w:r w:rsidRPr="00B1522E">
        <w:rPr>
          <w:rFonts w:eastAsia="Calibri" w:cstheme="minorHAnsi"/>
        </w:rPr>
        <w:fldChar w:fldCharType="begin" w:fldLock="1"/>
      </w:r>
      <w:r w:rsidR="00D046DC" w:rsidRPr="00B1522E">
        <w:rPr>
          <w:rFonts w:eastAsia="Calibri" w:cstheme="minorHAnsi"/>
        </w:rPr>
        <w:instrText>ADDIN CSL_CITATION {"citationItems":[{"id":"ITEM-1","itemData":{"ISSN":"1869-6716","abstract":"The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Medicine","id":"ITEM-1","issue":"1","issued":{"date-parts":[["2015","3"]]},"note":"Accession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girls.","type":"article-journal","volume":"5"},"uris":["http://www.mendeley.com/documents/?uuid=caa5507f-dbd0-4a8e-8a1f-8c2b3fd377e1"]},{"id":"ITEM-2","itemData":{"ISSN":"00223182","abstract":"A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Education","id":"ITEM-2","issue":"1","issued":{"date-parts":[["1995","1"]]},"page":"24-31","title":"Eating disturbances among adolescent girls: Evaluation of a school-based primary prevention program","type":"article-journal","volume":"27"},"uris":["http://www.mendeley.com/documents/?uuid=588adb0d-18f3-406d-bdf5-5d66e25338c4"]},{"id":"ITEM-3","itemData":{"ISSN":"1471-2458","abstract":"Few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Health","id":"ITEM-3","issue":"1","issued":{"date-parts":[["2017","9"]]},"page":"695","title":"Evaluation of a peer education program on student leaders' energy balance-related behaviors","type":"article-journal","volume":"17"},"uris":["http://www.mendeley.com/documents/?uuid=560d1118-94b4-43a0-8347-10a81bff7b3e"]},{"id":"ITEM-4","itemData":{"ISBN":"2153-2168","ISSN":"2153-2168","PMID":"28448174","abstract":"Background: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Obesity","id":"ITEM-4","issue":"4","issued":{"date-parts":[["2017"]]},"page":"300-313","title":"A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Dowd et al., 2015; Foley et al., 2017; Neumark-Sztainer et al., 1995)","plainTextFormattedCitation":"(Aceves-Martins et al., 2017; Dowd et al., 2015; Foley et al., 2017; Neumark-Sztainer et al., 1995)","previouslyFormattedCitation":"(Aceves-Martins et al., 2017; Dowd et al., 2015; Foley et al., 2017; Neumark-Sztainer et al., 1995)"},"properties":{"noteIndex":0},"schema":"https://github.com/citation-style-language/schema/raw/master/csl-citation.json"}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Dowd et al., 2015; Foley et al., 2017; Neumark-Sztainer et al., 1995)</w:t>
      </w:r>
      <w:r w:rsidRPr="00B1522E">
        <w:rPr>
          <w:rFonts w:eastAsia="Calibri" w:cstheme="minorHAnsi"/>
        </w:rPr>
        <w:fldChar w:fldCharType="end"/>
      </w:r>
      <w:r w:rsidRPr="00B1522E">
        <w:rPr>
          <w:rFonts w:eastAsia="Calibri" w:cstheme="minorHAnsi"/>
        </w:rPr>
        <w:t xml:space="preserve">; improving general eating behaviours (e.g. increase daily nutritional </w:t>
      </w:r>
      <w:r w:rsidRPr="00B1522E">
        <w:rPr>
          <w:rFonts w:eastAsia="Calibri" w:cstheme="minorHAnsi"/>
        </w:rPr>
        <w:lastRenderedPageBreak/>
        <w:t xml:space="preserve">recommended intake of carbohydrates, fibre minerals, protein, and vitamins, n = 5) </w:t>
      </w:r>
      <w:r w:rsidRPr="00B1522E">
        <w:rPr>
          <w:rFonts w:eastAsia="Calibri" w:cstheme="minorHAnsi"/>
        </w:rPr>
        <w:fldChar w:fldCharType="begin" w:fldLock="1"/>
      </w:r>
      <w:r w:rsidR="00FD502B" w:rsidRPr="00B1522E">
        <w:rPr>
          <w:rFonts w:eastAsia="Calibri" w:cstheme="minorHAnsi"/>
        </w:rPr>
        <w:instrText>ADDIN CSL_CITATION {"citationItems":[{"id":"ITEM-1","itemData":{"ISSN":"00223182","abstract":"A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Education","id":"ITEM-1","issue":"1","issued":{"date-parts":[["1995","1"]]},"page":"24-31","title":"Eating disturbances among adolescent girls: Evaluation of a school-based primary prevention program","type":"article-journal","volume":"27"},"uris":["http://www.mendeley.com/documents/?uuid=588adb0d-18f3-406d-bdf5-5d66e25338c4"]},{"id":"ITEM-2","itemData":{"ISSN":"0031-5125","abstract":"The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Skills","id":"ITEM-2","issue":"2","issued":{"date-parts":[["2005","10"]]},"note":"Accession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eating.","type":"article-journal","volume":"101"},"uris":["http://www.mendeley.com/documents/?uuid=f16d6371-ae55-47d3-b34f-6f5099c47b13"]},{"id":"ITEM-3","itemData":{"ISSN":"0957-4824","abstract":"To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International","id":"ITEM-3","issue":"2","issued":{"date-parts":[["2015","6"]]},"note":"Accession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China?","type":"article-journal","volume":"30"},"uris":["http://www.mendeley.com/documents/?uuid=145ecf81-8117-453e-bf69-159987f54f3c"]},{"id":"ITEM-4","itemData":{"ISSN":"0360-1315","abstract":"Nutrition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Education","id":"ITEM-4","issued":{"date-parts":[["2015","10"]]},"note":"Accession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elements.","type":"article-journal","volume":"88"},"uris":["http://www.mendeley.com/documents/?uuid=d0bc6350-9c55-462b-82b0-80648f3f942f"]},{"id":"ITEM-5","itemData":{"ISSN":"1479-5868","abstract":"Background: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Activity","id":"ITEM-5","issued":{"date-parts":[["2016","12"]]},"note":"Accession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behaviors.","type":"article-journal","volume":"13"},"uris":["http://www.mendeley.com/documents/?uuid=823d9b1e-16f3-4ad7-ba7d-86b6176dc2c7"]}],"mendeley":{"formattedCitation":"(Hoelscher et al., 2016; Neumark-Sztainer et al., 1995; Tsorbatzoudis, 2005; Wang et al., 2015; Yang et al., 2015)","plainTextFormattedCitation":"(Hoelscher et al., 2016; Neumark-Sztainer et al., 1995; Tsorbatzoudis, 2005; Wang et al., 2015; Yang et al., 2015)","previouslyFormattedCitation":"(Hoelscher et al., 2016; Neumark-Sztainer et al., 1995; Tsorbatzoudis, 2005; Wang et al., 2015; 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(Hoelscher et al., 2016; Neumark-Sztainer et al., 1995; Tsorbatzoudis, 2005; Wang et al., 2015; Yang et al., 2015)</w:t>
      </w:r>
      <w:r w:rsidRPr="00B1522E">
        <w:rPr>
          <w:rFonts w:eastAsia="Calibri" w:cstheme="minorHAnsi"/>
        </w:rPr>
        <w:fldChar w:fldCharType="end"/>
      </w:r>
      <w:r w:rsidRPr="00B1522E">
        <w:rPr>
          <w:rFonts w:eastAsia="Calibri" w:cstheme="minorHAnsi"/>
        </w:rPr>
        <w:t xml:space="preserve">, and reducing daily fat and sugar intake (n = 3) </w:t>
      </w:r>
      <w:r w:rsidRPr="00B1522E">
        <w:rPr>
          <w:rFonts w:eastAsia="Calibri" w:cstheme="minorHAnsi"/>
        </w:rPr>
        <w:fldChar w:fldCharType="begin" w:fldLock="1"/>
      </w:r>
      <w:r w:rsidR="00D046DC" w:rsidRPr="00B1522E">
        <w:rPr>
          <w:rFonts w:eastAsia="Calibri" w:cstheme="minorHAnsi"/>
        </w:rPr>
        <w:instrText>ADDIN CSL_CITATION {"citationItems":[{"id":"ITEM-1","itemData":{"ISSN":"1087-3244","abstract":"Objective: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Behavior","id":"ITEM-1","issue":"5","issued":{"date-parts":[["2016","9"]]},"note":"Accession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behaviors.","type":"article-journal","volume":"40"},"uris":["http://www.mendeley.com/documents/?uuid=d63aebec-2716-44e4-bcb3-02defb99b8f6"]},{"id":"ITEM-2","itemData":{"ISSN":"0268-1153","abstract":"The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Research","id":"ITEM-2","issue":"6","issued":{"date-parts":[["2006","12"]]},"note":"Accession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children.","type":"article-journal","volume":"21"},"uris":["http://www.mendeley.com/documents/?uuid=bbef8914-979d-4764-8405-477314275444"]},{"id":"ITEM-3","itemData":{"ISSN":"0268-1153","abstract":"Conducted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Research","id":"ITEM-3","issue":"4","issued":{"date-parts":[["1990","12"]]},"note":"Accession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study.","type":"article-journal","volume":"5"},"uris":["http://www.mendeley.com/documents/?uuid=9a48b06a-99b7-4f0b-b92b-862a85f3beb5"]}],"mendeley":{"formattedCitation":"(de Visser et al., 2016; Haerens et al., 2006; Hölund, 1990)","plainTextFormattedCitation":"(de Visser et al., 2016; Haerens et al., 2006; Hölund, 1990)","previouslyFormattedCitation":"(de Visser et al., 2016; Haerens et al., 2006; Hölund, 1990)"},"properties":{"noteIndex":0},"schema":"https://github.com/citation-style-language/schema/raw/master/csl-citation.json"}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(de Visser et al., 2016; Haerens et al., 2006; Hölund, 1990)</w:t>
      </w:r>
      <w:r w:rsidRPr="00B1522E">
        <w:rPr>
          <w:rFonts w:eastAsia="Calibri" w:cstheme="minorHAnsi"/>
        </w:rPr>
        <w:fldChar w:fldCharType="end"/>
      </w:r>
      <w:r w:rsidRPr="00B1522E">
        <w:rPr>
          <w:rFonts w:eastAsia="Calibri" w:cstheme="minorHAnsi"/>
        </w:rPr>
        <w:t xml:space="preserve">. A number of studies (n = 13) targeted more than one dietary behaviour in their intervention (e.g. increasing fruit and vegetable consumption, decreasing SSB and unhealthy snacks consumption  </w:t>
      </w:r>
      <w:r w:rsidRPr="00B1522E">
        <w:rPr>
          <w:rFonts w:eastAsia="Calibri" w:cstheme="minorHAnsi"/>
        </w:rPr>
        <w:fldChar w:fldCharType="begin" w:fldLock="1"/>
      </w:r>
      <w:r w:rsidR="00FD502B"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Behavior","id":"ITEM-2","issue":"5","issued":{"date-parts":[["2016","9"]]},"note":"Accession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behaviors.","type":"article-journal","volume":"40"},"uris":["http://www.mendeley.com/documents/?uuid=d63aebec-2716-44e4-bcb3-02defb99b8f6"]},{"id":"ITEM-3","itemData":{"ISSN":"1869-6716","abstract":"The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Medicine","id":"ITEM-3","issue":"1","issued":{"date-parts":[["2015","3"]]},"note":"Accession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girls.","type":"article-journal","volume":"5"},"uris":["http://www.mendeley.com/documents/?uuid=caa5507f-dbd0-4a8e-8a1f-8c2b3fd377e1"]},{"id":"ITEM-4","itemData":{"ISSN":"0268-1153","abstract":"The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Research","id":"ITEM-4","issue":"6","issued":{"date-parts":[["2006","12"]]},"note":"Accession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children.","type":"article-journal","volume":"21"},"uris":["http://www.mendeley.com/documents/?uuid=bbef8914-979d-4764-8405-477314275444"]},{"id":"ITEM-5","itemData":{"ISSN":"0268-1153","abstract":"Conducted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Research","id":"ITEM-5","issue":"4","issued":{"date-parts":[["1990","12"]]},"note":"Accession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study.","type":"article-journal","volume":"5"},"uris":["http://www.mendeley.com/documents/?uuid=9a48b06a-99b7-4f0b-b92b-862a85f3beb5"]},{"id":"ITEM-6","itemData":{"ISSN":"1479-5868","abstract":"Background: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Activity","id":"ITEM-6","issued":{"date-parts":[["2016","12"]]},"note":"Accession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behaviors.","type":"article-journal","volume":"13"},"uris":["http://www.mendeley.com/documents/?uuid=823d9b1e-16f3-4ad7-ba7d-86b6176dc2c7"]},{"id":"ITEM-7","itemData":{"ISSN":"1403-4948","abstract":"Background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Health","id":"ITEM-7","issue":"5","issued":{"date-parts":[["2010","11"]]},"note":"Accession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study.","type":"article-journal","volume":"38"},"uris":["http://www.mendeley.com/documents/?uuid=78beb7d0-a0fa-4834-9f1b-52f489a9a220"]},{"id":"ITEM-8","itemData":{"ISSN":"1054-139X","abstract":"Purpose: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Health","id":"ITEM-8","issue":"2","issued":{"date-parts":[["2009","2"]]},"note":"Accession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intervention.","type":"article-journal","volume":"44"},"uris":["http://www.mendeley.com/documents/?uuid=3436d664-5481-4deb-9498-5b6cd81039b0"]},{"id":"ITEM-9","itemData":{"ISSN":"08901171","abstract":"Purpose.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Promotion","id":"ITEM-9","issue":"3","issued":{"date-parts":[["2010","1"]]},"note":"Accession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Adolescents.","type":"article-journal","volume":"24"},"uris":["http://www.mendeley.com/documents/?uuid=dcce02ba-d07b-4b8a-9d22-177816d0f2ff"]},{"id":"ITEM-10","itemData":{"ISSN":"1087-3244","abstract":"Objectives: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Behavior","id":"ITEM-10","issue":"1","issued":{"date-parts":[["2015","1"]]},"note":"Accession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girls.","type":"article-journal","volume":"39"},"uris":["http://www.mendeley.com/documents/?uuid=7b8ee571-076a-4b5d-8ae8-9e0a03d039ae"]},{"id":"ITEM-11","itemData":{"ISSN":"00223182","abstract":"A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Education","id":"ITEM-11","issue":"1","issued":{"date-parts":[["1995","1"]]},"page":"24-31","title":"Eating disturbances among adolescent girls: Evaluation of a school-based primary prevention program","type":"article-journal","volume":"27"},"uris":["http://www.mendeley.com/documents/?uuid=588adb0d-18f3-406d-bdf5-5d66e25338c4"]},{"id":"ITEM-12","itemData":{"ISSN":"1471-2458","abstract":"Few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Health","id":"ITEM-12","issue":"1","issued":{"date-parts":[["2017","9"]]},"page":"695","title":"Evaluation of a peer education program on student leaders' energy balance-related behaviors","type":"article-journal","volume":"17"},"uris":["http://www.mendeley.com/documents/?uuid=560d1118-94b4-43a0-8347-10a81bff7b3e"]},{"id":"ITEM-13","itemData":{"ISBN":"2153-2168","ISSN":"2153-2168","PMID":"28448174","abstract":"Background: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Obesity","id":"ITEM-13","issue":"4","issued":{"date-parts":[["2017"]]},"page":"300-313","title":"A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Chin A Paw et al., 2008; de Visser et al., 2016; Dowd et al., 2015; Foley et al., 2017; Haerens et al., 2006; Hoelscher et al., 2016; Hölund, 1990; Lien et al., 2010; Lubans et al., 2009; M. Martens et al., 2010; McCabe et al., 2015; Neumark-Sztainer et al., 1995)","manualFormatting":"(Aceves-Martins et al., 2017; Chin A Paw et al., 2008; de Visser et al., 2016; Dowd et al., 2015; Foley et al., 2017; Haerens et al., 2006; Hoelscher et al., 2016; Hölund, 1990; Lien et al., 2010; Lubans et al., 2009; Martens et al., 2010; McCabe et al., 2015; Neumark-Sztainer et al., 1995)","plainTextFormattedCitation":"(Aceves-Martins et al., 2017; Chin A Paw et al., 2008; de Visser et al., 2016; Dowd et al., 2015; Foley et al., 2017; Haerens et al., 2006; Hoelscher et al., 2016; Hölund, 1990; Lien et al., 2010; Lubans et al., 2009; M. Martens et al., 2010; McCabe et al., 2015; Neumark-Sztainer et al., 1995)","previouslyFormattedCitation":"(Aceves-Martins et al., 2017; Chin A Paw et al., 2008; de Visser et al., 2016; Dowd et al., 2015; Foley et al., 2017; Haerens et al., 2006; Hoelscher et al., 2016; Hölund, 1990; Lien et al., 2010; Lubans et al., 2009; M. Martens et al., 2010; McCabe et al., 2015; Neumark-Sztainer et al., 1995)"},"properties":{"noteIndex":0},"schema":"https://github.com/citation-style-language/schema/raw/master/csl-citation.json"}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(Aceves-Martins et al., 2017; Chin A Paw et al., 2008; de Visser et al., 2016; Dowd et al., 2015; Foley et al., 2017; Haerens et al., 2006; Hoelscher et al., 2016; Hölund, 1990; Lien et al., 2010; Lubans et al., 2009; Martens et al., 2010; McCabe et al., 2015; Neumark-Sztainer et al., 1995)</w:t>
      </w:r>
      <w:r w:rsidRPr="00B1522E">
        <w:rPr>
          <w:rFonts w:eastAsia="Calibri" w:cstheme="minorHAnsi"/>
        </w:rPr>
        <w:fldChar w:fldCharType="end"/>
      </w:r>
      <w:r w:rsidRPr="00B1522E">
        <w:rPr>
          <w:rFonts w:eastAsia="Calibri" w:cstheme="minorHAnsi"/>
        </w:rPr>
        <w:t xml:space="preserve">. </w:t>
      </w:r>
    </w:p>
    <w:p w14:paraId="1D482584" w14:textId="7EBEAA7E" w:rsidR="00987AC8" w:rsidRPr="00B1522E" w:rsidRDefault="00987AC8" w:rsidP="00734D95">
      <w:pPr>
        <w:spacing w:line="480" w:lineRule="auto"/>
        <w:ind w:firstLine="720"/>
        <w:jc w:val="both"/>
        <w:rPr>
          <w:rFonts w:eastAsia="Calibri" w:cstheme="minorHAnsi"/>
        </w:rPr>
      </w:pPr>
      <w:r w:rsidRPr="00B1522E">
        <w:rPr>
          <w:rFonts w:eastAsia="Calibri" w:cstheme="minorHAnsi"/>
        </w:rPr>
        <w:t xml:space="preserve">In terms of eating behaviour assessments, behavioural measures included food frequency questionnaires (FFQ) (n = 24) </w:t>
      </w:r>
      <w:r w:rsidRPr="00B1522E">
        <w:rPr>
          <w:rFonts w:eastAsia="Calibri" w:cstheme="minorHAnsi"/>
        </w:rPr>
        <w:fldChar w:fldCharType="begin" w:fldLock="1"/>
      </w:r>
      <w:r w:rsidR="00FD502B" w:rsidRPr="00B1522E">
        <w:rPr>
          <w:rFonts w:eastAsia="Calibri" w:cstheme="minorHAnsi"/>
        </w:rPr>
        <w:instrText>ADDIN CSL_CITATION {"citationItems":[{"id":"ITEM-1","itemData":{"ISSN":"0268-1153","abstract":"This study reports the effect of a school-randomized fruit and vegetable intervention consisting of a subscription to the Norwegian School Fruit Programme at no parental cost, and the Fruit and Vegetables Make the Marks (FVMM) educational programme, both delivered in the school year of 2001-02. Nine randomly chosen schools received the intervention and 10 schools served as control schools. Participating pupils completed questionnaires at baseline (September 2001), at Follow-up 1 (May-June 2002) and at Follow-up 2 (May 2003). A total of 517 pupils (84%; mean age, 11.3 years at baseline) participated in all three surveys. At both Follow-up 1 and Follow-up 2, strong intervention effects were observed for all-day fruit and vegetable intake (effect sizes were 0.6 and 0.5 portions, respectively). The sustained effect at Follow-up 2,1 year after the end of the intervention, can partly be explained by greater participation rates in the School Fruit Programme (standard paid subscription). We conclude that the effects observed are most likely due to the no-cost subscription and not due to the FVMM educational programme, and that providing pupils with a piece of fruit or a vegetable at school at no cost for the parents is an effective strategy to increase school children's intake of fruit and vegetables. The effect is also sustained 1 year after the end of the nocost subscription, providing increased health benefits. (PsycINFO Database Record (c) 2013 APA, all rights reserved). (journal abstract)","author":[{"dropping-particle":"","family":"Bere","given":"E","non-dropping-particle":"","parse-names":false,"suffix":""},{"dropping-particle":"","family":"Veierød","given":"M B","non-dropping-particle":"","parse-names":false,"suffix":""},{"dropping-particle":"","family":"Bjelland","given":"M","non-dropping-particle":"","parse-names":false,"suffix":""},{"dropping-particle":"","family":"Klepp","given":"K -I.","non-dropping-particle":"","parse-names":false,"suffix":""}],"container-title":"Health Education Research","id":"ITEM-1","issue":"2","issued":{"date-parts":[["2006","4"]]},"note":"Accession Number: 2006-03809-010. PMID: 16219630 Partial author list: First Author &amp;amp; Affiliation: Bere, E.; Department of Nutrition, Institute of Basic Medical Sciences, University of Oslo, Oslo, Norway. Release Date: 20060424. Correction Date: 20130909. Publication Type: Journal (0100), Peer Reviewed Journal (0110). Format Covered: Electronic. Document Type: Journal Article. Language: English. Major Descriptor: Diets; Educational Programs; School Based Intervention; Student Attitudes. Minor Descriptor: Classroom Environment; Elementary School Students; Food Intake; Health Promotion. Classification: Promotion &amp;amp; Maintenance of Health &amp;amp; Wellness (3365). Population: Human (10); Male (30); Female (40). Location: Norway. Age Group: Childhood (birth-12 yrs) (100); School Age (6-12 yrs) (180). Methodology: Empirical Study; Followup Study; Quantitative Study. References Available: Y. Page Count: 8. Issue Publication Date: Apr, 2006.","page":"268-275","publisher":"Oxford University Press","publisher-place":"Bere, E., Department of Nutrition, Institute of Basic Medical Sciences, University of Oslo, Blindern, 0316, Oslo, Norway","title":"Free school fruit--sustained effect 1 year later.","type":"article-journal","volume":"21"},"uris":["http://www.mendeley.com/documents/?uuid=d704e684-57ec-4f08-bbed-9773cab79a29"]},{"id":"ITEM-2","itemData":{"ISSN":"1090-1981","abstract":"Examined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Behavior","id":"ITEM-3","issue":"5","issued":{"date-parts":[["2011","9"]]},"note":"Accession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choices.","type":"article-journal","volume":"43"},"uris":["http://www.mendeley.com/documents/?uuid=7656a537-f4ec-41dc-aa44-b227ceddf977"]},{"id":"ITEM-4","itemData":{"ISSN":"1479-5868","abstract":"Objectives: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Activity","id":"ITEM-4","issue":"41","issued":{"date-parts":[["2008","8","11"]]},"note":"Accession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program.","type":"article-journal","volume":"5"},"uris":["http://www.mendeley.com/documents/?uuid=0ae3b1a2-a736-4e3f-8869-95e5f4733a34"]},{"id":"ITEM-5","itemData":{"ISSN":"1087-3244","abstract":"Objective: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Behavior","id":"ITEM-5","issue":"5","issued":{"date-parts":[["2016","9"]]},"note":"Accession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behaviors.","type":"article-journal","volume":"40"},"uris":["http://www.mendeley.com/documents/?uuid=d63aebec-2716-44e4-bcb3-02defb99b8f6"]},{"id":"ITEM-6","itemData":{"ISSN":"1090-1981","abstract":"The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Behavior","id":"ITEM-6","issue":"3","issued":{"date-parts":[["2009","6"]]},"note":"Accession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schools.","type":"article-journal","volume":"36"},"uris":["http://www.mendeley.com/documents/?uuid=74f4efaf-f648-40ee-a537-6d3097cacbbf"]},{"id":"ITEM-7","itemData":{"ISSN":"0268-1153","abstract":"The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Research","id":"ITEM-7","issue":"6","issued":{"date-parts":[["2006","12"]]},"note":"Accession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children.","type":"article-journal","volume":"21"},"uris":["http://www.mendeley.com/documents/?uuid=bbef8914-979d-4764-8405-477314275444"]},{"id":"ITEM-8","itemData":{"ISSN":"1479-5868","abstract":"Background: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Activity","id":"ITEM-8","issued":{"date-parts":[["2016","12"]]},"note":"Accession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behaviors.","type":"article-journal","volume":"13"},"uris":["http://www.mendeley.com/documents/?uuid=823d9b1e-16f3-4ad7-ba7d-86b6176dc2c7"]},{"id":"ITEM-9","itemData":{"ISSN":"1403-4948","abstract":"Background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Health","id":"ITEM-9","issue":"5","issued":{"date-parts":[["2010","11"]]},"note":"Accession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study.","type":"article-journal","volume":"38"},"uris":["http://www.mendeley.com/documents/?uuid=78beb7d0-a0fa-4834-9f1b-52f489a9a220"]},{"id":"ITEM-10","itemData":{"ISSN":"1054-139X","abstract":"Purpose: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Health","id":"ITEM-10","issue":"2","issued":{"date-parts":[["2009","2"]]},"note":"Accession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intervention.","type":"article-journal","volume":"44"},"uris":["http://www.mendeley.com/documents/?uuid=3436d664-5481-4deb-9498-5b6cd81039b0"]},{"id":"ITEM-11","itemData":{"ISSN":"08901171","abstract":"Purpose.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Promotion","id":"ITEM-11","issue":"3","issued":{"date-parts":[["2010","1"]]},"note":"Accession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Adolescents.","type":"article-journal","volume":"24"},"uris":["http://www.mendeley.com/documents/?uuid=dcce02ba-d07b-4b8a-9d22-177816d0f2ff"]},{"id":"ITEM-12","itemData":{"ISSN":"0091-7435","abstract":"Background: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Theory","id":"ITEM-12","issue":"6","issued":{"date-parts":[["2010","12"]]},"note":"Accession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adolescents.","type":"article-journal","volume":"51"},"uris":["http://www.mendeley.com/documents/?uuid=74acfc22-4c53-4fd1-8464-3f7cdd79586e"]},{"id":"ITEM-13","itemData":{"ISSN":"1087-3244","abstract":"Objectives: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Behavior","id":"ITEM-13","issue":"1","issued":{"date-parts":[["2015","1"]]},"note":"Accession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girls.","type":"article-journal","volume":"39"},"uris":["http://www.mendeley.com/documents/?uuid=7b8ee571-076a-4b5d-8ae8-9e0a03d039ae"]},{"id":"ITEM-14","itemData":{"ISSN":"00223182","abstract":"A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Education","id":"ITEM-14","issue":"1","issued":{"date-parts":[["1995","1"]]},"page":"24-31","title":"Eating disturbances among adolescent girls: Evaluation of a school-based primary prevention program","type":"article-journal","volume":"27"},"uris":["http://www.mendeley.com/documents/?uuid=588adb0d-18f3-406d-bdf5-5d66e25338c4"]},{"id":"ITEM-15","itemData":{"ISSN":"0268-1153","abstract":"Describes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Research","id":"ITEM-15","issue":"2","issued":{"date-parts":[["1987","6"]]},"note":"Accession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Life.'","type":"article-journal","volume":"2"},"uris":["http://www.mendeley.com/documents/?uuid=4ba034f3-de40-4333-9846-e6881c339756"]},{"id":"ITEM-16","itemData":{"ISSN":"1524-8399","abstract":"This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Practice","id":"ITEM-16","issue":"1","issued":{"date-parts":[["2011","1"]]},"note":"Accession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consumption.","type":"article-journal","volume":"12"},"uris":["http://www.mendeley.com/documents/?uuid=5e69dc5b-a75e-44cd-a690-1ad10a553ee8"]},{"id":"ITEM-17","itemData":{"ISSN":"1479-5868","abstract":"Background: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Activity","id":"ITEM-17","issued":{"date-parts":[["2011","2","4"]]},"note":"Accession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intakes.","type":"article-journal","volume":"8"},"uris":["http://www.mendeley.com/documents/?uuid=827f05f5-1374-4d29-b4c3-d6c4de5de2d7"]},{"id":"ITEM-18","itemData":{"ISSN":"0031-5125","abstract":"The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Skills","id":"ITEM-18","issue":"2","issued":{"date-parts":[["2005","10"]]},"note":"Accession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eating.","type":"article-journal","volume":"101"},"uris":["http://www.mendeley.com/documents/?uuid=f16d6371-ae55-47d3-b34f-6f5099c47b13"]},{"id":"ITEM-19","itemData":{"ISSN":"0957-4824","abstract":"To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International","id":"ITEM-19","issue":"2","issued":{"date-parts":[["2015","6"]]},"note":"Accession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China?","type":"article-journal","volume":"30"},"uris":["http://www.mendeley.com/documents/?uuid=145ecf81-8117-453e-bf69-159987f54f3c"]},{"id":"ITEM-20","itemData":{"ISSN":"0091-7435","abstract":"Objective: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Theory","id":"ITEM-20","issue":"2","issued":{"date-parts":[["2012","2","1"]]},"note":"Accession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trial.","type":"article-journal","volume":"54"},"uris":["http://www.mendeley.com/documents/?uuid=7e4d5a33-052f-4c99-ab20-b4bf103139ae"]},{"id":"ITEM-21","itemData":{"ISSN":"1879-0739","PMID":"19083401","abstract":"Certain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research","id":"ITEM-21","issue":"3","issued":{"date-parts":[["2008","3"]]},"page":"144-50","title":"Beverage intake improvement by high school students in Saskatchewan, Canada.","type":"article-journal","volume":"28"},"uris":["http://www.mendeley.com/documents/?uuid=fdc5051e-cbf7-4dcc-9784-097b6caadb05"]},{"id":"ITEM-22","itemData":{"ISSN":"1471-2458","abstract":"Few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Health","id":"ITEM-22","issue":"1","issued":{"date-parts":[["2017","9"]]},"page":"695","title":"Evaluation of a peer education program on student leaders' energy balance-related behaviors","type":"article-journal","volume":"17"},"uris":["http://www.mendeley.com/documents/?uuid=560d1118-94b4-43a0-8347-10a81bff7b3e"]},{"id":"ITEM-23","itemData":{"ISBN":"2153-2168","ISSN":"2153-2168","PMID":"28448174","abstract":"Background: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Obesity","id":"ITEM-23","issue":"4","issued":{"date-parts":[["2017"]]},"page":"300-313","title":"A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Study","type":"article-journal","volume":"13"},"uris":["http://www.mendeley.com/documents/?uuid=74a21169-2cf5-4820-beb8-c5f53e15a838"]},{"id":"ITEM-24","itemData":{"ISSN":"1545-1151","abstract":"INTRODUCTION: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Disease","id":"ITEM-24","issued":{"date-parts":[["2015","9","24"]]},"page":"1-105","publisher":"Centers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Bere et al., 2006; Birnbaum et al., 2002; Bukhari et al., 2011; Chin A Paw et al., 2008; de Visser et al., 2016; Dzewaltowski et al., 2009; Foley et al., 2017; Haerens et al., 2006; Hoelscher et al., 2016; Lien et al., 2010; Lo et al., 2008; Lubans et al., 2009; Maatoug et al., 2015; M. Martens et al., 2010; Mauriello et al., 2010; McCabe et al., 2015; Neumark-Sztainer et al., 1995; Perry et al., 1987; Ratcliffe et al., 2011; Siega-Riz et al., 2011; Tsorbatzoudis, 2005; Wang et al., 2015; Wilson et al., 2012)","manualFormatting":"(Aceves-Martins et al., 2017; Bere et al., 2006; Birnbaum et al., 2002; Bukhari et al., 2011; Chin A Paw et al., 2008; de Visser et al., 2016; Dzewaltowski et al., 2009; Foley et al., 2017; Haerens et al., 2006; Hoelscher et al., 2016; Lien et al., 2010; Lo et al., 2008; Lubans et al., 2009; Maatoug et al., 2015; Martens et al., 2010; Mauriello et al., 2010; McCabe et al., 2015; Neumark-Sztainer et al., 1995; Perry et al., 1987; Ratcliffe et al., 2011; Siega-Riz et al., 2011; Tsorbatzoudis, 2005; Wang et al., 2015; Wilson et al., 2012)","plainTextFormattedCitation":"(Aceves-Martins et al., 2017; Bere et al., 2006; Birnbaum et al., 2002; Bukhari et al., 2011; Chin A Paw et al., 2008; de Visser et al., 2016; Dzewaltowski et al., 2009; Foley et al., 2017; Haerens et al., 2006; Hoelscher et al., 2016; Lien et al., 2010; Lo et al., 2008; Lubans et al., 2009; Maatoug et al., 2015; M. Martens et al., 2010; Mauriello et al., 2010; McCabe et al., 2015; Neumark-Sztainer et al., 1995; Perry et al., 1987; Ratcliffe et al., 2011; Siega-Riz et al., 2011; Tsorbatzoudis, 2005; Wang et al., 2015; Wilson et al., 2012)","previouslyFormattedCitation":"(Aceves-Martins et al., 2017; Bere et al., 2006; Birnbaum et al., 2002; Bukhari et al., 2011; Chin A Paw et al., 2008; de Visser et al., 2016; Dzewaltowski et al., 2009; Foley et al., 2017; Haerens et al., 2006; Hoelscher et al., 2016; Lien et al., 2010; Lo et al., 2008; Lubans et al., 2009; Maatoug et al., 2015; M. Martens et al., 2010; Mauriello et al., 2010; McCabe et al., 2015; Neumark-Sztainer et al., 1995; Perry et al., 1987; Ratcliffe et al., 2011; Siega-Riz et al., 2011; Tsorbatzoudis, 2005; Wang et al., 2015; Wilson et al., 2012)"},"properties":{"noteIndex":0},"schema":"https://github.com/citation-style-language/schema/raw/master/csl-citation.json"}</w:instrText>
      </w:r>
      <w:r w:rsidRPr="00B1522E">
        <w:rPr>
          <w:rFonts w:eastAsia="Calibri" w:cstheme="minorHAnsi"/>
        </w:rPr>
        <w:fldChar w:fldCharType="separate"/>
      </w:r>
      <w:r w:rsidR="002B37B9" w:rsidRPr="00B1522E">
        <w:rPr>
          <w:rFonts w:eastAsia="Calibri" w:cstheme="minorHAnsi"/>
          <w:noProof/>
        </w:rPr>
        <w:t>(Aceves-Martins et al., 2017; Bere et al., 2006; Birnbaum et al., 2002; Bukhari et al., 2011; Chin A Paw et al., 2008; de Visser et al., 2016; Dzewaltowski et al., 2009; Foley et al., 2017; Haerens et al., 2006; Hoelscher et al., 2016; Lien et al., 2010; Lo et al., 2008; Lubans et al., 2009; Maatoug et al., 2015; Martens et al., 2010; Mauriello et al., 2010; McCabe et al., 2015; Neumark-Sztainer et al., 1995; Perry et al., 1987; Ratcliffe et al., 2011; Siega-Riz et al., 2011; Tsorbatzoudis, 2005; Wang et al., 2015; Wilson et al., 2012)</w:t>
      </w:r>
      <w:r w:rsidRPr="00B1522E">
        <w:rPr>
          <w:rFonts w:eastAsia="Calibri" w:cstheme="minorHAnsi"/>
        </w:rPr>
        <w:fldChar w:fldCharType="end"/>
      </w:r>
      <w:r w:rsidRPr="00B1522E">
        <w:rPr>
          <w:rFonts w:eastAsia="Calibri" w:cstheme="minorHAnsi"/>
        </w:rPr>
        <w:t xml:space="preserve">, food diaries over periods of time ranging from 24 hrs to 7 days (n = 3; including one online) </w:t>
      </w:r>
      <w:r w:rsidRPr="00B1522E">
        <w:rPr>
          <w:rFonts w:eastAsia="Calibri" w:cstheme="minorHAnsi"/>
        </w:rPr>
        <w:fldChar w:fldCharType="begin" w:fldLock="1"/>
      </w:r>
      <w:r w:rsidR="007463D4" w:rsidRPr="00B1522E">
        <w:rPr>
          <w:rFonts w:eastAsia="Calibri" w:cstheme="minorHAnsi"/>
        </w:rPr>
        <w:instrText>ADDIN CSL_CITATION {"citationItems":[{"id":"ITEM-1","itemData":{"ISSN":"1359-107X","abstract":"Objective: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Psychology","id":"ITEM-1","issue":"4","issued":{"date-parts":[["2007","11"]]},"note":"Accession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framework.","type":"article-journal","volume":"12"},"uris":["http://www.mendeley.com/documents/?uuid=2c69d806-7516-4cd4-b2a3-27913c06c285"]},{"id":"ITEM-2","itemData":{"ISSN":"0360-1315","abstract":"Nutrition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Education","id":"ITEM-2","issued":{"date-parts":[["2015","10"]]},"note":"Accession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elements.","type":"article-journal","volume":"88"},"uris":["http://www.mendeley.com/documents/?uuid=d0bc6350-9c55-462b-82b0-80648f3f942f"]},{"id":"ITEM-3","itemData":{"author":[{"dropping-particle":"","family":"Revill","given":"S. A.","non-dropping-particle":"","parse-names":false,"suffix":""}],"id":"ITEM-3","issued":{"date-parts":[["2004"]]},"publisher":"Newcastle-upon-tyme","title":"Evaluation of a school-based nutrition and food delivered intervention to schoolchildren preparation skills from deprived social backgrounds","type":"thesis"},"uris":["http://www.mendeley.com/documents/?uuid=44c9923f-702d-4966-8c0c-73345f576954"]}],"mendeley":{"formattedCitation":"(Gratton et al., 2007; Revill, 2004; Yang et al., 2015)","plainTextFormattedCitation":"(Gratton et al., 2007; Revill, 2004; Yang et al., 2015)","previouslyFormattedCitation":"(Gratton et al., 2007; Revill, 2004; 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(Gratton et al., 2007; Revill, 2004; Yang et al., 2015)</w:t>
      </w:r>
      <w:r w:rsidRPr="00B1522E">
        <w:rPr>
          <w:rFonts w:eastAsia="Calibri" w:cstheme="minorHAnsi"/>
        </w:rPr>
        <w:fldChar w:fldCharType="end"/>
      </w:r>
      <w:r w:rsidRPr="00B1522E">
        <w:rPr>
          <w:rFonts w:eastAsia="Calibri" w:cstheme="minorHAnsi"/>
        </w:rPr>
        <w:t xml:space="preserve">, dietary interviews including general structured interviews on daily dietary consumption (n = 2) </w:t>
      </w:r>
      <w:r w:rsidRPr="00B1522E">
        <w:rPr>
          <w:rFonts w:eastAsia="Calibri" w:cstheme="minorHAnsi"/>
        </w:rPr>
        <w:fldChar w:fldCharType="begin" w:fldLock="1"/>
      </w:r>
      <w:r w:rsidR="007463D4" w:rsidRPr="00B1522E">
        <w:rPr>
          <w:rFonts w:eastAsia="Calibri" w:cstheme="minorHAnsi"/>
        </w:rPr>
        <w:instrText>ADDIN CSL_CITATION {"citationItems":[{"id":"ITEM-1","itemData":{"author":[{"dropping-particle":"","family":"Revill","given":"S. A.","non-dropping-particle":"","parse-names":false,"suffix":""}],"id":"ITEM-1","issued":{"date-parts":[["2004"]]},"publisher":"Newcastle-upon-tyme","title":"Evaluation of a school-based nutrition and food delivered intervention to schoolchildren preparation skills from deprived social backgrounds","type":"thesis"},"uris":["http://www.mendeley.com/documents/?uuid=44c9923f-702d-4966-8c0c-73345f576954"]},{"id":"ITEM-2","itemData":{"ISSN":"0268-1153","abstract":"Conducted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Research","id":"ITEM-2","issue":"4","issued":{"date-parts":[["1990","12"]]},"note":"Accession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study.","type":"article-journal","volume":"5"},"uris":["http://www.mendeley.com/documents/?uuid=9a48b06a-99b7-4f0b-b92b-862a85f3beb5"]}],"mendeley":{"formattedCitation":"(Hölund, 1990; Revill, 2004)","plainTextFormattedCitation":"(Hölund, 1990; Revill, 2004)","previouslyFormattedCitation":"(Hölund, 1990; Revill,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(Hölund, 1990; Revill, 2004)</w:t>
      </w:r>
      <w:r w:rsidRPr="00B1522E">
        <w:rPr>
          <w:rFonts w:eastAsia="Calibri" w:cstheme="minorHAnsi"/>
        </w:rPr>
        <w:fldChar w:fldCharType="end"/>
      </w:r>
      <w:r w:rsidRPr="00B1522E">
        <w:rPr>
          <w:rFonts w:eastAsia="Calibri" w:cstheme="minorHAnsi"/>
        </w:rPr>
        <w:t xml:space="preserve">, a paired food questionnaire (one healthy and one unhealthy option; n = 2 </w:t>
      </w:r>
      <w:r w:rsidRPr="00B1522E">
        <w:rPr>
          <w:rFonts w:eastAsia="Calibri" w:cstheme="minorHAnsi"/>
        </w:rPr>
        <w:fldChar w:fldCharType="begin" w:fldLock="1"/>
      </w:r>
      <w:r w:rsidR="007463D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Research","id":"ITEM-2","issue":"2","issued":{"date-parts":[["1987","6"]]},"note":"Accession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Life.'","type":"article-journal","volume":"2"},"uris":["http://www.mendeley.com/documents/?uuid=4ba034f3-de40-4333-9846-e6881c339756"]}],"mendeley":{"formattedCitation":"(Birnbaum et al., 2002; Perry et al., 1987)","plainTextFormattedCitation":"(Birnbaum et al., 2002; Perry et al., 1987)","previouslyFormattedCitation":"(Birnbaum et al., 2002; Perry et al., 1987)"},"properties":{"noteIndex":0},"schema":"https://github.com/citation-style-language/schema/raw/master/csl-citation.json"}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(Birnbaum et al., 2002; Perry et al., 1987)</w:t>
      </w:r>
      <w:r w:rsidRPr="00B1522E">
        <w:rPr>
          <w:rFonts w:eastAsia="Calibri" w:cstheme="minorHAnsi"/>
        </w:rPr>
        <w:fldChar w:fldCharType="end"/>
      </w:r>
      <w:r w:rsidRPr="00B1522E">
        <w:rPr>
          <w:rFonts w:eastAsia="Calibri" w:cstheme="minorHAnsi"/>
        </w:rPr>
        <w:t xml:space="preserve">), and a ‘true or false’ food statement questionnaire (would you eat a foodstuff, ‘true or false’; n = 1 </w:t>
      </w:r>
      <w:r w:rsidRPr="00B1522E">
        <w:rPr>
          <w:rFonts w:eastAsia="Calibri" w:cstheme="minorHAnsi"/>
        </w:rPr>
        <w:fldChar w:fldCharType="begin" w:fldLock="1"/>
      </w:r>
      <w:r w:rsidR="007463D4" w:rsidRPr="00B1522E">
        <w:rPr>
          <w:rFonts w:eastAsia="Calibri" w:cstheme="minorHAnsi"/>
        </w:rPr>
        <w:instrText>ADDIN CSL_CITATION {"citationItems":[{"id":"ITEM-1","itemData":{"ISSN":"1869-6716","abstract":"The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Medicine","id":"ITEM-1","issue":"1","issued":{"date-parts":[["2015","3"]]},"note":"Accession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girls.","type":"article-journal","volume":"5"},"uris":["http://www.mendeley.com/documents/?uuid=caa5507f-dbd0-4a8e-8a1f-8c2b3fd377e1"]}],"mendeley":{"formattedCitation":"(Dowd et al., 2015)","plainTextFormattedCitation":"(Dowd et al., 2015)","previouslyFormattedCitation":"(Dowd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(Dowd et al., 2015)</w:t>
      </w:r>
      <w:r w:rsidRPr="00B1522E">
        <w:rPr>
          <w:rFonts w:eastAsia="Calibri" w:cstheme="minorHAnsi"/>
        </w:rPr>
        <w:fldChar w:fldCharType="end"/>
      </w:r>
      <w:r w:rsidRPr="00B1522E">
        <w:rPr>
          <w:rFonts w:eastAsia="Calibri" w:cstheme="minorHAnsi"/>
        </w:rPr>
        <w:t xml:space="preserve">). All of the reviewed studies had a ‘before and after’ measurement of dietary behaviour and 14 studies included a longer-term follow-up assessment (ranging from 6 weeks - 4 years) </w:t>
      </w:r>
      <w:r w:rsidRPr="00B1522E">
        <w:rPr>
          <w:rFonts w:eastAsia="Calibri" w:cstheme="minorHAnsi"/>
        </w:rPr>
        <w:fldChar w:fldCharType="begin" w:fldLock="1"/>
      </w:r>
      <w:r w:rsidR="00971CA4" w:rsidRPr="00B1522E">
        <w:rPr>
          <w:rFonts w:eastAsia="Calibri" w:cstheme="minorHAnsi"/>
        </w:rPr>
        <w:instrText>ADDIN CSL_CITATION {"citationItems":[{"id":"ITEM-1","itemData":{"ISSN":"0268-1153","abstract":"This study reports the effect of a school-randomized fruit and vegetable intervention consisting of a subscription to the Norwegian School Fruit Programme at no parental cost, and the Fruit and Vegetables Make the Marks (FVMM) educational programme, both delivered in the school year of 2001-02. Nine randomly chosen schools received the intervention and 10 schools served as control schools. Participating pupils completed questionnaires at baseline (September 2001), at Follow-up 1 (May-June 2002) and at Follow-up 2 (May 2003). A total of 517 pupils (84%; mean age, 11.3 years at baseline) participated in all three surveys. At both Follow-up 1 and Follow-up 2, strong intervention effects were observed for all-day fruit and vegetable intake (effect sizes were 0.6 and 0.5 portions, respectively). The sustained effect at Follow-up 2,1 year after the end of the intervention, can partly be explained by greater participation rates in the School Fruit Programme (standard paid subscription). We conclude that the effects observed are most likely due to the no-cost subscription and not due to the FVMM educational programme, and that providing pupils with a piece of fruit or a vegetable at school at no cost for the parents is an effective strategy to increase school children's intake of fruit and vegetables. The effect is also sustained 1 year after the end of the nocost subscription, providing increased health benefits. (PsycINFO Database Record (c) 2013 APA, all rights reserved). (journal abstract)","author":[{"dropping-particle":"","family":"Bere","given":"E","non-dropping-particle":"","parse-names":false,"suffix":""},{"dropping-particle":"","family":"Veierød","given":"M B","non-dropping-particle":"","parse-names":false,"suffix":""},{"dropping-particle":"","family":"Bjelland","given":"M","non-dropping-particle":"","parse-names":false,"suffix":""},{"dropping-particle":"","family":"Klepp","given":"K -I.","non-dropping-particle":"","parse-names":false,"suffix":""}],"container-title":"Health Education Research","id":"ITEM-1","issue":"2","issued":{"date-parts":[["2006","4"]]},"note":"Accession Number: 2006-03809-010. PMID: 16219630 Partial author list: First Author &amp;amp; Affiliation: Bere, E.; Department of Nutrition, Institute of Basic Medical Sciences, University of Oslo, Oslo, Norway. Release Date: 20060424. Correction Date: 20130909. Publication Type: Journal (0100), Peer Reviewed Journal (0110). Format Covered: Electronic. Document Type: Journal Article. Language: English. Major Descriptor: Diets; Educational Programs; School Based Intervention; Student Attitudes. Minor Descriptor: Classroom Environment; Elementary School Students; Food Intake; Health Promotion. Classification: Promotion &amp;amp; Maintenance of Health &amp;amp; Wellness (3365). Population: Human (10); Male (30); Female (40). Location: Norway. Age Group: Childhood (birth-12 yrs) (100); School Age (6-12 yrs) (180). Methodology: Empirical Study; Followup Study; Quantitative Study. References Available: Y. Page Count: 8. Issue Publication Date: Apr, 2006.","page":"268-275","publisher":"Oxford University Press","publisher-place":"Bere, E., Department of Nutrition, Institute of Basic Medical Sciences, University of Oslo, Blindern, 0316, Oslo, Norway","title":"Free school fruit--sustained effect 1 year later.","type":"article-journal","volume":"21"},"uris":["http://www.mendeley.com/documents/?uuid=d704e684-57ec-4f08-bbed-9773cab79a29"]},{"id":"ITEM-2","itemData":{"ISSN":"1479-5868","abstract":"Objectives: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Activity","id":"ITEM-2","issue":"41","issued":{"date-parts":[["2008","8","11"]]},"note":"Accession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program.","type":"article-journal","volume":"5"},"uris":["http://www.mendeley.com/documents/?uuid=0ae3b1a2-a736-4e3f-8869-95e5f4733a34"]},{"id":"ITEM-3","itemData":{"ISSN":"1869-6716","abstract":"The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Medicine","id":"ITEM-3","issue":"1","issued":{"date-parts":[["2015","3"]]},"note":"Accession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girls.","type":"article-journal","volume":"5"},"uris":["http://www.mendeley.com/documents/?uuid=caa5507f-dbd0-4a8e-8a1f-8c2b3fd377e1"]},{"id":"ITEM-4","itemData":{"ISSN":"1090-1981","abstract":"The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Behavior","id":"ITEM-4","issue":"3","issued":{"date-parts":[["2009","6"]]},"note":"Accession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schools.","type":"article-journal","volume":"36"},"uris":["http://www.mendeley.com/documents/?uuid=74f4efaf-f648-40ee-a537-6d3097cacbbf"]},{"id":"ITEM-5","itemData":{"ISSN":"0268-1153","abstract":"The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Research","id":"ITEM-5","issue":"6","issued":{"date-parts":[["2006","12"]]},"note":"Accession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children.","type":"article-journal","volume":"21"},"uris":["http://www.mendeley.com/documents/?uuid=bbef8914-979d-4764-8405-477314275444"]},{"id":"ITEM-6","itemData":{"ISSN":"0268-1153","abstract":"Conducted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Research","id":"ITEM-6","issue":"4","issued":{"date-parts":[["1990","12"]]},"note":"Accession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study.","type":"article-journal","volume":"5"},"uris":["http://www.mendeley.com/documents/?uuid=9a48b06a-99b7-4f0b-b92b-862a85f3beb5"]},{"id":"ITEM-7","itemData":{"ISSN":"0091-7435","abstract":"Background: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Theory","id":"ITEM-7","issue":"6","issued":{"date-parts":[["2010","12"]]},"note":"Accession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adolescents.","type":"article-journal","volume":"51"},"uris":["http://www.mendeley.com/documents/?uuid=74acfc22-4c53-4fd1-8464-3f7cdd79586e"]},{"id":"ITEM-8","itemData":{"ISSN":"00223182","abstract":"A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Education","id":"ITEM-8","issue":"1","issued":{"date-parts":[["1995","1"]]},"page":"24-31","title":"Eating disturbances among adolescent girls: Evaluation of a school-based primary prevention program","type":"article-journal","volume":"27"},"uris":["http://www.mendeley.com/documents/?uuid=588adb0d-18f3-406d-bdf5-5d66e25338c4"]},{"id":"ITEM-9","itemData":{"ISSN":"0031-5125","abstract":"The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Skills","id":"ITEM-9","issue":"2","issued":{"date-parts":[["2005","10"]]},"note":"Accession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eating.","type":"article-journal","volume":"101"},"uris":["http://www.mendeley.com/documents/?uuid=f16d6371-ae55-47d3-b34f-6f5099c47b13"]},{"id":"ITEM-10","itemData":{"ISSN":"0091-7435","abstract":"Objective: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Theory","id":"ITEM-10","issue":"2","issued":{"date-parts":[["2012","2","1"]]},"note":"Accession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trial.","type":"article-journal","volume":"54"},"uris":["http://www.mendeley.com/documents/?uuid=7e4d5a33-052f-4c99-ab20-b4bf103139ae"]},{"id":"ITEM-11","itemData":{"ISSN":"1403-4948","abstract":"Background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Health","id":"ITEM-11","issue":"5","issued":{"date-parts":[["2010","11"]]},"note":"Accession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study.","type":"article-journal","volume":"38"},"uris":["http://www.mendeley.com/documents/?uuid=78beb7d0-a0fa-4834-9f1b-52f489a9a220"]},{"id":"ITEM-12","itemData":{"ISSN":"1879-0739","PMID":"19083401","abstract":"Certain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research","id":"ITEM-12","issue":"3","issued":{"date-parts":[["2008","3"]]},"page":"144-50","title":"Beverage intake improvement by high school students in Saskatchewan, Canada.","type":"article-journal","volume":"28"},"uris":["http://www.mendeley.com/documents/?uuid=fdc5051e-cbf7-4dcc-9784-097b6caadb05"]},{"id":"ITEM-13","itemData":{"ISSN":"1054-139X","abstract":"Purpose: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Health","id":"ITEM-13","issue":"2","issued":{"date-parts":[["2009","2"]]},"note":"Accession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intervention.","type":"article-journal","volume":"44"},"uris":["http://www.mendeley.com/documents/?uuid=3436d664-5481-4deb-9498-5b6cd81039b0"]},{"id":"ITEM-14","itemData":{"ISSN":"0360-1315","abstract":"Nutrition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Education","id":"ITEM-14","issued":{"date-parts":[["2015","10"]]},"note":"Accession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elements.","type":"article-journal","volume":"88"},"uris":["http://www.mendeley.com/documents/?uuid=d0bc6350-9c55-462b-82b0-80648f3f942f"]}],"mendeley":{"formattedCitation":"(Bere et al., 2006; Chin A Paw et al., 2008; Dowd et al., 2015; Dzewaltowski et al., 2009; Haerens et al., 2006; Hölund, 1990; Lien et al., 2010; Lo et al., 2008; Lubans et al., 2009; Mauriello et al., 2010; Neumark-Sztainer et al., 1995; Tsorbatzoudis, 2005; Wilson et al., 2012; Yang et al., 2015)","manualFormatting":"(Bere et al., 2006; Chin A Paw et al., 2008; Dowd et al., 2015; Dzewaltowski et al., 2009; Haerens et al., 2006; Hölund, 1990; Lien et al., 2010; Lo et al., 2008; Lubans et al., 2009; Mauriello et al., 2010; Neumark-Sztainer et al., 1995; Tsorbatzoudis, 2005; Wilson et al., 2012; Yang et al., 2015)","plainTextFormattedCitation":"(Bere et al., 2006; Chin A Paw et al., 2008; Dowd et al., 2015; Dzewaltowski et al., 2009; Haerens et al., 2006; Hölund, 1990; Lien et al., 2010; Lo et al., 2008; Lubans et al., 2009; Mauriello et al., 2010; Neumark-Sztainer et al., 1995; Tsorbatzoudis, 2005; Wilson et al., 2012; Yang et al., 2015)","previouslyFormattedCitation":"(Bere et al., 2006; Chin A Paw et al., 2008; Dowd et al., 2015; Dzewaltowski et al., 2009; Haerens et al., 2006; Hölund, 1990; Lien et al., 2010; Lo et al., 2008; Lubans et al., 2009; Mauriello et al., 2010; Neumark-Sztainer et al., 1995; Tsorbatzoudis, 2005; Wilson et al., 2012; 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2006; Chin A Paw et al., 2008; Dowd et al., 2015; Dzewaltowski et al., 2009; Haerens et al., 2006; Hölund, 1990; Lien et al., 2010; Lo et al., 2008; Lubans et al., 2009; Mauriello et al., 2010; Neumark-Sztainer et al., 1995; Tsorbatzoudis, 2005; Wilson et al., 2012; Yang et al., 2015)</w:t>
      </w:r>
      <w:r w:rsidRPr="00B1522E">
        <w:rPr>
          <w:rFonts w:eastAsia="Calibri" w:cstheme="minorHAnsi"/>
        </w:rPr>
        <w:fldChar w:fldCharType="end"/>
      </w:r>
      <w:r w:rsidRPr="00B1522E">
        <w:rPr>
          <w:rFonts w:eastAsia="Calibri" w:cstheme="minorHAnsi"/>
        </w:rPr>
        <w:t xml:space="preserve">, while two studies also included a measure mid-intervention </w:t>
      </w:r>
      <w:r w:rsidRPr="00B1522E">
        <w:rPr>
          <w:rFonts w:eastAsia="Calibri" w:cstheme="minorHAnsi"/>
        </w:rPr>
        <w:fldChar w:fldCharType="begin" w:fldLock="1"/>
      </w:r>
      <w:r w:rsidR="00660052" w:rsidRPr="00B1522E">
        <w:rPr>
          <w:rFonts w:eastAsia="Calibri" w:cstheme="minorHAnsi"/>
        </w:rPr>
        <w:instrText>ADDIN CSL_CITATION {"citationItems":[{"id":"ITEM-1","itemData":{"ISSN":"0360-1315","abstract":"Nutrition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study.","type":"article-journal","volume":"38"},"uris":["http://www.mendeley.com/documents/?uuid=78beb7d0-a0fa-4834-9f1b-52f489a9a220"]}],"mendeley":{"formattedCitation":"(Lien et al., 2010; Yang et al., 2015)","plainTextFormattedCitation":"(Lien et al., 2010; Yang et al., 2015)","previouslyFormattedCitation":"(Lien et al., 2010; 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(Lien et al., 2010; Yang et al., 2015)</w:t>
      </w:r>
      <w:r w:rsidRPr="00B1522E">
        <w:rPr>
          <w:rFonts w:eastAsia="Calibri" w:cstheme="minorHAnsi"/>
        </w:rPr>
        <w:fldChar w:fldCharType="end"/>
      </w:r>
      <w:r w:rsidRPr="00B1522E">
        <w:rPr>
          <w:rFonts w:eastAsia="Calibri" w:cstheme="minorHAnsi"/>
        </w:rPr>
        <w:t xml:space="preserve">. </w:t>
      </w:r>
    </w:p>
    <w:p w14:paraId="73D40D66" w14:textId="0F7E7F5E" w:rsidR="00987AC8" w:rsidRPr="00B1522E" w:rsidRDefault="00987AC8" w:rsidP="00734D95">
      <w:pPr>
        <w:spacing w:line="480" w:lineRule="auto"/>
        <w:ind w:firstLine="720"/>
        <w:jc w:val="both"/>
        <w:rPr>
          <w:rFonts w:eastAsia="Calibri" w:cstheme="minorHAnsi"/>
        </w:rPr>
      </w:pPr>
      <w:r w:rsidRPr="00B1522E">
        <w:rPr>
          <w:rFonts w:eastAsia="Calibri" w:cstheme="minorHAnsi"/>
        </w:rPr>
        <w:lastRenderedPageBreak/>
        <w:t xml:space="preserve">The majority of the studies (n = 22)  included at least one other measure that was not dietary behaviour, such as: the amount of physical activity (n = 14) </w:t>
      </w:r>
      <w:r w:rsidRPr="00B1522E">
        <w:rPr>
          <w:rFonts w:eastAsia="Calibri" w:cstheme="minorHAnsi"/>
        </w:rPr>
        <w:fldChar w:fldCharType="begin" w:fldLock="1"/>
      </w:r>
      <w:r w:rsidR="00FD502B" w:rsidRPr="00B1522E">
        <w:rPr>
          <w:rFonts w:eastAsia="Calibri" w:cstheme="minorHAnsi"/>
        </w:rPr>
        <w:instrText>ADDIN CSL_CITATION {"citationItems":[{"id":"ITEM-1","itemData":{"ISSN":"1869-6716","abstract":"The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Medicine","id":"ITEM-1","issue":"1","issued":{"date-parts":[["2015","3"]]},"note":"Accession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girls.","type":"article-journal","volume":"5"},"uris":["http://www.mendeley.com/documents/?uuid=caa5507f-dbd0-4a8e-8a1f-8c2b3fd377e1"]},{"id":"ITEM-2","itemData":{"ISSN":"1090-1981","abstract":"The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Behavior","id":"ITEM-2","issue":"3","issued":{"date-parts":[["2009","6"]]},"note":"Accession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schools.","type":"article-journal","volume":"36"},"uris":["http://www.mendeley.com/documents/?uuid=74f4efaf-f648-40ee-a537-6d3097cacbbf"]},{"id":"ITEM-3","itemData":{"ISSN":"0268-1153","abstract":"The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Research","id":"ITEM-3","issue":"6","issued":{"date-parts":[["2006","12"]]},"note":"Accession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children.","type":"article-journal","volume":"21"},"uris":["http://www.mendeley.com/documents/?uuid=bbef8914-979d-4764-8405-477314275444"]},{"id":"ITEM-4","itemData":{"ISSN":"1403-4948","abstract":"Background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Health","id":"ITEM-4","issue":"5","issued":{"date-parts":[["2010","11"]]},"note":"Accession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study.","type":"article-journal","volume":"38"},"uris":["http://www.mendeley.com/documents/?uuid=78beb7d0-a0fa-4834-9f1b-52f489a9a220"]},{"id":"ITEM-5","itemData":{"ISSN":"1054-139X","abstract":"Purpose: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Health","id":"ITEM-5","issue":"2","issued":{"date-parts":[["2009","2"]]},"note":"Accession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intervention.","type":"article-journal","volume":"44"},"uris":["http://www.mendeley.com/documents/?uuid=3436d664-5481-4deb-9498-5b6cd81039b0"]},{"id":"ITEM-6","itemData":{"ISSN":"0091-7435","abstract":"Background: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Theory","id":"ITEM-6","issue":"6","issued":{"date-parts":[["2010","12"]]},"note":"Accession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adolescents.","type":"article-journal","volume":"51"},"uris":["http://www.mendeley.com/documents/?uuid=74acfc22-4c53-4fd1-8464-3f7cdd79586e"]},{"id":"ITEM-7","itemData":{"ISSN":"00223182","abstract":"A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Education","id":"ITEM-7","issue":"1","issued":{"date-parts":[["1995","1"]]},"page":"24-31","title":"Eating disturbances among adolescent girls: Evaluation of a school-based primary prevention program","type":"article-journal","volume":"27"},"uris":["http://www.mendeley.com/documents/?uuid=588adb0d-18f3-406d-bdf5-5d66e25338c4"]},{"id":"ITEM-8","itemData":{"ISSN":"0268-1153","abstract":"Describes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Research","id":"ITEM-8","issue":"2","issued":{"date-parts":[["1987","6"]]},"note":"Accession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Life.'","type":"article-journal","volume":"2"},"uris":["http://www.mendeley.com/documents/?uuid=4ba034f3-de40-4333-9846-e6881c339756"]},{"id":"ITEM-9","itemData":{"ISSN":"1479-5868","abstract":"Background: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Activity","id":"ITEM-9","issued":{"date-parts":[["2011","2","4"]]},"note":"Accession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intakes.","type":"article-journal","volume":"8"},"uris":["http://www.mendeley.com/documents/?uuid=827f05f5-1374-4d29-b4c3-d6c4de5de2d7"]},{"id":"ITEM-10","itemData":{"ISSN":"1479-5868","abstract":"Background: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Activity","id":"ITEM-10","issued":{"date-parts":[["2016","12"]]},"note":"Accession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behaviors.","type":"article-journal","volume":"13"},"uris":["http://www.mendeley.com/documents/?uuid=823d9b1e-16f3-4ad7-ba7d-86b6176dc2c7"]},{"id":"ITEM-11","itemData":{"ISSN":"1087-3244","abstract":"Objective: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Behavior","id":"ITEM-11","issue":"5","issued":{"date-parts":[["2016","9"]]},"note":"Accession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behaviors.","type":"article-journal","volume":"40"},"uris":["http://www.mendeley.com/documents/?uuid=d63aebec-2716-44e4-bcb3-02defb99b8f6"]},{"id":"ITEM-12","itemData":{"ISSN":"1471-2458","abstract":"Few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Health","id":"ITEM-12","issue":"1","issued":{"date-parts":[["2017","9"]]},"page":"695","title":"Evaluation of a peer education program on student leaders' energy balance-related behaviors","type":"article-journal","volume":"17"},"uris":["http://www.mendeley.com/documents/?uuid=560d1118-94b4-43a0-8347-10a81bff7b3e"]},{"id":"ITEM-13","itemData":{"ISBN":"2153-2168","ISSN":"2153-2168","PMID":"28448174","abstract":"Background: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Obesity","id":"ITEM-13","issue":"4","issued":{"date-parts":[["2017"]]},"page":"300-313","title":"A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Study","type":"article-journal","volume":"13"},"uris":["http://www.mendeley.com/documents/?uuid=74a21169-2cf5-4820-beb8-c5f53e15a838"]},{"id":"ITEM-14","itemData":{"ISSN":"1545-1151","abstract":"INTRODUCTION: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Disease","id":"ITEM-14","issued":{"date-parts":[["2015","9","24"]]},"page":"1-105","publisher":"Centers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de Visser et al., 2016; Dowd et al., 2015; Dzewaltowski et al., 2009; Foley et al., 2017; Haerens et al., 2006; Hoelscher et al., 2016; Lien et al., 2010; Lubans et al., 2009; Maatoug et al., 2015; Mauriello et al., 2010; Neumark-Sztainer et al., 1995; Perry et al., 1987; Siega-Riz et al., 2011)","plainTextFormattedCitation":"(Aceves-Martins et al., 2017; de Visser et al., 2016; Dowd et al., 2015; Dzewaltowski et al., 2009; Foley et al., 2017; Haerens et al., 2006; Hoelscher et al., 2016; Lien et al., 2010; Lubans et al., 2009; Maatoug et al., 2015; Mauriello et al., 2010; Neumark-Sztainer et al., 1995; Perry et al., 1987; Siega-Riz et al., 2011)","previouslyFormattedCitation":"(Aceves-Martins et al., 2017; de Visser et al., 2016; Dowd et al., 2015; Dzewaltowski et al., 2009; Foley et al., 2017; Haerens et al., 2006; Hoelscher et al., 2016; Lien et al., 2010; Lubans et al., 2009; Maatoug et al., 2015; Mauriello et al., 2010; Neumark-Sztainer et al., 1995; Perry et al., 1987; Siega-Riz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de Visser et al., 2016; Dowd et al., 2015; Dzewaltowski et al., 2009; Foley et al., 2017; Haerens et al., 2006; Hoelscher et al., 2016; Lien et al., 2010; Lubans et al., 2009; Maatoug et al., 2015; Mauriello et al., 2010; Neumark-Sztainer et al., 1995; Perry et al., 1987; Siega-Riz et al., 2011)</w:t>
      </w:r>
      <w:r w:rsidRPr="00B1522E">
        <w:rPr>
          <w:rFonts w:eastAsia="Calibri" w:cstheme="minorHAnsi"/>
        </w:rPr>
        <w:fldChar w:fldCharType="end"/>
      </w:r>
      <w:r w:rsidRPr="00B1522E">
        <w:rPr>
          <w:rFonts w:eastAsia="Calibri" w:cstheme="minorHAnsi"/>
        </w:rPr>
        <w:t xml:space="preserve">, anthropometric assessment (body mass index; n = 8)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study.","type":"article-journal","volume":"38"},"uris":["http://www.mendeley.com/documents/?uuid=78beb7d0-a0fa-4834-9f1b-52f489a9a220"]},{"id":"ITEM-3","itemData":{"ISSN":"0091-7435","abstract":"Background: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Theory","id":"ITEM-3","issue":"6","issued":{"date-parts":[["2010","12"]]},"note":"Accession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adolescents.","type":"article-journal","volume":"51"},"uris":["http://www.mendeley.com/documents/?uuid=74acfc22-4c53-4fd1-8464-3f7cdd79586e"]},{"id":"ITEM-4","itemData":{"ISSN":"1087-3244","abstract":"Objectives: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Behavior","id":"ITEM-4","issue":"1","issued":{"date-parts":[["2015","1"]]},"note":"Accession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girls.","type":"article-journal","volume":"39"},"uris":["http://www.mendeley.com/documents/?uuid=7b8ee571-076a-4b5d-8ae8-9e0a03d039ae"]},{"id":"ITEM-5","itemData":{"ISSN":"00223182","abstract":"A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Education","id":"ITEM-5","issue":"1","issued":{"date-parts":[["1995","1"]]},"page":"24-31","title":"Eating disturbances among adolescent girls: Evaluation of a school-based primary prevention program","type":"article-journal","volume":"27"},"uris":["http://www.mendeley.com/documents/?uuid=588adb0d-18f3-406d-bdf5-5d66e25338c4"]},{"id":"ITEM-6","itemData":{"ISSN":"1479-5868","abstract":"Background: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Activity","id":"ITEM-6","issued":{"date-parts":[["2011","2","4"]]},"note":"Accession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intakes.","type":"article-journal","volume":"8"},"uris":["http://www.mendeley.com/documents/?uuid=827f05f5-1374-4d29-b4c3-d6c4de5de2d7"]},{"id":"ITEM-7","itemData":{"ISSN":"1545-1151","abstract":"INTRODUCTION: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Disease","id":"ITEM-7","issued":{"date-parts":[["2015","9","24"]]},"page":"1-105","publisher":"Centers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2009–2014","type":"article-journal","volume":"12"},"uris":["http://www.mendeley.com/documents/?uuid=7a939433-5065-4b4f-8418-9bf888206d98"]},{"id":"ITEM-8","itemData":{"ISBN":"2153-2168","ISSN":"2153-2168","PMID":"28448174","abstract":"Background: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Obesity","id":"ITEM-8","issue":"4","issued":{"date-parts":[["2017"]]},"page":"300-313","title":"A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Chin A Paw et al., 2008; Lien et al., 2010; Maatoug et al., 2015; Mauriello et al., 2010; McCabe et al., 2015; Neumark-Sztainer et al., 1995; Siega-Riz et al., 2011)","plainTextFormattedCitation":"(Aceves-Martins et al., 2017; Chin A Paw et al., 2008; Lien et al., 2010; Maatoug et al., 2015; Mauriello et al., 2010; McCabe et al., 2015; Neumark-Sztainer et al., 1995; Siega-Riz et al., 2011)","previouslyFormattedCitation":"(Aceves-Martins et al., 2017; Chin A Paw et al., 2008; Lien et al., 2010; Maatoug et al., 2015; Mauriello et al., 2010; McCabe et al., 2015; Neumark-Sztainer et al., 1995; Siega-Riz et al., 2011)"},"properties":{"noteIndex":0},"schema":"https://github.com/citation-style-language/schema/raw/master/csl-citation.json"}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(Aceves-Martins et al., 2017; Chin A Paw et al., 2008; Lien et al., 2010; Maatoug et al., 2015; Mauriello et al., 2010; McCabe et al., 2015; Neumark-Sztainer et al., 1995; Siega-Riz et al., 2011)</w:t>
      </w:r>
      <w:r w:rsidRPr="00B1522E">
        <w:rPr>
          <w:rFonts w:eastAsia="Calibri" w:cstheme="minorHAnsi"/>
        </w:rPr>
        <w:fldChar w:fldCharType="end"/>
      </w:r>
      <w:r w:rsidRPr="00B1522E">
        <w:rPr>
          <w:rFonts w:eastAsia="Calibri" w:cstheme="minorHAnsi"/>
        </w:rPr>
        <w:t xml:space="preserve">, physical and dietary social norms (subjective and group; n = 4)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Behavior","id":"ITEM-2","issue":"3","issued":{"date-parts":[["2009","6"]]},"note":"Accession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schools.","type":"article-journal","volume":"36"},"uris":["http://www.mendeley.com/documents/?uuid=74f4efaf-f648-40ee-a537-6d3097cacbbf"]},{"id":"ITEM-3","itemData":{"ISSN":"1359-107X","abstract":"Objective: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Psychology","id":"ITEM-3","issue":"4","issued":{"date-parts":[["2007","11"]]},"note":"Accession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framework.","type":"article-journal","volume":"12"},"uris":["http://www.mendeley.com/documents/?uuid=2c69d806-7516-4cd4-b2a3-27913c06c285"]},{"id":"ITEM-4","itemData":{"ISSN":"0031-5125","abstract":"The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Skills","id":"ITEM-4","issue":"2","issued":{"date-parts":[["2005","10"]]},"note":"Accession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eating.","type":"article-journal","volume":"101"},"uris":["http://www.mendeley.com/documents/?uuid=f16d6371-ae55-47d3-b34f-6f5099c47b13"]}],"mendeley":{"formattedCitation":"(Chin A Paw et al., 2008; Dzewaltowski et al., 2009; Gratton et al., 2007; Tsorbatzoudis, 2005)","plainTextFormattedCitation":"(Chin A Paw et al., 2008; Dzewaltowski et al., 2009; Gratton et al., 2007; Tsorbatzoudis, 2005)","previouslyFormattedCitation":"(Chin A Paw et al., 2008; Dzewaltowski et al., 2009; Gratton et al., 2007; Tsorbatzoudis, 2005)"},"properties":{"noteIndex":0},"schema":"https://github.com/citation-style-language/schema/raw/master/csl-citation.json"}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 Dzewaltowski et al., 2009; Gratton et al., 2007; Tsorbatzoudis, 2005)</w:t>
      </w:r>
      <w:r w:rsidRPr="00B1522E">
        <w:rPr>
          <w:rFonts w:eastAsia="Calibri" w:cstheme="minorHAnsi"/>
        </w:rPr>
        <w:fldChar w:fldCharType="end"/>
      </w:r>
      <w:r w:rsidRPr="00B1522E">
        <w:rPr>
          <w:rFonts w:eastAsia="Calibri" w:cstheme="minorHAnsi"/>
        </w:rPr>
        <w:t xml:space="preserve">, self-efficacy (n = 3) </w:t>
      </w:r>
      <w:r w:rsidRPr="00B1522E">
        <w:rPr>
          <w:rFonts w:eastAsia="Calibri" w:cstheme="minorHAnsi"/>
        </w:rPr>
        <w:fldChar w:fldCharType="begin" w:fldLock="1"/>
      </w:r>
      <w:r w:rsidR="00D046DC" w:rsidRPr="00B1522E">
        <w:rPr>
          <w:rFonts w:eastAsia="Calibri" w:cstheme="minorHAnsi"/>
        </w:rPr>
        <w:instrText>ADDIN CSL_CITATION {"citationItems":[{"id":"ITEM-1","itemData":{"ISSN":"1869-6716","abstract":"The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Medicine","id":"ITEM-1","issue":"1","issued":{"date-parts":[["2015","3"]]},"note":"Accession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girls.","type":"article-journal","volume":"5"},"uris":["http://www.mendeley.com/documents/?uuid=caa5507f-dbd0-4a8e-8a1f-8c2b3fd377e1"]},{"id":"ITEM-2","itemData":{"ISSN":"1090-1981","abstract":"The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Behavior","id":"ITEM-2","issue":"3","issued":{"date-parts":[["2009","6"]]},"note":"Accession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schools.","type":"article-journal","volume":"36"},"uris":["http://www.mendeley.com/documents/?uuid=74f4efaf-f648-40ee-a537-6d3097cacbbf"]},{"id":"ITEM-3","itemData":{"ISSN":"1087-3244","abstract":"Objectives: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Behavior","id":"ITEM-3","issue":"1","issued":{"date-parts":[["2015","1"]]},"note":"Accession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girls.","type":"article-journal","volume":"39"},"uris":["http://www.mendeley.com/documents/?uuid=7b8ee571-076a-4b5d-8ae8-9e0a03d039ae"]}],"mendeley":{"formattedCitation":"(Dowd et al., 2015; Dzewaltowski et al., 2009; McCabe et al., 2015)","plainTextFormattedCitation":"(Dowd et al., 2015; Dzewaltowski et al., 2009; McCabe et al., 2015)","previouslyFormattedCitation":"(Dowd et al., 2015; Dzewaltowski et al., 2009; McCabe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(Dowd et al., 2015; Dzewaltowski et al., 2009; McCabe et al., 2015)</w:t>
      </w:r>
      <w:r w:rsidRPr="00B1522E">
        <w:rPr>
          <w:rFonts w:eastAsia="Calibri" w:cstheme="minorHAnsi"/>
        </w:rPr>
        <w:fldChar w:fldCharType="end"/>
      </w:r>
      <w:r w:rsidRPr="00B1522E">
        <w:rPr>
          <w:rFonts w:eastAsia="Calibri" w:cstheme="minorHAnsi"/>
        </w:rPr>
        <w:t xml:space="preserve">, perceived behavioural control (n = 3)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Psychology","id":"ITEM-2","issue":"4","issued":{"date-parts":[["2007","11"]]},"note":"Accession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framework.","type":"article-journal","volume":"12"},"uris":["http://www.mendeley.com/documents/?uuid=2c69d806-7516-4cd4-b2a3-27913c06c285"]},{"id":"ITEM-3","itemData":{"ISSN":"0031-5125","abstract":"The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Skills","id":"ITEM-3","issue":"2","issued":{"date-parts":[["2005","10"]]},"note":"Accession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eating.","type":"article-journal","volume":"101"},"uris":["http://www.mendeley.com/documents/?uuid=f16d6371-ae55-47d3-b34f-6f5099c47b13"]}],"mendeley":{"formattedCitation":"(Chin A Paw et al., 2008; Gratton et al., 2007; Tsorbatzoudis, 2005)","plainTextFormattedCitation":"(Chin A Paw et al., 2008; Gratton et al., 2007; Tsorbatzoudis, 2005)","previouslyFormattedCitation":"(Chin A Paw et al., 2008; Gratton et al., 2007; Tsorbatzoudis, 2005)"},"properties":{"noteIndex":0},"schema":"https://github.com/citation-style-language/schema/raw/master/csl-citation.json"}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 Gratton et al., 2007; Tsorbatzoudis, 2005)</w:t>
      </w:r>
      <w:r w:rsidRPr="00B1522E">
        <w:rPr>
          <w:rFonts w:eastAsia="Calibri" w:cstheme="minorHAnsi"/>
        </w:rPr>
        <w:fldChar w:fldCharType="end"/>
      </w:r>
      <w:r w:rsidRPr="00B1522E">
        <w:rPr>
          <w:rFonts w:eastAsia="Calibri" w:cstheme="minorHAnsi"/>
        </w:rPr>
        <w:t xml:space="preserve">, behaviour intention (physical activity and dietary) (n = 5) </w:t>
      </w:r>
      <w:r w:rsidRPr="00B1522E">
        <w:rPr>
          <w:rFonts w:eastAsia="Calibri" w:cstheme="minorHAnsi"/>
        </w:rPr>
        <w:fldChar w:fldCharType="begin" w:fldLock="1"/>
      </w:r>
      <w:r w:rsidR="007463D4" w:rsidRPr="00B1522E">
        <w:rPr>
          <w:rFonts w:eastAsia="Calibri" w:cstheme="minorHAnsi"/>
        </w:rPr>
        <w:instrText>ADDIN CSL_CITATION {"citationItems":[{"id":"ITEM-1","itemData":{"ISSN":"1869-6716","abstract":"The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Medicine","id":"ITEM-1","issue":"1","issued":{"date-parts":[["2015","3"]]},"note":"Accession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girls.","type":"article-journal","volume":"5"},"uris":["http://www.mendeley.com/documents/?uuid=caa5507f-dbd0-4a8e-8a1f-8c2b3fd377e1"]},{"id":"ITEM-2","itemData":{"ISSN":"1359-107X","abstract":"Objective: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Psychology","id":"ITEM-2","issue":"4","issued":{"date-parts":[["2007","11"]]},"note":"Accession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framework.","type":"article-journal","volume":"12"},"uris":["http://www.mendeley.com/documents/?uuid=2c69d806-7516-4cd4-b2a3-27913c06c285"]},{"id":"ITEM-3","itemData":{"ISSN":"0268-1153","abstract":"Describes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Research","id":"ITEM-3","issue":"2","issued":{"date-parts":[["1987","6"]]},"note":"Accession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Life.'","type":"article-journal","volume":"2"},"uris":["http://www.mendeley.com/documents/?uuid=4ba034f3-de40-4333-9846-e6881c339756"]},{"id":"ITEM-4","itemData":{"ISSN":"0031-5125","abstract":"The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Skills","id":"ITEM-4","issue":"2","issued":{"date-parts":[["2005","10"]]},"note":"Accession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eating.","type":"article-journal","volume":"101"},"uris":["http://www.mendeley.com/documents/?uuid=f16d6371-ae55-47d3-b34f-6f5099c47b13"]},{"id":"ITEM-5","itemData":{"ISSN":"1471-2458","abstract":"Few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Health","id":"ITEM-5","issue":"1","issued":{"date-parts":[["2017","9"]]},"page":"695","title":"Evaluation of a peer education program on student leaders' energy balance-related behaviors","type":"article-journal","volume":"17"},"uris":["http://www.mendeley.com/documents/?uuid=560d1118-94b4-43a0-8347-10a81bff7b3e"]}],"mendeley":{"formattedCitation":"(Dowd et al., 2015; Foley et al., 2017; Gratton et al., 2007; Perry et al., 1987; Tsorbatzoudis, 2005)","plainTextFormattedCitation":"(Dowd et al., 2015; Foley et al., 2017; Gratton et al., 2007; Perry et al., 1987; Tsorbatzoudis, 2005)","previouslyFormattedCitation":"(Dowd et al., 2015; Foley et al., 2017; Gratton et al., 2007; Perry et al., 1987; Tsorbatzoudis, 2005)"},"properties":{"noteIndex":0},"schema":"https://github.com/citation-style-language/schema/raw/master/csl-citation.json"}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(Dowd et al., 2015; Foley et al., 2017; Gratton et al., 2007; Perry et al., 1987; Tsorbatzoudis, 2005)</w:t>
      </w:r>
      <w:r w:rsidRPr="00B1522E">
        <w:rPr>
          <w:rFonts w:eastAsia="Calibri" w:cstheme="minorHAnsi"/>
        </w:rPr>
        <w:fldChar w:fldCharType="end"/>
      </w:r>
      <w:r w:rsidRPr="00B1522E">
        <w:rPr>
          <w:rFonts w:eastAsia="Calibri" w:cstheme="minorHAnsi"/>
        </w:rPr>
        <w:t xml:space="preserve">, sedentary behaviours (including television viewing; n = 5) </w:t>
      </w:r>
      <w:r w:rsidRPr="00B1522E">
        <w:rPr>
          <w:rFonts w:eastAsia="Calibri" w:cstheme="minorHAnsi"/>
        </w:rPr>
        <w:fldChar w:fldCharType="begin" w:fldLock="1"/>
      </w:r>
      <w:r w:rsidR="00D046DC" w:rsidRPr="00B1522E">
        <w:rPr>
          <w:rFonts w:eastAsia="Calibri" w:cstheme="minorHAnsi"/>
        </w:rPr>
        <w:instrText>ADDIN CSL_CITATION {"citationItems":[{"id":"ITEM-1","itemData":{"ISSN":"1054-139X","abstract":"Purpose: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intervention.","type":"article-journal","volume":"44"},"uris":["http://www.mendeley.com/documents/?uuid=3436d664-5481-4deb-9498-5b6cd81039b0"]},{"id":"ITEM-2","itemData":{"ISSN":"0091-7435","abstract":"Background: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Theory","id":"ITEM-2","issue":"6","issued":{"date-parts":[["2010","12"]]},"note":"Accession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adolescents.","type":"article-journal","volume":"51"},"uris":["http://www.mendeley.com/documents/?uuid=74acfc22-4c53-4fd1-8464-3f7cdd79586e"]},{"id":"ITEM-3","itemData":{"ISSN":"1087-3244","abstract":"Objective: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Behavior","id":"ITEM-3","issue":"5","issued":{"date-parts":[["2016","9"]]},"note":"Accession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behaviors.","type":"article-journal","volume":"40"},"uris":["http://www.mendeley.com/documents/?uuid=d63aebec-2716-44e4-bcb3-02defb99b8f6"]},{"id":"ITEM-4","itemData":{"ISSN":"1471-2458","abstract":"Few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Health","id":"ITEM-4","issue":"1","issued":{"date-parts":[["2017","9"]]},"page":"695","title":"Evaluation of a peer education program on student leaders' energy balance-related behaviors","type":"article-journal","volume":"17"},"uris":["http://www.mendeley.com/documents/?uuid=560d1118-94b4-43a0-8347-10a81bff7b3e"]},{"id":"ITEM-5","itemData":{"ISBN":"2153-2168","ISSN":"2153-2168","PMID":"28448174","abstract":"Background: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Obesity","id":"ITEM-5","issue":"4","issued":{"date-parts":[["2017"]]},"page":"300-313","title":"A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de Visser et al., 2016; Foley et al., 2017; Lubans et al., 2009; Mauriello et al., 2010)","plainTextFormattedCitation":"(Aceves-Martins et al., 2017; de Visser et al., 2016; Foley et al., 2017; Lubans et al., 2009; Mauriello et al., 2010)","previouslyFormattedCitation":"(Aceves-Martins et al., 2017; de Visser et al., 2016; Foley et al., 2017; Lubans et al., 2009; Mauriello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de Visser et al., 2016; Foley et al., 2017; Lubans et al., 2009; Mauriello et al., 2010)</w:t>
      </w:r>
      <w:r w:rsidRPr="00B1522E">
        <w:rPr>
          <w:rFonts w:eastAsia="Calibri" w:cstheme="minorHAnsi"/>
        </w:rPr>
        <w:fldChar w:fldCharType="end"/>
      </w:r>
      <w:r w:rsidRPr="00B1522E">
        <w:rPr>
          <w:rFonts w:eastAsia="Calibri" w:cstheme="minorHAnsi"/>
        </w:rPr>
        <w:t xml:space="preserve">, habit strength (n = 1)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program.","type":"article-journal","volume":"5"},"uris":["http://www.mendeley.com/documents/?uuid=0ae3b1a2-a736-4e3f-8869-95e5f4733a34"]}],"mendeley":{"formattedCitation":"(Chin A Paw et al., 2008)","plainTextFormattedCitation":"(Chin A Paw et al., 2008)","previouslyFormattedCitation":"(Chin A Paw et al., 2008)"},"properties":{"noteIndex":0},"schema":"https://github.com/citation-style-language/schema/raw/master/csl-citation.json"}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w:t>
      </w:r>
      <w:r w:rsidRPr="00B1522E">
        <w:rPr>
          <w:rFonts w:eastAsia="Calibri" w:cstheme="minorHAnsi"/>
        </w:rPr>
        <w:fldChar w:fldCharType="end"/>
      </w:r>
      <w:r w:rsidRPr="00B1522E">
        <w:rPr>
          <w:rFonts w:eastAsia="Calibri" w:cstheme="minorHAnsi"/>
        </w:rPr>
        <w:t xml:space="preserve">, blood pressure (n = 1) </w:t>
      </w:r>
      <w:r w:rsidRPr="00B1522E">
        <w:rPr>
          <w:rFonts w:eastAsia="Calibri" w:cstheme="minorHAnsi"/>
        </w:rPr>
        <w:fldChar w:fldCharType="begin" w:fldLock="1"/>
      </w:r>
      <w:r w:rsidR="00D046DC" w:rsidRPr="00B1522E">
        <w:rPr>
          <w:rFonts w:eastAsia="Calibri" w:cstheme="minorHAnsi"/>
        </w:rPr>
        <w:instrText>ADDIN CSL_CITATION {"citationItems":[{"id":"ITEM-1","itemData":{"ISSN":"1479-5868","abstract":"Background: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intakes.","type":"article-journal","volume":"8"},"uris":["http://www.mendeley.com/documents/?uuid=827f05f5-1374-4d29-b4c3-d6c4de5de2d7"]}],"mendeley":{"formattedCitation":"(Siega-Riz et al., 2011)","plainTextFormattedCitation":"(Siega-Riz et al., 2011)","previouslyFormattedCitation":"(Siega-Riz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(Siega-Riz et al., 2011)</w:t>
      </w:r>
      <w:r w:rsidRPr="00B1522E">
        <w:rPr>
          <w:rFonts w:eastAsia="Calibri" w:cstheme="minorHAnsi"/>
        </w:rPr>
        <w:fldChar w:fldCharType="end"/>
      </w:r>
      <w:r w:rsidRPr="00B1522E">
        <w:rPr>
          <w:rFonts w:eastAsia="Calibri" w:cstheme="minorHAnsi"/>
        </w:rPr>
        <w:t xml:space="preserve">, tobacco use (n = 1) </w:t>
      </w:r>
      <w:r w:rsidRPr="00B1522E">
        <w:rPr>
          <w:rFonts w:eastAsia="Calibri" w:cstheme="minorHAnsi"/>
        </w:rPr>
        <w:fldChar w:fldCharType="begin" w:fldLock="1"/>
      </w:r>
      <w:r w:rsidR="007463D4" w:rsidRPr="00B1522E">
        <w:rPr>
          <w:rFonts w:eastAsia="Calibri" w:cstheme="minorHAnsi"/>
        </w:rPr>
        <w:instrText>ADDIN CSL_CITATION {"citationItems":[{"id":"ITEM-1","itemData":{"ISSN":"0091-7435","abstract":"Objective: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trial.","type":"article-journal","volume":"54"},"uris":["http://www.mendeley.com/documents/?uuid=7e4d5a33-052f-4c99-ab20-b4bf103139ae"]}],"mendeley":{"formattedCitation":"(Wilson et al., 2012)","plainTextFormattedCitation":"(Wilson et al., 2012)","previouslyFormattedCitation":"(Wilson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(Wilson et al., 2012)</w:t>
      </w:r>
      <w:r w:rsidRPr="00B1522E">
        <w:rPr>
          <w:rFonts w:eastAsia="Calibri" w:cstheme="minorHAnsi"/>
        </w:rPr>
        <w:fldChar w:fldCharType="end"/>
      </w:r>
      <w:r w:rsidRPr="00B1522E">
        <w:rPr>
          <w:rFonts w:eastAsia="Calibri" w:cstheme="minorHAnsi"/>
        </w:rPr>
        <w:t xml:space="preserve">, and self-perception (self-esteem and body dissatisfaction measures; n = 1) </w:t>
      </w:r>
      <w:r w:rsidRPr="00B1522E">
        <w:rPr>
          <w:rFonts w:eastAsia="Calibri" w:cstheme="minorHAnsi"/>
        </w:rPr>
        <w:fldChar w:fldCharType="begin" w:fldLock="1"/>
      </w:r>
      <w:r w:rsidR="007463D4" w:rsidRPr="00B1522E">
        <w:rPr>
          <w:rFonts w:eastAsia="Calibri" w:cstheme="minorHAnsi"/>
        </w:rPr>
        <w:instrText>ADDIN CSL_CITATION {"citationItems":[{"id":"ITEM-1","itemData":{"ISSN":"00223182","abstract":"A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Education","id":"ITEM-1","issue":"1","issued":{"date-parts":[["1995","1"]]},"page":"24-31","title":"Eating disturbances among adolescent girls: Evaluation of a school-based primary prevention program","type":"article-journal","volume":"27"},"uris":["http://www.mendeley.com/documents/?uuid=588adb0d-18f3-406d-bdf5-5d66e25338c4"]}],"mendeley":{"formattedCitation":"(Neumark-Sztainer et al., 1995)","plainTextFormattedCitation":"(Neumark-Sztainer et al., 1995)","previouslyFormattedCitation":"(Neumark-Sztainer et al., 1995)"},"properties":{"noteIndex":0},"schema":"https://github.com/citation-style-language/schema/raw/master/csl-citation.json"}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(Neumark-Sztainer et al., 1995)</w:t>
      </w:r>
      <w:r w:rsidRPr="00B1522E">
        <w:rPr>
          <w:rFonts w:eastAsia="Calibri" w:cstheme="minorHAnsi"/>
        </w:rPr>
        <w:fldChar w:fldCharType="end"/>
      </w:r>
      <w:r w:rsidRPr="00B1522E">
        <w:rPr>
          <w:rFonts w:eastAsia="Calibri" w:cstheme="minorHAnsi"/>
        </w:rPr>
        <w:t xml:space="preserve">. </w:t>
      </w:r>
    </w:p>
    <w:p w14:paraId="2912E7BC" w14:textId="490143DC" w:rsidR="00987AC8" w:rsidRPr="00B1522E" w:rsidRDefault="00987AC8" w:rsidP="00987AC8">
      <w:pPr>
        <w:spacing w:line="480" w:lineRule="auto"/>
        <w:jc w:val="both"/>
        <w:rPr>
          <w:rFonts w:eastAsia="Calibri" w:cstheme="minorHAnsi"/>
        </w:rPr>
      </w:pPr>
    </w:p>
    <w:p w14:paraId="50952F94" w14:textId="064F26BF" w:rsidR="00E94098" w:rsidRPr="00B1522E" w:rsidRDefault="00E94098" w:rsidP="00987AC8">
      <w:pPr>
        <w:spacing w:line="480" w:lineRule="auto"/>
        <w:jc w:val="both"/>
        <w:rPr>
          <w:rFonts w:eastAsia="Calibri" w:cstheme="minorHAnsi"/>
        </w:rPr>
      </w:pPr>
    </w:p>
    <w:p w14:paraId="258E2908" w14:textId="7545AE04" w:rsidR="00E94098" w:rsidRPr="00B1522E" w:rsidRDefault="00E94098" w:rsidP="00987AC8">
      <w:pPr>
        <w:spacing w:line="480" w:lineRule="auto"/>
        <w:jc w:val="both"/>
        <w:rPr>
          <w:rFonts w:eastAsia="Calibri" w:cstheme="minorHAnsi"/>
        </w:rPr>
      </w:pPr>
    </w:p>
    <w:p w14:paraId="0D31C159" w14:textId="13E9B328" w:rsidR="00E94098" w:rsidRPr="00B1522E" w:rsidRDefault="00E94098" w:rsidP="00987AC8">
      <w:pPr>
        <w:spacing w:line="480" w:lineRule="auto"/>
        <w:jc w:val="both"/>
        <w:rPr>
          <w:rFonts w:eastAsia="Calibri" w:cstheme="minorHAnsi"/>
        </w:rPr>
      </w:pPr>
    </w:p>
    <w:p w14:paraId="078ABF61" w14:textId="09690A07" w:rsidR="00E94098" w:rsidRPr="00B1522E" w:rsidRDefault="00E94098" w:rsidP="00987AC8">
      <w:pPr>
        <w:spacing w:line="480" w:lineRule="auto"/>
        <w:jc w:val="both"/>
        <w:rPr>
          <w:rFonts w:eastAsia="Calibri" w:cstheme="minorHAnsi"/>
        </w:rPr>
      </w:pPr>
    </w:p>
    <w:p w14:paraId="1DB26970" w14:textId="13DF11C6" w:rsidR="00E94098" w:rsidRPr="00B1522E" w:rsidRDefault="00E94098" w:rsidP="00987AC8">
      <w:pPr>
        <w:spacing w:line="480" w:lineRule="auto"/>
        <w:jc w:val="both"/>
        <w:rPr>
          <w:rFonts w:eastAsia="Calibri" w:cstheme="minorHAnsi"/>
        </w:rPr>
      </w:pPr>
    </w:p>
    <w:p w14:paraId="6FB9A14F" w14:textId="2C648213" w:rsidR="00E94098" w:rsidRPr="00B1522E" w:rsidRDefault="00E94098" w:rsidP="00987AC8">
      <w:pPr>
        <w:spacing w:line="480" w:lineRule="auto"/>
        <w:jc w:val="both"/>
        <w:rPr>
          <w:rFonts w:eastAsia="Calibri" w:cstheme="minorHAnsi"/>
        </w:rPr>
      </w:pPr>
    </w:p>
    <w:p w14:paraId="3AF1DC4E" w14:textId="77777777" w:rsidR="00DD4B31" w:rsidRPr="00B1522E" w:rsidRDefault="00DD4B31" w:rsidP="00A64BDA">
      <w:pPr>
        <w:keepNext/>
        <w:spacing w:line="480" w:lineRule="auto"/>
        <w:rPr>
          <w:rFonts w:eastAsia="Calibri" w:cstheme="minorHAnsi"/>
          <w:iCs/>
        </w:rPr>
        <w:sectPr w:rsidR="00DD4B31" w:rsidRPr="00B1522E" w:rsidSect="00D77EE2">
          <w:pgSz w:w="11906" w:h="16838"/>
          <w:pgMar w:top="1440" w:right="1440" w:bottom="1440" w:left="1440" w:header="708" w:footer="708" w:gutter="0"/>
          <w:pgNumType w:start="1"/>
          <w:cols w:space="708"/>
          <w:docGrid w:linePitch="360"/>
        </w:sectPr>
      </w:pPr>
    </w:p>
    <w:p w14:paraId="41EB7832" w14:textId="2E8A8671" w:rsidR="00A64BDA" w:rsidRPr="00B1522E" w:rsidRDefault="001F2939" w:rsidP="003F69BF">
      <w:pPr>
        <w:keepNext/>
        <w:spacing w:line="360" w:lineRule="auto"/>
        <w:rPr>
          <w:rFonts w:eastAsia="Calibri" w:cstheme="minorHAnsi"/>
          <w:iCs/>
        </w:rPr>
      </w:pPr>
      <w:r w:rsidRPr="00B1522E">
        <w:rPr>
          <w:b/>
          <w:bCs/>
          <w:i/>
          <w:iCs/>
        </w:rPr>
        <w:lastRenderedPageBreak/>
        <w:fldChar w:fldCharType="begin"/>
      </w:r>
      <w:r w:rsidRPr="00B1522E">
        <w:rPr>
          <w:b/>
          <w:bCs/>
        </w:rPr>
        <w:instrText xml:space="preserve"> TC  "</w:instrText>
      </w:r>
      <w:r w:rsidRPr="00B1522E">
        <w:rPr>
          <w:rFonts w:eastAsia="Calibri" w:cstheme="minorHAnsi"/>
          <w:iCs/>
        </w:rPr>
        <w:instrText xml:space="preserve"> </w:instrText>
      </w:r>
      <w:bookmarkStart w:id="45" w:name="_Toc97557127"/>
      <w:r w:rsidRPr="00B1522E">
        <w:rPr>
          <w:rFonts w:eastAsia="Calibri" w:cstheme="minorHAnsi"/>
          <w:iCs/>
        </w:rPr>
        <w:instrText xml:space="preserve">Table </w:instrText>
      </w:r>
      <w:r w:rsidR="006325D2" w:rsidRPr="00B1522E">
        <w:rPr>
          <w:rFonts w:eastAsia="Calibri" w:cstheme="minorHAnsi"/>
          <w:iCs/>
        </w:rPr>
        <w:instrText>4</w:instrText>
      </w:r>
      <w:r w:rsidRPr="00B1522E">
        <w:rPr>
          <w:rFonts w:eastAsia="Calibri" w:cstheme="minorHAnsi"/>
          <w:iCs/>
        </w:rPr>
        <w:instrText>. Description of studies included in the review.</w:instrText>
      </w:r>
      <w:bookmarkEnd w:id="45"/>
      <w:r w:rsidRPr="00B1522E">
        <w:rPr>
          <w:rFonts w:cstheme="minorHAnsi"/>
        </w:rPr>
        <w:instrText>”</w:instrText>
      </w:r>
      <w:r w:rsidRPr="00B1522E">
        <w:rPr>
          <w:b/>
          <w:bCs/>
        </w:rPr>
        <w:instrText xml:space="preserve">\f z\l 2 </w:instrText>
      </w:r>
      <w:r w:rsidRPr="00B1522E">
        <w:rPr>
          <w:b/>
          <w:bCs/>
          <w:i/>
          <w:iCs/>
        </w:rPr>
        <w:fldChar w:fldCharType="end"/>
      </w:r>
      <w:r w:rsidR="00A64BDA" w:rsidRPr="00B1522E">
        <w:rPr>
          <w:rFonts w:eastAsia="Calibri" w:cstheme="minorHAnsi"/>
          <w:iCs/>
        </w:rPr>
        <w:t>Table</w:t>
      </w:r>
      <w:r w:rsidR="009E608B" w:rsidRPr="00B1522E">
        <w:rPr>
          <w:rFonts w:eastAsia="Calibri" w:cstheme="minorHAnsi"/>
          <w:iCs/>
        </w:rPr>
        <w:t xml:space="preserve"> </w:t>
      </w:r>
      <w:r w:rsidR="006325D2" w:rsidRPr="00B1522E">
        <w:rPr>
          <w:rFonts w:eastAsia="Calibri" w:cstheme="minorHAnsi"/>
          <w:iCs/>
        </w:rPr>
        <w:t>4</w:t>
      </w:r>
      <w:r w:rsidR="00A64BDA" w:rsidRPr="00B1522E">
        <w:rPr>
          <w:rFonts w:eastAsia="Calibri" w:cstheme="minorHAnsi"/>
          <w:iCs/>
        </w:rPr>
        <w:t xml:space="preserve">. Description of studies included in the review. </w:t>
      </w:r>
    </w:p>
    <w:tbl>
      <w:tblPr>
        <w:tblStyle w:val="TableGrid11"/>
        <w:tblW w:w="1587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89"/>
        <w:gridCol w:w="1489"/>
        <w:gridCol w:w="1417"/>
        <w:gridCol w:w="1755"/>
        <w:gridCol w:w="3075"/>
        <w:gridCol w:w="3076"/>
        <w:gridCol w:w="2158"/>
        <w:gridCol w:w="1418"/>
      </w:tblGrid>
      <w:tr w:rsidR="00E77769" w:rsidRPr="00B1522E" w14:paraId="36BE7BE0" w14:textId="77777777" w:rsidTr="00966286">
        <w:trPr>
          <w:trHeight w:val="699"/>
        </w:trPr>
        <w:tc>
          <w:tcPr>
            <w:tcW w:w="1489" w:type="dxa"/>
            <w:tcBorders>
              <w:top w:val="single" w:sz="4" w:space="0" w:color="auto"/>
              <w:bottom w:val="single" w:sz="4" w:space="0" w:color="auto"/>
            </w:tcBorders>
          </w:tcPr>
          <w:p w14:paraId="40D6D215" w14:textId="77777777" w:rsidR="00AE4AC2" w:rsidRPr="00B1522E" w:rsidRDefault="00AE4AC2" w:rsidP="00AE4AC2">
            <w:pPr>
              <w:spacing w:line="480" w:lineRule="auto"/>
              <w:rPr>
                <w:rFonts w:eastAsia="Calibri" w:cstheme="minorHAnsi"/>
                <w:i/>
              </w:rPr>
            </w:pPr>
            <w:r w:rsidRPr="00B1522E">
              <w:rPr>
                <w:rFonts w:eastAsia="Calibri" w:cstheme="minorHAnsi"/>
                <w:i/>
              </w:rPr>
              <w:t>Author(s), Year and Journal</w:t>
            </w:r>
          </w:p>
        </w:tc>
        <w:tc>
          <w:tcPr>
            <w:tcW w:w="1489" w:type="dxa"/>
            <w:tcBorders>
              <w:top w:val="single" w:sz="4" w:space="0" w:color="auto"/>
              <w:bottom w:val="single" w:sz="4" w:space="0" w:color="auto"/>
            </w:tcBorders>
          </w:tcPr>
          <w:p w14:paraId="0C46498C" w14:textId="77777777" w:rsidR="00AE4AC2" w:rsidRPr="00B1522E" w:rsidRDefault="00AE4AC2" w:rsidP="00AE4AC2">
            <w:pPr>
              <w:spacing w:line="480" w:lineRule="auto"/>
              <w:rPr>
                <w:rFonts w:eastAsia="Calibri" w:cstheme="minorHAnsi"/>
                <w:i/>
              </w:rPr>
            </w:pPr>
            <w:r w:rsidRPr="00B1522E">
              <w:rPr>
                <w:rFonts w:eastAsia="Calibri" w:cstheme="minorHAnsi"/>
                <w:i/>
              </w:rPr>
              <w:t xml:space="preserve">Target dietary behaviour </w:t>
            </w:r>
          </w:p>
        </w:tc>
        <w:tc>
          <w:tcPr>
            <w:tcW w:w="1417" w:type="dxa"/>
            <w:tcBorders>
              <w:top w:val="single" w:sz="4" w:space="0" w:color="auto"/>
              <w:bottom w:val="single" w:sz="4" w:space="0" w:color="auto"/>
            </w:tcBorders>
          </w:tcPr>
          <w:p w14:paraId="7F803222" w14:textId="77777777" w:rsidR="00AE4AC2" w:rsidRPr="00B1522E" w:rsidRDefault="00AE4AC2" w:rsidP="00AE4AC2">
            <w:pPr>
              <w:spacing w:line="480" w:lineRule="auto"/>
              <w:rPr>
                <w:rFonts w:eastAsia="Calibri" w:cstheme="minorHAnsi"/>
                <w:i/>
              </w:rPr>
            </w:pPr>
            <w:r w:rsidRPr="00B1522E">
              <w:rPr>
                <w:rFonts w:eastAsia="Calibri" w:cstheme="minorHAnsi"/>
                <w:i/>
              </w:rPr>
              <w:t>Context and Sample size (at baseline)</w:t>
            </w:r>
          </w:p>
        </w:tc>
        <w:tc>
          <w:tcPr>
            <w:tcW w:w="1755" w:type="dxa"/>
            <w:tcBorders>
              <w:top w:val="single" w:sz="4" w:space="0" w:color="auto"/>
              <w:bottom w:val="single" w:sz="4" w:space="0" w:color="auto"/>
            </w:tcBorders>
            <w:shd w:val="clear" w:color="auto" w:fill="auto"/>
          </w:tcPr>
          <w:p w14:paraId="74103DFB" w14:textId="77777777" w:rsidR="00AE4AC2" w:rsidRPr="00B1522E" w:rsidRDefault="00AE4AC2" w:rsidP="00AE4AC2">
            <w:pPr>
              <w:spacing w:line="480" w:lineRule="auto"/>
              <w:rPr>
                <w:rFonts w:eastAsia="Calibri" w:cstheme="minorHAnsi"/>
                <w:i/>
              </w:rPr>
            </w:pPr>
            <w:r w:rsidRPr="00B1522E">
              <w:rPr>
                <w:rFonts w:eastAsia="Calibri" w:cstheme="minorHAnsi"/>
                <w:i/>
              </w:rPr>
              <w:t xml:space="preserve">Design </w:t>
            </w:r>
          </w:p>
        </w:tc>
        <w:tc>
          <w:tcPr>
            <w:tcW w:w="3075" w:type="dxa"/>
            <w:tcBorders>
              <w:top w:val="single" w:sz="4" w:space="0" w:color="auto"/>
              <w:bottom w:val="single" w:sz="4" w:space="0" w:color="auto"/>
            </w:tcBorders>
          </w:tcPr>
          <w:p w14:paraId="2E26BB4C" w14:textId="77777777" w:rsidR="00AE4AC2" w:rsidRPr="00B1522E" w:rsidRDefault="00AE4AC2" w:rsidP="00AE4AC2">
            <w:pPr>
              <w:spacing w:line="480" w:lineRule="auto"/>
              <w:rPr>
                <w:rFonts w:eastAsia="Calibri" w:cstheme="minorHAnsi"/>
                <w:i/>
              </w:rPr>
            </w:pPr>
            <w:r w:rsidRPr="00B1522E">
              <w:rPr>
                <w:rFonts w:eastAsia="Calibri" w:cstheme="minorHAnsi"/>
                <w:i/>
              </w:rPr>
              <w:t>Behaviour measure(s)</w:t>
            </w:r>
          </w:p>
          <w:p w14:paraId="1EEC28DB" w14:textId="77777777" w:rsidR="00AE4AC2" w:rsidRPr="00B1522E" w:rsidRDefault="00AE4AC2" w:rsidP="00AE4AC2">
            <w:pPr>
              <w:spacing w:line="480" w:lineRule="auto"/>
              <w:rPr>
                <w:rFonts w:eastAsia="Calibri" w:cstheme="minorHAnsi"/>
                <w:i/>
                <w:highlight w:val="cyan"/>
              </w:rPr>
            </w:pPr>
          </w:p>
        </w:tc>
        <w:tc>
          <w:tcPr>
            <w:tcW w:w="3076" w:type="dxa"/>
            <w:tcBorders>
              <w:top w:val="single" w:sz="4" w:space="0" w:color="auto"/>
              <w:bottom w:val="single" w:sz="4" w:space="0" w:color="auto"/>
            </w:tcBorders>
            <w:shd w:val="clear" w:color="auto" w:fill="auto"/>
          </w:tcPr>
          <w:p w14:paraId="64E80FA8" w14:textId="77777777" w:rsidR="00AE4AC2" w:rsidRPr="00B1522E" w:rsidRDefault="00AE4AC2" w:rsidP="00AE4AC2">
            <w:pPr>
              <w:spacing w:line="480" w:lineRule="auto"/>
              <w:rPr>
                <w:rFonts w:eastAsia="Calibri" w:cstheme="minorHAnsi"/>
                <w:i/>
              </w:rPr>
            </w:pPr>
            <w:r w:rsidRPr="00B1522E">
              <w:rPr>
                <w:rFonts w:eastAsia="Calibri" w:cstheme="minorHAnsi"/>
                <w:i/>
              </w:rPr>
              <w:t xml:space="preserve">Dietary behaviour results </w:t>
            </w:r>
          </w:p>
        </w:tc>
        <w:tc>
          <w:tcPr>
            <w:tcW w:w="2158" w:type="dxa"/>
            <w:tcBorders>
              <w:top w:val="single" w:sz="4" w:space="0" w:color="auto"/>
              <w:bottom w:val="single" w:sz="4" w:space="0" w:color="auto"/>
            </w:tcBorders>
          </w:tcPr>
          <w:p w14:paraId="35AD7F6A" w14:textId="77777777" w:rsidR="00AE4AC2" w:rsidRPr="00B1522E" w:rsidRDefault="00AE4AC2" w:rsidP="00AE4AC2">
            <w:pPr>
              <w:spacing w:line="480" w:lineRule="auto"/>
              <w:ind w:left="29" w:right="30"/>
              <w:rPr>
                <w:rFonts w:eastAsia="Calibri" w:cstheme="minorHAnsi"/>
                <w:i/>
              </w:rPr>
            </w:pPr>
            <w:r w:rsidRPr="00B1522E">
              <w:rPr>
                <w:rFonts w:eastAsia="Calibri" w:cstheme="minorHAnsi"/>
                <w:i/>
              </w:rPr>
              <w:t>Description of intervention*</w:t>
            </w:r>
          </w:p>
        </w:tc>
        <w:tc>
          <w:tcPr>
            <w:tcW w:w="1418" w:type="dxa"/>
            <w:tcBorders>
              <w:top w:val="single" w:sz="4" w:space="0" w:color="auto"/>
              <w:bottom w:val="single" w:sz="4" w:space="0" w:color="auto"/>
            </w:tcBorders>
          </w:tcPr>
          <w:p w14:paraId="5BFDE81D" w14:textId="77777777" w:rsidR="00AE4AC2" w:rsidRPr="00B1522E" w:rsidRDefault="00AE4AC2" w:rsidP="00AE4AC2">
            <w:pPr>
              <w:spacing w:line="480" w:lineRule="auto"/>
              <w:ind w:left="29" w:right="30"/>
              <w:rPr>
                <w:rFonts w:eastAsia="Calibri" w:cstheme="minorHAnsi"/>
                <w:i/>
              </w:rPr>
            </w:pPr>
            <w:r w:rsidRPr="00B1522E">
              <w:rPr>
                <w:rFonts w:eastAsia="Calibri" w:cstheme="minorHAnsi"/>
                <w:i/>
              </w:rPr>
              <w:t xml:space="preserve">Quality assessment </w:t>
            </w:r>
          </w:p>
        </w:tc>
      </w:tr>
      <w:tr w:rsidR="00E77769" w:rsidRPr="00B1522E" w14:paraId="26C91DB3" w14:textId="77777777" w:rsidTr="00B87A8B">
        <w:trPr>
          <w:trHeight w:val="3280"/>
        </w:trPr>
        <w:tc>
          <w:tcPr>
            <w:tcW w:w="1489" w:type="dxa"/>
            <w:tcBorders>
              <w:top w:val="single" w:sz="4" w:space="0" w:color="auto"/>
            </w:tcBorders>
          </w:tcPr>
          <w:p w14:paraId="44A303F6" w14:textId="77777777" w:rsidR="00AE4AC2" w:rsidRPr="00B1522E" w:rsidRDefault="00AE4AC2" w:rsidP="00AE4AC2">
            <w:pPr>
              <w:spacing w:line="480" w:lineRule="auto"/>
              <w:rPr>
                <w:rFonts w:eastAsia="Calibri" w:cstheme="minorHAnsi"/>
              </w:rPr>
            </w:pPr>
            <w:r w:rsidRPr="00B1522E">
              <w:rPr>
                <w:rFonts w:eastAsia="Calibri" w:cstheme="minorHAnsi"/>
              </w:rPr>
              <w:t>Aceves-Martins et al. (2017)</w:t>
            </w:r>
          </w:p>
        </w:tc>
        <w:tc>
          <w:tcPr>
            <w:tcW w:w="1489" w:type="dxa"/>
            <w:tcBorders>
              <w:top w:val="single" w:sz="4" w:space="0" w:color="auto"/>
            </w:tcBorders>
          </w:tcPr>
          <w:p w14:paraId="3CDBC810"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and eating breakfast on a regular basis </w:t>
            </w:r>
          </w:p>
        </w:tc>
        <w:tc>
          <w:tcPr>
            <w:tcW w:w="1417" w:type="dxa"/>
            <w:tcBorders>
              <w:top w:val="single" w:sz="4" w:space="0" w:color="auto"/>
            </w:tcBorders>
          </w:tcPr>
          <w:p w14:paraId="5696E388" w14:textId="77777777" w:rsidR="00AE4AC2" w:rsidRPr="00B1522E" w:rsidRDefault="00AE4AC2" w:rsidP="00AE4AC2">
            <w:pPr>
              <w:spacing w:line="480" w:lineRule="auto"/>
              <w:rPr>
                <w:rFonts w:eastAsia="Calibri" w:cstheme="minorHAnsi"/>
              </w:rPr>
            </w:pPr>
            <w:r w:rsidRPr="00B1522E">
              <w:rPr>
                <w:rFonts w:eastAsia="Calibri" w:cstheme="minorHAnsi"/>
              </w:rPr>
              <w:t>4 schools in Spain.</w:t>
            </w:r>
          </w:p>
          <w:p w14:paraId="75A3AA73" w14:textId="77777777" w:rsidR="00AE4AC2" w:rsidRPr="00B1522E" w:rsidRDefault="00AE4AC2" w:rsidP="00AE4AC2">
            <w:pPr>
              <w:spacing w:line="480" w:lineRule="auto"/>
              <w:rPr>
                <w:rFonts w:eastAsia="Calibri" w:cstheme="minorHAnsi"/>
              </w:rPr>
            </w:pPr>
            <w:r w:rsidRPr="00B1522E">
              <w:rPr>
                <w:rFonts w:eastAsia="Calibri" w:cstheme="minorHAnsi"/>
              </w:rPr>
              <w:t>(n) 393</w:t>
            </w:r>
          </w:p>
        </w:tc>
        <w:tc>
          <w:tcPr>
            <w:tcW w:w="1755" w:type="dxa"/>
            <w:tcBorders>
              <w:top w:val="single" w:sz="4" w:space="0" w:color="auto"/>
            </w:tcBorders>
          </w:tcPr>
          <w:p w14:paraId="22CEFA03" w14:textId="77777777" w:rsidR="00AE4AC2" w:rsidRPr="00B1522E" w:rsidRDefault="00AE4AC2" w:rsidP="00AE4AC2">
            <w:pPr>
              <w:spacing w:line="480" w:lineRule="auto"/>
              <w:rPr>
                <w:rFonts w:eastAsia="Calibri" w:cstheme="minorHAnsi"/>
              </w:rPr>
            </w:pPr>
            <w:r w:rsidRPr="00B1522E">
              <w:rPr>
                <w:rFonts w:eastAsia="Calibri" w:cstheme="minorHAnsi"/>
              </w:rPr>
              <w:t>Random control trial (RCT). Intervention groups compared to control groups.</w:t>
            </w:r>
          </w:p>
        </w:tc>
        <w:tc>
          <w:tcPr>
            <w:tcW w:w="3075" w:type="dxa"/>
            <w:tcBorders>
              <w:top w:val="single" w:sz="4" w:space="0" w:color="auto"/>
            </w:tcBorders>
          </w:tcPr>
          <w:p w14:paraId="7959FEDB" w14:textId="77777777" w:rsidR="00AE4AC2" w:rsidRPr="00B1522E" w:rsidRDefault="00AE4AC2" w:rsidP="00AE4AC2">
            <w:pPr>
              <w:spacing w:line="480" w:lineRule="auto"/>
              <w:rPr>
                <w:rFonts w:eastAsia="Calibri" w:cstheme="minorHAnsi"/>
              </w:rPr>
            </w:pPr>
            <w:r w:rsidRPr="00B1522E">
              <w:rPr>
                <w:rFonts w:eastAsia="Calibri" w:cstheme="minorHAnsi"/>
              </w:rPr>
              <w:t>Participants completed online questionnaires to measure: Food frequency (FFQ), physical activity levels and amount of screen time. These measurements were taken at two time points (baseline and post).</w:t>
            </w:r>
          </w:p>
        </w:tc>
        <w:tc>
          <w:tcPr>
            <w:tcW w:w="3076" w:type="dxa"/>
            <w:tcBorders>
              <w:top w:val="single" w:sz="4" w:space="0" w:color="auto"/>
            </w:tcBorders>
          </w:tcPr>
          <w:p w14:paraId="0C93197D" w14:textId="4EBAFBB3" w:rsidR="00AE4AC2" w:rsidRPr="00B1522E" w:rsidRDefault="00AE4AC2" w:rsidP="00AE4AC2">
            <w:pPr>
              <w:spacing w:line="480" w:lineRule="auto"/>
              <w:rPr>
                <w:rFonts w:eastAsia="Calibri" w:cstheme="minorHAnsi"/>
              </w:rPr>
            </w:pPr>
            <w:r w:rsidRPr="00B1522E">
              <w:rPr>
                <w:rFonts w:eastAsia="Calibri" w:cstheme="minorHAnsi"/>
              </w:rPr>
              <w:t>The intervention schools showed a significant increase compared to the control in: -</w:t>
            </w:r>
          </w:p>
          <w:p w14:paraId="024582B1" w14:textId="0506AEE4" w:rsidR="00AE4AC2" w:rsidRPr="00B1522E" w:rsidRDefault="00AE4AC2" w:rsidP="00AA5DD9">
            <w:pPr>
              <w:numPr>
                <w:ilvl w:val="0"/>
                <w:numId w:val="30"/>
              </w:numPr>
              <w:spacing w:line="480" w:lineRule="auto"/>
              <w:contextualSpacing/>
              <w:rPr>
                <w:rFonts w:eastAsia="Calibri" w:cstheme="minorHAnsi"/>
              </w:rPr>
            </w:pPr>
            <w:r w:rsidRPr="00B1522E">
              <w:rPr>
                <w:rFonts w:eastAsia="Calibri" w:cstheme="minorHAnsi"/>
              </w:rPr>
              <w:t>Increased fruit consumption (p &lt; .01).</w:t>
            </w:r>
          </w:p>
          <w:p w14:paraId="3FB36F35" w14:textId="6C7024DC" w:rsidR="00AE4AC2" w:rsidRPr="00B1522E" w:rsidRDefault="00AE4AC2" w:rsidP="00AA5DD9">
            <w:pPr>
              <w:numPr>
                <w:ilvl w:val="0"/>
                <w:numId w:val="30"/>
              </w:numPr>
              <w:spacing w:line="480" w:lineRule="auto"/>
              <w:contextualSpacing/>
              <w:rPr>
                <w:rFonts w:eastAsia="Calibri" w:cstheme="minorHAnsi"/>
              </w:rPr>
            </w:pPr>
            <w:r w:rsidRPr="00B1522E">
              <w:rPr>
                <w:rFonts w:eastAsia="Calibri" w:cstheme="minorHAnsi"/>
              </w:rPr>
              <w:t>Males also increased vegetable consumption (p &lt; .01).</w:t>
            </w:r>
          </w:p>
          <w:p w14:paraId="61BE12DB" w14:textId="3A23B0C8" w:rsidR="00AE4AC2" w:rsidRPr="00B1522E" w:rsidRDefault="00AE4AC2" w:rsidP="00AE4AC2">
            <w:pPr>
              <w:spacing w:line="480" w:lineRule="auto"/>
              <w:rPr>
                <w:rFonts w:eastAsia="Calibri" w:cstheme="minorHAnsi"/>
              </w:rPr>
            </w:pPr>
            <w:r w:rsidRPr="00B1522E">
              <w:rPr>
                <w:rFonts w:eastAsia="Calibri" w:cstheme="minorHAnsi"/>
              </w:rPr>
              <w:t>In-group change (intervention group): -</w:t>
            </w:r>
          </w:p>
          <w:p w14:paraId="53E63ACB" w14:textId="2543096E" w:rsidR="00AE4AC2" w:rsidRPr="00B1522E" w:rsidRDefault="00AE4AC2" w:rsidP="00AA5DD9">
            <w:pPr>
              <w:numPr>
                <w:ilvl w:val="0"/>
                <w:numId w:val="28"/>
              </w:numPr>
              <w:spacing w:line="480" w:lineRule="auto"/>
              <w:contextualSpacing/>
              <w:rPr>
                <w:rFonts w:eastAsia="Calibri" w:cstheme="minorHAnsi"/>
              </w:rPr>
            </w:pPr>
            <w:r w:rsidRPr="00B1522E">
              <w:rPr>
                <w:rFonts w:eastAsia="Calibri" w:cstheme="minorHAnsi"/>
              </w:rPr>
              <w:t>Increased breakfast consumption (p &lt; .01).</w:t>
            </w:r>
          </w:p>
        </w:tc>
        <w:tc>
          <w:tcPr>
            <w:tcW w:w="2158" w:type="dxa"/>
            <w:tcBorders>
              <w:top w:val="single" w:sz="4" w:space="0" w:color="auto"/>
              <w:right w:val="nil"/>
            </w:tcBorders>
          </w:tcPr>
          <w:p w14:paraId="426A526A" w14:textId="77777777" w:rsidR="00AE4AC2" w:rsidRPr="00B1522E" w:rsidRDefault="00AE4AC2" w:rsidP="00AA5DD9">
            <w:pPr>
              <w:numPr>
                <w:ilvl w:val="0"/>
                <w:numId w:val="31"/>
              </w:numPr>
              <w:spacing w:line="480" w:lineRule="auto"/>
              <w:contextualSpacing/>
              <w:rPr>
                <w:rFonts w:eastAsia="Calibri" w:cstheme="minorHAnsi"/>
              </w:rPr>
            </w:pPr>
            <w:r w:rsidRPr="00B1522E">
              <w:rPr>
                <w:rFonts w:eastAsia="Calibri" w:cstheme="minorHAnsi"/>
              </w:rPr>
              <w:t>2 school years</w:t>
            </w:r>
          </w:p>
          <w:p w14:paraId="03E89017" w14:textId="77777777" w:rsidR="00AE4AC2" w:rsidRPr="00B1522E" w:rsidRDefault="00AE4AC2" w:rsidP="00AA5DD9">
            <w:pPr>
              <w:numPr>
                <w:ilvl w:val="0"/>
                <w:numId w:val="31"/>
              </w:numPr>
              <w:spacing w:line="480" w:lineRule="auto"/>
              <w:contextualSpacing/>
              <w:rPr>
                <w:rFonts w:eastAsia="Calibri" w:cstheme="minorHAnsi"/>
              </w:rPr>
            </w:pPr>
            <w:r w:rsidRPr="00B1522E">
              <w:rPr>
                <w:rFonts w:eastAsia="Calibri" w:cstheme="minorHAnsi"/>
              </w:rPr>
              <w:t>13-16 years old (14.69 intervention and 14.63 control (mean))</w:t>
            </w:r>
          </w:p>
          <w:p w14:paraId="0BEC8532" w14:textId="77777777" w:rsidR="00AE4AC2" w:rsidRPr="00B1522E" w:rsidRDefault="00AE4AC2" w:rsidP="00AA5DD9">
            <w:pPr>
              <w:numPr>
                <w:ilvl w:val="0"/>
                <w:numId w:val="31"/>
              </w:numPr>
              <w:spacing w:line="480" w:lineRule="auto"/>
              <w:contextualSpacing/>
              <w:rPr>
                <w:rFonts w:eastAsia="Calibri" w:cstheme="minorHAnsi"/>
              </w:rPr>
            </w:pPr>
            <w:r w:rsidRPr="00B1522E">
              <w:rPr>
                <w:rFonts w:eastAsia="Calibri" w:cstheme="minorHAnsi"/>
              </w:rPr>
              <w:t>No specific theoretical base identified</w:t>
            </w:r>
          </w:p>
        </w:tc>
        <w:tc>
          <w:tcPr>
            <w:tcW w:w="1418" w:type="dxa"/>
            <w:tcBorders>
              <w:top w:val="single" w:sz="4" w:space="0" w:color="auto"/>
              <w:left w:val="nil"/>
            </w:tcBorders>
          </w:tcPr>
          <w:p w14:paraId="0BBE838B" w14:textId="77777777" w:rsidR="00AE4AC2" w:rsidRPr="00B1522E" w:rsidRDefault="00AE4AC2" w:rsidP="00AE4AC2">
            <w:pPr>
              <w:spacing w:line="480" w:lineRule="auto"/>
              <w:rPr>
                <w:rFonts w:eastAsia="Calibri" w:cstheme="minorHAnsi"/>
              </w:rPr>
            </w:pPr>
            <w:r w:rsidRPr="00B1522E">
              <w:rPr>
                <w:rFonts w:eastAsia="Calibri" w:cstheme="minorHAnsi"/>
              </w:rPr>
              <w:t>Moderate</w:t>
            </w:r>
          </w:p>
        </w:tc>
      </w:tr>
      <w:tr w:rsidR="00E77769" w:rsidRPr="00B1522E" w14:paraId="43335F0A" w14:textId="77777777" w:rsidTr="00B87A8B">
        <w:trPr>
          <w:trHeight w:val="3280"/>
        </w:trPr>
        <w:tc>
          <w:tcPr>
            <w:tcW w:w="1489" w:type="dxa"/>
          </w:tcPr>
          <w:p w14:paraId="0C852A55" w14:textId="5DE4EDE3"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DB273B"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later","type":"article-journal","volume":"4"},"uris":["http://www.mendeley.com/documents/?uuid=c57324e0-7849-4506-9783-9bf0eec726c9"]}],"mendeley":{"formattedCitation":"(Bere et al., 2007)","manualFormatting":"Bere et al.(2006)","plainTextFormattedCitation":"(Bere et al., 2007)","previouslyFormattedCitation":"(Bere et al., 2007)"},"properties":{"noteIndex":0},"schema":"https://github.com/citation-style-language/schema/raw/master/csl-citation.json"}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al.(2006)</w:t>
            </w:r>
            <w:r w:rsidRPr="00B1522E">
              <w:rPr>
                <w:rFonts w:eastAsia="Calibri" w:cstheme="minorHAnsi"/>
              </w:rPr>
              <w:fldChar w:fldCharType="end"/>
            </w:r>
            <w:r w:rsidRPr="00B1522E">
              <w:rPr>
                <w:rFonts w:eastAsia="Calibri" w:cstheme="minorHAnsi"/>
              </w:rPr>
              <w:t xml:space="preserve"> </w:t>
            </w:r>
          </w:p>
        </w:tc>
        <w:tc>
          <w:tcPr>
            <w:tcW w:w="1489" w:type="dxa"/>
          </w:tcPr>
          <w:p w14:paraId="6BB5AB3C" w14:textId="77777777" w:rsidR="00AE4AC2" w:rsidRPr="00B1522E" w:rsidRDefault="00AE4AC2" w:rsidP="00AE4AC2">
            <w:pPr>
              <w:spacing w:line="480" w:lineRule="auto"/>
              <w:rPr>
                <w:rFonts w:eastAsia="Calibri" w:cstheme="minorHAnsi"/>
              </w:rPr>
            </w:pPr>
            <w:r w:rsidRPr="00B1522E">
              <w:rPr>
                <w:rFonts w:eastAsia="Calibri" w:cstheme="minorHAnsi"/>
              </w:rPr>
              <w:t>Fruit and vegetable consumption</w:t>
            </w:r>
          </w:p>
        </w:tc>
        <w:tc>
          <w:tcPr>
            <w:tcW w:w="1417" w:type="dxa"/>
          </w:tcPr>
          <w:p w14:paraId="33770B04" w14:textId="77777777" w:rsidR="00AE4AC2" w:rsidRPr="00B1522E" w:rsidRDefault="00AE4AC2" w:rsidP="00AE4AC2">
            <w:pPr>
              <w:spacing w:line="480" w:lineRule="auto"/>
              <w:rPr>
                <w:rFonts w:eastAsia="Calibri" w:cstheme="minorHAnsi"/>
              </w:rPr>
            </w:pPr>
            <w:r w:rsidRPr="00B1522E">
              <w:rPr>
                <w:rFonts w:eastAsia="Calibri" w:cstheme="minorHAnsi"/>
              </w:rPr>
              <w:t>38 Norwegian schools.</w:t>
            </w:r>
          </w:p>
          <w:p w14:paraId="78EE79C8" w14:textId="77777777" w:rsidR="00AE4AC2" w:rsidRPr="00B1522E" w:rsidRDefault="00AE4AC2" w:rsidP="00AE4AC2">
            <w:pPr>
              <w:spacing w:line="480" w:lineRule="auto"/>
              <w:rPr>
                <w:rFonts w:eastAsia="Calibri" w:cstheme="minorHAnsi"/>
                <w:highlight w:val="cyan"/>
              </w:rPr>
            </w:pPr>
            <w:r w:rsidRPr="00B1522E">
              <w:rPr>
                <w:rFonts w:eastAsia="Calibri" w:cstheme="minorHAnsi"/>
              </w:rPr>
              <w:t>(n) 1950</w:t>
            </w:r>
          </w:p>
        </w:tc>
        <w:tc>
          <w:tcPr>
            <w:tcW w:w="1755" w:type="dxa"/>
          </w:tcPr>
          <w:p w14:paraId="6FC2EBFC"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23E405FB" w14:textId="49F8BEB1" w:rsidR="00AE4AC2" w:rsidRPr="00B1522E" w:rsidRDefault="00AE4AC2" w:rsidP="00AE4AC2">
            <w:pPr>
              <w:spacing w:line="480" w:lineRule="auto"/>
              <w:rPr>
                <w:rFonts w:eastAsia="Calibri" w:cstheme="minorHAnsi"/>
              </w:rPr>
            </w:pPr>
            <w:r w:rsidRPr="00B1522E">
              <w:rPr>
                <w:rFonts w:eastAsia="Calibri" w:cstheme="minorHAnsi"/>
              </w:rPr>
              <w:t xml:space="preserve">Past 24-hour recall of fruit and vegetable consumption, along with a FFQ at three time points (baseline, 8 </w:t>
            </w:r>
            <w:r w:rsidR="00780733" w:rsidRPr="00B1522E">
              <w:rPr>
                <w:rFonts w:eastAsia="Calibri" w:cstheme="minorHAnsi"/>
              </w:rPr>
              <w:t>months,</w:t>
            </w:r>
            <w:r w:rsidRPr="00B1522E">
              <w:rPr>
                <w:rFonts w:eastAsia="Calibri" w:cstheme="minorHAnsi"/>
              </w:rPr>
              <w:t xml:space="preserve"> and 4 years) to investigate the intervention (school fruit programme – free fruit)</w:t>
            </w:r>
          </w:p>
        </w:tc>
        <w:tc>
          <w:tcPr>
            <w:tcW w:w="3076" w:type="dxa"/>
          </w:tcPr>
          <w:p w14:paraId="7DC62328" w14:textId="0437B436" w:rsidR="00AE4AC2" w:rsidRPr="00B1522E" w:rsidRDefault="00AE4AC2" w:rsidP="00AE4AC2">
            <w:pPr>
              <w:spacing w:line="480" w:lineRule="auto"/>
              <w:rPr>
                <w:rFonts w:eastAsia="Calibri" w:cstheme="minorHAnsi"/>
              </w:rPr>
            </w:pPr>
            <w:r w:rsidRPr="00B1522E">
              <w:rPr>
                <w:rFonts w:eastAsia="Calibri" w:cstheme="minorHAnsi"/>
              </w:rPr>
              <w:t xml:space="preserve">The intervention schools showed a significant increase at 8 months and sustained at three year follow-up compared to the control </w:t>
            </w:r>
            <w:r w:rsidR="00780733" w:rsidRPr="00B1522E">
              <w:rPr>
                <w:rFonts w:eastAsia="Calibri" w:cstheme="minorHAnsi"/>
              </w:rPr>
              <w:t>in: -</w:t>
            </w:r>
          </w:p>
          <w:p w14:paraId="353F9F7B" w14:textId="17CD7E08" w:rsidR="00AE4AC2" w:rsidRPr="00B1522E" w:rsidRDefault="00AE4AC2" w:rsidP="00AA5DD9">
            <w:pPr>
              <w:numPr>
                <w:ilvl w:val="0"/>
                <w:numId w:val="22"/>
              </w:numPr>
              <w:spacing w:line="480" w:lineRule="auto"/>
              <w:contextualSpacing/>
              <w:rPr>
                <w:rFonts w:eastAsia="Calibri" w:cstheme="minorHAnsi"/>
              </w:rPr>
            </w:pPr>
            <w:r w:rsidRPr="00B1522E">
              <w:rPr>
                <w:rFonts w:eastAsia="Calibri" w:cstheme="minorHAnsi"/>
              </w:rPr>
              <w:t>Fruit and vegetable intake (p &lt; .001).</w:t>
            </w:r>
          </w:p>
        </w:tc>
        <w:tc>
          <w:tcPr>
            <w:tcW w:w="2158" w:type="dxa"/>
            <w:tcBorders>
              <w:right w:val="nil"/>
            </w:tcBorders>
          </w:tcPr>
          <w:p w14:paraId="64D60587" w14:textId="77777777" w:rsidR="00AE4AC2" w:rsidRPr="00B1522E" w:rsidRDefault="00AE4AC2" w:rsidP="00AA5DD9">
            <w:pPr>
              <w:numPr>
                <w:ilvl w:val="0"/>
                <w:numId w:val="32"/>
              </w:numPr>
              <w:spacing w:line="480" w:lineRule="auto"/>
              <w:contextualSpacing/>
              <w:rPr>
                <w:rFonts w:eastAsia="Calibri" w:cstheme="minorHAnsi"/>
              </w:rPr>
            </w:pPr>
            <w:r w:rsidRPr="00B1522E">
              <w:rPr>
                <w:rFonts w:eastAsia="Calibri" w:cstheme="minorHAnsi"/>
              </w:rPr>
              <w:t>1 school year</w:t>
            </w:r>
          </w:p>
          <w:p w14:paraId="019EEFB4" w14:textId="77777777" w:rsidR="00AE4AC2" w:rsidRPr="00B1522E" w:rsidRDefault="00AE4AC2" w:rsidP="00AA5DD9">
            <w:pPr>
              <w:numPr>
                <w:ilvl w:val="0"/>
                <w:numId w:val="32"/>
              </w:numPr>
              <w:spacing w:line="480" w:lineRule="auto"/>
              <w:contextualSpacing/>
              <w:rPr>
                <w:rFonts w:eastAsia="Calibri" w:cstheme="minorHAnsi"/>
              </w:rPr>
            </w:pPr>
            <w:r w:rsidRPr="00B1522E">
              <w:rPr>
                <w:rFonts w:eastAsia="Calibri" w:cstheme="minorHAnsi"/>
              </w:rPr>
              <w:t>11.8 years old (mean)</w:t>
            </w:r>
          </w:p>
          <w:p w14:paraId="495E6FD5" w14:textId="77777777" w:rsidR="00AE4AC2" w:rsidRPr="00B1522E" w:rsidRDefault="00AE4AC2" w:rsidP="00AA5DD9">
            <w:pPr>
              <w:numPr>
                <w:ilvl w:val="0"/>
                <w:numId w:val="32"/>
              </w:numPr>
              <w:spacing w:line="480" w:lineRule="auto"/>
              <w:contextualSpacing/>
              <w:rPr>
                <w:rFonts w:eastAsia="Calibri" w:cstheme="minorHAnsi"/>
              </w:rPr>
            </w:pPr>
            <w:r w:rsidRPr="00B1522E">
              <w:rPr>
                <w:rFonts w:eastAsia="Calibri" w:cstheme="minorHAnsi"/>
              </w:rPr>
              <w:t xml:space="preserve">Ecological model </w:t>
            </w:r>
          </w:p>
        </w:tc>
        <w:tc>
          <w:tcPr>
            <w:tcW w:w="1418" w:type="dxa"/>
            <w:tcBorders>
              <w:left w:val="nil"/>
            </w:tcBorders>
          </w:tcPr>
          <w:p w14:paraId="46F514FF" w14:textId="77777777" w:rsidR="00AE4AC2" w:rsidRPr="00B1522E" w:rsidRDefault="00AE4AC2" w:rsidP="00AE4AC2">
            <w:pPr>
              <w:spacing w:line="480" w:lineRule="auto"/>
              <w:rPr>
                <w:rFonts w:eastAsia="Calibri" w:cstheme="minorHAnsi"/>
              </w:rPr>
            </w:pPr>
            <w:r w:rsidRPr="00B1522E">
              <w:rPr>
                <w:rFonts w:eastAsia="Calibri" w:cstheme="minorHAnsi"/>
              </w:rPr>
              <w:t>Weak</w:t>
            </w:r>
          </w:p>
        </w:tc>
      </w:tr>
      <w:tr w:rsidR="00E77769" w:rsidRPr="00B1522E" w14:paraId="2CD76D6B" w14:textId="77777777" w:rsidTr="00B87A8B">
        <w:trPr>
          <w:trHeight w:val="292"/>
        </w:trPr>
        <w:tc>
          <w:tcPr>
            <w:tcW w:w="1489" w:type="dxa"/>
          </w:tcPr>
          <w:p w14:paraId="24D1EBC2" w14:textId="51A76D6E"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adolescents?","type":"article-journal","volume":"29"},"uris":["http://www.mendeley.com/documents/?uuid=5a0fd06f-d095-4747-85c1-849d749fe87a"]}],"mendeley":{"formattedCitation":"(Birnbaum et al., 2002)","manualFormatting":"Birnbaum et al. (2002)","plainTextFormattedCitation":"(Birnbaum et al., 2002)","previouslyFormattedCitation":"(Birnbaum et al., 2002)"},"properties":{"noteIndex":0},"schema":"https://github.com/citation-style-language/schema/raw/master/csl-citation.json"}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Birnbaum et al. (2002)</w:t>
            </w:r>
            <w:r w:rsidRPr="00B1522E">
              <w:rPr>
                <w:rFonts w:eastAsia="Calibri" w:cstheme="minorHAnsi"/>
              </w:rPr>
              <w:fldChar w:fldCharType="end"/>
            </w:r>
            <w:r w:rsidRPr="00B1522E">
              <w:rPr>
                <w:rFonts w:eastAsia="Calibri" w:cstheme="minorHAnsi"/>
              </w:rPr>
              <w:t xml:space="preserve"> </w:t>
            </w:r>
          </w:p>
        </w:tc>
        <w:tc>
          <w:tcPr>
            <w:tcW w:w="1489" w:type="dxa"/>
          </w:tcPr>
          <w:p w14:paraId="244E4540"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w:t>
            </w:r>
          </w:p>
        </w:tc>
        <w:tc>
          <w:tcPr>
            <w:tcW w:w="1417" w:type="dxa"/>
          </w:tcPr>
          <w:p w14:paraId="69C35E92" w14:textId="77777777" w:rsidR="00AE4AC2" w:rsidRPr="00B1522E" w:rsidRDefault="00AE4AC2" w:rsidP="00AE4AC2">
            <w:pPr>
              <w:spacing w:line="480" w:lineRule="auto"/>
              <w:rPr>
                <w:rFonts w:eastAsia="Calibri" w:cstheme="minorHAnsi"/>
              </w:rPr>
            </w:pPr>
            <w:r w:rsidRPr="00B1522E">
              <w:rPr>
                <w:rFonts w:eastAsia="Calibri" w:cstheme="minorHAnsi"/>
              </w:rPr>
              <w:t>16 schools in the USA.</w:t>
            </w:r>
          </w:p>
          <w:p w14:paraId="070FFB55" w14:textId="77777777" w:rsidR="00AE4AC2" w:rsidRPr="00B1522E" w:rsidRDefault="00AE4AC2" w:rsidP="00AE4AC2">
            <w:pPr>
              <w:spacing w:line="480" w:lineRule="auto"/>
              <w:rPr>
                <w:rFonts w:eastAsia="Calibri" w:cstheme="minorHAnsi"/>
              </w:rPr>
            </w:pPr>
            <w:r w:rsidRPr="00B1522E">
              <w:rPr>
                <w:rFonts w:eastAsia="Calibri" w:cstheme="minorHAnsi"/>
              </w:rPr>
              <w:t>(n)3878</w:t>
            </w:r>
          </w:p>
        </w:tc>
        <w:tc>
          <w:tcPr>
            <w:tcW w:w="1755" w:type="dxa"/>
          </w:tcPr>
          <w:p w14:paraId="0B299BC3" w14:textId="5A498623" w:rsidR="00AE4AC2" w:rsidRPr="00B1522E" w:rsidRDefault="00AE4AC2" w:rsidP="00AE4AC2">
            <w:pPr>
              <w:spacing w:line="480" w:lineRule="auto"/>
              <w:rPr>
                <w:rFonts w:eastAsia="Calibri" w:cstheme="minorHAnsi"/>
              </w:rPr>
            </w:pPr>
            <w:r w:rsidRPr="00B1522E">
              <w:rPr>
                <w:rFonts w:eastAsia="Calibri" w:cstheme="minorHAnsi"/>
              </w:rPr>
              <w:t xml:space="preserve">RCT. Four groups: - </w:t>
            </w:r>
          </w:p>
          <w:p w14:paraId="56493DF0" w14:textId="77777777" w:rsidR="00AE4AC2" w:rsidRPr="00B1522E" w:rsidRDefault="00AE4AC2" w:rsidP="00AE4AC2">
            <w:pPr>
              <w:spacing w:line="480" w:lineRule="auto"/>
              <w:rPr>
                <w:rFonts w:eastAsia="Calibri" w:cstheme="minorHAnsi"/>
              </w:rPr>
            </w:pPr>
            <w:r w:rsidRPr="00B1522E">
              <w:rPr>
                <w:rFonts w:eastAsia="Calibri" w:cstheme="minorHAnsi"/>
              </w:rPr>
              <w:t xml:space="preserve">1) Control, </w:t>
            </w:r>
          </w:p>
          <w:p w14:paraId="52D9FF92" w14:textId="77777777" w:rsidR="00AE4AC2" w:rsidRPr="00B1522E" w:rsidRDefault="00AE4AC2" w:rsidP="00AE4AC2">
            <w:pPr>
              <w:spacing w:line="480" w:lineRule="auto"/>
              <w:rPr>
                <w:rFonts w:eastAsia="Calibri" w:cstheme="minorHAnsi"/>
              </w:rPr>
            </w:pPr>
            <w:r w:rsidRPr="00B1522E">
              <w:rPr>
                <w:rFonts w:eastAsia="Calibri" w:cstheme="minorHAnsi"/>
              </w:rPr>
              <w:t xml:space="preserve">2) School environment </w:t>
            </w:r>
          </w:p>
          <w:p w14:paraId="102E66A6" w14:textId="77777777" w:rsidR="00AE4AC2" w:rsidRPr="00B1522E" w:rsidRDefault="00AE4AC2" w:rsidP="00AE4AC2">
            <w:pPr>
              <w:spacing w:line="480" w:lineRule="auto"/>
              <w:rPr>
                <w:rFonts w:eastAsia="Calibri" w:cstheme="minorHAnsi"/>
              </w:rPr>
            </w:pPr>
            <w:r w:rsidRPr="00B1522E">
              <w:rPr>
                <w:rFonts w:eastAsia="Calibri" w:cstheme="minorHAnsi"/>
              </w:rPr>
              <w:t xml:space="preserve">3) Classroom plus school environment </w:t>
            </w:r>
          </w:p>
          <w:p w14:paraId="5F24A347"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4) Peer leaders, classroom and school environment  </w:t>
            </w:r>
          </w:p>
        </w:tc>
        <w:tc>
          <w:tcPr>
            <w:tcW w:w="3075" w:type="dxa"/>
          </w:tcPr>
          <w:p w14:paraId="1B98C4BE"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FFQ, Paired food questionnaire and a theory of planned behaviour questionnaire (eating behaviour change) were completed at baseline and 1-year follow-up.</w:t>
            </w:r>
          </w:p>
        </w:tc>
        <w:tc>
          <w:tcPr>
            <w:tcW w:w="3076" w:type="dxa"/>
          </w:tcPr>
          <w:p w14:paraId="4EC080B8" w14:textId="24DA0721" w:rsidR="00AE4AC2" w:rsidRPr="00B1522E" w:rsidRDefault="00AE4AC2" w:rsidP="00AE4AC2">
            <w:pPr>
              <w:spacing w:line="480" w:lineRule="auto"/>
              <w:rPr>
                <w:rFonts w:eastAsia="Calibri" w:cstheme="minorHAnsi"/>
              </w:rPr>
            </w:pPr>
            <w:r w:rsidRPr="00B1522E">
              <w:rPr>
                <w:rFonts w:eastAsia="Calibri" w:cstheme="minorHAnsi"/>
              </w:rPr>
              <w:t>A significant effect was seen in group 4 compared to the other groups results showed an increase in: -</w:t>
            </w:r>
          </w:p>
          <w:p w14:paraId="4A16E890" w14:textId="4168ADCE" w:rsidR="00AE4AC2" w:rsidRPr="00B1522E" w:rsidRDefault="00AE4AC2" w:rsidP="00AA5DD9">
            <w:pPr>
              <w:numPr>
                <w:ilvl w:val="0"/>
                <w:numId w:val="33"/>
              </w:numPr>
              <w:spacing w:line="480" w:lineRule="auto"/>
              <w:contextualSpacing/>
              <w:rPr>
                <w:rFonts w:eastAsia="Calibri" w:cstheme="minorHAnsi"/>
              </w:rPr>
            </w:pPr>
            <w:r w:rsidRPr="00B1522E">
              <w:rPr>
                <w:rFonts w:eastAsia="Calibri" w:cstheme="minorHAnsi"/>
              </w:rPr>
              <w:t xml:space="preserve">Number of servings of fruit and vegetables (p = .012). </w:t>
            </w:r>
          </w:p>
          <w:p w14:paraId="6BE4AE5B" w14:textId="67E09AD0" w:rsidR="00AE4AC2" w:rsidRPr="00B1522E" w:rsidRDefault="00AE4AC2" w:rsidP="00AA5DD9">
            <w:pPr>
              <w:numPr>
                <w:ilvl w:val="0"/>
                <w:numId w:val="33"/>
              </w:numPr>
              <w:spacing w:line="480" w:lineRule="auto"/>
              <w:contextualSpacing/>
              <w:rPr>
                <w:rFonts w:eastAsia="Calibri" w:cstheme="minorHAnsi"/>
              </w:rPr>
            </w:pPr>
            <w:r w:rsidRPr="00B1522E">
              <w:rPr>
                <w:rFonts w:eastAsia="Calibri" w:cstheme="minorHAnsi"/>
              </w:rPr>
              <w:t xml:space="preserve">Tendency to choose low-fat foods (p = .002). </w:t>
            </w:r>
          </w:p>
          <w:p w14:paraId="3F01D54A" w14:textId="3E90E810" w:rsidR="00AE4AC2" w:rsidRPr="00B1522E" w:rsidRDefault="00AE4AC2" w:rsidP="00AE4AC2">
            <w:pPr>
              <w:spacing w:line="480" w:lineRule="auto"/>
              <w:rPr>
                <w:rFonts w:eastAsia="Calibri" w:cstheme="minorHAnsi"/>
              </w:rPr>
            </w:pPr>
            <w:r w:rsidRPr="00B1522E">
              <w:rPr>
                <w:rFonts w:eastAsia="Calibri" w:cstheme="minorHAnsi"/>
              </w:rPr>
              <w:lastRenderedPageBreak/>
              <w:t>Also, group 3 showed a significant effect of a tendency to choose low-fat foods (p &lt; .001)</w:t>
            </w:r>
          </w:p>
        </w:tc>
        <w:tc>
          <w:tcPr>
            <w:tcW w:w="2158" w:type="dxa"/>
            <w:tcBorders>
              <w:right w:val="nil"/>
            </w:tcBorders>
          </w:tcPr>
          <w:p w14:paraId="44605804" w14:textId="77777777" w:rsidR="00AE4AC2" w:rsidRPr="00B1522E" w:rsidRDefault="00AE4AC2" w:rsidP="00AA5DD9">
            <w:pPr>
              <w:numPr>
                <w:ilvl w:val="0"/>
                <w:numId w:val="34"/>
              </w:numPr>
              <w:spacing w:line="480" w:lineRule="auto"/>
              <w:contextualSpacing/>
              <w:rPr>
                <w:rFonts w:eastAsia="Calibri" w:cstheme="minorHAnsi"/>
              </w:rPr>
            </w:pPr>
            <w:r w:rsidRPr="00B1522E">
              <w:rPr>
                <w:rFonts w:eastAsia="Calibri" w:cstheme="minorHAnsi"/>
              </w:rPr>
              <w:lastRenderedPageBreak/>
              <w:t>1 school year</w:t>
            </w:r>
          </w:p>
          <w:p w14:paraId="3F1D6D04" w14:textId="77777777" w:rsidR="00AE4AC2" w:rsidRPr="00B1522E" w:rsidRDefault="00AE4AC2" w:rsidP="00AA5DD9">
            <w:pPr>
              <w:numPr>
                <w:ilvl w:val="0"/>
                <w:numId w:val="34"/>
              </w:numPr>
              <w:spacing w:line="480" w:lineRule="auto"/>
              <w:contextualSpacing/>
              <w:rPr>
                <w:rFonts w:eastAsia="Calibri" w:cstheme="minorHAnsi"/>
              </w:rPr>
            </w:pPr>
            <w:r w:rsidRPr="00B1522E">
              <w:rPr>
                <w:rFonts w:eastAsia="Calibri" w:cstheme="minorHAnsi"/>
              </w:rPr>
              <w:t>12-13 years old</w:t>
            </w:r>
          </w:p>
          <w:p w14:paraId="66EC0AF1" w14:textId="77777777" w:rsidR="00AE4AC2" w:rsidRPr="00B1522E" w:rsidRDefault="00AE4AC2" w:rsidP="00AA5DD9">
            <w:pPr>
              <w:numPr>
                <w:ilvl w:val="0"/>
                <w:numId w:val="34"/>
              </w:numPr>
              <w:spacing w:line="480" w:lineRule="auto"/>
              <w:contextualSpacing/>
              <w:rPr>
                <w:rFonts w:eastAsia="Calibri" w:cstheme="minorHAnsi"/>
              </w:rPr>
            </w:pPr>
            <w:r w:rsidRPr="00B1522E">
              <w:rPr>
                <w:rFonts w:eastAsia="Calibri" w:cstheme="minorHAnsi"/>
              </w:rPr>
              <w:t>Social Cognitive theory</w:t>
            </w:r>
          </w:p>
          <w:p w14:paraId="086CAD40" w14:textId="77777777" w:rsidR="00AE4AC2" w:rsidRPr="00B1522E" w:rsidRDefault="00AE4AC2" w:rsidP="00AE4AC2">
            <w:pPr>
              <w:spacing w:line="480" w:lineRule="auto"/>
              <w:rPr>
                <w:rFonts w:eastAsia="Calibri" w:cstheme="minorHAnsi"/>
              </w:rPr>
            </w:pPr>
          </w:p>
        </w:tc>
        <w:tc>
          <w:tcPr>
            <w:tcW w:w="1418" w:type="dxa"/>
            <w:tcBorders>
              <w:left w:val="nil"/>
            </w:tcBorders>
          </w:tcPr>
          <w:p w14:paraId="4C3F20BA" w14:textId="77777777" w:rsidR="00AE4AC2" w:rsidRPr="00B1522E" w:rsidRDefault="00AE4AC2" w:rsidP="00AE4AC2">
            <w:pPr>
              <w:spacing w:line="480" w:lineRule="auto"/>
              <w:rPr>
                <w:rFonts w:eastAsia="Calibri" w:cstheme="minorHAnsi"/>
              </w:rPr>
            </w:pPr>
            <w:r w:rsidRPr="00B1522E">
              <w:rPr>
                <w:rFonts w:eastAsia="Calibri" w:cstheme="minorHAnsi"/>
              </w:rPr>
              <w:t xml:space="preserve">Moderate </w:t>
            </w:r>
          </w:p>
        </w:tc>
      </w:tr>
      <w:tr w:rsidR="00E77769" w:rsidRPr="00B1522E" w14:paraId="155D26E4" w14:textId="77777777" w:rsidTr="00966286">
        <w:trPr>
          <w:trHeight w:val="701"/>
        </w:trPr>
        <w:tc>
          <w:tcPr>
            <w:tcW w:w="1489" w:type="dxa"/>
          </w:tcPr>
          <w:p w14:paraId="5F8D6049" w14:textId="3F80A121"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Behavior","id":"ITEM-1","issue":"5","issued":{"date-parts":[["2011","9"]]},"note":"Accession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choices.","type":"article-journal","volume":"43"},"uris":["http://www.mendeley.com/documents/?uuid=7656a537-f4ec-41dc-aa44-b227ceddf977"]}],"mendeley":{"formattedCitation":"(Bukhari et al., 2011)","manualFormatting":"Bukhari et al, (2011)","plainTextFormattedCitation":"(Bukhari et al., 2011)","previouslyFormattedCitation":"(Bukhari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Bukhari et al, (2011)</w:t>
            </w:r>
            <w:r w:rsidRPr="00B1522E">
              <w:rPr>
                <w:rFonts w:eastAsia="Calibri" w:cstheme="minorHAnsi"/>
              </w:rPr>
              <w:fldChar w:fldCharType="end"/>
            </w:r>
            <w:r w:rsidRPr="00B1522E">
              <w:rPr>
                <w:rFonts w:eastAsia="Calibri" w:cstheme="minorHAnsi"/>
              </w:rPr>
              <w:t xml:space="preserve"> </w:t>
            </w:r>
          </w:p>
        </w:tc>
        <w:tc>
          <w:tcPr>
            <w:tcW w:w="1489" w:type="dxa"/>
          </w:tcPr>
          <w:p w14:paraId="4DB3B61F" w14:textId="77777777" w:rsidR="00AE4AC2" w:rsidRPr="00B1522E" w:rsidRDefault="00AE4AC2" w:rsidP="00AE4AC2">
            <w:pPr>
              <w:spacing w:line="480" w:lineRule="auto"/>
              <w:rPr>
                <w:rFonts w:eastAsia="Calibri" w:cstheme="minorHAnsi"/>
              </w:rPr>
            </w:pPr>
            <w:r w:rsidRPr="00B1522E">
              <w:rPr>
                <w:rFonts w:eastAsia="Calibri" w:cstheme="minorHAnsi"/>
              </w:rPr>
              <w:t xml:space="preserve">To increase healthy snacking </w:t>
            </w:r>
          </w:p>
        </w:tc>
        <w:tc>
          <w:tcPr>
            <w:tcW w:w="1417" w:type="dxa"/>
          </w:tcPr>
          <w:p w14:paraId="025EA8CB" w14:textId="77777777" w:rsidR="00AE4AC2" w:rsidRPr="00B1522E" w:rsidRDefault="00AE4AC2" w:rsidP="00AE4AC2">
            <w:pPr>
              <w:spacing w:line="480" w:lineRule="auto"/>
              <w:rPr>
                <w:rFonts w:eastAsia="Calibri" w:cstheme="minorHAnsi"/>
              </w:rPr>
            </w:pPr>
            <w:r w:rsidRPr="00B1522E">
              <w:rPr>
                <w:rFonts w:eastAsia="Calibri" w:cstheme="minorHAnsi"/>
              </w:rPr>
              <w:t>1 school in the USA. (n)98</w:t>
            </w:r>
          </w:p>
        </w:tc>
        <w:tc>
          <w:tcPr>
            <w:tcW w:w="1755" w:type="dxa"/>
          </w:tcPr>
          <w:p w14:paraId="047E2BF2"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 (art class)</w:t>
            </w:r>
          </w:p>
        </w:tc>
        <w:tc>
          <w:tcPr>
            <w:tcW w:w="3075" w:type="dxa"/>
          </w:tcPr>
          <w:p w14:paraId="77689F3B" w14:textId="77777777" w:rsidR="00AE4AC2" w:rsidRPr="00B1522E" w:rsidRDefault="00AE4AC2" w:rsidP="00AE4AC2">
            <w:pPr>
              <w:spacing w:line="480" w:lineRule="auto"/>
              <w:rPr>
                <w:rFonts w:eastAsia="Calibri" w:cstheme="minorHAnsi"/>
              </w:rPr>
            </w:pPr>
            <w:r w:rsidRPr="00B1522E">
              <w:rPr>
                <w:rFonts w:eastAsia="Calibri" w:cstheme="minorHAnsi"/>
              </w:rPr>
              <w:t>FFQs were completed at baseline and post-measure of dietary behaviour, the questionnaire also included questions about attitude and culinary skills.</w:t>
            </w:r>
          </w:p>
        </w:tc>
        <w:tc>
          <w:tcPr>
            <w:tcW w:w="3076" w:type="dxa"/>
          </w:tcPr>
          <w:p w14:paraId="03B193BD" w14:textId="77777777" w:rsidR="00AE4AC2" w:rsidRPr="00B1522E" w:rsidRDefault="00AE4AC2" w:rsidP="00AE4AC2">
            <w:pPr>
              <w:spacing w:line="480" w:lineRule="auto"/>
              <w:rPr>
                <w:rFonts w:eastAsia="Calibri" w:cstheme="minorHAnsi"/>
              </w:rPr>
            </w:pPr>
            <w:r w:rsidRPr="00B1522E">
              <w:rPr>
                <w:rFonts w:eastAsia="Calibri" w:cstheme="minorHAnsi"/>
              </w:rPr>
              <w:t xml:space="preserve">Compared to the control intervention class showed significant increases in: </w:t>
            </w:r>
          </w:p>
          <w:p w14:paraId="4E7D60D9" w14:textId="58238494" w:rsidR="00AE4AC2" w:rsidRPr="00B1522E" w:rsidRDefault="00AE4AC2" w:rsidP="00AA5DD9">
            <w:pPr>
              <w:numPr>
                <w:ilvl w:val="0"/>
                <w:numId w:val="35"/>
              </w:numPr>
              <w:spacing w:line="480" w:lineRule="auto"/>
              <w:contextualSpacing/>
              <w:rPr>
                <w:rFonts w:eastAsia="Calibri" w:cstheme="minorHAnsi"/>
              </w:rPr>
            </w:pPr>
            <w:r w:rsidRPr="00B1522E">
              <w:rPr>
                <w:rFonts w:eastAsia="Calibri" w:cstheme="minorHAnsi"/>
              </w:rPr>
              <w:t>Eating vegetables as snacks (p &lt; .001)</w:t>
            </w:r>
          </w:p>
          <w:p w14:paraId="3AF93E99" w14:textId="65A208A4" w:rsidR="00AE4AC2" w:rsidRPr="00B1522E" w:rsidRDefault="00AE4AC2" w:rsidP="00AA5DD9">
            <w:pPr>
              <w:numPr>
                <w:ilvl w:val="0"/>
                <w:numId w:val="35"/>
              </w:numPr>
              <w:spacing w:line="480" w:lineRule="auto"/>
              <w:contextualSpacing/>
              <w:rPr>
                <w:rFonts w:eastAsia="Calibri" w:cstheme="minorHAnsi"/>
              </w:rPr>
            </w:pPr>
            <w:r w:rsidRPr="00B1522E">
              <w:rPr>
                <w:rFonts w:eastAsia="Calibri" w:cstheme="minorHAnsi"/>
              </w:rPr>
              <w:t>Preparing snacks for self (p &lt; .01)</w:t>
            </w:r>
          </w:p>
          <w:p w14:paraId="06E33E4A" w14:textId="1432647B" w:rsidR="00AE4AC2" w:rsidRPr="00B1522E" w:rsidRDefault="00AE4AC2" w:rsidP="00AA5DD9">
            <w:pPr>
              <w:numPr>
                <w:ilvl w:val="0"/>
                <w:numId w:val="35"/>
              </w:numPr>
              <w:spacing w:line="480" w:lineRule="auto"/>
              <w:contextualSpacing/>
              <w:rPr>
                <w:rFonts w:eastAsia="Calibri" w:cstheme="minorHAnsi"/>
              </w:rPr>
            </w:pPr>
            <w:r w:rsidRPr="00B1522E">
              <w:rPr>
                <w:rFonts w:eastAsia="Calibri" w:cstheme="minorHAnsi"/>
              </w:rPr>
              <w:t>Having sit-down meals with family (p &lt; .004).</w:t>
            </w:r>
          </w:p>
        </w:tc>
        <w:tc>
          <w:tcPr>
            <w:tcW w:w="2158" w:type="dxa"/>
            <w:tcBorders>
              <w:right w:val="nil"/>
            </w:tcBorders>
          </w:tcPr>
          <w:p w14:paraId="56D95407" w14:textId="77777777" w:rsidR="00AE4AC2" w:rsidRPr="00B1522E" w:rsidRDefault="00AE4AC2" w:rsidP="00AA5DD9">
            <w:pPr>
              <w:numPr>
                <w:ilvl w:val="0"/>
                <w:numId w:val="36"/>
              </w:numPr>
              <w:spacing w:line="480" w:lineRule="auto"/>
              <w:contextualSpacing/>
              <w:rPr>
                <w:rFonts w:eastAsia="Calibri" w:cstheme="minorHAnsi"/>
              </w:rPr>
            </w:pPr>
            <w:r w:rsidRPr="00B1522E">
              <w:rPr>
                <w:rFonts w:eastAsia="Calibri" w:cstheme="minorHAnsi"/>
              </w:rPr>
              <w:t>19 weeks</w:t>
            </w:r>
          </w:p>
          <w:p w14:paraId="6A7984C1" w14:textId="77777777" w:rsidR="00AE4AC2" w:rsidRPr="00B1522E" w:rsidRDefault="00AE4AC2" w:rsidP="00AA5DD9">
            <w:pPr>
              <w:numPr>
                <w:ilvl w:val="0"/>
                <w:numId w:val="36"/>
              </w:numPr>
              <w:spacing w:line="480" w:lineRule="auto"/>
              <w:contextualSpacing/>
              <w:rPr>
                <w:rFonts w:eastAsia="Calibri" w:cstheme="minorHAnsi"/>
              </w:rPr>
            </w:pPr>
            <w:r w:rsidRPr="00B1522E">
              <w:rPr>
                <w:rFonts w:eastAsia="Calibri" w:cstheme="minorHAnsi"/>
              </w:rPr>
              <w:t>Grade 9 (14-15 years old)</w:t>
            </w:r>
          </w:p>
          <w:p w14:paraId="52E6D5C0" w14:textId="77777777" w:rsidR="00AE4AC2" w:rsidRPr="00B1522E" w:rsidRDefault="00AE4AC2" w:rsidP="00AA5DD9">
            <w:pPr>
              <w:numPr>
                <w:ilvl w:val="0"/>
                <w:numId w:val="36"/>
              </w:numPr>
              <w:spacing w:line="480" w:lineRule="auto"/>
              <w:contextualSpacing/>
              <w:rPr>
                <w:rFonts w:eastAsia="Calibri" w:cstheme="minorHAnsi"/>
              </w:rPr>
            </w:pPr>
            <w:r w:rsidRPr="00B1522E">
              <w:rPr>
                <w:rFonts w:eastAsia="Calibri" w:cstheme="minorHAnsi"/>
              </w:rPr>
              <w:t xml:space="preserve">Social Cognitive theory and Social Ecological model </w:t>
            </w:r>
          </w:p>
        </w:tc>
        <w:tc>
          <w:tcPr>
            <w:tcW w:w="1418" w:type="dxa"/>
            <w:tcBorders>
              <w:left w:val="nil"/>
            </w:tcBorders>
          </w:tcPr>
          <w:p w14:paraId="7CA30754"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147E42F4" w14:textId="77777777" w:rsidTr="00966286">
        <w:trPr>
          <w:trHeight w:val="1418"/>
        </w:trPr>
        <w:tc>
          <w:tcPr>
            <w:tcW w:w="1489" w:type="dxa"/>
          </w:tcPr>
          <w:p w14:paraId="31A9B898" w14:textId="0FFEBA28" w:rsidR="00AE4AC2" w:rsidRPr="00B1522E" w:rsidRDefault="00AE4AC2" w:rsidP="00AE4AC2">
            <w:pPr>
              <w:spacing w:line="480" w:lineRule="auto"/>
              <w:rPr>
                <w:rFonts w:eastAsia="Calibri" w:cstheme="minorHAnsi"/>
                <w:noProof/>
              </w:rPr>
            </w:pPr>
            <w:r w:rsidRPr="00B1522E">
              <w:rPr>
                <w:rFonts w:eastAsia="Calibri" w:cstheme="minorHAnsi"/>
              </w:rPr>
              <w:fldChar w:fldCharType="begin" w:fldLock="1"/>
            </w:r>
            <w:r w:rsidR="00DB273B"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program.","type":"article-journal","volume":"5"},"uris":["http://www.mendeley.com/documents/?uuid=0ae3b1a2-a736-4e3f-8869-95e5f4733a34"]}],"mendeley":{"formattedCitation":"(Chin A Paw et al., 2008)","manualFormatting":"Chin A Paw et al.(2008)","plainTextFormattedCitation":"(Chin A Paw et al., 2008)","previouslyFormattedCitation":"(Chin A Paw et al., 2008)"},"properties":{"noteIndex":0},"schema":"https://github.com/citation-style-language/schema/raw/master/csl-citation.json"}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Chin A Paw et al.(2008)</w:t>
            </w:r>
            <w:r w:rsidRPr="00B1522E">
              <w:rPr>
                <w:rFonts w:eastAsia="Calibri" w:cstheme="minorHAnsi"/>
              </w:rPr>
              <w:fldChar w:fldCharType="end"/>
            </w:r>
          </w:p>
        </w:tc>
        <w:tc>
          <w:tcPr>
            <w:tcW w:w="1489" w:type="dxa"/>
          </w:tcPr>
          <w:p w14:paraId="571B68CC" w14:textId="77777777" w:rsidR="00AE4AC2" w:rsidRPr="00B1522E" w:rsidRDefault="00AE4AC2" w:rsidP="00AE4AC2">
            <w:pPr>
              <w:spacing w:line="480" w:lineRule="auto"/>
              <w:rPr>
                <w:rFonts w:eastAsia="Calibri" w:cstheme="minorHAnsi"/>
              </w:rPr>
            </w:pPr>
            <w:r w:rsidRPr="00B1522E">
              <w:rPr>
                <w:rFonts w:eastAsia="Calibri" w:cstheme="minorHAnsi"/>
              </w:rPr>
              <w:t>To reduce the consumption of sugar-</w:t>
            </w:r>
            <w:r w:rsidRPr="00B1522E">
              <w:rPr>
                <w:rFonts w:eastAsia="Calibri" w:cstheme="minorHAnsi"/>
              </w:rPr>
              <w:lastRenderedPageBreak/>
              <w:t>sweetened beverages (SSB) and unhealthy snacks</w:t>
            </w:r>
          </w:p>
        </w:tc>
        <w:tc>
          <w:tcPr>
            <w:tcW w:w="1417" w:type="dxa"/>
          </w:tcPr>
          <w:p w14:paraId="5190422F"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18 schools in the Netherlands. </w:t>
            </w:r>
          </w:p>
          <w:p w14:paraId="2647EA61"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(n) 854</w:t>
            </w:r>
          </w:p>
        </w:tc>
        <w:tc>
          <w:tcPr>
            <w:tcW w:w="1755" w:type="dxa"/>
          </w:tcPr>
          <w:p w14:paraId="2FF754E5"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RCT. Intervention </w:t>
            </w:r>
            <w:r w:rsidRPr="00B1522E">
              <w:rPr>
                <w:rFonts w:eastAsia="Calibri" w:cstheme="minorHAnsi"/>
              </w:rPr>
              <w:lastRenderedPageBreak/>
              <w:t>group compared to a control.</w:t>
            </w:r>
          </w:p>
        </w:tc>
        <w:tc>
          <w:tcPr>
            <w:tcW w:w="3075" w:type="dxa"/>
          </w:tcPr>
          <w:p w14:paraId="3E809DDF" w14:textId="55DD725D"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DOit questionnaires were completed at baseline, and after 8, 12 and 20 months </w:t>
            </w:r>
            <w:r w:rsidRPr="00B1522E">
              <w:rPr>
                <w:rFonts w:eastAsia="Calibri" w:cstheme="minorHAnsi"/>
              </w:rPr>
              <w:lastRenderedPageBreak/>
              <w:t xml:space="preserve">(paper only includes baseline and 8month data). The questionnaire measured dietary intake (FFQ), physical activity, behaviour-specific </w:t>
            </w:r>
            <w:r w:rsidR="003F69BF" w:rsidRPr="00B1522E">
              <w:rPr>
                <w:rFonts w:eastAsia="Calibri" w:cstheme="minorHAnsi"/>
              </w:rPr>
              <w:t>cognition,</w:t>
            </w:r>
            <w:r w:rsidRPr="00B1522E">
              <w:rPr>
                <w:rFonts w:eastAsia="Calibri" w:cstheme="minorHAnsi"/>
              </w:rPr>
              <w:t xml:space="preserve"> and habit strength  </w:t>
            </w:r>
          </w:p>
        </w:tc>
        <w:tc>
          <w:tcPr>
            <w:tcW w:w="3076" w:type="dxa"/>
          </w:tcPr>
          <w:p w14:paraId="67355531" w14:textId="36EAA1AE"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The intervention school compared to the control at 8 months compared to the </w:t>
            </w:r>
            <w:r w:rsidRPr="00B1522E">
              <w:rPr>
                <w:rFonts w:eastAsia="Calibri" w:cstheme="minorHAnsi"/>
              </w:rPr>
              <w:lastRenderedPageBreak/>
              <w:t>baseline showed significant result in: -</w:t>
            </w:r>
          </w:p>
          <w:p w14:paraId="04122932" w14:textId="6C45818C" w:rsidR="00AE4AC2" w:rsidRPr="00B1522E" w:rsidRDefault="00AE4AC2" w:rsidP="00AA5DD9">
            <w:pPr>
              <w:numPr>
                <w:ilvl w:val="0"/>
                <w:numId w:val="38"/>
              </w:numPr>
              <w:spacing w:line="480" w:lineRule="auto"/>
              <w:contextualSpacing/>
              <w:rPr>
                <w:rFonts w:eastAsia="Calibri" w:cstheme="minorHAnsi"/>
              </w:rPr>
            </w:pPr>
            <w:r w:rsidRPr="00B1522E">
              <w:rPr>
                <w:rFonts w:eastAsia="Calibri" w:cstheme="minorHAnsi"/>
              </w:rPr>
              <w:t xml:space="preserve">Reduction of sugar-sweetened beverages (SSB) (p &lt; .05). </w:t>
            </w:r>
          </w:p>
          <w:p w14:paraId="47C32853" w14:textId="0B9257E3" w:rsidR="00AE4AC2" w:rsidRPr="00B1522E" w:rsidRDefault="00AE4AC2" w:rsidP="00AE4AC2">
            <w:pPr>
              <w:spacing w:line="480" w:lineRule="auto"/>
              <w:rPr>
                <w:rFonts w:eastAsia="Calibri" w:cstheme="minorHAnsi"/>
              </w:rPr>
            </w:pPr>
            <w:r w:rsidRPr="00B1522E">
              <w:rPr>
                <w:rFonts w:eastAsia="Calibri" w:cstheme="minorHAnsi"/>
              </w:rPr>
              <w:t xml:space="preserve">In the intervention </w:t>
            </w:r>
            <w:r w:rsidR="00CC4BD4" w:rsidRPr="00B1522E">
              <w:rPr>
                <w:rFonts w:eastAsia="Calibri" w:cstheme="minorHAnsi"/>
              </w:rPr>
              <w:t xml:space="preserve">school </w:t>
            </w:r>
            <w:r w:rsidRPr="00B1522E">
              <w:rPr>
                <w:rFonts w:eastAsia="Calibri" w:cstheme="minorHAnsi"/>
              </w:rPr>
              <w:t xml:space="preserve">males significantly improved (hypothesized mediators) (p &lt; .05): - </w:t>
            </w:r>
          </w:p>
          <w:p w14:paraId="24EEC4BB" w14:textId="77777777" w:rsidR="00AE4AC2" w:rsidRPr="00B1522E" w:rsidRDefault="00AE4AC2" w:rsidP="00AA5DD9">
            <w:pPr>
              <w:numPr>
                <w:ilvl w:val="0"/>
                <w:numId w:val="39"/>
              </w:numPr>
              <w:spacing w:line="480" w:lineRule="auto"/>
              <w:contextualSpacing/>
              <w:rPr>
                <w:rFonts w:eastAsia="Calibri" w:cstheme="minorHAnsi"/>
              </w:rPr>
            </w:pPr>
            <w:r w:rsidRPr="00B1522E">
              <w:rPr>
                <w:rFonts w:eastAsia="Calibri" w:cstheme="minorHAnsi"/>
              </w:rPr>
              <w:t>Subjective norms regarding ‘active transport’ (actively commuting to school)</w:t>
            </w:r>
          </w:p>
          <w:p w14:paraId="76FE05D5" w14:textId="77777777" w:rsidR="00AE4AC2" w:rsidRPr="00B1522E" w:rsidRDefault="00AE4AC2" w:rsidP="00AA5DD9">
            <w:pPr>
              <w:numPr>
                <w:ilvl w:val="0"/>
                <w:numId w:val="39"/>
              </w:numPr>
              <w:spacing w:line="480" w:lineRule="auto"/>
              <w:contextualSpacing/>
              <w:rPr>
                <w:rFonts w:eastAsia="Calibri" w:cstheme="minorHAnsi"/>
              </w:rPr>
            </w:pPr>
            <w:r w:rsidRPr="00B1522E">
              <w:rPr>
                <w:rFonts w:eastAsia="Calibri" w:cstheme="minorHAnsi"/>
              </w:rPr>
              <w:t>Snacking consumption</w:t>
            </w:r>
          </w:p>
          <w:p w14:paraId="0A32BCA9" w14:textId="77777777" w:rsidR="00AE4AC2" w:rsidRPr="00B1522E" w:rsidRDefault="00AE4AC2" w:rsidP="00AA5DD9">
            <w:pPr>
              <w:numPr>
                <w:ilvl w:val="0"/>
                <w:numId w:val="39"/>
              </w:numPr>
              <w:spacing w:line="480" w:lineRule="auto"/>
              <w:contextualSpacing/>
              <w:rPr>
                <w:rFonts w:eastAsia="Calibri" w:cstheme="minorHAnsi"/>
              </w:rPr>
            </w:pPr>
            <w:r w:rsidRPr="00B1522E">
              <w:rPr>
                <w:rFonts w:eastAsia="Calibri" w:cstheme="minorHAnsi"/>
              </w:rPr>
              <w:t>Improved attitude</w:t>
            </w:r>
          </w:p>
          <w:p w14:paraId="577C51AC" w14:textId="77777777" w:rsidR="00AE4AC2" w:rsidRPr="00B1522E" w:rsidRDefault="00AE4AC2" w:rsidP="00AA5DD9">
            <w:pPr>
              <w:numPr>
                <w:ilvl w:val="0"/>
                <w:numId w:val="39"/>
              </w:numPr>
              <w:spacing w:line="480" w:lineRule="auto"/>
              <w:contextualSpacing/>
              <w:rPr>
                <w:rFonts w:eastAsia="Calibri" w:cstheme="minorHAnsi"/>
              </w:rPr>
            </w:pPr>
            <w:r w:rsidRPr="00B1522E">
              <w:rPr>
                <w:rFonts w:eastAsia="Calibri" w:cstheme="minorHAnsi"/>
              </w:rPr>
              <w:t xml:space="preserve">Decreased habit strength regarding SSB. </w:t>
            </w:r>
          </w:p>
        </w:tc>
        <w:tc>
          <w:tcPr>
            <w:tcW w:w="2158" w:type="dxa"/>
            <w:tcBorders>
              <w:right w:val="nil"/>
            </w:tcBorders>
          </w:tcPr>
          <w:p w14:paraId="575608C0" w14:textId="77777777" w:rsidR="00AE4AC2" w:rsidRPr="00B1522E" w:rsidRDefault="00AE4AC2" w:rsidP="00AA5DD9">
            <w:pPr>
              <w:numPr>
                <w:ilvl w:val="0"/>
                <w:numId w:val="37"/>
              </w:numPr>
              <w:spacing w:line="480" w:lineRule="auto"/>
              <w:contextualSpacing/>
              <w:rPr>
                <w:rFonts w:eastAsia="Calibri" w:cstheme="minorHAnsi"/>
              </w:rPr>
            </w:pPr>
            <w:r w:rsidRPr="00B1522E">
              <w:rPr>
                <w:rFonts w:eastAsia="Calibri" w:cstheme="minorHAnsi"/>
              </w:rPr>
              <w:lastRenderedPageBreak/>
              <w:t>8 months (Sept 03-May 04)</w:t>
            </w:r>
          </w:p>
          <w:p w14:paraId="1A9AA2B7" w14:textId="77777777" w:rsidR="00AE4AC2" w:rsidRPr="00B1522E" w:rsidRDefault="00AE4AC2" w:rsidP="00AA5DD9">
            <w:pPr>
              <w:numPr>
                <w:ilvl w:val="0"/>
                <w:numId w:val="37"/>
              </w:numPr>
              <w:spacing w:line="480" w:lineRule="auto"/>
              <w:contextualSpacing/>
              <w:rPr>
                <w:rFonts w:eastAsia="Calibri" w:cstheme="minorHAnsi"/>
              </w:rPr>
            </w:pPr>
            <w:r w:rsidRPr="00B1522E">
              <w:rPr>
                <w:rFonts w:eastAsia="Calibri" w:cstheme="minorHAnsi"/>
              </w:rPr>
              <w:t xml:space="preserve">12-13 years old </w:t>
            </w:r>
          </w:p>
          <w:p w14:paraId="39610EB6" w14:textId="77777777" w:rsidR="00AE4AC2" w:rsidRPr="00B1522E" w:rsidRDefault="00AE4AC2" w:rsidP="00AA5DD9">
            <w:pPr>
              <w:numPr>
                <w:ilvl w:val="0"/>
                <w:numId w:val="37"/>
              </w:numPr>
              <w:spacing w:line="480" w:lineRule="auto"/>
              <w:contextualSpacing/>
              <w:rPr>
                <w:rFonts w:eastAsia="Calibri" w:cstheme="minorHAnsi"/>
              </w:rPr>
            </w:pPr>
            <w:r w:rsidRPr="00B1522E">
              <w:rPr>
                <w:rFonts w:eastAsia="Calibri" w:cstheme="minorHAnsi"/>
              </w:rPr>
              <w:lastRenderedPageBreak/>
              <w:t>Theory of Planned behaviour and Habit Strength theory</w:t>
            </w:r>
          </w:p>
        </w:tc>
        <w:tc>
          <w:tcPr>
            <w:tcW w:w="1418" w:type="dxa"/>
            <w:tcBorders>
              <w:left w:val="nil"/>
            </w:tcBorders>
          </w:tcPr>
          <w:p w14:paraId="5B7E39DA"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Strong </w:t>
            </w:r>
          </w:p>
        </w:tc>
      </w:tr>
      <w:tr w:rsidR="00E77769" w:rsidRPr="00B1522E" w14:paraId="0922C5A4" w14:textId="77777777" w:rsidTr="00966286">
        <w:trPr>
          <w:trHeight w:val="1418"/>
        </w:trPr>
        <w:tc>
          <w:tcPr>
            <w:tcW w:w="1489" w:type="dxa"/>
          </w:tcPr>
          <w:p w14:paraId="4ADB4D8D"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de Visser et al. (2016)</w:t>
            </w:r>
          </w:p>
        </w:tc>
        <w:tc>
          <w:tcPr>
            <w:tcW w:w="1489" w:type="dxa"/>
          </w:tcPr>
          <w:p w14:paraId="5A3AFBEE" w14:textId="77777777" w:rsidR="00AE4AC2" w:rsidRPr="00B1522E" w:rsidRDefault="00AE4AC2" w:rsidP="00AE4AC2">
            <w:pPr>
              <w:spacing w:line="480" w:lineRule="auto"/>
              <w:rPr>
                <w:rFonts w:eastAsia="Calibri" w:cstheme="minorHAnsi"/>
              </w:rPr>
            </w:pPr>
            <w:r w:rsidRPr="00B1522E">
              <w:rPr>
                <w:rFonts w:eastAsia="Calibri" w:cstheme="minorHAnsi"/>
              </w:rPr>
              <w:t>Fruit and vegetable consumption and reduce the consumption of SSB, sugar and fat.</w:t>
            </w:r>
          </w:p>
        </w:tc>
        <w:tc>
          <w:tcPr>
            <w:tcW w:w="1417" w:type="dxa"/>
          </w:tcPr>
          <w:p w14:paraId="23DFADE8" w14:textId="77777777" w:rsidR="00AE4AC2" w:rsidRPr="00B1522E" w:rsidRDefault="00AE4AC2" w:rsidP="00AE4AC2">
            <w:pPr>
              <w:spacing w:line="480" w:lineRule="auto"/>
              <w:rPr>
                <w:rFonts w:eastAsia="Calibri" w:cstheme="minorHAnsi"/>
              </w:rPr>
            </w:pPr>
            <w:r w:rsidRPr="00B1522E">
              <w:rPr>
                <w:rFonts w:eastAsia="Calibri" w:cstheme="minorHAnsi"/>
              </w:rPr>
              <w:t>20 schools in the USA.</w:t>
            </w:r>
          </w:p>
          <w:p w14:paraId="571F6BF4" w14:textId="77777777" w:rsidR="00AE4AC2" w:rsidRPr="00B1522E" w:rsidRDefault="00AE4AC2" w:rsidP="00AE4AC2">
            <w:pPr>
              <w:spacing w:line="480" w:lineRule="auto"/>
              <w:rPr>
                <w:rFonts w:eastAsia="Calibri" w:cstheme="minorHAnsi"/>
              </w:rPr>
            </w:pPr>
            <w:r w:rsidRPr="00B1522E">
              <w:rPr>
                <w:rFonts w:eastAsia="Calibri" w:cstheme="minorHAnsi"/>
              </w:rPr>
              <w:t xml:space="preserve">(n) 2315 </w:t>
            </w:r>
          </w:p>
        </w:tc>
        <w:tc>
          <w:tcPr>
            <w:tcW w:w="1755" w:type="dxa"/>
          </w:tcPr>
          <w:p w14:paraId="6B7D6533" w14:textId="77777777" w:rsidR="00AE4AC2" w:rsidRPr="00B1522E" w:rsidRDefault="00AE4AC2" w:rsidP="00AE4AC2">
            <w:pPr>
              <w:spacing w:line="480" w:lineRule="auto"/>
              <w:rPr>
                <w:rFonts w:eastAsia="Calibri" w:cstheme="minorHAnsi"/>
              </w:rPr>
            </w:pPr>
            <w:r w:rsidRPr="00B1522E">
              <w:rPr>
                <w:rFonts w:eastAsia="Calibri" w:cstheme="minorHAnsi"/>
              </w:rPr>
              <w:t xml:space="preserve">Quasi-experimental design.  </w:t>
            </w:r>
          </w:p>
        </w:tc>
        <w:tc>
          <w:tcPr>
            <w:tcW w:w="3075" w:type="dxa"/>
          </w:tcPr>
          <w:p w14:paraId="44A05581" w14:textId="46C3C01B" w:rsidR="00AE4AC2" w:rsidRPr="00B1522E" w:rsidRDefault="00AE4AC2" w:rsidP="00AE4AC2">
            <w:pPr>
              <w:spacing w:line="480" w:lineRule="auto"/>
              <w:rPr>
                <w:rFonts w:eastAsia="Calibri" w:cstheme="minorHAnsi"/>
              </w:rPr>
            </w:pPr>
            <w:r w:rsidRPr="00B1522E">
              <w:rPr>
                <w:rFonts w:eastAsia="Calibri" w:cstheme="minorHAnsi"/>
              </w:rPr>
              <w:t xml:space="preserve">SPAN questionnaire was completed at baseline and post (within 6 weeks after intervention). The questionnaire measured dietary behaviours (FFQ), SSB consumption, physical </w:t>
            </w:r>
            <w:r w:rsidR="003F69BF" w:rsidRPr="00B1522E">
              <w:rPr>
                <w:rFonts w:eastAsia="Calibri" w:cstheme="minorHAnsi"/>
              </w:rPr>
              <w:t>activity,</w:t>
            </w:r>
            <w:r w:rsidRPr="00B1522E">
              <w:rPr>
                <w:rFonts w:eastAsia="Calibri" w:cstheme="minorHAnsi"/>
              </w:rPr>
              <w:t xml:space="preserve"> and sedentary behaviours.</w:t>
            </w:r>
          </w:p>
        </w:tc>
        <w:tc>
          <w:tcPr>
            <w:tcW w:w="3076" w:type="dxa"/>
          </w:tcPr>
          <w:p w14:paraId="55FD18FE" w14:textId="7283CABC" w:rsidR="00AE4AC2" w:rsidRPr="00B1522E" w:rsidRDefault="00AE4AC2" w:rsidP="00AE4AC2">
            <w:pPr>
              <w:spacing w:line="480" w:lineRule="auto"/>
              <w:rPr>
                <w:rFonts w:eastAsia="Calibri" w:cstheme="minorHAnsi"/>
              </w:rPr>
            </w:pPr>
            <w:r w:rsidRPr="00B1522E">
              <w:rPr>
                <w:rFonts w:eastAsia="Calibri" w:cstheme="minorHAnsi"/>
              </w:rPr>
              <w:t>The intervention schools, compared to the other schools, significantly: -</w:t>
            </w:r>
          </w:p>
          <w:p w14:paraId="69B4AE06" w14:textId="08424861" w:rsidR="00AE4AC2" w:rsidRPr="00B1522E" w:rsidRDefault="00AE4AC2" w:rsidP="00AA5DD9">
            <w:pPr>
              <w:numPr>
                <w:ilvl w:val="0"/>
                <w:numId w:val="41"/>
              </w:numPr>
              <w:spacing w:line="480" w:lineRule="auto"/>
              <w:contextualSpacing/>
              <w:rPr>
                <w:rFonts w:eastAsia="Calibri" w:cstheme="minorHAnsi"/>
              </w:rPr>
            </w:pPr>
            <w:r w:rsidRPr="00B1522E">
              <w:rPr>
                <w:rFonts w:eastAsia="Calibri" w:cstheme="minorHAnsi"/>
              </w:rPr>
              <w:t>Increased fruit intake (p = .046)</w:t>
            </w:r>
          </w:p>
          <w:p w14:paraId="53850FA5" w14:textId="71DF6B74" w:rsidR="00AE4AC2" w:rsidRPr="00B1522E" w:rsidRDefault="00AE4AC2" w:rsidP="00AA5DD9">
            <w:pPr>
              <w:numPr>
                <w:ilvl w:val="0"/>
                <w:numId w:val="41"/>
              </w:numPr>
              <w:spacing w:line="480" w:lineRule="auto"/>
              <w:contextualSpacing/>
              <w:rPr>
                <w:rFonts w:eastAsia="Calibri" w:cstheme="minorHAnsi"/>
              </w:rPr>
            </w:pPr>
            <w:r w:rsidRPr="00B1522E">
              <w:rPr>
                <w:rFonts w:eastAsia="Calibri" w:cstheme="minorHAnsi"/>
              </w:rPr>
              <w:t>Fewer sugary/fatty foods (p = .002)</w:t>
            </w:r>
          </w:p>
        </w:tc>
        <w:tc>
          <w:tcPr>
            <w:tcW w:w="2158" w:type="dxa"/>
            <w:tcBorders>
              <w:right w:val="nil"/>
            </w:tcBorders>
          </w:tcPr>
          <w:p w14:paraId="32B60343" w14:textId="77777777" w:rsidR="00AE4AC2" w:rsidRPr="00B1522E" w:rsidRDefault="00AE4AC2" w:rsidP="00AA5DD9">
            <w:pPr>
              <w:numPr>
                <w:ilvl w:val="0"/>
                <w:numId w:val="40"/>
              </w:numPr>
              <w:spacing w:line="480" w:lineRule="auto"/>
              <w:contextualSpacing/>
              <w:rPr>
                <w:rFonts w:eastAsia="Calibri" w:cstheme="minorHAnsi"/>
              </w:rPr>
            </w:pPr>
            <w:r w:rsidRPr="00B1522E">
              <w:rPr>
                <w:rFonts w:eastAsia="Calibri" w:cstheme="minorHAnsi"/>
              </w:rPr>
              <w:t>1 school year</w:t>
            </w:r>
          </w:p>
          <w:p w14:paraId="0BA7DE69" w14:textId="77777777" w:rsidR="00AE4AC2" w:rsidRPr="00B1522E" w:rsidRDefault="00AE4AC2" w:rsidP="00AA5DD9">
            <w:pPr>
              <w:numPr>
                <w:ilvl w:val="0"/>
                <w:numId w:val="40"/>
              </w:numPr>
              <w:spacing w:line="480" w:lineRule="auto"/>
              <w:contextualSpacing/>
              <w:rPr>
                <w:rFonts w:eastAsia="Calibri" w:cstheme="minorHAnsi"/>
              </w:rPr>
            </w:pPr>
            <w:r w:rsidRPr="00B1522E">
              <w:rPr>
                <w:rFonts w:eastAsia="Calibri" w:cstheme="minorHAnsi"/>
              </w:rPr>
              <w:t>11-12 years old</w:t>
            </w:r>
          </w:p>
          <w:p w14:paraId="420C170B" w14:textId="77777777" w:rsidR="00AE4AC2" w:rsidRPr="00B1522E" w:rsidRDefault="00AE4AC2" w:rsidP="00AA5DD9">
            <w:pPr>
              <w:numPr>
                <w:ilvl w:val="0"/>
                <w:numId w:val="40"/>
              </w:numPr>
              <w:spacing w:line="480" w:lineRule="auto"/>
              <w:contextualSpacing/>
              <w:rPr>
                <w:rFonts w:eastAsia="Calibri" w:cstheme="minorHAnsi"/>
              </w:rPr>
            </w:pPr>
            <w:r w:rsidRPr="00B1522E">
              <w:rPr>
                <w:rFonts w:eastAsia="Calibri" w:cstheme="minorHAnsi"/>
              </w:rPr>
              <w:t>Socioecological models</w:t>
            </w:r>
          </w:p>
        </w:tc>
        <w:tc>
          <w:tcPr>
            <w:tcW w:w="1418" w:type="dxa"/>
            <w:tcBorders>
              <w:left w:val="nil"/>
            </w:tcBorders>
          </w:tcPr>
          <w:p w14:paraId="64DCE3F9" w14:textId="77777777" w:rsidR="00AE4AC2" w:rsidRPr="00B1522E" w:rsidRDefault="00AE4AC2" w:rsidP="00AE4AC2">
            <w:pPr>
              <w:spacing w:line="480" w:lineRule="auto"/>
              <w:rPr>
                <w:rFonts w:eastAsia="Calibri" w:cstheme="minorHAnsi"/>
              </w:rPr>
            </w:pPr>
            <w:r w:rsidRPr="00B1522E">
              <w:rPr>
                <w:rFonts w:eastAsia="Calibri" w:cstheme="minorHAnsi"/>
              </w:rPr>
              <w:t>Weak</w:t>
            </w:r>
          </w:p>
        </w:tc>
      </w:tr>
      <w:tr w:rsidR="00E77769" w:rsidRPr="00B1522E" w14:paraId="139D4485" w14:textId="77777777" w:rsidTr="003F69BF">
        <w:trPr>
          <w:trHeight w:val="1276"/>
        </w:trPr>
        <w:tc>
          <w:tcPr>
            <w:tcW w:w="1489" w:type="dxa"/>
          </w:tcPr>
          <w:p w14:paraId="1604D390" w14:textId="0B9FC528"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Medicine","id":"ITEM-1","issue":"1","issued":{"date-parts":[["2015","3"]]},"note":"Accession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girls.","type":"article-journal","volume":"5"},"uris":["http://www.mendeley.com/documents/?uuid=caa5507f-dbd0-4a8e-8a1f-8c2b3fd377e1"]}],"mendeley":{"formattedCitation":"(Dowd et al., 2015)","manualFormatting":"Dowd et al. (2015)","plainTextFormattedCitation":"(Dowd et al., 2015)","previouslyFormattedCitation":"(Dowd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Dowd et al. (2015)</w:t>
            </w:r>
            <w:r w:rsidRPr="00B1522E">
              <w:rPr>
                <w:rFonts w:eastAsia="Calibri" w:cstheme="minorHAnsi"/>
              </w:rPr>
              <w:fldChar w:fldCharType="end"/>
            </w:r>
          </w:p>
        </w:tc>
        <w:tc>
          <w:tcPr>
            <w:tcW w:w="1489" w:type="dxa"/>
          </w:tcPr>
          <w:p w14:paraId="5234EA84" w14:textId="77777777" w:rsidR="00AE4AC2" w:rsidRPr="00B1522E" w:rsidRDefault="00AE4AC2" w:rsidP="00AE4AC2">
            <w:pPr>
              <w:spacing w:line="480" w:lineRule="auto"/>
              <w:rPr>
                <w:rFonts w:eastAsia="Calibri" w:cstheme="minorHAnsi"/>
              </w:rPr>
            </w:pPr>
            <w:r w:rsidRPr="00B1522E">
              <w:rPr>
                <w:rFonts w:eastAsia="Calibri" w:cstheme="minorHAnsi"/>
              </w:rPr>
              <w:t xml:space="preserve">Increase healthy snacking, fruit and vegetable consumption, and eating breakfast on </w:t>
            </w:r>
            <w:r w:rsidRPr="00B1522E">
              <w:rPr>
                <w:rFonts w:eastAsia="Calibri" w:cstheme="minorHAnsi"/>
              </w:rPr>
              <w:lastRenderedPageBreak/>
              <w:t>a regular basis.</w:t>
            </w:r>
          </w:p>
        </w:tc>
        <w:tc>
          <w:tcPr>
            <w:tcW w:w="1417" w:type="dxa"/>
          </w:tcPr>
          <w:p w14:paraId="5315B46D"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38 schools in Canada.</w:t>
            </w:r>
          </w:p>
          <w:p w14:paraId="02B797B6" w14:textId="77777777" w:rsidR="00AE4AC2" w:rsidRPr="00B1522E" w:rsidRDefault="00AE4AC2" w:rsidP="00AE4AC2">
            <w:pPr>
              <w:spacing w:line="480" w:lineRule="auto"/>
              <w:rPr>
                <w:rFonts w:eastAsia="Calibri" w:cstheme="minorHAnsi"/>
              </w:rPr>
            </w:pPr>
            <w:r w:rsidRPr="00B1522E">
              <w:rPr>
                <w:rFonts w:eastAsia="Calibri" w:cstheme="minorHAnsi"/>
              </w:rPr>
              <w:t xml:space="preserve">(n) 344 female students </w:t>
            </w:r>
          </w:p>
        </w:tc>
        <w:tc>
          <w:tcPr>
            <w:tcW w:w="1755" w:type="dxa"/>
          </w:tcPr>
          <w:p w14:paraId="5843D9FD" w14:textId="77777777" w:rsidR="00AE4AC2" w:rsidRPr="00B1522E" w:rsidRDefault="00AE4AC2" w:rsidP="00AE4AC2">
            <w:pPr>
              <w:spacing w:line="480" w:lineRule="auto"/>
              <w:rPr>
                <w:rFonts w:eastAsia="Calibri" w:cstheme="minorHAnsi"/>
              </w:rPr>
            </w:pPr>
            <w:r w:rsidRPr="00B1522E">
              <w:rPr>
                <w:rFonts w:eastAsia="Calibri" w:cstheme="minorHAnsi"/>
              </w:rPr>
              <w:t xml:space="preserve">Cross-sectional study </w:t>
            </w:r>
          </w:p>
        </w:tc>
        <w:tc>
          <w:tcPr>
            <w:tcW w:w="3075" w:type="dxa"/>
          </w:tcPr>
          <w:p w14:paraId="3E0E9395" w14:textId="304323F5" w:rsidR="00AE4AC2" w:rsidRPr="00B1522E" w:rsidRDefault="00AE4AC2" w:rsidP="00AE4AC2">
            <w:pPr>
              <w:spacing w:line="480" w:lineRule="auto"/>
              <w:rPr>
                <w:rFonts w:eastAsia="Calibri" w:cstheme="minorHAnsi"/>
              </w:rPr>
            </w:pPr>
            <w:r w:rsidRPr="00B1522E">
              <w:rPr>
                <w:rFonts w:eastAsia="Calibri" w:cstheme="minorHAnsi"/>
              </w:rPr>
              <w:t xml:space="preserve">Participants completed questionnaires investigating cognition (attitudes, self-regulatory efficacy and intentions) and behaviours (physical and dietary) (true or false </w:t>
            </w:r>
            <w:r w:rsidR="003F69BF" w:rsidRPr="00B1522E">
              <w:rPr>
                <w:rFonts w:eastAsia="Calibri" w:cstheme="minorHAnsi"/>
              </w:rPr>
              <w:t>responses) at</w:t>
            </w:r>
            <w:r w:rsidRPr="00B1522E">
              <w:rPr>
                <w:rFonts w:eastAsia="Calibri" w:cstheme="minorHAnsi"/>
              </w:rPr>
              <w:t xml:space="preserve"> four time points (two pre-baseline, post-</w:t>
            </w:r>
            <w:r w:rsidRPr="00B1522E">
              <w:rPr>
                <w:rFonts w:eastAsia="Calibri" w:cstheme="minorHAnsi"/>
              </w:rPr>
              <w:lastRenderedPageBreak/>
              <w:t>programme and at 7-week follow-up)</w:t>
            </w:r>
          </w:p>
        </w:tc>
        <w:tc>
          <w:tcPr>
            <w:tcW w:w="3076" w:type="dxa"/>
          </w:tcPr>
          <w:p w14:paraId="50408F59" w14:textId="52B1A956" w:rsidR="00AE4AC2" w:rsidRPr="00B1522E" w:rsidRDefault="00AE4AC2" w:rsidP="00AE4AC2">
            <w:pPr>
              <w:spacing w:line="480" w:lineRule="auto"/>
              <w:rPr>
                <w:rFonts w:eastAsia="Calibri" w:cstheme="minorHAnsi"/>
              </w:rPr>
            </w:pPr>
            <w:r w:rsidRPr="00B1522E">
              <w:rPr>
                <w:rFonts w:eastAsia="Calibri" w:cstheme="minorHAnsi"/>
              </w:rPr>
              <w:lastRenderedPageBreak/>
              <w:t>Participants significantly improved at 7-weeks compared to the mean of time 1 and 2: -</w:t>
            </w:r>
          </w:p>
          <w:p w14:paraId="57C82977" w14:textId="5FBF7781"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Healthy eating behaviours (p &lt; .05).</w:t>
            </w:r>
          </w:p>
          <w:p w14:paraId="34EB95CB" w14:textId="77777777" w:rsidR="00AE4AC2" w:rsidRPr="00B1522E" w:rsidRDefault="00AE4AC2" w:rsidP="00AE4AC2">
            <w:pPr>
              <w:spacing w:line="480" w:lineRule="auto"/>
              <w:ind w:left="360"/>
              <w:contextualSpacing/>
              <w:rPr>
                <w:rFonts w:eastAsia="Calibri" w:cstheme="minorHAnsi"/>
              </w:rPr>
            </w:pPr>
          </w:p>
        </w:tc>
        <w:tc>
          <w:tcPr>
            <w:tcW w:w="2158" w:type="dxa"/>
            <w:tcBorders>
              <w:right w:val="nil"/>
            </w:tcBorders>
          </w:tcPr>
          <w:p w14:paraId="4CDE653C" w14:textId="76D0CDBC" w:rsidR="00AE4AC2" w:rsidRPr="00B1522E" w:rsidRDefault="00AE4AC2" w:rsidP="00AA5DD9">
            <w:pPr>
              <w:numPr>
                <w:ilvl w:val="0"/>
                <w:numId w:val="42"/>
              </w:numPr>
              <w:spacing w:line="480" w:lineRule="auto"/>
              <w:contextualSpacing/>
              <w:rPr>
                <w:rFonts w:eastAsia="Calibri" w:cstheme="minorHAnsi"/>
              </w:rPr>
            </w:pPr>
            <w:r w:rsidRPr="00B1522E">
              <w:rPr>
                <w:rFonts w:eastAsia="Calibri" w:cstheme="minorHAnsi"/>
              </w:rPr>
              <w:t xml:space="preserve">7 weeks (7 sessions) </w:t>
            </w:r>
          </w:p>
          <w:p w14:paraId="0ADE9C7F" w14:textId="77777777" w:rsidR="00AE4AC2" w:rsidRPr="00B1522E" w:rsidRDefault="00AE4AC2" w:rsidP="00AA5DD9">
            <w:pPr>
              <w:numPr>
                <w:ilvl w:val="0"/>
                <w:numId w:val="42"/>
              </w:numPr>
              <w:spacing w:line="480" w:lineRule="auto"/>
              <w:contextualSpacing/>
              <w:rPr>
                <w:rFonts w:eastAsia="Calibri" w:cstheme="minorHAnsi"/>
              </w:rPr>
            </w:pPr>
            <w:r w:rsidRPr="00B1522E">
              <w:rPr>
                <w:rFonts w:eastAsia="Calibri" w:cstheme="minorHAnsi"/>
              </w:rPr>
              <w:t>11-14 years old (mean 11.68)</w:t>
            </w:r>
          </w:p>
          <w:p w14:paraId="1926649E" w14:textId="77777777" w:rsidR="00AE4AC2" w:rsidRPr="00B1522E" w:rsidRDefault="00AE4AC2" w:rsidP="00AA5DD9">
            <w:pPr>
              <w:numPr>
                <w:ilvl w:val="0"/>
                <w:numId w:val="42"/>
              </w:numPr>
              <w:spacing w:line="480" w:lineRule="auto"/>
              <w:contextualSpacing/>
              <w:rPr>
                <w:rFonts w:eastAsia="Calibri" w:cstheme="minorHAnsi"/>
              </w:rPr>
            </w:pPr>
            <w:r w:rsidRPr="00B1522E">
              <w:rPr>
                <w:rFonts w:eastAsia="Calibri" w:cstheme="minorHAnsi"/>
              </w:rPr>
              <w:t>Social Cognitive model</w:t>
            </w:r>
          </w:p>
        </w:tc>
        <w:tc>
          <w:tcPr>
            <w:tcW w:w="1418" w:type="dxa"/>
            <w:tcBorders>
              <w:left w:val="nil"/>
            </w:tcBorders>
          </w:tcPr>
          <w:p w14:paraId="70EEC8E1"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34704AD2" w14:textId="77777777" w:rsidTr="00966286">
        <w:trPr>
          <w:trHeight w:val="284"/>
        </w:trPr>
        <w:tc>
          <w:tcPr>
            <w:tcW w:w="1489" w:type="dxa"/>
          </w:tcPr>
          <w:p w14:paraId="135A61A2" w14:textId="38EDC94D"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Behavior","id":"ITEM-1","issue":"3","issued":{"date-parts":[["2009","6"]]},"note":"Accession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schools.","type":"article-journal","volume":"36"},"uris":["http://www.mendeley.com/documents/?uuid=74f4efaf-f648-40ee-a537-6d3097cacbbf"]}],"mendeley":{"formattedCitation":"(Dzewaltowski et al., 2009)","manualFormatting":"Dzewaltowski et al. (2009)","plainTextFormattedCitation":"(Dzewaltowski et al., 2009)","previouslyFormattedCitation":"(Dzewaltowski et al., 2009)"},"properties":{"noteIndex":0},"schema":"https://github.com/citation-style-language/schema/raw/master/csl-citation.json"}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Dzewaltowski et al. (2009)</w:t>
            </w:r>
            <w:r w:rsidRPr="00B1522E">
              <w:rPr>
                <w:rFonts w:eastAsia="Calibri" w:cstheme="minorHAnsi"/>
              </w:rPr>
              <w:fldChar w:fldCharType="end"/>
            </w:r>
          </w:p>
        </w:tc>
        <w:tc>
          <w:tcPr>
            <w:tcW w:w="1489" w:type="dxa"/>
          </w:tcPr>
          <w:p w14:paraId="0D6049FD"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w:t>
            </w:r>
          </w:p>
        </w:tc>
        <w:tc>
          <w:tcPr>
            <w:tcW w:w="1417" w:type="dxa"/>
          </w:tcPr>
          <w:p w14:paraId="420322FC" w14:textId="77777777" w:rsidR="00AE4AC2" w:rsidRPr="00B1522E" w:rsidRDefault="00AE4AC2" w:rsidP="00AE4AC2">
            <w:pPr>
              <w:spacing w:line="480" w:lineRule="auto"/>
              <w:rPr>
                <w:rFonts w:eastAsia="Calibri" w:cstheme="minorHAnsi"/>
              </w:rPr>
            </w:pPr>
            <w:r w:rsidRPr="00B1522E">
              <w:rPr>
                <w:rFonts w:eastAsia="Calibri" w:cstheme="minorHAnsi"/>
              </w:rPr>
              <w:t>16 schools in the USA.</w:t>
            </w:r>
          </w:p>
          <w:p w14:paraId="0D62009B" w14:textId="77777777" w:rsidR="00AE4AC2" w:rsidRPr="00B1522E" w:rsidRDefault="00AE4AC2" w:rsidP="00AE4AC2">
            <w:pPr>
              <w:spacing w:line="480" w:lineRule="auto"/>
              <w:rPr>
                <w:rFonts w:eastAsia="Calibri" w:cstheme="minorHAnsi"/>
              </w:rPr>
            </w:pPr>
            <w:r w:rsidRPr="00B1522E">
              <w:rPr>
                <w:rFonts w:eastAsia="Calibri" w:cstheme="minorHAnsi"/>
              </w:rPr>
              <w:t xml:space="preserve"> </w:t>
            </w:r>
            <w:r w:rsidRPr="00B1522E">
              <w:rPr>
                <w:rFonts w:eastAsia="Calibri" w:cstheme="minorHAnsi"/>
                <w:lang w:val="en-US"/>
              </w:rPr>
              <w:t>(n)2211</w:t>
            </w:r>
          </w:p>
        </w:tc>
        <w:tc>
          <w:tcPr>
            <w:tcW w:w="1755" w:type="dxa"/>
          </w:tcPr>
          <w:p w14:paraId="03BDF2BC"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2915C128" w14:textId="77777777" w:rsidR="00AE4AC2" w:rsidRPr="00B1522E" w:rsidRDefault="00AE4AC2" w:rsidP="00AE4AC2">
            <w:pPr>
              <w:spacing w:line="480" w:lineRule="auto"/>
              <w:rPr>
                <w:rFonts w:eastAsia="Calibri" w:cstheme="minorHAnsi"/>
              </w:rPr>
            </w:pPr>
            <w:r w:rsidRPr="00B1522E">
              <w:rPr>
                <w:rFonts w:eastAsia="Calibri" w:cstheme="minorHAnsi"/>
              </w:rPr>
              <w:t>Participants completed questionnaires measuring psychosocial variables, a FFQ and self-report physical activity measure, which were taken at baseline, post-intervention and at 2 years.</w:t>
            </w:r>
          </w:p>
        </w:tc>
        <w:tc>
          <w:tcPr>
            <w:tcW w:w="3076" w:type="dxa"/>
          </w:tcPr>
          <w:p w14:paraId="429FF179" w14:textId="77777777" w:rsidR="00AE4AC2" w:rsidRPr="00B1522E" w:rsidRDefault="00AE4AC2" w:rsidP="00AE4AC2">
            <w:pPr>
              <w:spacing w:line="480" w:lineRule="auto"/>
              <w:rPr>
                <w:rFonts w:eastAsia="Calibri" w:cstheme="minorHAnsi"/>
              </w:rPr>
            </w:pPr>
            <w:r w:rsidRPr="00B1522E">
              <w:rPr>
                <w:rFonts w:eastAsia="Calibri" w:cstheme="minorHAnsi"/>
              </w:rPr>
              <w:t>No interventional effect on dietary behaviour change.</w:t>
            </w:r>
          </w:p>
        </w:tc>
        <w:tc>
          <w:tcPr>
            <w:tcW w:w="2158" w:type="dxa"/>
            <w:tcBorders>
              <w:right w:val="nil"/>
            </w:tcBorders>
          </w:tcPr>
          <w:p w14:paraId="0CFF95E9" w14:textId="77777777" w:rsidR="00AE4AC2" w:rsidRPr="00B1522E" w:rsidRDefault="00AE4AC2" w:rsidP="00AA5DD9">
            <w:pPr>
              <w:numPr>
                <w:ilvl w:val="0"/>
                <w:numId w:val="43"/>
              </w:numPr>
              <w:spacing w:line="480" w:lineRule="auto"/>
              <w:contextualSpacing/>
              <w:rPr>
                <w:rFonts w:eastAsia="Calibri" w:cstheme="minorHAnsi"/>
              </w:rPr>
            </w:pPr>
            <w:r w:rsidRPr="00B1522E">
              <w:rPr>
                <w:rFonts w:eastAsia="Calibri" w:cstheme="minorHAnsi"/>
              </w:rPr>
              <w:t>2 school years</w:t>
            </w:r>
          </w:p>
          <w:p w14:paraId="4426D526" w14:textId="77777777" w:rsidR="00AE4AC2" w:rsidRPr="00B1522E" w:rsidRDefault="00AE4AC2" w:rsidP="00AA5DD9">
            <w:pPr>
              <w:numPr>
                <w:ilvl w:val="0"/>
                <w:numId w:val="43"/>
              </w:numPr>
              <w:spacing w:line="480" w:lineRule="auto"/>
              <w:contextualSpacing/>
              <w:rPr>
                <w:rFonts w:eastAsia="Calibri" w:cstheme="minorHAnsi"/>
              </w:rPr>
            </w:pPr>
            <w:r w:rsidRPr="00B1522E">
              <w:rPr>
                <w:rFonts w:eastAsia="Calibri" w:cstheme="minorHAnsi"/>
              </w:rPr>
              <w:t>11-12 years old (mean 12.36)</w:t>
            </w:r>
          </w:p>
          <w:p w14:paraId="20CBF3EA" w14:textId="77777777" w:rsidR="00AE4AC2" w:rsidRPr="00B1522E" w:rsidRDefault="00AE4AC2" w:rsidP="00AA5DD9">
            <w:pPr>
              <w:numPr>
                <w:ilvl w:val="0"/>
                <w:numId w:val="43"/>
              </w:numPr>
              <w:spacing w:line="480" w:lineRule="auto"/>
              <w:contextualSpacing/>
              <w:rPr>
                <w:rFonts w:eastAsia="Calibri" w:cstheme="minorHAnsi"/>
              </w:rPr>
            </w:pPr>
            <w:r w:rsidRPr="00B1522E">
              <w:rPr>
                <w:rFonts w:eastAsia="Calibri" w:cstheme="minorHAnsi"/>
              </w:rPr>
              <w:t xml:space="preserve">Social Cognitive model </w:t>
            </w:r>
          </w:p>
        </w:tc>
        <w:tc>
          <w:tcPr>
            <w:tcW w:w="1418" w:type="dxa"/>
            <w:tcBorders>
              <w:left w:val="nil"/>
            </w:tcBorders>
          </w:tcPr>
          <w:p w14:paraId="4B591B11" w14:textId="77777777" w:rsidR="00AE4AC2" w:rsidRPr="00B1522E" w:rsidRDefault="00AE4AC2" w:rsidP="00AE4AC2">
            <w:pPr>
              <w:spacing w:line="480" w:lineRule="auto"/>
              <w:rPr>
                <w:rFonts w:eastAsia="Calibri" w:cstheme="minorHAnsi"/>
              </w:rPr>
            </w:pPr>
            <w:r w:rsidRPr="00B1522E">
              <w:rPr>
                <w:rFonts w:eastAsia="Calibri" w:cstheme="minorHAnsi"/>
              </w:rPr>
              <w:t xml:space="preserve">Strong </w:t>
            </w:r>
          </w:p>
        </w:tc>
      </w:tr>
      <w:tr w:rsidR="00E77769" w:rsidRPr="00B1522E" w14:paraId="2270107E" w14:textId="77777777" w:rsidTr="000A2B49">
        <w:trPr>
          <w:trHeight w:val="2268"/>
        </w:trPr>
        <w:tc>
          <w:tcPr>
            <w:tcW w:w="1489" w:type="dxa"/>
            <w:shd w:val="clear" w:color="auto" w:fill="auto"/>
          </w:tcPr>
          <w:p w14:paraId="52F3267E" w14:textId="77777777" w:rsidR="00AE4AC2" w:rsidRPr="00B1522E" w:rsidRDefault="00AE4AC2" w:rsidP="00AE4AC2">
            <w:pPr>
              <w:spacing w:line="480" w:lineRule="auto"/>
              <w:rPr>
                <w:rFonts w:eastAsia="Calibri" w:cstheme="minorHAnsi"/>
              </w:rPr>
            </w:pPr>
            <w:r w:rsidRPr="00B1522E">
              <w:rPr>
                <w:rFonts w:eastAsia="Calibri" w:cstheme="minorHAnsi"/>
              </w:rPr>
              <w:t>Foley at al. (2017)</w:t>
            </w:r>
          </w:p>
        </w:tc>
        <w:tc>
          <w:tcPr>
            <w:tcW w:w="1489" w:type="dxa"/>
          </w:tcPr>
          <w:p w14:paraId="55187F32"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increase regular breakfast consumption, </w:t>
            </w:r>
            <w:r w:rsidRPr="00B1522E">
              <w:rPr>
                <w:rFonts w:eastAsia="Calibri" w:cstheme="minorHAnsi"/>
              </w:rPr>
              <w:lastRenderedPageBreak/>
              <w:t xml:space="preserve">and reduce SSB.  </w:t>
            </w:r>
          </w:p>
        </w:tc>
        <w:tc>
          <w:tcPr>
            <w:tcW w:w="1417" w:type="dxa"/>
          </w:tcPr>
          <w:p w14:paraId="27D48FAF"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23 schools in Australia.</w:t>
            </w:r>
          </w:p>
          <w:p w14:paraId="20990358" w14:textId="77777777" w:rsidR="00AE4AC2" w:rsidRPr="00B1522E" w:rsidRDefault="00AE4AC2" w:rsidP="00AE4AC2">
            <w:pPr>
              <w:spacing w:line="480" w:lineRule="auto"/>
              <w:rPr>
                <w:rFonts w:eastAsia="Calibri" w:cstheme="minorHAnsi"/>
              </w:rPr>
            </w:pPr>
            <w:r w:rsidRPr="00B1522E">
              <w:rPr>
                <w:rFonts w:eastAsia="Calibri" w:cstheme="minorHAnsi"/>
              </w:rPr>
              <w:t xml:space="preserve">(n) 519 </w:t>
            </w:r>
          </w:p>
        </w:tc>
        <w:tc>
          <w:tcPr>
            <w:tcW w:w="1755" w:type="dxa"/>
          </w:tcPr>
          <w:p w14:paraId="2922077C" w14:textId="77777777" w:rsidR="00AE4AC2" w:rsidRPr="00B1522E" w:rsidRDefault="00AE4AC2" w:rsidP="00AE4AC2">
            <w:pPr>
              <w:spacing w:line="480" w:lineRule="auto"/>
              <w:rPr>
                <w:rFonts w:eastAsia="Calibri" w:cstheme="minorHAnsi"/>
              </w:rPr>
            </w:pPr>
            <w:r w:rsidRPr="00B1522E">
              <w:rPr>
                <w:rFonts w:eastAsia="Calibri" w:cstheme="minorHAnsi"/>
              </w:rPr>
              <w:t xml:space="preserve">Quasi-experimental design.  </w:t>
            </w:r>
          </w:p>
        </w:tc>
        <w:tc>
          <w:tcPr>
            <w:tcW w:w="3075" w:type="dxa"/>
          </w:tcPr>
          <w:p w14:paraId="1985E296" w14:textId="77777777" w:rsidR="00AE4AC2" w:rsidRPr="00B1522E" w:rsidRDefault="00AE4AC2" w:rsidP="00AE4AC2">
            <w:pPr>
              <w:spacing w:line="480" w:lineRule="auto"/>
              <w:rPr>
                <w:rFonts w:eastAsia="Calibri" w:cstheme="minorHAnsi"/>
              </w:rPr>
            </w:pPr>
            <w:r w:rsidRPr="00B1522E">
              <w:rPr>
                <w:rFonts w:eastAsia="Calibri" w:cstheme="minorHAnsi"/>
              </w:rPr>
              <w:t xml:space="preserve">Participants completed online questionnaires to measure: FFQ, physical activity levels, school-day recreation screen time, and intentions regarding these. Data was collected at baseline and post intervention. </w:t>
            </w:r>
          </w:p>
        </w:tc>
        <w:tc>
          <w:tcPr>
            <w:tcW w:w="3076" w:type="dxa"/>
          </w:tcPr>
          <w:p w14:paraId="4052535B" w14:textId="33D4CDDE" w:rsidR="00AE4AC2" w:rsidRPr="00B1522E" w:rsidRDefault="00AE4AC2" w:rsidP="00AE4AC2">
            <w:pPr>
              <w:spacing w:line="480" w:lineRule="auto"/>
              <w:rPr>
                <w:rFonts w:eastAsia="Calibri" w:cstheme="minorHAnsi"/>
              </w:rPr>
            </w:pPr>
            <w:r w:rsidRPr="00B1522E">
              <w:rPr>
                <w:rFonts w:eastAsia="Calibri" w:cstheme="minorHAnsi"/>
              </w:rPr>
              <w:t>Peer leaders significantly improved: -</w:t>
            </w:r>
          </w:p>
          <w:p w14:paraId="3154B31C" w14:textId="3EEE870B" w:rsidR="00AE4AC2" w:rsidRPr="00B1522E" w:rsidRDefault="00AE4AC2" w:rsidP="00AA5DD9">
            <w:pPr>
              <w:numPr>
                <w:ilvl w:val="0"/>
                <w:numId w:val="44"/>
              </w:numPr>
              <w:spacing w:line="480" w:lineRule="auto"/>
              <w:contextualSpacing/>
              <w:rPr>
                <w:rFonts w:eastAsia="Calibri" w:cstheme="minorHAnsi"/>
              </w:rPr>
            </w:pPr>
            <w:r w:rsidRPr="00B1522E">
              <w:rPr>
                <w:rFonts w:eastAsia="Calibri" w:cstheme="minorHAnsi"/>
              </w:rPr>
              <w:t>The amount of fruit (p &lt; .01) and vegetable portions a day (p &lt; .01).</w:t>
            </w:r>
          </w:p>
          <w:p w14:paraId="196805FA" w14:textId="2536F7C1" w:rsidR="00AE4AC2" w:rsidRPr="00B1522E" w:rsidRDefault="00AE4AC2" w:rsidP="00AA5DD9">
            <w:pPr>
              <w:numPr>
                <w:ilvl w:val="0"/>
                <w:numId w:val="44"/>
              </w:numPr>
              <w:spacing w:line="480" w:lineRule="auto"/>
              <w:contextualSpacing/>
              <w:rPr>
                <w:rFonts w:eastAsia="Calibri" w:cstheme="minorHAnsi"/>
              </w:rPr>
            </w:pPr>
            <w:r w:rsidRPr="00B1522E">
              <w:rPr>
                <w:rFonts w:eastAsia="Calibri" w:cstheme="minorHAnsi"/>
              </w:rPr>
              <w:t>By reducing SSB (p &lt; .01)</w:t>
            </w:r>
          </w:p>
          <w:p w14:paraId="46BA0244" w14:textId="0A8C6671" w:rsidR="00AE4AC2" w:rsidRPr="00B1522E" w:rsidRDefault="00AE4AC2" w:rsidP="00AE4AC2">
            <w:pPr>
              <w:spacing w:line="480" w:lineRule="auto"/>
              <w:rPr>
                <w:rFonts w:eastAsia="Calibri" w:cstheme="minorHAnsi"/>
              </w:rPr>
            </w:pPr>
            <w:r w:rsidRPr="00B1522E">
              <w:rPr>
                <w:rFonts w:eastAsia="Calibri" w:cstheme="minorHAnsi"/>
              </w:rPr>
              <w:lastRenderedPageBreak/>
              <w:t>Males also significantly increased: -</w:t>
            </w:r>
          </w:p>
          <w:p w14:paraId="68F5B840" w14:textId="6ECC0DB6" w:rsidR="00AE4AC2" w:rsidRPr="00B1522E" w:rsidRDefault="00AE4AC2" w:rsidP="00AA5DD9">
            <w:pPr>
              <w:numPr>
                <w:ilvl w:val="0"/>
                <w:numId w:val="45"/>
              </w:numPr>
              <w:spacing w:line="480" w:lineRule="auto"/>
              <w:contextualSpacing/>
              <w:rPr>
                <w:rFonts w:eastAsia="Calibri" w:cstheme="minorHAnsi"/>
              </w:rPr>
            </w:pPr>
            <w:r w:rsidRPr="00B1522E">
              <w:rPr>
                <w:rFonts w:eastAsia="Calibri" w:cstheme="minorHAnsi"/>
              </w:rPr>
              <w:t>Regular breakfast consumption (p &lt; .05)</w:t>
            </w:r>
          </w:p>
          <w:p w14:paraId="35AA6F61" w14:textId="77777777" w:rsidR="00AE4AC2" w:rsidRPr="00B1522E" w:rsidRDefault="00AE4AC2" w:rsidP="00AE4AC2">
            <w:pPr>
              <w:spacing w:line="480" w:lineRule="auto"/>
              <w:rPr>
                <w:rFonts w:eastAsia="Calibri" w:cstheme="minorHAnsi"/>
              </w:rPr>
            </w:pPr>
          </w:p>
        </w:tc>
        <w:tc>
          <w:tcPr>
            <w:tcW w:w="2158" w:type="dxa"/>
            <w:tcBorders>
              <w:right w:val="nil"/>
            </w:tcBorders>
          </w:tcPr>
          <w:p w14:paraId="667FA6F1"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lastRenderedPageBreak/>
              <w:t>4 x 70 minute sessions (delivered over 25 days)</w:t>
            </w:r>
          </w:p>
          <w:p w14:paraId="4A344910"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15-16 years old</w:t>
            </w:r>
          </w:p>
          <w:p w14:paraId="52E3B8AA"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 xml:space="preserve">Social cognitive theory and </w:t>
            </w:r>
            <w:r w:rsidRPr="00B1522E">
              <w:rPr>
                <w:rFonts w:eastAsia="Calibri" w:cstheme="minorHAnsi"/>
              </w:rPr>
              <w:lastRenderedPageBreak/>
              <w:t xml:space="preserve">Empowerment education approach. </w:t>
            </w:r>
          </w:p>
        </w:tc>
        <w:tc>
          <w:tcPr>
            <w:tcW w:w="1418" w:type="dxa"/>
            <w:tcBorders>
              <w:left w:val="nil"/>
            </w:tcBorders>
          </w:tcPr>
          <w:p w14:paraId="05302109"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Moderate</w:t>
            </w:r>
          </w:p>
        </w:tc>
      </w:tr>
      <w:tr w:rsidR="00E77769" w:rsidRPr="00B1522E" w14:paraId="1E7A5B6E" w14:textId="77777777" w:rsidTr="00966286">
        <w:trPr>
          <w:trHeight w:val="2134"/>
        </w:trPr>
        <w:tc>
          <w:tcPr>
            <w:tcW w:w="1489" w:type="dxa"/>
          </w:tcPr>
          <w:p w14:paraId="40356A6B" w14:textId="03FC70E9"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Psychology","id":"ITEM-1","issue":"4","issued":{"date-parts":[["2007","11"]]},"note":"Accession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framework.","type":"article-journal","volume":"12"},"uris":["http://www.mendeley.com/documents/?uuid=2c69d806-7516-4cd4-b2a3-27913c06c285"]}],"mendeley":{"formattedCitation":"(Gratton et al., 2007)","manualFormatting":"Gratton et al. (2007)","plainTextFormattedCitation":"(Gratton et al., 2007)","previouslyFormattedCitation":"(Gratton et al., 2007)"},"properties":{"noteIndex":0},"schema":"https://github.com/citation-style-language/schema/raw/master/csl-citation.json"}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Gratton et al. (2007)</w:t>
            </w:r>
            <w:r w:rsidRPr="00B1522E">
              <w:rPr>
                <w:rFonts w:eastAsia="Calibri" w:cstheme="minorHAnsi"/>
              </w:rPr>
              <w:fldChar w:fldCharType="end"/>
            </w:r>
            <w:r w:rsidRPr="00B1522E">
              <w:rPr>
                <w:rFonts w:eastAsia="Calibri" w:cstheme="minorHAnsi"/>
              </w:rPr>
              <w:t xml:space="preserve"> </w:t>
            </w:r>
          </w:p>
        </w:tc>
        <w:tc>
          <w:tcPr>
            <w:tcW w:w="1489" w:type="dxa"/>
          </w:tcPr>
          <w:p w14:paraId="5C4070FF"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w:t>
            </w:r>
          </w:p>
        </w:tc>
        <w:tc>
          <w:tcPr>
            <w:tcW w:w="1417" w:type="dxa"/>
          </w:tcPr>
          <w:p w14:paraId="2F3BD695" w14:textId="77777777" w:rsidR="00AE4AC2" w:rsidRPr="00B1522E" w:rsidRDefault="00AE4AC2" w:rsidP="00AE4AC2">
            <w:pPr>
              <w:spacing w:line="480" w:lineRule="auto"/>
              <w:rPr>
                <w:rFonts w:eastAsia="Calibri" w:cstheme="minorHAnsi"/>
              </w:rPr>
            </w:pPr>
            <w:r w:rsidRPr="00B1522E">
              <w:rPr>
                <w:rFonts w:eastAsia="Calibri" w:cstheme="minorHAnsi"/>
              </w:rPr>
              <w:t>1 school in the United Kingdom. (n)198</w:t>
            </w:r>
          </w:p>
        </w:tc>
        <w:tc>
          <w:tcPr>
            <w:tcW w:w="1755" w:type="dxa"/>
          </w:tcPr>
          <w:p w14:paraId="25A3D3D8" w14:textId="3AEFBD45" w:rsidR="00AE4AC2" w:rsidRPr="00B1522E" w:rsidRDefault="00AE4AC2" w:rsidP="00AE4AC2">
            <w:pPr>
              <w:spacing w:line="480" w:lineRule="auto"/>
              <w:rPr>
                <w:rFonts w:eastAsia="Calibri" w:cstheme="minorHAnsi"/>
              </w:rPr>
            </w:pPr>
            <w:r w:rsidRPr="00B1522E">
              <w:rPr>
                <w:rFonts w:eastAsia="Calibri" w:cstheme="minorHAnsi"/>
              </w:rPr>
              <w:t>RCT. Three groups: -</w:t>
            </w:r>
            <w:r w:rsidR="00780733" w:rsidRPr="00B1522E">
              <w:rPr>
                <w:rFonts w:eastAsia="Calibri" w:cstheme="minorHAnsi"/>
              </w:rPr>
              <w:t>1) Received</w:t>
            </w:r>
            <w:r w:rsidRPr="00B1522E">
              <w:rPr>
                <w:rFonts w:eastAsia="Calibri" w:cstheme="minorHAnsi"/>
              </w:rPr>
              <w:t xml:space="preserve"> only the volitional intervention, </w:t>
            </w:r>
            <w:r w:rsidR="00780733" w:rsidRPr="00B1522E">
              <w:rPr>
                <w:rFonts w:eastAsia="Calibri" w:cstheme="minorHAnsi"/>
              </w:rPr>
              <w:t>2) Received</w:t>
            </w:r>
            <w:r w:rsidRPr="00B1522E">
              <w:rPr>
                <w:rFonts w:eastAsia="Calibri" w:cstheme="minorHAnsi"/>
              </w:rPr>
              <w:t xml:space="preserve"> only the motivational intervention, 3) Control (</w:t>
            </w:r>
            <w:r w:rsidR="00B87A8B" w:rsidRPr="00B1522E">
              <w:rPr>
                <w:rFonts w:eastAsia="Calibri" w:cstheme="minorHAnsi"/>
              </w:rPr>
              <w:t>received a</w:t>
            </w:r>
            <w:r w:rsidRPr="00B1522E">
              <w:rPr>
                <w:rFonts w:eastAsia="Calibri" w:cstheme="minorHAnsi"/>
              </w:rPr>
              <w:t xml:space="preserve"> volitional </w:t>
            </w:r>
            <w:r w:rsidRPr="00B1522E">
              <w:rPr>
                <w:rFonts w:eastAsia="Calibri" w:cstheme="minorHAnsi"/>
              </w:rPr>
              <w:lastRenderedPageBreak/>
              <w:t xml:space="preserve">intervention about homework not fruit and </w:t>
            </w:r>
            <w:r w:rsidR="003F69BF" w:rsidRPr="00B1522E">
              <w:rPr>
                <w:rFonts w:eastAsia="Calibri" w:cstheme="minorHAnsi"/>
              </w:rPr>
              <w:t>vegetables)</w:t>
            </w:r>
          </w:p>
        </w:tc>
        <w:tc>
          <w:tcPr>
            <w:tcW w:w="3075" w:type="dxa"/>
          </w:tcPr>
          <w:p w14:paraId="1902C469"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Participants were asked to complete a 7-day food diary and a questionnaire (measuring attitude, subjective norms, perceived behavioural control and behavioural intention). Data was collected at baseline and post intervention.</w:t>
            </w:r>
          </w:p>
        </w:tc>
        <w:tc>
          <w:tcPr>
            <w:tcW w:w="3076" w:type="dxa"/>
          </w:tcPr>
          <w:p w14:paraId="1A35B9CD" w14:textId="1A3CC407" w:rsidR="00AE4AC2" w:rsidRPr="00B1522E" w:rsidRDefault="00AE4AC2" w:rsidP="00AE4AC2">
            <w:pPr>
              <w:spacing w:line="480" w:lineRule="auto"/>
              <w:rPr>
                <w:rFonts w:eastAsia="Calibri" w:cstheme="minorHAnsi"/>
              </w:rPr>
            </w:pPr>
            <w:r w:rsidRPr="00B1522E">
              <w:rPr>
                <w:rFonts w:eastAsia="Calibri" w:cstheme="minorHAnsi"/>
              </w:rPr>
              <w:t>There was a significant difference between groups (p &lt; .001</w:t>
            </w:r>
            <w:r w:rsidR="00780733" w:rsidRPr="00B1522E">
              <w:rPr>
                <w:rFonts w:eastAsia="Calibri" w:cstheme="minorHAnsi"/>
              </w:rPr>
              <w:t>): -</w:t>
            </w:r>
          </w:p>
          <w:p w14:paraId="1A25B628" w14:textId="06F48CD9"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 xml:space="preserve">Group 1 and 2 showed significant increase in fruit and vegetable consumption (p &lt; .001) between the time points. </w:t>
            </w:r>
          </w:p>
          <w:p w14:paraId="33C9D75A" w14:textId="3D2F9D13"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 xml:space="preserve">The volitional intervention increased intake only over the control group (p &lt; .001) </w:t>
            </w:r>
          </w:p>
        </w:tc>
        <w:tc>
          <w:tcPr>
            <w:tcW w:w="2158" w:type="dxa"/>
            <w:tcBorders>
              <w:right w:val="nil"/>
            </w:tcBorders>
          </w:tcPr>
          <w:p w14:paraId="615761B9"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3 weeks</w:t>
            </w:r>
          </w:p>
          <w:p w14:paraId="704CE1BA"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11-16 years old (mean 13.1)</w:t>
            </w:r>
          </w:p>
          <w:p w14:paraId="507C8F82"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Theory of Planned Behaviour</w:t>
            </w:r>
          </w:p>
        </w:tc>
        <w:tc>
          <w:tcPr>
            <w:tcW w:w="1418" w:type="dxa"/>
            <w:tcBorders>
              <w:left w:val="nil"/>
            </w:tcBorders>
          </w:tcPr>
          <w:p w14:paraId="559A60A4" w14:textId="77777777" w:rsidR="00AE4AC2" w:rsidRPr="00B1522E" w:rsidRDefault="00AE4AC2" w:rsidP="00AE4AC2">
            <w:pPr>
              <w:spacing w:line="480" w:lineRule="auto"/>
              <w:rPr>
                <w:rFonts w:eastAsia="Calibri" w:cstheme="minorHAnsi"/>
              </w:rPr>
            </w:pPr>
            <w:r w:rsidRPr="00B1522E">
              <w:rPr>
                <w:rFonts w:eastAsia="Calibri" w:cstheme="minorHAnsi"/>
              </w:rPr>
              <w:t xml:space="preserve">Moderate </w:t>
            </w:r>
          </w:p>
        </w:tc>
      </w:tr>
      <w:tr w:rsidR="00E77769" w:rsidRPr="00B1522E" w14:paraId="47E5BF7F" w14:textId="77777777" w:rsidTr="00966286">
        <w:trPr>
          <w:trHeight w:val="990"/>
        </w:trPr>
        <w:tc>
          <w:tcPr>
            <w:tcW w:w="1489" w:type="dxa"/>
          </w:tcPr>
          <w:p w14:paraId="57125B5C" w14:textId="1FC767AC"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Research","id":"ITEM-1","issue":"6","issued":{"date-parts":[["2006","12"]]},"note":"Accession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children.","type":"article-journal","volume":"21"},"uris":["http://www.mendeley.com/documents/?uuid=bbef8914-979d-4764-8405-477314275444"]}],"mendeley":{"formattedCitation":"(Haerens et al., 2006)","manualFormatting":"Haerens et al. (2006)","plainTextFormattedCitation":"(Haerens et al., 2006)","previouslyFormattedCitation":"(Haerens et al., 2006)"},"properties":{"noteIndex":0},"schema":"https://github.com/citation-style-language/schema/raw/master/csl-citation.json"}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Haerens et al. (2006)</w:t>
            </w:r>
            <w:r w:rsidRPr="00B1522E">
              <w:rPr>
                <w:rFonts w:eastAsia="Calibri" w:cstheme="minorHAnsi"/>
              </w:rPr>
              <w:fldChar w:fldCharType="end"/>
            </w:r>
            <w:r w:rsidRPr="00B1522E">
              <w:rPr>
                <w:rFonts w:eastAsia="Calibri" w:cstheme="minorHAnsi"/>
              </w:rPr>
              <w:t xml:space="preserve"> </w:t>
            </w:r>
          </w:p>
        </w:tc>
        <w:tc>
          <w:tcPr>
            <w:tcW w:w="1489" w:type="dxa"/>
          </w:tcPr>
          <w:p w14:paraId="7647AE70" w14:textId="77777777" w:rsidR="00AE4AC2" w:rsidRPr="00B1522E" w:rsidRDefault="00AE4AC2" w:rsidP="00AE4AC2">
            <w:pPr>
              <w:spacing w:line="480" w:lineRule="auto"/>
              <w:rPr>
                <w:rFonts w:eastAsia="Calibri" w:cstheme="minorHAnsi"/>
              </w:rPr>
            </w:pPr>
            <w:r w:rsidRPr="00B1522E">
              <w:rPr>
                <w:rFonts w:eastAsia="Calibri" w:cstheme="minorHAnsi"/>
              </w:rPr>
              <w:t xml:space="preserve">Increase fruit and water intake and decrease SSB and fat intake. </w:t>
            </w:r>
          </w:p>
        </w:tc>
        <w:tc>
          <w:tcPr>
            <w:tcW w:w="1417" w:type="dxa"/>
          </w:tcPr>
          <w:p w14:paraId="36FBEC9C" w14:textId="77777777" w:rsidR="00AE4AC2" w:rsidRPr="00B1522E" w:rsidRDefault="00AE4AC2" w:rsidP="00AE4AC2">
            <w:pPr>
              <w:spacing w:line="480" w:lineRule="auto"/>
              <w:rPr>
                <w:rFonts w:eastAsia="Calibri" w:cstheme="minorHAnsi"/>
              </w:rPr>
            </w:pPr>
            <w:r w:rsidRPr="00B1522E">
              <w:rPr>
                <w:rFonts w:eastAsia="Calibri" w:cstheme="minorHAnsi"/>
              </w:rPr>
              <w:t>15 schools in Belgium.</w:t>
            </w:r>
          </w:p>
          <w:p w14:paraId="79B0E221" w14:textId="77777777" w:rsidR="00AE4AC2" w:rsidRPr="00B1522E" w:rsidRDefault="00AE4AC2" w:rsidP="00AE4AC2">
            <w:pPr>
              <w:spacing w:line="480" w:lineRule="auto"/>
              <w:rPr>
                <w:rFonts w:eastAsia="Calibri" w:cstheme="minorHAnsi"/>
              </w:rPr>
            </w:pPr>
            <w:r w:rsidRPr="00B1522E">
              <w:rPr>
                <w:rFonts w:eastAsia="Calibri" w:cstheme="minorHAnsi"/>
              </w:rPr>
              <w:t xml:space="preserve"> (n)2840</w:t>
            </w:r>
          </w:p>
        </w:tc>
        <w:tc>
          <w:tcPr>
            <w:tcW w:w="1755" w:type="dxa"/>
          </w:tcPr>
          <w:p w14:paraId="11DFF471" w14:textId="47438F07" w:rsidR="00AE4AC2" w:rsidRPr="00B1522E" w:rsidRDefault="00AE4AC2" w:rsidP="00AE4AC2">
            <w:pPr>
              <w:spacing w:line="480" w:lineRule="auto"/>
              <w:rPr>
                <w:rFonts w:eastAsia="Calibri" w:cstheme="minorHAnsi"/>
              </w:rPr>
            </w:pPr>
            <w:r w:rsidRPr="00B1522E">
              <w:rPr>
                <w:rFonts w:eastAsia="Calibri" w:cstheme="minorHAnsi"/>
              </w:rPr>
              <w:t>RCT. Three groups: -</w:t>
            </w:r>
          </w:p>
          <w:p w14:paraId="57B14E9E" w14:textId="77777777" w:rsidR="00AE4AC2" w:rsidRPr="00B1522E" w:rsidRDefault="00AE4AC2" w:rsidP="00AE4AC2">
            <w:pPr>
              <w:spacing w:line="480" w:lineRule="auto"/>
              <w:rPr>
                <w:rFonts w:eastAsia="Calibri" w:cstheme="minorHAnsi"/>
              </w:rPr>
            </w:pPr>
            <w:r w:rsidRPr="00B1522E">
              <w:rPr>
                <w:rFonts w:eastAsia="Calibri" w:cstheme="minorHAnsi"/>
              </w:rPr>
              <w:t xml:space="preserve">1) Intervention with parental involvement, </w:t>
            </w:r>
          </w:p>
          <w:p w14:paraId="4821ECBF" w14:textId="77777777" w:rsidR="00AE4AC2" w:rsidRPr="00B1522E" w:rsidRDefault="00AE4AC2" w:rsidP="00AE4AC2">
            <w:pPr>
              <w:spacing w:line="480" w:lineRule="auto"/>
              <w:rPr>
                <w:rFonts w:eastAsia="Calibri" w:cstheme="minorHAnsi"/>
              </w:rPr>
            </w:pPr>
            <w:r w:rsidRPr="00B1522E">
              <w:rPr>
                <w:rFonts w:eastAsia="Calibri" w:cstheme="minorHAnsi"/>
              </w:rPr>
              <w:t xml:space="preserve">2) Intervention alone, </w:t>
            </w:r>
          </w:p>
          <w:p w14:paraId="5884440F" w14:textId="77777777" w:rsidR="00AE4AC2" w:rsidRPr="00B1522E" w:rsidRDefault="00AE4AC2" w:rsidP="00AE4AC2">
            <w:pPr>
              <w:spacing w:line="480" w:lineRule="auto"/>
              <w:rPr>
                <w:rFonts w:eastAsia="Calibri" w:cstheme="minorHAnsi"/>
              </w:rPr>
            </w:pPr>
            <w:r w:rsidRPr="00B1522E">
              <w:rPr>
                <w:rFonts w:eastAsia="Calibri" w:cstheme="minorHAnsi"/>
              </w:rPr>
              <w:t>3) Control</w:t>
            </w:r>
          </w:p>
        </w:tc>
        <w:tc>
          <w:tcPr>
            <w:tcW w:w="3075" w:type="dxa"/>
          </w:tcPr>
          <w:p w14:paraId="6533EA22" w14:textId="77777777" w:rsidR="00AE4AC2" w:rsidRPr="00B1522E" w:rsidRDefault="00AE4AC2" w:rsidP="00AE4AC2">
            <w:pPr>
              <w:spacing w:line="480" w:lineRule="auto"/>
              <w:rPr>
                <w:rFonts w:eastAsia="Calibri" w:cstheme="minorHAnsi"/>
              </w:rPr>
            </w:pPr>
            <w:r w:rsidRPr="00B1522E">
              <w:rPr>
                <w:rFonts w:eastAsia="Calibri" w:cstheme="minorHAnsi"/>
              </w:rPr>
              <w:t>FFQ were completed along with physical activity questionnaire at baseline, 1 year, and 2 years.</w:t>
            </w:r>
          </w:p>
        </w:tc>
        <w:tc>
          <w:tcPr>
            <w:tcW w:w="3076" w:type="dxa"/>
          </w:tcPr>
          <w:p w14:paraId="13AA0FC4" w14:textId="6C475D00" w:rsidR="00AE4AC2" w:rsidRPr="00B1522E" w:rsidRDefault="00AE4AC2" w:rsidP="00AE4AC2">
            <w:pPr>
              <w:spacing w:line="480" w:lineRule="auto"/>
              <w:rPr>
                <w:rFonts w:eastAsia="Calibri" w:cstheme="minorHAnsi"/>
              </w:rPr>
            </w:pPr>
            <w:r w:rsidRPr="00B1522E">
              <w:rPr>
                <w:rFonts w:eastAsia="Calibri" w:cstheme="minorHAnsi"/>
              </w:rPr>
              <w:t>There was a significant positive intervention effect compared to the control at baseline to 2-year follow up (female only): -</w:t>
            </w:r>
          </w:p>
          <w:p w14:paraId="7E2B9DE1" w14:textId="66A9B1B3"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Decreasing unhealthy fat intake (p &lt; .05)</w:t>
            </w:r>
          </w:p>
        </w:tc>
        <w:tc>
          <w:tcPr>
            <w:tcW w:w="2158" w:type="dxa"/>
            <w:tcBorders>
              <w:right w:val="nil"/>
            </w:tcBorders>
          </w:tcPr>
          <w:p w14:paraId="6A54AC1C"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Two school years</w:t>
            </w:r>
          </w:p>
          <w:p w14:paraId="4D5B9340"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11-15 years old (mean 13.1)</w:t>
            </w:r>
          </w:p>
          <w:p w14:paraId="4D2CD95D"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Social Cognitive theory and Theory of Planned Behaviour</w:t>
            </w:r>
          </w:p>
          <w:p w14:paraId="4C9B99D4" w14:textId="77777777" w:rsidR="00AE4AC2" w:rsidRPr="00B1522E" w:rsidRDefault="00AE4AC2" w:rsidP="00AE4AC2">
            <w:pPr>
              <w:spacing w:line="480" w:lineRule="auto"/>
              <w:rPr>
                <w:rFonts w:eastAsia="Calibri" w:cstheme="minorHAnsi"/>
              </w:rPr>
            </w:pPr>
          </w:p>
        </w:tc>
        <w:tc>
          <w:tcPr>
            <w:tcW w:w="1418" w:type="dxa"/>
            <w:tcBorders>
              <w:left w:val="nil"/>
            </w:tcBorders>
          </w:tcPr>
          <w:p w14:paraId="08693A14"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732A0A6C" w14:textId="77777777" w:rsidTr="00966286">
        <w:trPr>
          <w:trHeight w:val="433"/>
        </w:trPr>
        <w:tc>
          <w:tcPr>
            <w:tcW w:w="1489" w:type="dxa"/>
          </w:tcPr>
          <w:p w14:paraId="53F047BF" w14:textId="38A893AD"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DB273B" w:rsidRPr="00B1522E">
              <w:rPr>
                <w:rFonts w:eastAsia="Calibri" w:cstheme="minorHAnsi"/>
              </w:rPr>
              <w:instrText>ADDIN CSL_CITATION {"citationItems":[{"id":"ITEM-1","itemData":{"ISSN":"0268-1153","abstract":"Conducted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Research","id":"ITEM-1","issue":"4","issued":{"date-parts":[["1990","12"]]},"note":"Accession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study.","type":"article-journal","volume":"5"},"uris":["http://www.mendeley.com/documents/?uuid=9a48b06a-99b7-4f0b-b92b-862a85f3beb5"]}],"mendeley":{"formattedCitation":"(Hölund, 1990)","manualFormatting":"Hölund (1990)","plainTextFormattedCitation":"(Hölund, 1990)","previouslyFormattedCitation":"(Hölund, 1990)"},"properties":{"noteIndex":0},"schema":"https://github.com/citation-style-language/schema/raw/master/csl-citation.json"}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Hölund (1990)</w:t>
            </w:r>
            <w:r w:rsidRPr="00B1522E">
              <w:rPr>
                <w:rFonts w:eastAsia="Calibri" w:cstheme="minorHAnsi"/>
              </w:rPr>
              <w:fldChar w:fldCharType="end"/>
            </w:r>
            <w:r w:rsidRPr="00B1522E">
              <w:rPr>
                <w:rFonts w:eastAsia="Calibri" w:cstheme="minorHAnsi"/>
              </w:rPr>
              <w:t xml:space="preserve"> </w:t>
            </w:r>
          </w:p>
        </w:tc>
        <w:tc>
          <w:tcPr>
            <w:tcW w:w="1489" w:type="dxa"/>
          </w:tcPr>
          <w:p w14:paraId="43FD57B5" w14:textId="77777777" w:rsidR="00AE4AC2" w:rsidRPr="00B1522E" w:rsidRDefault="00AE4AC2" w:rsidP="00AE4AC2">
            <w:pPr>
              <w:spacing w:line="480" w:lineRule="auto"/>
              <w:rPr>
                <w:rFonts w:eastAsia="Calibri" w:cstheme="minorHAnsi"/>
              </w:rPr>
            </w:pPr>
            <w:r w:rsidRPr="00B1522E">
              <w:rPr>
                <w:rFonts w:eastAsia="Calibri" w:cstheme="minorHAnsi"/>
              </w:rPr>
              <w:t>Reduce sugar and unhealthy fat consumption.</w:t>
            </w:r>
          </w:p>
        </w:tc>
        <w:tc>
          <w:tcPr>
            <w:tcW w:w="1417" w:type="dxa"/>
          </w:tcPr>
          <w:p w14:paraId="691A951E" w14:textId="77777777" w:rsidR="00AE4AC2" w:rsidRPr="00B1522E" w:rsidRDefault="00AE4AC2" w:rsidP="00AE4AC2">
            <w:pPr>
              <w:spacing w:line="480" w:lineRule="auto"/>
              <w:rPr>
                <w:rFonts w:eastAsia="Calibri" w:cstheme="minorHAnsi"/>
              </w:rPr>
            </w:pPr>
            <w:r w:rsidRPr="00B1522E">
              <w:rPr>
                <w:rFonts w:eastAsia="Calibri" w:cstheme="minorHAnsi"/>
              </w:rPr>
              <w:t xml:space="preserve">4 schools in the Netherlands. (n)127 </w:t>
            </w:r>
          </w:p>
        </w:tc>
        <w:tc>
          <w:tcPr>
            <w:tcW w:w="1755" w:type="dxa"/>
          </w:tcPr>
          <w:p w14:paraId="3BD77BFC"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54BC5574" w14:textId="77777777" w:rsidR="00AE4AC2" w:rsidRPr="00B1522E" w:rsidRDefault="00AE4AC2" w:rsidP="00AE4AC2">
            <w:pPr>
              <w:spacing w:line="480" w:lineRule="auto"/>
              <w:rPr>
                <w:rFonts w:eastAsia="Calibri" w:cstheme="minorHAnsi"/>
              </w:rPr>
            </w:pPr>
            <w:r w:rsidRPr="00B1522E">
              <w:rPr>
                <w:rFonts w:eastAsia="Calibri" w:cstheme="minorHAnsi"/>
              </w:rPr>
              <w:t>Diet history was taken by interview at baseline and post programme. Social and psychological data were collected at baseline, post, and 2-month follow-up.</w:t>
            </w:r>
          </w:p>
        </w:tc>
        <w:tc>
          <w:tcPr>
            <w:tcW w:w="3076" w:type="dxa"/>
          </w:tcPr>
          <w:p w14:paraId="582713FD" w14:textId="69FF4B5E" w:rsidR="00AE4AC2" w:rsidRPr="00B1522E" w:rsidRDefault="00AE4AC2" w:rsidP="00AE4AC2">
            <w:pPr>
              <w:spacing w:line="480" w:lineRule="auto"/>
              <w:rPr>
                <w:rFonts w:eastAsia="Calibri" w:cstheme="minorHAnsi"/>
              </w:rPr>
            </w:pPr>
            <w:r w:rsidRPr="00B1522E">
              <w:rPr>
                <w:rFonts w:eastAsia="Calibri" w:cstheme="minorHAnsi"/>
              </w:rPr>
              <w:t xml:space="preserve">Intervention group compared to the control </w:t>
            </w:r>
            <w:r w:rsidR="00524A72" w:rsidRPr="00B1522E">
              <w:rPr>
                <w:rFonts w:eastAsia="Calibri" w:cstheme="minorHAnsi"/>
              </w:rPr>
              <w:t>significantly: -</w:t>
            </w:r>
          </w:p>
          <w:p w14:paraId="6E36AA5F" w14:textId="01FB4672"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 xml:space="preserve">Reduced sugar intake (p = .05) and maintained 1 month after, compared to the control group.  </w:t>
            </w:r>
          </w:p>
        </w:tc>
        <w:tc>
          <w:tcPr>
            <w:tcW w:w="2158" w:type="dxa"/>
            <w:tcBorders>
              <w:right w:val="nil"/>
            </w:tcBorders>
          </w:tcPr>
          <w:p w14:paraId="4232FA12"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25 lessons (did not specify duration)</w:t>
            </w:r>
          </w:p>
          <w:p w14:paraId="38B04C3F"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14 years old</w:t>
            </w:r>
          </w:p>
          <w:p w14:paraId="5E69E035"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 xml:space="preserve">The Heath Belief model, Social Learning theory, Theory of Reasoned Action, Problem Behaviour theory, Group Dynamics approach. </w:t>
            </w:r>
          </w:p>
        </w:tc>
        <w:tc>
          <w:tcPr>
            <w:tcW w:w="1418" w:type="dxa"/>
            <w:tcBorders>
              <w:left w:val="nil"/>
            </w:tcBorders>
          </w:tcPr>
          <w:p w14:paraId="1ECB2A7F" w14:textId="77777777" w:rsidR="00AE4AC2" w:rsidRPr="00B1522E" w:rsidRDefault="00AE4AC2" w:rsidP="00AE4AC2">
            <w:pPr>
              <w:spacing w:line="480" w:lineRule="auto"/>
              <w:rPr>
                <w:rFonts w:eastAsia="Calibri" w:cstheme="minorHAnsi"/>
              </w:rPr>
            </w:pPr>
            <w:r w:rsidRPr="00B1522E">
              <w:rPr>
                <w:rFonts w:eastAsia="Calibri" w:cstheme="minorHAnsi"/>
              </w:rPr>
              <w:t xml:space="preserve">Strong </w:t>
            </w:r>
          </w:p>
        </w:tc>
      </w:tr>
      <w:tr w:rsidR="00E77769" w:rsidRPr="00B1522E" w14:paraId="26A0F134" w14:textId="77777777" w:rsidTr="00966286">
        <w:trPr>
          <w:trHeight w:val="5759"/>
        </w:trPr>
        <w:tc>
          <w:tcPr>
            <w:tcW w:w="1489" w:type="dxa"/>
          </w:tcPr>
          <w:p w14:paraId="2EDECB98" w14:textId="724DC513"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FD502B" w:rsidRPr="00B1522E">
              <w:rPr>
                <w:rFonts w:eastAsia="Calibri" w:cstheme="minorHAnsi"/>
              </w:rPr>
              <w:instrText>ADDIN CSL_CITATION {"citationItems":[{"id":"ITEM-1","itemData":{"ISSN":"1479-5868","abstract":"Background: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Activity","id":"ITEM-1","issued":{"date-parts":[["2016","12"]]},"note":"Accession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behaviors.","type":"article-journal","volume":"13"},"uris":["http://www.mendeley.com/documents/?uuid=823d9b1e-16f3-4ad7-ba7d-86b6176dc2c7"]}],"mendeley":{"formattedCitation":"(Hoelscher et al., 2016)","manualFormatting":"Hoelscher et al. (2016)","plainTextFormattedCitation":"(Hoelscher et al., 2016)","previouslyFormattedCitation":"(Hoelscher et al., 2016)"},"properties":{"noteIndex":0},"schema":"https://github.com/citation-style-language/schema/raw/master/csl-citation.json"}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Hoelscher et al. (2016)</w:t>
            </w:r>
            <w:r w:rsidRPr="00B1522E">
              <w:rPr>
                <w:rFonts w:eastAsia="Calibri" w:cstheme="minorHAnsi"/>
              </w:rPr>
              <w:fldChar w:fldCharType="end"/>
            </w:r>
            <w:r w:rsidRPr="00B1522E">
              <w:rPr>
                <w:rFonts w:eastAsia="Calibri" w:cstheme="minorHAnsi"/>
              </w:rPr>
              <w:t xml:space="preserve"> </w:t>
            </w:r>
          </w:p>
        </w:tc>
        <w:tc>
          <w:tcPr>
            <w:tcW w:w="1489" w:type="dxa"/>
          </w:tcPr>
          <w:p w14:paraId="34355186" w14:textId="77777777" w:rsidR="00AE4AC2" w:rsidRPr="00B1522E" w:rsidRDefault="00AE4AC2" w:rsidP="00AE4AC2">
            <w:pPr>
              <w:spacing w:line="480" w:lineRule="auto"/>
              <w:rPr>
                <w:rFonts w:eastAsia="Calibri" w:cstheme="minorHAnsi"/>
              </w:rPr>
            </w:pPr>
            <w:r w:rsidRPr="00B1522E">
              <w:rPr>
                <w:rFonts w:eastAsia="Calibri" w:cstheme="minorHAnsi"/>
              </w:rPr>
              <w:t xml:space="preserve">Increase fruit and vegetables, whole grains, low fat and fat-free dairy foods.  </w:t>
            </w:r>
          </w:p>
        </w:tc>
        <w:tc>
          <w:tcPr>
            <w:tcW w:w="1417" w:type="dxa"/>
          </w:tcPr>
          <w:p w14:paraId="7C854A35" w14:textId="77777777" w:rsidR="00AE4AC2" w:rsidRPr="00B1522E" w:rsidRDefault="00AE4AC2" w:rsidP="00AE4AC2">
            <w:pPr>
              <w:spacing w:line="480" w:lineRule="auto"/>
              <w:rPr>
                <w:rFonts w:eastAsia="Calibri" w:cstheme="minorHAnsi"/>
              </w:rPr>
            </w:pPr>
            <w:r w:rsidRPr="00B1522E">
              <w:rPr>
                <w:rFonts w:eastAsia="Calibri" w:cstheme="minorHAnsi"/>
              </w:rPr>
              <w:t xml:space="preserve">72 schools in the USA. </w:t>
            </w:r>
          </w:p>
          <w:p w14:paraId="207CCCDD" w14:textId="77777777" w:rsidR="00AE4AC2" w:rsidRPr="00B1522E" w:rsidRDefault="00AE4AC2" w:rsidP="00AE4AC2">
            <w:pPr>
              <w:spacing w:line="480" w:lineRule="auto"/>
              <w:rPr>
                <w:rFonts w:eastAsia="Calibri" w:cstheme="minorHAnsi"/>
              </w:rPr>
            </w:pPr>
            <w:r w:rsidRPr="00B1522E">
              <w:rPr>
                <w:rFonts w:eastAsia="Calibri" w:cstheme="minorHAnsi"/>
              </w:rPr>
              <w:t>(n) 32,482</w:t>
            </w:r>
          </w:p>
        </w:tc>
        <w:tc>
          <w:tcPr>
            <w:tcW w:w="1755" w:type="dxa"/>
          </w:tcPr>
          <w:p w14:paraId="6ECC0CA1" w14:textId="77777777" w:rsidR="00AE4AC2" w:rsidRPr="00B1522E" w:rsidRDefault="00AE4AC2" w:rsidP="00AE4AC2">
            <w:pPr>
              <w:spacing w:line="480" w:lineRule="auto"/>
              <w:rPr>
                <w:rFonts w:eastAsia="Calibri" w:cstheme="minorHAnsi"/>
              </w:rPr>
            </w:pPr>
            <w:r w:rsidRPr="00B1522E">
              <w:rPr>
                <w:rFonts w:eastAsia="Calibri" w:cstheme="minorHAnsi"/>
              </w:rPr>
              <w:t xml:space="preserve">Cross-sectional study. </w:t>
            </w:r>
          </w:p>
        </w:tc>
        <w:tc>
          <w:tcPr>
            <w:tcW w:w="3075" w:type="dxa"/>
          </w:tcPr>
          <w:p w14:paraId="250D6E3B" w14:textId="77777777" w:rsidR="00AE4AC2" w:rsidRPr="00B1522E" w:rsidRDefault="00AE4AC2" w:rsidP="00AE4AC2">
            <w:pPr>
              <w:spacing w:line="480" w:lineRule="auto"/>
              <w:rPr>
                <w:rFonts w:eastAsia="Calibri" w:cstheme="minorHAnsi"/>
              </w:rPr>
            </w:pPr>
            <w:r w:rsidRPr="00B1522E">
              <w:rPr>
                <w:rFonts w:eastAsia="Calibri" w:cstheme="minorHAnsi"/>
              </w:rPr>
              <w:t xml:space="preserve">Dietary behaviour (FFQ) and physical activity questionnaire were completed at baseline and post intervention  </w:t>
            </w:r>
          </w:p>
        </w:tc>
        <w:tc>
          <w:tcPr>
            <w:tcW w:w="3076" w:type="dxa"/>
          </w:tcPr>
          <w:p w14:paraId="0F4A9D16" w14:textId="3A724777" w:rsidR="00AE4AC2" w:rsidRPr="00B1522E" w:rsidRDefault="00AE4AC2" w:rsidP="00AE4AC2">
            <w:pPr>
              <w:spacing w:line="480" w:lineRule="auto"/>
              <w:rPr>
                <w:rFonts w:eastAsia="Calibri" w:cstheme="minorHAnsi"/>
              </w:rPr>
            </w:pPr>
            <w:r w:rsidRPr="00B1522E">
              <w:rPr>
                <w:rFonts w:eastAsia="Calibri" w:cstheme="minorHAnsi"/>
              </w:rPr>
              <w:t xml:space="preserve">Participants significantly increased from baseline to follow-up </w:t>
            </w:r>
            <w:r w:rsidR="003F69BF" w:rsidRPr="00B1522E">
              <w:rPr>
                <w:rFonts w:eastAsia="Calibri" w:cstheme="minorHAnsi"/>
              </w:rPr>
              <w:t>in: -</w:t>
            </w:r>
          </w:p>
          <w:p w14:paraId="3C790BB1" w14:textId="7D2FE36E"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 xml:space="preserve">Fruit (95% CI; 1.08-1.19) and vegetable (95% CI; 1.06-1.14) consumption </w:t>
            </w:r>
          </w:p>
          <w:p w14:paraId="0AC24FB5" w14:textId="77777777" w:rsidR="00AE4AC2" w:rsidRPr="00B1522E" w:rsidRDefault="00AE4AC2" w:rsidP="00AA5DD9">
            <w:pPr>
              <w:numPr>
                <w:ilvl w:val="0"/>
                <w:numId w:val="23"/>
              </w:numPr>
              <w:spacing w:line="480" w:lineRule="auto"/>
              <w:contextualSpacing/>
              <w:rPr>
                <w:rFonts w:eastAsia="Calibri" w:cstheme="minorHAnsi"/>
              </w:rPr>
            </w:pPr>
            <w:r w:rsidRPr="00B1522E">
              <w:rPr>
                <w:rFonts w:eastAsia="Calibri" w:cstheme="minorHAnsi"/>
              </w:rPr>
              <w:t>Whole grain consumption (95% CI; 1.21-1.34)</w:t>
            </w:r>
          </w:p>
          <w:p w14:paraId="5B789464" w14:textId="52361FD3" w:rsidR="00AE4AC2" w:rsidRPr="00B1522E" w:rsidRDefault="00AE4AC2" w:rsidP="00AE4AC2">
            <w:pPr>
              <w:spacing w:line="480" w:lineRule="auto"/>
              <w:rPr>
                <w:rFonts w:eastAsia="Calibri" w:cstheme="minorHAnsi"/>
              </w:rPr>
            </w:pPr>
            <w:r w:rsidRPr="00B1522E">
              <w:rPr>
                <w:rFonts w:eastAsia="Calibri" w:cstheme="minorHAnsi"/>
              </w:rPr>
              <w:t xml:space="preserve"> Males, also significantly increased: -</w:t>
            </w:r>
          </w:p>
          <w:p w14:paraId="3BE19EAA" w14:textId="77777777"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 xml:space="preserve">Low-fat (95% CI; 1.00-1.10) and fat-free dairy (95% CI; 1.08-1.14) foods consumption. </w:t>
            </w:r>
          </w:p>
        </w:tc>
        <w:tc>
          <w:tcPr>
            <w:tcW w:w="2158" w:type="dxa"/>
            <w:tcBorders>
              <w:right w:val="nil"/>
            </w:tcBorders>
          </w:tcPr>
          <w:p w14:paraId="5990AD88" w14:textId="77777777" w:rsidR="00AE4AC2" w:rsidRPr="00B1522E" w:rsidRDefault="00AE4AC2" w:rsidP="00AA5DD9">
            <w:pPr>
              <w:numPr>
                <w:ilvl w:val="0"/>
                <w:numId w:val="46"/>
              </w:numPr>
              <w:spacing w:line="480" w:lineRule="auto"/>
              <w:contextualSpacing/>
              <w:rPr>
                <w:rFonts w:eastAsia="Calibri" w:cstheme="minorHAnsi"/>
              </w:rPr>
            </w:pPr>
            <w:r w:rsidRPr="00B1522E">
              <w:rPr>
                <w:rFonts w:eastAsia="Calibri" w:cstheme="minorHAnsi"/>
              </w:rPr>
              <w:t>9 months</w:t>
            </w:r>
          </w:p>
          <w:p w14:paraId="1E5E2914" w14:textId="77777777" w:rsidR="00AE4AC2" w:rsidRPr="00B1522E" w:rsidRDefault="00AE4AC2" w:rsidP="00AA5DD9">
            <w:pPr>
              <w:numPr>
                <w:ilvl w:val="0"/>
                <w:numId w:val="46"/>
              </w:numPr>
              <w:spacing w:line="480" w:lineRule="auto"/>
              <w:contextualSpacing/>
              <w:rPr>
                <w:rFonts w:eastAsia="Calibri" w:cstheme="minorHAnsi"/>
              </w:rPr>
            </w:pPr>
            <w:r w:rsidRPr="00B1522E">
              <w:rPr>
                <w:rFonts w:eastAsia="Calibri" w:cstheme="minorHAnsi"/>
              </w:rPr>
              <w:t>12.33 years old (mean)</w:t>
            </w:r>
          </w:p>
          <w:p w14:paraId="1D5AA29C" w14:textId="77777777" w:rsidR="00AE4AC2" w:rsidRPr="00B1522E" w:rsidRDefault="00AE4AC2" w:rsidP="00AA5DD9">
            <w:pPr>
              <w:numPr>
                <w:ilvl w:val="0"/>
                <w:numId w:val="46"/>
              </w:numPr>
              <w:spacing w:line="480" w:lineRule="auto"/>
              <w:contextualSpacing/>
              <w:rPr>
                <w:rFonts w:eastAsia="Calibri" w:cstheme="minorHAnsi"/>
              </w:rPr>
            </w:pPr>
            <w:r w:rsidRPr="00B1522E">
              <w:rPr>
                <w:rFonts w:eastAsia="Calibri" w:cstheme="minorHAnsi"/>
              </w:rPr>
              <w:t>No specific theoretical base identified</w:t>
            </w:r>
          </w:p>
        </w:tc>
        <w:tc>
          <w:tcPr>
            <w:tcW w:w="1418" w:type="dxa"/>
            <w:tcBorders>
              <w:left w:val="nil"/>
            </w:tcBorders>
          </w:tcPr>
          <w:p w14:paraId="391CF2F2"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4D79D0CD" w14:textId="77777777" w:rsidTr="00966286">
        <w:trPr>
          <w:trHeight w:val="3041"/>
        </w:trPr>
        <w:tc>
          <w:tcPr>
            <w:tcW w:w="1489" w:type="dxa"/>
          </w:tcPr>
          <w:p w14:paraId="07520FB7" w14:textId="1BE51833"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DB273B" w:rsidRPr="00B1522E">
              <w:rPr>
                <w:rFonts w:eastAsia="Calibri" w:cstheme="minorHAnsi"/>
              </w:rPr>
              <w:instrText>ADDIN CSL_CITATION {"citationItems":[{"id":"ITEM-1","itemData":{"ISSN":"1403-4948","abstract":"Background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Health","id":"ITEM-1","issue":"5","issued":{"date-parts":[["2010","11"]]},"note":"Accession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study.","type":"article-journal","volume":"38"},"uris":["http://www.mendeley.com/documents/?uuid=78beb7d0-a0fa-4834-9f1b-52f489a9a220"]}],"mendeley":{"formattedCitation":"(Lien et al., 2010)","manualFormatting":"Lien et al. (2010)","plainTextFormattedCitation":"(Lien et al., 2010)","previouslyFormattedCitation":"(Lien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Lien et al. (2010)</w:t>
            </w:r>
            <w:r w:rsidRPr="00B1522E">
              <w:rPr>
                <w:rFonts w:eastAsia="Calibri" w:cstheme="minorHAnsi"/>
              </w:rPr>
              <w:fldChar w:fldCharType="end"/>
            </w:r>
          </w:p>
          <w:p w14:paraId="72319F51" w14:textId="77777777" w:rsidR="00AE4AC2" w:rsidRPr="00B1522E" w:rsidRDefault="00AE4AC2" w:rsidP="00AE4AC2">
            <w:pPr>
              <w:spacing w:line="480" w:lineRule="auto"/>
              <w:rPr>
                <w:rFonts w:eastAsia="Calibri" w:cstheme="minorHAnsi"/>
              </w:rPr>
            </w:pPr>
          </w:p>
        </w:tc>
        <w:tc>
          <w:tcPr>
            <w:tcW w:w="1489" w:type="dxa"/>
          </w:tcPr>
          <w:p w14:paraId="74B9DD56"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Decrease SSB and unhealthy snacks consumption.  </w:t>
            </w:r>
          </w:p>
        </w:tc>
        <w:tc>
          <w:tcPr>
            <w:tcW w:w="1417" w:type="dxa"/>
          </w:tcPr>
          <w:p w14:paraId="196D1046" w14:textId="77777777" w:rsidR="00AE4AC2" w:rsidRPr="00B1522E" w:rsidRDefault="00AE4AC2" w:rsidP="00AE4AC2">
            <w:pPr>
              <w:spacing w:line="480" w:lineRule="auto"/>
              <w:rPr>
                <w:rFonts w:eastAsia="Calibri" w:cstheme="minorHAnsi"/>
              </w:rPr>
            </w:pPr>
            <w:r w:rsidRPr="00B1522E">
              <w:rPr>
                <w:rFonts w:eastAsia="Calibri" w:cstheme="minorHAnsi"/>
              </w:rPr>
              <w:t xml:space="preserve">37 schools in Norway. (n)1580 </w:t>
            </w:r>
          </w:p>
        </w:tc>
        <w:tc>
          <w:tcPr>
            <w:tcW w:w="1755" w:type="dxa"/>
          </w:tcPr>
          <w:p w14:paraId="081613CB" w14:textId="77777777" w:rsidR="00AE4AC2" w:rsidRPr="00B1522E" w:rsidRDefault="00AE4AC2" w:rsidP="00AE4AC2">
            <w:pPr>
              <w:spacing w:line="480" w:lineRule="auto"/>
              <w:rPr>
                <w:rFonts w:eastAsia="Calibri" w:cstheme="minorHAnsi"/>
              </w:rPr>
            </w:pPr>
            <w:r w:rsidRPr="00B1522E">
              <w:rPr>
                <w:rFonts w:eastAsia="Calibri" w:cstheme="minorHAnsi"/>
              </w:rPr>
              <w:t xml:space="preserve">Cluster RCT. Intervention group compared to a control. </w:t>
            </w:r>
          </w:p>
        </w:tc>
        <w:tc>
          <w:tcPr>
            <w:tcW w:w="3075" w:type="dxa"/>
          </w:tcPr>
          <w:p w14:paraId="5201F55D" w14:textId="77777777" w:rsidR="00AE4AC2" w:rsidRPr="00B1522E" w:rsidRDefault="00AE4AC2" w:rsidP="00AE4AC2">
            <w:pPr>
              <w:spacing w:line="480" w:lineRule="auto"/>
              <w:rPr>
                <w:rFonts w:eastAsia="Calibri" w:cstheme="minorHAnsi"/>
              </w:rPr>
            </w:pPr>
            <w:r w:rsidRPr="00B1522E">
              <w:rPr>
                <w:rFonts w:eastAsia="Calibri" w:cstheme="minorHAnsi"/>
              </w:rPr>
              <w:t>FFQ, BMI and physical activity measures were collected at baseline, after year 1 and post- intervention.</w:t>
            </w:r>
          </w:p>
        </w:tc>
        <w:tc>
          <w:tcPr>
            <w:tcW w:w="3076" w:type="dxa"/>
          </w:tcPr>
          <w:p w14:paraId="302EC77A" w14:textId="77777777" w:rsidR="00AE4AC2" w:rsidRPr="00B1522E" w:rsidRDefault="00AE4AC2" w:rsidP="00AE4AC2">
            <w:pPr>
              <w:spacing w:line="480" w:lineRule="auto"/>
              <w:rPr>
                <w:rFonts w:eastAsia="Calibri" w:cstheme="minorHAnsi"/>
              </w:rPr>
            </w:pPr>
            <w:r w:rsidRPr="00B1522E">
              <w:rPr>
                <w:rFonts w:eastAsia="Calibri" w:cstheme="minorHAnsi"/>
              </w:rPr>
              <w:t>No intervention effect on any of the measures.</w:t>
            </w:r>
          </w:p>
        </w:tc>
        <w:tc>
          <w:tcPr>
            <w:tcW w:w="2158" w:type="dxa"/>
            <w:tcBorders>
              <w:right w:val="nil"/>
            </w:tcBorders>
          </w:tcPr>
          <w:p w14:paraId="0DA7733B" w14:textId="77777777" w:rsidR="00AE4AC2" w:rsidRPr="00B1522E" w:rsidRDefault="00AE4AC2" w:rsidP="00AA5DD9">
            <w:pPr>
              <w:numPr>
                <w:ilvl w:val="0"/>
                <w:numId w:val="47"/>
              </w:numPr>
              <w:spacing w:line="480" w:lineRule="auto"/>
              <w:contextualSpacing/>
              <w:rPr>
                <w:rFonts w:eastAsia="Calibri" w:cstheme="minorHAnsi"/>
              </w:rPr>
            </w:pPr>
            <w:r w:rsidRPr="00B1522E">
              <w:rPr>
                <w:rFonts w:eastAsia="Calibri" w:cstheme="minorHAnsi"/>
              </w:rPr>
              <w:t>2 school years</w:t>
            </w:r>
          </w:p>
          <w:p w14:paraId="6BFC6517" w14:textId="77777777" w:rsidR="00AE4AC2" w:rsidRPr="00B1522E" w:rsidRDefault="00AE4AC2" w:rsidP="00AA5DD9">
            <w:pPr>
              <w:numPr>
                <w:ilvl w:val="0"/>
                <w:numId w:val="47"/>
              </w:numPr>
              <w:spacing w:line="480" w:lineRule="auto"/>
              <w:contextualSpacing/>
              <w:rPr>
                <w:rFonts w:eastAsia="Calibri" w:cstheme="minorHAnsi"/>
              </w:rPr>
            </w:pPr>
            <w:r w:rsidRPr="00B1522E">
              <w:rPr>
                <w:rFonts w:eastAsia="Calibri" w:cstheme="minorHAnsi"/>
              </w:rPr>
              <w:t>11-13 years old</w:t>
            </w:r>
          </w:p>
          <w:p w14:paraId="4CBF0835" w14:textId="77777777" w:rsidR="00AE4AC2" w:rsidRPr="00B1522E" w:rsidRDefault="00AE4AC2" w:rsidP="00AA5DD9">
            <w:pPr>
              <w:numPr>
                <w:ilvl w:val="0"/>
                <w:numId w:val="47"/>
              </w:numPr>
              <w:spacing w:line="480" w:lineRule="auto"/>
              <w:contextualSpacing/>
              <w:rPr>
                <w:rFonts w:eastAsia="Calibri" w:cstheme="minorHAnsi"/>
              </w:rPr>
            </w:pPr>
            <w:r w:rsidRPr="00B1522E">
              <w:rPr>
                <w:rFonts w:eastAsia="Calibri" w:cstheme="minorHAnsi"/>
              </w:rPr>
              <w:t xml:space="preserve">Dual Process model and Social ecological framework </w:t>
            </w:r>
          </w:p>
        </w:tc>
        <w:tc>
          <w:tcPr>
            <w:tcW w:w="1418" w:type="dxa"/>
            <w:tcBorders>
              <w:left w:val="nil"/>
            </w:tcBorders>
          </w:tcPr>
          <w:p w14:paraId="57AAC5F9"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6D94AD9F" w14:textId="77777777" w:rsidTr="00966286">
        <w:trPr>
          <w:trHeight w:val="855"/>
        </w:trPr>
        <w:tc>
          <w:tcPr>
            <w:tcW w:w="1489" w:type="dxa"/>
          </w:tcPr>
          <w:p w14:paraId="554C1F2A" w14:textId="29BA2D6E" w:rsidR="00AE4AC2" w:rsidRPr="00B1522E" w:rsidRDefault="00AE4AC2" w:rsidP="00AE4AC2">
            <w:pPr>
              <w:spacing w:line="480" w:lineRule="auto"/>
              <w:rPr>
                <w:rFonts w:eastAsia="Calibri" w:cstheme="minorHAnsi"/>
                <w:lang w:val="es-ES"/>
              </w:rPr>
            </w:pPr>
            <w:r w:rsidRPr="00B1522E">
              <w:rPr>
                <w:rFonts w:eastAsia="Calibri" w:cstheme="minorHAnsi"/>
                <w:lang w:val="es-ES"/>
              </w:rPr>
              <w:fldChar w:fldCharType="begin" w:fldLock="1"/>
            </w:r>
            <w:r w:rsidR="00DB273B" w:rsidRPr="00B1522E">
              <w:rPr>
                <w:rFonts w:eastAsia="Calibri" w:cstheme="minorHAnsi"/>
                <w:lang w:val="es-ES"/>
              </w:rPr>
              <w:instrText>ADDIN CSL_CITATION {"citationItems":[{"id":"ITEM-1","itemData":{"ISSN":"1879-0739","PMID":"19083401","abstract":"Certain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research","id":"ITEM-1","issue":"3","issued":{"date-parts":[["2008","3"]]},"page":"144-50","title":"Beverage intake improvement by high school students in Saskatchewan, Canada.","type":"article-journal","volume":"28"},"uris":["http://www.mendeley.com/documents/?uuid=fdc5051e-cbf7-4dcc-9784-097b6caadb05"]}],"mendeley":{"formattedCitation":"(Lo et al., 2008)","manualFormatting":"Lo et al. (2008)","plainTextFormattedCitation":"(Lo et al., 2008)","previouslyFormattedCitation":"(Lo et al., 2008)"},"properties":{"noteIndex":0},"schema":"https://github.com/citation-style-language/schema/raw/master/csl-citation.json"}</w:instrText>
            </w:r>
            <w:r w:rsidRPr="00B1522E">
              <w:rPr>
                <w:rFonts w:eastAsia="Calibri" w:cstheme="minorHAnsi"/>
                <w:lang w:val="es-ES"/>
              </w:rPr>
              <w:fldChar w:fldCharType="separate"/>
            </w:r>
            <w:r w:rsidRPr="00B1522E">
              <w:rPr>
                <w:rFonts w:eastAsia="Calibri" w:cstheme="minorHAnsi"/>
                <w:noProof/>
                <w:lang w:val="es-ES"/>
              </w:rPr>
              <w:t>Lo et al. (2008)</w:t>
            </w:r>
            <w:r w:rsidRPr="00B1522E">
              <w:rPr>
                <w:rFonts w:eastAsia="Calibri" w:cstheme="minorHAnsi"/>
                <w:lang w:val="es-ES"/>
              </w:rPr>
              <w:fldChar w:fldCharType="end"/>
            </w:r>
          </w:p>
          <w:p w14:paraId="64546E2A" w14:textId="77777777" w:rsidR="00AE4AC2" w:rsidRPr="00B1522E" w:rsidRDefault="00AE4AC2" w:rsidP="00AE4AC2">
            <w:pPr>
              <w:spacing w:line="480" w:lineRule="auto"/>
              <w:rPr>
                <w:rFonts w:eastAsia="Calibri" w:cstheme="minorHAnsi"/>
                <w:lang w:val="es-ES"/>
              </w:rPr>
            </w:pPr>
          </w:p>
        </w:tc>
        <w:tc>
          <w:tcPr>
            <w:tcW w:w="1489" w:type="dxa"/>
          </w:tcPr>
          <w:p w14:paraId="16132E48" w14:textId="77777777" w:rsidR="00AE4AC2" w:rsidRPr="00B1522E" w:rsidRDefault="00AE4AC2" w:rsidP="00AE4AC2">
            <w:pPr>
              <w:spacing w:line="480" w:lineRule="auto"/>
              <w:rPr>
                <w:rFonts w:eastAsia="Calibri" w:cstheme="minorHAnsi"/>
              </w:rPr>
            </w:pPr>
            <w:r w:rsidRPr="00B1522E">
              <w:rPr>
                <w:rFonts w:eastAsia="Calibri" w:cstheme="minorHAnsi"/>
              </w:rPr>
              <w:t xml:space="preserve">To decrease SSB </w:t>
            </w:r>
          </w:p>
        </w:tc>
        <w:tc>
          <w:tcPr>
            <w:tcW w:w="1417" w:type="dxa"/>
            <w:shd w:val="clear" w:color="auto" w:fill="auto"/>
          </w:tcPr>
          <w:p w14:paraId="78E33EA5" w14:textId="77777777" w:rsidR="00AE4AC2" w:rsidRPr="00B1522E" w:rsidRDefault="00AE4AC2" w:rsidP="00AE4AC2">
            <w:pPr>
              <w:spacing w:line="480" w:lineRule="auto"/>
              <w:rPr>
                <w:rFonts w:eastAsia="Calibri" w:cstheme="minorHAnsi"/>
              </w:rPr>
            </w:pPr>
            <w:r w:rsidRPr="00B1522E">
              <w:rPr>
                <w:rFonts w:eastAsia="Calibri" w:cstheme="minorHAnsi"/>
              </w:rPr>
              <w:t xml:space="preserve">2 schools in Canada. </w:t>
            </w:r>
          </w:p>
          <w:p w14:paraId="40E72C83" w14:textId="77777777" w:rsidR="00AE4AC2" w:rsidRPr="00B1522E" w:rsidRDefault="00AE4AC2" w:rsidP="00AE4AC2">
            <w:pPr>
              <w:spacing w:line="480" w:lineRule="auto"/>
              <w:rPr>
                <w:rFonts w:eastAsia="Calibri" w:cstheme="minorHAnsi"/>
              </w:rPr>
            </w:pPr>
            <w:r w:rsidRPr="00B1522E">
              <w:rPr>
                <w:rFonts w:eastAsia="Calibri" w:cstheme="minorHAnsi"/>
              </w:rPr>
              <w:t xml:space="preserve">(n)113 </w:t>
            </w:r>
          </w:p>
        </w:tc>
        <w:tc>
          <w:tcPr>
            <w:tcW w:w="1755" w:type="dxa"/>
            <w:shd w:val="clear" w:color="auto" w:fill="auto"/>
          </w:tcPr>
          <w:p w14:paraId="7FA37F11" w14:textId="468D6DF9" w:rsidR="00AE4AC2" w:rsidRPr="00B1522E" w:rsidRDefault="00AE4AC2" w:rsidP="00AE4AC2">
            <w:pPr>
              <w:spacing w:line="480" w:lineRule="auto"/>
              <w:rPr>
                <w:rFonts w:eastAsia="Calibri" w:cstheme="minorHAnsi"/>
              </w:rPr>
            </w:pPr>
            <w:r w:rsidRPr="00B1522E">
              <w:rPr>
                <w:rFonts w:eastAsia="Calibri" w:cstheme="minorHAnsi"/>
              </w:rPr>
              <w:t xml:space="preserve">RCT. Four groups: -  </w:t>
            </w:r>
          </w:p>
          <w:p w14:paraId="3E4EBB71" w14:textId="77777777" w:rsidR="00AE4AC2" w:rsidRPr="00B1522E" w:rsidRDefault="00AE4AC2" w:rsidP="00AE4AC2">
            <w:pPr>
              <w:spacing w:line="480" w:lineRule="auto"/>
              <w:rPr>
                <w:rFonts w:eastAsia="Calibri" w:cstheme="minorHAnsi"/>
              </w:rPr>
            </w:pPr>
            <w:r w:rsidRPr="00B1522E">
              <w:rPr>
                <w:rFonts w:eastAsia="Calibri" w:cstheme="minorHAnsi"/>
              </w:rPr>
              <w:t xml:space="preserve">A) multiple peer educators and intervention (school 1), </w:t>
            </w:r>
          </w:p>
          <w:p w14:paraId="6D79B916" w14:textId="77777777" w:rsidR="00AE4AC2" w:rsidRPr="00B1522E" w:rsidRDefault="00AE4AC2" w:rsidP="00AE4AC2">
            <w:pPr>
              <w:spacing w:line="480" w:lineRule="auto"/>
              <w:rPr>
                <w:rFonts w:eastAsia="Calibri" w:cstheme="minorHAnsi"/>
              </w:rPr>
            </w:pPr>
            <w:r w:rsidRPr="00B1522E">
              <w:rPr>
                <w:rFonts w:eastAsia="Calibri" w:cstheme="minorHAnsi"/>
              </w:rPr>
              <w:t xml:space="preserve">B) Control (received only </w:t>
            </w:r>
            <w:r w:rsidRPr="00B1522E">
              <w:rPr>
                <w:rFonts w:eastAsia="Calibri" w:cstheme="minorHAnsi"/>
              </w:rPr>
              <w:lastRenderedPageBreak/>
              <w:t>student handouts from the intervention) (school 1),</w:t>
            </w:r>
          </w:p>
          <w:p w14:paraId="71BE756E" w14:textId="77777777" w:rsidR="00AE4AC2" w:rsidRPr="00B1522E" w:rsidRDefault="00AE4AC2" w:rsidP="00AE4AC2">
            <w:pPr>
              <w:spacing w:line="480" w:lineRule="auto"/>
              <w:rPr>
                <w:rFonts w:eastAsia="Calibri" w:cstheme="minorHAnsi"/>
              </w:rPr>
            </w:pPr>
            <w:r w:rsidRPr="00B1522E">
              <w:rPr>
                <w:rFonts w:eastAsia="Calibri" w:cstheme="minorHAnsi"/>
              </w:rPr>
              <w:t>C) Only one peer educator and intervention (school 2).</w:t>
            </w:r>
          </w:p>
          <w:p w14:paraId="32ABE14B" w14:textId="0EA11CD7" w:rsidR="00AE4AC2" w:rsidRPr="00B1522E" w:rsidRDefault="00AE4AC2" w:rsidP="00AE4AC2">
            <w:pPr>
              <w:spacing w:line="480" w:lineRule="auto"/>
              <w:rPr>
                <w:rFonts w:eastAsia="Calibri" w:cstheme="minorHAnsi"/>
              </w:rPr>
            </w:pPr>
            <w:r w:rsidRPr="00B1522E">
              <w:rPr>
                <w:rFonts w:eastAsia="Calibri" w:cstheme="minorHAnsi"/>
              </w:rPr>
              <w:t>D)Control (received only student handouts from the intervention) (school 2)</w:t>
            </w:r>
          </w:p>
        </w:tc>
        <w:tc>
          <w:tcPr>
            <w:tcW w:w="3075" w:type="dxa"/>
          </w:tcPr>
          <w:p w14:paraId="06EEB61E" w14:textId="76005221"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Nutrition knowledge, attitude towards SSB (FQ) and self-report beverage consumption were completed at baseline, post intervention and 3-month follow-up. There was a 1-year follow-up questionnaire for group A and B. </w:t>
            </w:r>
          </w:p>
        </w:tc>
        <w:tc>
          <w:tcPr>
            <w:tcW w:w="3076" w:type="dxa"/>
          </w:tcPr>
          <w:p w14:paraId="0ECD5566" w14:textId="0372A6C6" w:rsidR="00AE4AC2" w:rsidRPr="00B1522E" w:rsidRDefault="00AE4AC2" w:rsidP="00AE4AC2">
            <w:pPr>
              <w:spacing w:line="480" w:lineRule="auto"/>
              <w:rPr>
                <w:rFonts w:eastAsia="Calibri" w:cstheme="minorHAnsi"/>
              </w:rPr>
            </w:pPr>
            <w:r w:rsidRPr="00B1522E">
              <w:rPr>
                <w:rFonts w:eastAsia="Calibri" w:cstheme="minorHAnsi"/>
              </w:rPr>
              <w:t>Within Group A there was a significant: -</w:t>
            </w:r>
          </w:p>
          <w:p w14:paraId="7651DBE1" w14:textId="1FCA291B"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Decrease in SSB intake and this was sustained after 3 months (p &lt; .02).</w:t>
            </w:r>
          </w:p>
          <w:p w14:paraId="3D6D3EEC" w14:textId="34316B4D" w:rsidR="00AE4AC2" w:rsidRPr="00B1522E" w:rsidRDefault="00AE4AC2" w:rsidP="00AE4AC2">
            <w:pPr>
              <w:spacing w:line="480" w:lineRule="auto"/>
              <w:rPr>
                <w:rFonts w:eastAsia="Calibri" w:cstheme="minorHAnsi"/>
              </w:rPr>
            </w:pPr>
            <w:r w:rsidRPr="00B1522E">
              <w:rPr>
                <w:rFonts w:eastAsia="Calibri" w:cstheme="minorHAnsi"/>
              </w:rPr>
              <w:t>Within Group B there was a significant: -</w:t>
            </w:r>
          </w:p>
          <w:p w14:paraId="2313CB10" w14:textId="2997B24D"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lastRenderedPageBreak/>
              <w:t>Increased fruit juice consumption (p &lt; .02).</w:t>
            </w:r>
          </w:p>
          <w:p w14:paraId="4961EACC" w14:textId="3FDA205F" w:rsidR="00AE4AC2" w:rsidRPr="00B1522E" w:rsidRDefault="00AE4AC2" w:rsidP="00AE4AC2">
            <w:pPr>
              <w:spacing w:line="480" w:lineRule="auto"/>
              <w:rPr>
                <w:rFonts w:eastAsia="Calibri" w:cstheme="minorHAnsi"/>
              </w:rPr>
            </w:pPr>
            <w:r w:rsidRPr="00B1522E">
              <w:rPr>
                <w:rFonts w:eastAsia="Calibri" w:cstheme="minorHAnsi"/>
              </w:rPr>
              <w:t>Within Group D there was a significant: -</w:t>
            </w:r>
          </w:p>
          <w:p w14:paraId="4C79609C" w14:textId="3B9FF503"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 xml:space="preserve">Decrease in SSB intake (p &lt; .02), but it was not sustained at 3-month follow-up.  </w:t>
            </w:r>
          </w:p>
        </w:tc>
        <w:tc>
          <w:tcPr>
            <w:tcW w:w="2158" w:type="dxa"/>
            <w:tcBorders>
              <w:right w:val="nil"/>
            </w:tcBorders>
          </w:tcPr>
          <w:p w14:paraId="677C2BF8" w14:textId="77777777"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lastRenderedPageBreak/>
              <w:t>6 weeks</w:t>
            </w:r>
          </w:p>
          <w:p w14:paraId="21AFA722" w14:textId="77777777"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14 years old (mean)</w:t>
            </w:r>
          </w:p>
          <w:p w14:paraId="6AAB7540" w14:textId="071DD518"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 xml:space="preserve">Constructivist theory of learning </w:t>
            </w:r>
          </w:p>
        </w:tc>
        <w:tc>
          <w:tcPr>
            <w:tcW w:w="1418" w:type="dxa"/>
            <w:tcBorders>
              <w:left w:val="nil"/>
            </w:tcBorders>
          </w:tcPr>
          <w:p w14:paraId="4EBE1767"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60973E18" w14:textId="77777777" w:rsidTr="00966286">
        <w:trPr>
          <w:trHeight w:val="791"/>
        </w:trPr>
        <w:tc>
          <w:tcPr>
            <w:tcW w:w="1489" w:type="dxa"/>
          </w:tcPr>
          <w:p w14:paraId="7BD5997B" w14:textId="2ED36366"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DB273B" w:rsidRPr="00B1522E">
              <w:rPr>
                <w:rFonts w:eastAsia="Calibri" w:cstheme="minorHAnsi"/>
              </w:rPr>
              <w:instrText>ADDIN CSL_CITATION {"citationItems":[{"id":"ITEM-1","itemData":{"ISSN":"1054-139X","abstract":"Purpose: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intervention.","type":"article-journal","volume":"44"},"uris":["http://www.mendeley.com/documents/?uuid=3436d664-5481-4deb-9498-5b6cd81039b0"]}],"mendeley":{"formattedCitation":"(Lubans et al., 2009)","manualFormatting":"Lubans et al. (2009)","plainTextFormattedCitation":"(Lubans et al., 2009)","previouslyFormattedCitation":"(Lubans et al., 2009)"},"properties":{"noteIndex":0},"schema":"https://github.com/citation-style-language/schema/raw/master/csl-citation.json"}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Lubans et al. (2009)</w:t>
            </w:r>
            <w:r w:rsidRPr="00B1522E">
              <w:rPr>
                <w:rFonts w:eastAsia="Calibri" w:cstheme="minorHAnsi"/>
              </w:rPr>
              <w:fldChar w:fldCharType="end"/>
            </w:r>
            <w:r w:rsidRPr="00B1522E">
              <w:rPr>
                <w:rFonts w:eastAsia="Calibri" w:cstheme="minorHAnsi"/>
              </w:rPr>
              <w:t xml:space="preserve">  </w:t>
            </w:r>
          </w:p>
        </w:tc>
        <w:tc>
          <w:tcPr>
            <w:tcW w:w="1489" w:type="dxa"/>
          </w:tcPr>
          <w:p w14:paraId="4C6DF31A"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Decrease SSB and unhealthy snacks. </w:t>
            </w:r>
          </w:p>
        </w:tc>
        <w:tc>
          <w:tcPr>
            <w:tcW w:w="1417" w:type="dxa"/>
          </w:tcPr>
          <w:p w14:paraId="31140A2F" w14:textId="77777777" w:rsidR="00AE4AC2" w:rsidRPr="00B1522E" w:rsidRDefault="00AE4AC2" w:rsidP="00AE4AC2">
            <w:pPr>
              <w:spacing w:line="480" w:lineRule="auto"/>
              <w:rPr>
                <w:rFonts w:eastAsia="Calibri" w:cstheme="minorHAnsi"/>
              </w:rPr>
            </w:pPr>
            <w:r w:rsidRPr="00B1522E">
              <w:rPr>
                <w:rFonts w:eastAsia="Calibri" w:cstheme="minorHAnsi"/>
              </w:rPr>
              <w:t xml:space="preserve">6 schools in Australia (n)124  </w:t>
            </w:r>
          </w:p>
        </w:tc>
        <w:tc>
          <w:tcPr>
            <w:tcW w:w="1755" w:type="dxa"/>
          </w:tcPr>
          <w:p w14:paraId="68D76977"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2AF5E382" w14:textId="4536D298" w:rsidR="00AE4AC2" w:rsidRPr="00B1522E" w:rsidRDefault="00AE4AC2" w:rsidP="00AE4AC2">
            <w:pPr>
              <w:spacing w:line="480" w:lineRule="auto"/>
              <w:rPr>
                <w:rFonts w:eastAsia="Calibri" w:cstheme="minorHAnsi"/>
              </w:rPr>
            </w:pPr>
            <w:r w:rsidRPr="00B1522E">
              <w:rPr>
                <w:rFonts w:eastAsia="Calibri" w:cstheme="minorHAnsi"/>
              </w:rPr>
              <w:t>Physical activity, self-reported sedentary behaviour and dietary habits (FFQ) were completed at baseline, post and 6 months follow-up</w:t>
            </w:r>
          </w:p>
        </w:tc>
        <w:tc>
          <w:tcPr>
            <w:tcW w:w="3076" w:type="dxa"/>
          </w:tcPr>
          <w:p w14:paraId="3625AD92" w14:textId="20427EF3" w:rsidR="00AE4AC2" w:rsidRPr="00B1522E" w:rsidRDefault="00AE4AC2" w:rsidP="00AE4AC2">
            <w:pPr>
              <w:spacing w:line="480" w:lineRule="auto"/>
              <w:rPr>
                <w:rFonts w:eastAsia="Calibri" w:cstheme="minorHAnsi"/>
              </w:rPr>
            </w:pPr>
            <w:r w:rsidRPr="00B1522E">
              <w:rPr>
                <w:rFonts w:eastAsia="Calibri" w:cstheme="minorHAnsi"/>
              </w:rPr>
              <w:t>There was a significant interventional result within groups but not compared to the control: -</w:t>
            </w:r>
          </w:p>
          <w:p w14:paraId="5E808E7B" w14:textId="0287410C"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Males decreased their snacking (p = .043)</w:t>
            </w:r>
          </w:p>
          <w:p w14:paraId="04E6F9BA" w14:textId="19D70B61" w:rsidR="00AE4AC2" w:rsidRPr="00B1522E" w:rsidRDefault="00AE4AC2" w:rsidP="00AA5DD9">
            <w:pPr>
              <w:numPr>
                <w:ilvl w:val="0"/>
                <w:numId w:val="24"/>
              </w:numPr>
              <w:spacing w:line="480" w:lineRule="auto"/>
              <w:contextualSpacing/>
              <w:rPr>
                <w:rFonts w:eastAsia="Calibri" w:cstheme="minorHAnsi"/>
              </w:rPr>
            </w:pPr>
            <w:r w:rsidRPr="00B1522E">
              <w:rPr>
                <w:rFonts w:eastAsia="Calibri" w:cstheme="minorHAnsi"/>
              </w:rPr>
              <w:t>Females increased fruit intake (p = .028).</w:t>
            </w:r>
          </w:p>
        </w:tc>
        <w:tc>
          <w:tcPr>
            <w:tcW w:w="2158" w:type="dxa"/>
            <w:tcBorders>
              <w:right w:val="nil"/>
            </w:tcBorders>
          </w:tcPr>
          <w:p w14:paraId="2C06FD68" w14:textId="77777777" w:rsidR="00AE4AC2" w:rsidRPr="00B1522E" w:rsidRDefault="00AE4AC2" w:rsidP="00AA5DD9">
            <w:pPr>
              <w:numPr>
                <w:ilvl w:val="0"/>
                <w:numId w:val="48"/>
              </w:numPr>
              <w:spacing w:line="480" w:lineRule="auto"/>
              <w:contextualSpacing/>
              <w:rPr>
                <w:rFonts w:eastAsia="Calibri" w:cstheme="minorHAnsi"/>
              </w:rPr>
            </w:pPr>
            <w:r w:rsidRPr="00B1522E">
              <w:rPr>
                <w:rFonts w:eastAsia="Calibri" w:cstheme="minorHAnsi"/>
              </w:rPr>
              <w:t>6 months</w:t>
            </w:r>
          </w:p>
          <w:p w14:paraId="23345866" w14:textId="77777777" w:rsidR="00AE4AC2" w:rsidRPr="00B1522E" w:rsidRDefault="00AE4AC2" w:rsidP="00AA5DD9">
            <w:pPr>
              <w:numPr>
                <w:ilvl w:val="0"/>
                <w:numId w:val="48"/>
              </w:numPr>
              <w:spacing w:line="480" w:lineRule="auto"/>
              <w:contextualSpacing/>
              <w:rPr>
                <w:rFonts w:eastAsia="Calibri" w:cstheme="minorHAnsi"/>
              </w:rPr>
            </w:pPr>
            <w:r w:rsidRPr="00B1522E">
              <w:rPr>
                <w:rFonts w:eastAsia="Calibri" w:cstheme="minorHAnsi"/>
              </w:rPr>
              <w:t>14.1 years old (mean)</w:t>
            </w:r>
          </w:p>
          <w:p w14:paraId="2A2FFDD3" w14:textId="77777777" w:rsidR="00AE4AC2" w:rsidRPr="00B1522E" w:rsidRDefault="00AE4AC2" w:rsidP="00AA5DD9">
            <w:pPr>
              <w:numPr>
                <w:ilvl w:val="0"/>
                <w:numId w:val="48"/>
              </w:numPr>
              <w:spacing w:line="480" w:lineRule="auto"/>
              <w:contextualSpacing/>
              <w:rPr>
                <w:rFonts w:eastAsia="Calibri" w:cstheme="minorHAnsi"/>
              </w:rPr>
            </w:pPr>
            <w:r w:rsidRPr="00B1522E">
              <w:rPr>
                <w:rFonts w:eastAsia="Calibri" w:cstheme="minorHAnsi"/>
              </w:rPr>
              <w:t>Social Cognitive model</w:t>
            </w:r>
          </w:p>
        </w:tc>
        <w:tc>
          <w:tcPr>
            <w:tcW w:w="1418" w:type="dxa"/>
            <w:tcBorders>
              <w:left w:val="nil"/>
            </w:tcBorders>
          </w:tcPr>
          <w:p w14:paraId="0E29470C" w14:textId="77777777" w:rsidR="00AE4AC2" w:rsidRPr="00B1522E" w:rsidRDefault="00AE4AC2" w:rsidP="00AE4AC2">
            <w:pPr>
              <w:spacing w:line="480" w:lineRule="auto"/>
              <w:rPr>
                <w:rFonts w:eastAsia="Calibri" w:cstheme="minorHAnsi"/>
              </w:rPr>
            </w:pPr>
            <w:r w:rsidRPr="00B1522E">
              <w:rPr>
                <w:rFonts w:eastAsia="Calibri" w:cstheme="minorHAnsi"/>
              </w:rPr>
              <w:t>Weak</w:t>
            </w:r>
          </w:p>
        </w:tc>
      </w:tr>
      <w:tr w:rsidR="00E77769" w:rsidRPr="00B1522E" w14:paraId="0AAFE3AB" w14:textId="77777777" w:rsidTr="00966286">
        <w:trPr>
          <w:trHeight w:val="433"/>
        </w:trPr>
        <w:tc>
          <w:tcPr>
            <w:tcW w:w="1489" w:type="dxa"/>
          </w:tcPr>
          <w:p w14:paraId="25361B67" w14:textId="77777777" w:rsidR="00AE4AC2" w:rsidRPr="00B1522E" w:rsidRDefault="00AE4AC2" w:rsidP="00AE4AC2">
            <w:pPr>
              <w:spacing w:line="480" w:lineRule="auto"/>
              <w:rPr>
                <w:rFonts w:eastAsia="Calibri" w:cstheme="minorHAnsi"/>
              </w:rPr>
            </w:pPr>
            <w:r w:rsidRPr="00B1522E">
              <w:rPr>
                <w:rFonts w:eastAsia="Calibri" w:cstheme="minorHAnsi"/>
              </w:rPr>
              <w:t>Maatoug et al. (2015)</w:t>
            </w:r>
          </w:p>
        </w:tc>
        <w:tc>
          <w:tcPr>
            <w:tcW w:w="1489" w:type="dxa"/>
          </w:tcPr>
          <w:p w14:paraId="27C5FB7D" w14:textId="77777777" w:rsidR="00AE4AC2" w:rsidRPr="00B1522E" w:rsidRDefault="00AE4AC2" w:rsidP="00AE4AC2">
            <w:pPr>
              <w:spacing w:line="480" w:lineRule="auto"/>
              <w:rPr>
                <w:rFonts w:eastAsia="Calibri" w:cstheme="minorHAnsi"/>
              </w:rPr>
            </w:pPr>
            <w:r w:rsidRPr="00B1522E">
              <w:rPr>
                <w:rFonts w:eastAsia="Calibri" w:cstheme="minorHAnsi"/>
              </w:rPr>
              <w:t>Fruit and vegetable consumption.</w:t>
            </w:r>
          </w:p>
        </w:tc>
        <w:tc>
          <w:tcPr>
            <w:tcW w:w="1417" w:type="dxa"/>
          </w:tcPr>
          <w:p w14:paraId="714D9F4F" w14:textId="77777777" w:rsidR="00AE4AC2" w:rsidRPr="00B1522E" w:rsidRDefault="00AE4AC2" w:rsidP="00AE4AC2">
            <w:pPr>
              <w:spacing w:line="480" w:lineRule="auto"/>
              <w:rPr>
                <w:rFonts w:eastAsia="Calibri" w:cstheme="minorHAnsi"/>
              </w:rPr>
            </w:pPr>
            <w:r w:rsidRPr="00B1522E">
              <w:rPr>
                <w:rFonts w:eastAsia="Calibri" w:cstheme="minorHAnsi"/>
              </w:rPr>
              <w:t>15 schools in Tunisia.</w:t>
            </w:r>
          </w:p>
          <w:p w14:paraId="49E57CAE" w14:textId="77777777" w:rsidR="00AE4AC2" w:rsidRPr="00B1522E" w:rsidRDefault="00AE4AC2" w:rsidP="00AE4AC2">
            <w:pPr>
              <w:spacing w:line="480" w:lineRule="auto"/>
              <w:rPr>
                <w:rFonts w:eastAsia="Calibri" w:cstheme="minorHAnsi"/>
              </w:rPr>
            </w:pPr>
            <w:r w:rsidRPr="00B1522E">
              <w:rPr>
                <w:rFonts w:eastAsia="Calibri" w:cstheme="minorHAnsi"/>
              </w:rPr>
              <w:t>(n) 4003</w:t>
            </w:r>
          </w:p>
          <w:p w14:paraId="03ECF71B" w14:textId="77777777" w:rsidR="00AE4AC2" w:rsidRPr="00B1522E" w:rsidRDefault="00AE4AC2" w:rsidP="00AE4AC2">
            <w:pPr>
              <w:spacing w:line="480" w:lineRule="auto"/>
              <w:rPr>
                <w:rFonts w:eastAsia="Calibri" w:cstheme="minorHAnsi"/>
              </w:rPr>
            </w:pPr>
            <w:r w:rsidRPr="00B1522E">
              <w:rPr>
                <w:rFonts w:eastAsia="Calibri" w:cstheme="minorHAnsi"/>
              </w:rPr>
              <w:t xml:space="preserve">  </w:t>
            </w:r>
          </w:p>
        </w:tc>
        <w:tc>
          <w:tcPr>
            <w:tcW w:w="1755" w:type="dxa"/>
          </w:tcPr>
          <w:p w14:paraId="34D07CC2" w14:textId="77777777" w:rsidR="00AE4AC2" w:rsidRPr="00B1522E" w:rsidRDefault="00AE4AC2" w:rsidP="00AE4AC2">
            <w:pPr>
              <w:spacing w:line="480" w:lineRule="auto"/>
              <w:rPr>
                <w:rFonts w:eastAsia="Calibri" w:cstheme="minorHAnsi"/>
              </w:rPr>
            </w:pPr>
            <w:r w:rsidRPr="00B1522E">
              <w:rPr>
                <w:rFonts w:eastAsia="Calibri" w:cstheme="minorHAnsi"/>
              </w:rPr>
              <w:t xml:space="preserve">Quasi-experimental design.  </w:t>
            </w:r>
          </w:p>
        </w:tc>
        <w:tc>
          <w:tcPr>
            <w:tcW w:w="3075" w:type="dxa"/>
          </w:tcPr>
          <w:p w14:paraId="3D4EEFED" w14:textId="77777777" w:rsidR="00AE4AC2" w:rsidRPr="00B1522E" w:rsidRDefault="00AE4AC2" w:rsidP="00AE4AC2">
            <w:pPr>
              <w:spacing w:line="480" w:lineRule="auto"/>
              <w:rPr>
                <w:rFonts w:eastAsia="Calibri" w:cstheme="minorHAnsi"/>
              </w:rPr>
            </w:pPr>
            <w:r w:rsidRPr="00B1522E">
              <w:rPr>
                <w:rFonts w:eastAsia="Calibri" w:cstheme="minorHAnsi"/>
              </w:rPr>
              <w:t xml:space="preserve">FFQ, physical activity questionnaires, and BMI were collected at baseline and post intervention. </w:t>
            </w:r>
          </w:p>
        </w:tc>
        <w:tc>
          <w:tcPr>
            <w:tcW w:w="3076" w:type="dxa"/>
          </w:tcPr>
          <w:p w14:paraId="18571B96" w14:textId="656818DB" w:rsidR="00AE4AC2" w:rsidRPr="00B1522E" w:rsidRDefault="00AE4AC2" w:rsidP="00AE4AC2">
            <w:pPr>
              <w:spacing w:line="480" w:lineRule="auto"/>
              <w:rPr>
                <w:rFonts w:eastAsia="Calibri" w:cstheme="minorHAnsi"/>
              </w:rPr>
            </w:pPr>
            <w:r w:rsidRPr="00B1522E">
              <w:rPr>
                <w:rFonts w:eastAsia="Calibri" w:cstheme="minorHAnsi"/>
              </w:rPr>
              <w:t>Significant in- group changes (intervention group): -</w:t>
            </w:r>
          </w:p>
          <w:p w14:paraId="60C9FDB7" w14:textId="69DC4D8C" w:rsidR="00AE4AC2" w:rsidRPr="00B1522E" w:rsidRDefault="00AE4AC2" w:rsidP="00AA5DD9">
            <w:pPr>
              <w:numPr>
                <w:ilvl w:val="0"/>
                <w:numId w:val="29"/>
              </w:numPr>
              <w:spacing w:line="480" w:lineRule="auto"/>
              <w:contextualSpacing/>
              <w:rPr>
                <w:rFonts w:eastAsia="Calibri" w:cstheme="minorHAnsi"/>
              </w:rPr>
            </w:pPr>
            <w:r w:rsidRPr="00B1522E">
              <w:rPr>
                <w:rFonts w:eastAsia="Calibri" w:cstheme="minorHAnsi"/>
              </w:rPr>
              <w:t>Increased recommended fruit and vegetable consumption (p = .03).</w:t>
            </w:r>
          </w:p>
        </w:tc>
        <w:tc>
          <w:tcPr>
            <w:tcW w:w="2158" w:type="dxa"/>
            <w:tcBorders>
              <w:right w:val="nil"/>
            </w:tcBorders>
          </w:tcPr>
          <w:p w14:paraId="40174679" w14:textId="77777777" w:rsidR="00AE4AC2" w:rsidRPr="00B1522E" w:rsidRDefault="00AE4AC2" w:rsidP="00AA5DD9">
            <w:pPr>
              <w:numPr>
                <w:ilvl w:val="0"/>
                <w:numId w:val="49"/>
              </w:numPr>
              <w:spacing w:line="480" w:lineRule="auto"/>
              <w:contextualSpacing/>
              <w:rPr>
                <w:rFonts w:eastAsia="Calibri" w:cstheme="minorHAnsi"/>
              </w:rPr>
            </w:pPr>
            <w:r w:rsidRPr="00B1522E">
              <w:rPr>
                <w:rFonts w:eastAsia="Calibri" w:cstheme="minorHAnsi"/>
              </w:rPr>
              <w:t>3 school years</w:t>
            </w:r>
          </w:p>
          <w:p w14:paraId="57F76680" w14:textId="77777777" w:rsidR="00AE4AC2" w:rsidRPr="00B1522E" w:rsidRDefault="00AE4AC2" w:rsidP="00AA5DD9">
            <w:pPr>
              <w:numPr>
                <w:ilvl w:val="0"/>
                <w:numId w:val="49"/>
              </w:numPr>
              <w:spacing w:line="480" w:lineRule="auto"/>
              <w:contextualSpacing/>
              <w:rPr>
                <w:rFonts w:eastAsia="Calibri" w:cstheme="minorHAnsi"/>
              </w:rPr>
            </w:pPr>
            <w:r w:rsidRPr="00B1522E">
              <w:rPr>
                <w:rFonts w:eastAsia="Calibri" w:cstheme="minorHAnsi"/>
              </w:rPr>
              <w:t>11-16 years old</w:t>
            </w:r>
          </w:p>
          <w:p w14:paraId="49240E79" w14:textId="77777777" w:rsidR="00AE4AC2" w:rsidRPr="00B1522E" w:rsidRDefault="00AE4AC2" w:rsidP="00AA5DD9">
            <w:pPr>
              <w:numPr>
                <w:ilvl w:val="0"/>
                <w:numId w:val="49"/>
              </w:numPr>
              <w:spacing w:line="480" w:lineRule="auto"/>
              <w:contextualSpacing/>
              <w:rPr>
                <w:rFonts w:eastAsia="Calibri" w:cstheme="minorHAnsi"/>
              </w:rPr>
            </w:pPr>
            <w:r w:rsidRPr="00B1522E">
              <w:rPr>
                <w:rFonts w:eastAsia="Calibri" w:cstheme="minorHAnsi"/>
              </w:rPr>
              <w:t>No specific theoretical base identified</w:t>
            </w:r>
          </w:p>
        </w:tc>
        <w:tc>
          <w:tcPr>
            <w:tcW w:w="1418" w:type="dxa"/>
            <w:tcBorders>
              <w:left w:val="nil"/>
            </w:tcBorders>
          </w:tcPr>
          <w:p w14:paraId="074C06DC" w14:textId="77777777" w:rsidR="00AE4AC2" w:rsidRPr="00B1522E" w:rsidRDefault="00AE4AC2" w:rsidP="00AE4AC2">
            <w:pPr>
              <w:spacing w:line="480" w:lineRule="auto"/>
              <w:rPr>
                <w:rFonts w:eastAsia="Calibri" w:cstheme="minorHAnsi"/>
              </w:rPr>
            </w:pPr>
            <w:r w:rsidRPr="00B1522E">
              <w:rPr>
                <w:rFonts w:eastAsia="Calibri" w:cstheme="minorHAnsi"/>
              </w:rPr>
              <w:t xml:space="preserve">Moderate </w:t>
            </w:r>
          </w:p>
        </w:tc>
      </w:tr>
      <w:tr w:rsidR="00E77769" w:rsidRPr="00B1522E" w14:paraId="7C8EFE4B" w14:textId="77777777" w:rsidTr="00966286">
        <w:trPr>
          <w:trHeight w:val="433"/>
        </w:trPr>
        <w:tc>
          <w:tcPr>
            <w:tcW w:w="1489" w:type="dxa"/>
          </w:tcPr>
          <w:p w14:paraId="18BDBE03" w14:textId="4FE26F7D"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Adolescents.","type":"article-journal","volume":"24"},"uris":["http://www.mendeley.com/documents/?uuid=dcce02ba-d07b-4b8a-9d22-177816d0f2ff"]}],"mendeley":{"formattedCitation":"(M. Martens et al., 2010)","manualFormatting":"Martens et al. (2010)","plainTextFormattedCitation":"(M. Martens et al., 2010)","previouslyFormattedCitation":"(M. Martens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Martens et al. (2010)</w:t>
            </w:r>
            <w:r w:rsidRPr="00B1522E">
              <w:rPr>
                <w:rFonts w:eastAsia="Calibri" w:cstheme="minorHAnsi"/>
              </w:rPr>
              <w:fldChar w:fldCharType="end"/>
            </w:r>
          </w:p>
          <w:p w14:paraId="422F36FB" w14:textId="77777777" w:rsidR="00AE4AC2" w:rsidRPr="00B1522E" w:rsidRDefault="00AE4AC2" w:rsidP="00AE4AC2">
            <w:pPr>
              <w:spacing w:line="480" w:lineRule="auto"/>
              <w:rPr>
                <w:rFonts w:eastAsia="Calibri" w:cstheme="minorHAnsi"/>
              </w:rPr>
            </w:pPr>
          </w:p>
        </w:tc>
        <w:tc>
          <w:tcPr>
            <w:tcW w:w="1489" w:type="dxa"/>
          </w:tcPr>
          <w:p w14:paraId="285D1660"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consumption and improve </w:t>
            </w:r>
            <w:r w:rsidRPr="00B1522E">
              <w:rPr>
                <w:rFonts w:eastAsia="Calibri" w:cstheme="minorHAnsi"/>
              </w:rPr>
              <w:lastRenderedPageBreak/>
              <w:t xml:space="preserve">snacking behaviours </w:t>
            </w:r>
          </w:p>
        </w:tc>
        <w:tc>
          <w:tcPr>
            <w:tcW w:w="1417" w:type="dxa"/>
          </w:tcPr>
          <w:p w14:paraId="16301687"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10 Danish schools. </w:t>
            </w:r>
          </w:p>
          <w:p w14:paraId="4DDCEE9E"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(n) 879 students</w:t>
            </w:r>
          </w:p>
          <w:p w14:paraId="2FBAF85E" w14:textId="77777777" w:rsidR="00AE4AC2" w:rsidRPr="00B1522E" w:rsidRDefault="00AE4AC2" w:rsidP="00AE4AC2">
            <w:pPr>
              <w:spacing w:line="480" w:lineRule="auto"/>
              <w:rPr>
                <w:rFonts w:eastAsia="Calibri" w:cstheme="minorHAnsi"/>
              </w:rPr>
            </w:pPr>
            <w:r w:rsidRPr="00B1522E">
              <w:rPr>
                <w:rFonts w:eastAsia="Calibri" w:cstheme="minorHAnsi"/>
              </w:rPr>
              <w:t>1110 parents</w:t>
            </w:r>
          </w:p>
        </w:tc>
        <w:tc>
          <w:tcPr>
            <w:tcW w:w="1755" w:type="dxa"/>
          </w:tcPr>
          <w:p w14:paraId="32D7073D"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Cross-sectional design </w:t>
            </w:r>
          </w:p>
        </w:tc>
        <w:tc>
          <w:tcPr>
            <w:tcW w:w="3075" w:type="dxa"/>
          </w:tcPr>
          <w:p w14:paraId="7E3D87DF" w14:textId="77777777" w:rsidR="00AE4AC2" w:rsidRPr="00B1522E" w:rsidRDefault="00AE4AC2" w:rsidP="00AE4AC2">
            <w:pPr>
              <w:spacing w:line="480" w:lineRule="auto"/>
              <w:rPr>
                <w:rFonts w:eastAsia="Calibri" w:cstheme="minorHAnsi"/>
              </w:rPr>
            </w:pPr>
            <w:r w:rsidRPr="00B1522E">
              <w:rPr>
                <w:rFonts w:eastAsia="Calibri" w:cstheme="minorHAnsi"/>
              </w:rPr>
              <w:t xml:space="preserve">Two FFQ were used to measure dietary intake. They were </w:t>
            </w:r>
            <w:r w:rsidRPr="00B1522E">
              <w:rPr>
                <w:rFonts w:eastAsia="Calibri" w:cstheme="minorHAnsi"/>
              </w:rPr>
              <w:lastRenderedPageBreak/>
              <w:t xml:space="preserve">completed at baseline and post intervention.  </w:t>
            </w:r>
          </w:p>
        </w:tc>
        <w:tc>
          <w:tcPr>
            <w:tcW w:w="3076" w:type="dxa"/>
          </w:tcPr>
          <w:p w14:paraId="1992789D"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Non-significant result. However, there was a small increase in fruit consumption </w:t>
            </w:r>
            <w:r w:rsidRPr="00B1522E">
              <w:rPr>
                <w:rFonts w:eastAsia="Calibri" w:cstheme="minorHAnsi"/>
              </w:rPr>
              <w:lastRenderedPageBreak/>
              <w:t>per day and a decrease of snacks per day (these were comparisons for pre- to post-test)</w:t>
            </w:r>
          </w:p>
        </w:tc>
        <w:tc>
          <w:tcPr>
            <w:tcW w:w="2158" w:type="dxa"/>
            <w:tcBorders>
              <w:right w:val="nil"/>
            </w:tcBorders>
          </w:tcPr>
          <w:p w14:paraId="2329E997" w14:textId="77777777" w:rsidR="00AE4AC2" w:rsidRPr="00B1522E" w:rsidRDefault="00AE4AC2" w:rsidP="00AA5DD9">
            <w:pPr>
              <w:numPr>
                <w:ilvl w:val="0"/>
                <w:numId w:val="49"/>
              </w:numPr>
              <w:spacing w:line="480" w:lineRule="auto"/>
              <w:contextualSpacing/>
              <w:rPr>
                <w:rFonts w:eastAsia="Calibri" w:cstheme="minorHAnsi"/>
              </w:rPr>
            </w:pPr>
            <w:r w:rsidRPr="00B1522E">
              <w:rPr>
                <w:rFonts w:eastAsia="Calibri" w:cstheme="minorHAnsi"/>
              </w:rPr>
              <w:lastRenderedPageBreak/>
              <w:t>3 months</w:t>
            </w:r>
          </w:p>
          <w:p w14:paraId="19F3156F" w14:textId="77777777" w:rsidR="00AE4AC2" w:rsidRPr="00B1522E" w:rsidRDefault="00AE4AC2" w:rsidP="00AA5DD9">
            <w:pPr>
              <w:numPr>
                <w:ilvl w:val="0"/>
                <w:numId w:val="49"/>
              </w:numPr>
              <w:spacing w:line="480" w:lineRule="auto"/>
              <w:contextualSpacing/>
              <w:rPr>
                <w:rFonts w:eastAsia="Calibri" w:cstheme="minorHAnsi"/>
              </w:rPr>
            </w:pPr>
            <w:r w:rsidRPr="00B1522E">
              <w:rPr>
                <w:rFonts w:eastAsia="Calibri" w:cstheme="minorHAnsi"/>
              </w:rPr>
              <w:t>12-14 years old</w:t>
            </w:r>
          </w:p>
          <w:p w14:paraId="1D89F30E" w14:textId="77777777" w:rsidR="00AE4AC2" w:rsidRPr="00B1522E" w:rsidRDefault="00AE4AC2" w:rsidP="00AA5DD9">
            <w:pPr>
              <w:numPr>
                <w:ilvl w:val="0"/>
                <w:numId w:val="49"/>
              </w:numPr>
              <w:spacing w:line="480" w:lineRule="auto"/>
              <w:contextualSpacing/>
              <w:rPr>
                <w:rFonts w:eastAsia="Calibri" w:cstheme="minorHAnsi"/>
              </w:rPr>
            </w:pPr>
            <w:r w:rsidRPr="00B1522E">
              <w:rPr>
                <w:rFonts w:eastAsia="Calibri" w:cstheme="minorHAnsi"/>
              </w:rPr>
              <w:lastRenderedPageBreak/>
              <w:t>No specific theoretical base identified</w:t>
            </w:r>
          </w:p>
        </w:tc>
        <w:tc>
          <w:tcPr>
            <w:tcW w:w="1418" w:type="dxa"/>
            <w:tcBorders>
              <w:left w:val="nil"/>
            </w:tcBorders>
          </w:tcPr>
          <w:p w14:paraId="503E2E9C"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 xml:space="preserve">Weak </w:t>
            </w:r>
          </w:p>
        </w:tc>
      </w:tr>
      <w:tr w:rsidR="00E77769" w:rsidRPr="00B1522E" w14:paraId="36C1C3BB" w14:textId="77777777" w:rsidTr="00524A72">
        <w:trPr>
          <w:trHeight w:val="1276"/>
        </w:trPr>
        <w:tc>
          <w:tcPr>
            <w:tcW w:w="1489" w:type="dxa"/>
          </w:tcPr>
          <w:p w14:paraId="14BE8B78" w14:textId="7A4B8DBB" w:rsidR="00AE4AC2" w:rsidRPr="00B1522E" w:rsidRDefault="00AE4AC2" w:rsidP="00AE4AC2">
            <w:pPr>
              <w:spacing w:line="480" w:lineRule="auto"/>
              <w:rPr>
                <w:rFonts w:eastAsia="Calibri" w:cstheme="minorHAnsi"/>
                <w:lang w:val="it-IT"/>
              </w:rPr>
            </w:pPr>
            <w:r w:rsidRPr="00B1522E">
              <w:rPr>
                <w:rFonts w:eastAsia="Calibri" w:cstheme="minorHAnsi"/>
                <w:lang w:val="it-IT"/>
              </w:rPr>
              <w:fldChar w:fldCharType="begin" w:fldLock="1"/>
            </w:r>
            <w:r w:rsidR="00DB273B" w:rsidRPr="00B1522E">
              <w:rPr>
                <w:rFonts w:eastAsia="Calibri" w:cstheme="minorHAnsi"/>
                <w:lang w:val="it-IT"/>
              </w:rPr>
              <w:instrText>ADDIN CSL_CITATION {"citationItems":[{"id":"ITEM-1","itemData":{"ISSN":"0091-7435","abstract":"Background: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adolescents.","type":"article-journal","volume":"51"},"uris":["http://www.mendeley.com/documents/?uuid=74acfc22-4c53-4fd1-8464-3f7cdd79586e"]}],"mendeley":{"formattedCitation":"(Mauriello et al., 2010)","manualFormatting":"Mauriello et al. (2010)","plainTextFormattedCitation":"(Mauriello et al., 2010)","previouslyFormattedCitation":"(Mauriello et al., 2010)"},"properties":{"noteIndex":0},"schema":"https://github.com/citation-style-language/schema/raw/master/csl-citation.json"}</w:instrText>
            </w:r>
            <w:r w:rsidRPr="00B1522E">
              <w:rPr>
                <w:rFonts w:eastAsia="Calibri" w:cstheme="minorHAnsi"/>
                <w:lang w:val="it-IT"/>
              </w:rPr>
              <w:fldChar w:fldCharType="separate"/>
            </w:r>
            <w:r w:rsidRPr="00B1522E">
              <w:rPr>
                <w:rFonts w:eastAsia="Calibri" w:cstheme="minorHAnsi"/>
                <w:noProof/>
                <w:lang w:val="it-IT"/>
              </w:rPr>
              <w:t>Mauriello et al. (2010)</w:t>
            </w:r>
            <w:r w:rsidRPr="00B1522E">
              <w:rPr>
                <w:rFonts w:eastAsia="Calibri" w:cstheme="minorHAnsi"/>
                <w:lang w:val="it-IT"/>
              </w:rPr>
              <w:fldChar w:fldCharType="end"/>
            </w:r>
            <w:r w:rsidRPr="00B1522E">
              <w:rPr>
                <w:rFonts w:eastAsia="Calibri" w:cstheme="minorHAnsi"/>
                <w:lang w:val="it-IT"/>
              </w:rPr>
              <w:t xml:space="preserve"> </w:t>
            </w:r>
          </w:p>
        </w:tc>
        <w:tc>
          <w:tcPr>
            <w:tcW w:w="1489" w:type="dxa"/>
          </w:tcPr>
          <w:p w14:paraId="6CF936C2"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w:t>
            </w:r>
          </w:p>
        </w:tc>
        <w:tc>
          <w:tcPr>
            <w:tcW w:w="1417" w:type="dxa"/>
          </w:tcPr>
          <w:p w14:paraId="2FB6AB36" w14:textId="77777777" w:rsidR="00AE4AC2" w:rsidRPr="00B1522E" w:rsidRDefault="00AE4AC2" w:rsidP="00AE4AC2">
            <w:pPr>
              <w:spacing w:line="480" w:lineRule="auto"/>
              <w:rPr>
                <w:rFonts w:eastAsia="Calibri" w:cstheme="minorHAnsi"/>
              </w:rPr>
            </w:pPr>
            <w:r w:rsidRPr="00B1522E">
              <w:rPr>
                <w:rFonts w:eastAsia="Calibri" w:cstheme="minorHAnsi"/>
              </w:rPr>
              <w:t>8 schools in USA. (n)1800</w:t>
            </w:r>
          </w:p>
        </w:tc>
        <w:tc>
          <w:tcPr>
            <w:tcW w:w="1755" w:type="dxa"/>
            <w:shd w:val="clear" w:color="auto" w:fill="auto"/>
          </w:tcPr>
          <w:p w14:paraId="0DD2FE7A"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72794936" w14:textId="77777777" w:rsidR="00AE4AC2" w:rsidRPr="00B1522E" w:rsidRDefault="00AE4AC2" w:rsidP="00AE4AC2">
            <w:pPr>
              <w:spacing w:line="480" w:lineRule="auto"/>
              <w:rPr>
                <w:rFonts w:eastAsia="Calibri" w:cstheme="minorHAnsi"/>
              </w:rPr>
            </w:pPr>
            <w:r w:rsidRPr="00B1522E">
              <w:rPr>
                <w:rFonts w:eastAsia="Calibri" w:cstheme="minorHAnsi"/>
              </w:rPr>
              <w:t xml:space="preserve">FFQ, amount of physical activity and television viewing were collected at baseline, 2, 6 and 12 months. </w:t>
            </w:r>
          </w:p>
        </w:tc>
        <w:tc>
          <w:tcPr>
            <w:tcW w:w="3076" w:type="dxa"/>
          </w:tcPr>
          <w:p w14:paraId="31FA93FB" w14:textId="3D64671B" w:rsidR="00AE4AC2" w:rsidRPr="00B1522E" w:rsidRDefault="00AE4AC2" w:rsidP="00AE4AC2">
            <w:pPr>
              <w:spacing w:line="480" w:lineRule="auto"/>
              <w:rPr>
                <w:rFonts w:eastAsia="Calibri" w:cstheme="minorHAnsi"/>
              </w:rPr>
            </w:pPr>
            <w:r w:rsidRPr="00B1522E">
              <w:rPr>
                <w:rFonts w:eastAsia="Calibri" w:cstheme="minorHAnsi"/>
              </w:rPr>
              <w:t>There was a significant interventional result compared to control: -</w:t>
            </w:r>
          </w:p>
          <w:p w14:paraId="750BC54B" w14:textId="1159EADF" w:rsidR="00AE4AC2" w:rsidRPr="00B1522E" w:rsidRDefault="00AE4AC2" w:rsidP="00AA5DD9">
            <w:pPr>
              <w:numPr>
                <w:ilvl w:val="0"/>
                <w:numId w:val="50"/>
              </w:numPr>
              <w:spacing w:line="480" w:lineRule="auto"/>
              <w:contextualSpacing/>
              <w:rPr>
                <w:rFonts w:eastAsia="Calibri" w:cstheme="minorHAnsi"/>
              </w:rPr>
            </w:pPr>
            <w:r w:rsidRPr="00B1522E">
              <w:rPr>
                <w:rFonts w:eastAsia="Calibri" w:cstheme="minorHAnsi"/>
              </w:rPr>
              <w:t>Participants in the treatment group were ‘in action’, or ‘maintenance’ at 2 months, for fruit and vegetable consumption (p &lt;</w:t>
            </w:r>
            <w:r w:rsidR="00524A72" w:rsidRPr="00B1522E">
              <w:rPr>
                <w:rFonts w:eastAsia="Calibri" w:cstheme="minorHAnsi"/>
              </w:rPr>
              <w:t xml:space="preserve"> </w:t>
            </w:r>
            <w:r w:rsidRPr="00B1522E">
              <w:rPr>
                <w:rFonts w:eastAsia="Calibri" w:cstheme="minorHAnsi"/>
              </w:rPr>
              <w:t>.001)</w:t>
            </w:r>
          </w:p>
          <w:p w14:paraId="5F9CC887" w14:textId="69701B6F" w:rsidR="00AE4AC2" w:rsidRPr="00B1522E" w:rsidRDefault="00AE4AC2" w:rsidP="00AA5DD9">
            <w:pPr>
              <w:numPr>
                <w:ilvl w:val="0"/>
                <w:numId w:val="50"/>
              </w:numPr>
              <w:spacing w:line="480" w:lineRule="auto"/>
              <w:contextualSpacing/>
              <w:rPr>
                <w:rFonts w:eastAsia="Calibri" w:cstheme="minorHAnsi"/>
              </w:rPr>
            </w:pPr>
            <w:r w:rsidRPr="00B1522E">
              <w:rPr>
                <w:rFonts w:eastAsia="Calibri" w:cstheme="minorHAnsi"/>
              </w:rPr>
              <w:t xml:space="preserve">There was sustained significant increase at 6 (p &lt; .01) and 12 months (p &lt; </w:t>
            </w:r>
            <w:r w:rsidRPr="00B1522E">
              <w:rPr>
                <w:rFonts w:eastAsia="Calibri" w:cstheme="minorHAnsi"/>
              </w:rPr>
              <w:lastRenderedPageBreak/>
              <w:t xml:space="preserve">.01) for fruit and vegetable consumption. </w:t>
            </w:r>
          </w:p>
        </w:tc>
        <w:tc>
          <w:tcPr>
            <w:tcW w:w="2158" w:type="dxa"/>
            <w:tcBorders>
              <w:right w:val="nil"/>
            </w:tcBorders>
          </w:tcPr>
          <w:p w14:paraId="1CC5CDAB" w14:textId="77777777" w:rsidR="00AE4AC2" w:rsidRPr="00B1522E" w:rsidRDefault="00AE4AC2" w:rsidP="00AA5DD9">
            <w:pPr>
              <w:numPr>
                <w:ilvl w:val="0"/>
                <w:numId w:val="51"/>
              </w:numPr>
              <w:spacing w:line="480" w:lineRule="auto"/>
              <w:contextualSpacing/>
              <w:rPr>
                <w:rFonts w:eastAsia="Calibri" w:cstheme="minorHAnsi"/>
              </w:rPr>
            </w:pPr>
            <w:r w:rsidRPr="00B1522E">
              <w:rPr>
                <w:rFonts w:eastAsia="Calibri" w:cstheme="minorHAnsi"/>
              </w:rPr>
              <w:lastRenderedPageBreak/>
              <w:t xml:space="preserve">2 months </w:t>
            </w:r>
          </w:p>
          <w:p w14:paraId="6B6FDECD" w14:textId="77777777" w:rsidR="00AE4AC2" w:rsidRPr="00B1522E" w:rsidRDefault="00AE4AC2" w:rsidP="00AA5DD9">
            <w:pPr>
              <w:numPr>
                <w:ilvl w:val="0"/>
                <w:numId w:val="51"/>
              </w:numPr>
              <w:spacing w:line="480" w:lineRule="auto"/>
              <w:contextualSpacing/>
              <w:rPr>
                <w:rFonts w:eastAsia="Calibri" w:cstheme="minorHAnsi"/>
              </w:rPr>
            </w:pPr>
            <w:r w:rsidRPr="00B1522E">
              <w:rPr>
                <w:rFonts w:eastAsia="Calibri" w:cstheme="minorHAnsi"/>
              </w:rPr>
              <w:t>15.97 years old (mean) (9</w:t>
            </w:r>
            <w:r w:rsidRPr="00B1522E">
              <w:rPr>
                <w:rFonts w:eastAsia="Calibri" w:cstheme="minorHAnsi"/>
                <w:vertAlign w:val="superscript"/>
              </w:rPr>
              <w:t>th</w:t>
            </w:r>
            <w:r w:rsidRPr="00B1522E">
              <w:rPr>
                <w:rFonts w:eastAsia="Calibri" w:cstheme="minorHAnsi"/>
              </w:rPr>
              <w:t>-11</w:t>
            </w:r>
            <w:r w:rsidRPr="00B1522E">
              <w:rPr>
                <w:rFonts w:eastAsia="Calibri" w:cstheme="minorHAnsi"/>
                <w:vertAlign w:val="superscript"/>
              </w:rPr>
              <w:t>th</w:t>
            </w:r>
            <w:r w:rsidRPr="00B1522E">
              <w:rPr>
                <w:rFonts w:eastAsia="Calibri" w:cstheme="minorHAnsi"/>
              </w:rPr>
              <w:t xml:space="preserve"> grade)</w:t>
            </w:r>
          </w:p>
          <w:p w14:paraId="3DC35BD4" w14:textId="77777777" w:rsidR="00AE4AC2" w:rsidRPr="00B1522E" w:rsidRDefault="00AE4AC2" w:rsidP="00AA5DD9">
            <w:pPr>
              <w:numPr>
                <w:ilvl w:val="0"/>
                <w:numId w:val="51"/>
              </w:numPr>
              <w:spacing w:line="480" w:lineRule="auto"/>
              <w:contextualSpacing/>
              <w:rPr>
                <w:rFonts w:eastAsia="Calibri" w:cstheme="minorHAnsi"/>
              </w:rPr>
            </w:pPr>
            <w:r w:rsidRPr="00B1522E">
              <w:rPr>
                <w:rFonts w:eastAsia="Calibri" w:cstheme="minorHAnsi"/>
              </w:rPr>
              <w:t xml:space="preserve">Transtheoretical Model of Behaviour Change </w:t>
            </w:r>
          </w:p>
        </w:tc>
        <w:tc>
          <w:tcPr>
            <w:tcW w:w="1418" w:type="dxa"/>
            <w:tcBorders>
              <w:left w:val="nil"/>
            </w:tcBorders>
          </w:tcPr>
          <w:p w14:paraId="0AA6A983" w14:textId="77777777" w:rsidR="00AE4AC2" w:rsidRPr="00B1522E" w:rsidRDefault="00AE4AC2" w:rsidP="00AE4AC2">
            <w:pPr>
              <w:spacing w:line="480" w:lineRule="auto"/>
              <w:rPr>
                <w:rFonts w:eastAsia="Calibri" w:cstheme="minorHAnsi"/>
              </w:rPr>
            </w:pPr>
            <w:r w:rsidRPr="00B1522E">
              <w:rPr>
                <w:rFonts w:eastAsia="Calibri" w:cstheme="minorHAnsi"/>
              </w:rPr>
              <w:t xml:space="preserve">Strong </w:t>
            </w:r>
          </w:p>
        </w:tc>
      </w:tr>
      <w:tr w:rsidR="00E77769" w:rsidRPr="00B1522E" w14:paraId="6C4FCD75" w14:textId="77777777" w:rsidTr="00966286">
        <w:trPr>
          <w:trHeight w:val="1201"/>
        </w:trPr>
        <w:tc>
          <w:tcPr>
            <w:tcW w:w="1489" w:type="dxa"/>
          </w:tcPr>
          <w:p w14:paraId="427EBF2A" w14:textId="1DA10506"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girls.","type":"article-journal","volume":"39"},"uris":["http://www.mendeley.com/documents/?uuid=7b8ee571-076a-4b5d-8ae8-9e0a03d039ae"]}],"mendeley":{"formattedCitation":"(McCabe et al., 2015)","manualFormatting":"McCabe et al. (2015)","plainTextFormattedCitation":"(McCabe et al., 2015)","previouslyFormattedCitation":"(McCabe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McCabe et al. (2015)</w:t>
            </w:r>
            <w:r w:rsidRPr="00B1522E">
              <w:rPr>
                <w:rFonts w:eastAsia="Calibri" w:cstheme="minorHAnsi"/>
              </w:rPr>
              <w:fldChar w:fldCharType="end"/>
            </w:r>
            <w:r w:rsidRPr="00B1522E">
              <w:rPr>
                <w:rFonts w:eastAsia="Calibri" w:cstheme="minorHAnsi"/>
              </w:rPr>
              <w:t xml:space="preserve"> </w:t>
            </w:r>
          </w:p>
        </w:tc>
        <w:tc>
          <w:tcPr>
            <w:tcW w:w="1489" w:type="dxa"/>
          </w:tcPr>
          <w:p w14:paraId="13788D1F"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Reduce SSB and unhealthy snacks.  </w:t>
            </w:r>
          </w:p>
        </w:tc>
        <w:tc>
          <w:tcPr>
            <w:tcW w:w="1417" w:type="dxa"/>
            <w:shd w:val="clear" w:color="auto" w:fill="auto"/>
          </w:tcPr>
          <w:p w14:paraId="12CA9018" w14:textId="77777777" w:rsidR="00AE4AC2" w:rsidRPr="00B1522E" w:rsidRDefault="00AE4AC2" w:rsidP="00AE4AC2">
            <w:pPr>
              <w:spacing w:line="480" w:lineRule="auto"/>
              <w:rPr>
                <w:rFonts w:eastAsia="Calibri" w:cstheme="minorHAnsi"/>
              </w:rPr>
            </w:pPr>
            <w:r w:rsidRPr="00B1522E">
              <w:rPr>
                <w:rFonts w:eastAsia="Calibri" w:cstheme="minorHAnsi"/>
              </w:rPr>
              <w:t xml:space="preserve">12 schools in Australia. </w:t>
            </w:r>
          </w:p>
          <w:p w14:paraId="0006942E" w14:textId="77777777" w:rsidR="00AE4AC2" w:rsidRPr="00B1522E" w:rsidRDefault="00AE4AC2" w:rsidP="00AE4AC2">
            <w:pPr>
              <w:spacing w:line="480" w:lineRule="auto"/>
              <w:rPr>
                <w:rFonts w:eastAsia="Calibri" w:cstheme="minorHAnsi"/>
              </w:rPr>
            </w:pPr>
            <w:r w:rsidRPr="00B1522E">
              <w:rPr>
                <w:rFonts w:eastAsia="Calibri" w:cstheme="minorHAnsi"/>
              </w:rPr>
              <w:t>(n) 294. Female students</w:t>
            </w:r>
          </w:p>
          <w:p w14:paraId="176F69AD" w14:textId="77777777" w:rsidR="00AE4AC2" w:rsidRPr="00B1522E" w:rsidRDefault="00AE4AC2" w:rsidP="00AE4AC2">
            <w:pPr>
              <w:spacing w:line="480" w:lineRule="auto"/>
              <w:rPr>
                <w:rFonts w:eastAsia="Calibri" w:cstheme="minorHAnsi"/>
              </w:rPr>
            </w:pPr>
            <w:r w:rsidRPr="00B1522E">
              <w:rPr>
                <w:rFonts w:eastAsia="Calibri" w:cstheme="minorHAnsi"/>
              </w:rPr>
              <w:t xml:space="preserve">                                                                                                                                                                                                                                                                                                                                                                                                                                                                                                     </w:t>
            </w:r>
          </w:p>
        </w:tc>
        <w:tc>
          <w:tcPr>
            <w:tcW w:w="1755" w:type="dxa"/>
            <w:shd w:val="clear" w:color="auto" w:fill="auto"/>
          </w:tcPr>
          <w:p w14:paraId="2835D7D5"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34A5E08A" w14:textId="77777777" w:rsidR="00AE4AC2" w:rsidRPr="00B1522E" w:rsidRDefault="00AE4AC2" w:rsidP="00AE4AC2">
            <w:pPr>
              <w:spacing w:line="480" w:lineRule="auto"/>
              <w:rPr>
                <w:rFonts w:eastAsia="Calibri" w:cstheme="minorHAnsi"/>
              </w:rPr>
            </w:pPr>
            <w:r w:rsidRPr="00B1522E">
              <w:rPr>
                <w:rFonts w:eastAsia="Calibri" w:cstheme="minorHAnsi"/>
              </w:rPr>
              <w:t xml:space="preserve">The Australian Eating Survey (AES) was completed (FFQ) at baseline and 12 months, it also included measures of intention, self-efficacy, outcome expectations, and the home environment. </w:t>
            </w:r>
          </w:p>
        </w:tc>
        <w:tc>
          <w:tcPr>
            <w:tcW w:w="3076" w:type="dxa"/>
          </w:tcPr>
          <w:p w14:paraId="5AA3CD72" w14:textId="77777777" w:rsidR="00AE4AC2" w:rsidRPr="00B1522E" w:rsidRDefault="00AE4AC2" w:rsidP="00AE4AC2">
            <w:pPr>
              <w:spacing w:line="480" w:lineRule="auto"/>
              <w:rPr>
                <w:rFonts w:eastAsia="Calibri" w:cstheme="minorHAnsi"/>
              </w:rPr>
            </w:pPr>
            <w:r w:rsidRPr="00B1522E">
              <w:rPr>
                <w:rFonts w:eastAsia="Calibri" w:cstheme="minorHAnsi"/>
              </w:rPr>
              <w:t>No interventional effect on dietary behaviour change.</w:t>
            </w:r>
          </w:p>
        </w:tc>
        <w:tc>
          <w:tcPr>
            <w:tcW w:w="2158" w:type="dxa"/>
            <w:tcBorders>
              <w:right w:val="nil"/>
            </w:tcBorders>
          </w:tcPr>
          <w:p w14:paraId="590D7AE9" w14:textId="77777777" w:rsidR="00AE4AC2" w:rsidRPr="00B1522E" w:rsidRDefault="00AE4AC2" w:rsidP="00AA5DD9">
            <w:pPr>
              <w:numPr>
                <w:ilvl w:val="0"/>
                <w:numId w:val="52"/>
              </w:numPr>
              <w:spacing w:line="480" w:lineRule="auto"/>
              <w:contextualSpacing/>
              <w:rPr>
                <w:rFonts w:eastAsia="Calibri" w:cstheme="minorHAnsi"/>
              </w:rPr>
            </w:pPr>
            <w:r w:rsidRPr="00B1522E">
              <w:rPr>
                <w:rFonts w:eastAsia="Calibri" w:cstheme="minorHAnsi"/>
              </w:rPr>
              <w:t>12 months</w:t>
            </w:r>
          </w:p>
          <w:p w14:paraId="75311714" w14:textId="77777777" w:rsidR="00AE4AC2" w:rsidRPr="00B1522E" w:rsidRDefault="00AE4AC2" w:rsidP="00AA5DD9">
            <w:pPr>
              <w:numPr>
                <w:ilvl w:val="0"/>
                <w:numId w:val="52"/>
              </w:numPr>
              <w:spacing w:line="480" w:lineRule="auto"/>
              <w:contextualSpacing/>
              <w:rPr>
                <w:rFonts w:eastAsia="Calibri" w:cstheme="minorHAnsi"/>
              </w:rPr>
            </w:pPr>
            <w:r w:rsidRPr="00B1522E">
              <w:rPr>
                <w:rFonts w:eastAsia="Calibri" w:cstheme="minorHAnsi"/>
              </w:rPr>
              <w:t>13.20 years old (mean)</w:t>
            </w:r>
          </w:p>
          <w:p w14:paraId="774F63AE" w14:textId="77777777" w:rsidR="00AE4AC2" w:rsidRPr="00B1522E" w:rsidRDefault="00AE4AC2" w:rsidP="00AA5DD9">
            <w:pPr>
              <w:numPr>
                <w:ilvl w:val="0"/>
                <w:numId w:val="52"/>
              </w:numPr>
              <w:spacing w:line="480" w:lineRule="auto"/>
              <w:contextualSpacing/>
              <w:rPr>
                <w:rFonts w:eastAsia="Calibri" w:cstheme="minorHAnsi"/>
              </w:rPr>
            </w:pPr>
            <w:r w:rsidRPr="00B1522E">
              <w:rPr>
                <w:rFonts w:eastAsia="Calibri" w:cstheme="minorHAnsi"/>
              </w:rPr>
              <w:t xml:space="preserve">Social Cognitive theory </w:t>
            </w:r>
          </w:p>
        </w:tc>
        <w:tc>
          <w:tcPr>
            <w:tcW w:w="1418" w:type="dxa"/>
            <w:tcBorders>
              <w:left w:val="nil"/>
            </w:tcBorders>
          </w:tcPr>
          <w:p w14:paraId="3BB00F82"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3C16B83B" w14:textId="77777777" w:rsidTr="00966286">
        <w:trPr>
          <w:trHeight w:val="1000"/>
        </w:trPr>
        <w:tc>
          <w:tcPr>
            <w:tcW w:w="1489" w:type="dxa"/>
          </w:tcPr>
          <w:p w14:paraId="4C89FC89" w14:textId="319B3B6A" w:rsidR="00AE4AC2" w:rsidRPr="00B1522E" w:rsidRDefault="00AE4AC2" w:rsidP="00AE4AC2">
            <w:pPr>
              <w:spacing w:line="480" w:lineRule="auto"/>
              <w:rPr>
                <w:rFonts w:eastAsia="Calibri" w:cstheme="minorHAnsi"/>
                <w:lang w:val="de-DE"/>
              </w:rPr>
            </w:pPr>
            <w:r w:rsidRPr="00B1522E">
              <w:rPr>
                <w:rFonts w:eastAsia="Calibri" w:cstheme="minorHAnsi"/>
                <w:lang w:val="de-DE"/>
              </w:rPr>
              <w:fldChar w:fldCharType="begin" w:fldLock="1"/>
            </w:r>
            <w:r w:rsidR="00DB273B" w:rsidRPr="00B1522E">
              <w:rPr>
                <w:rFonts w:eastAsia="Calibri" w:cstheme="minorHAnsi"/>
                <w:lang w:val="de-DE"/>
              </w:rPr>
              <w:instrText>ADDIN CSL_CITATION {"citationItems":[{"id":"ITEM-1","itemData":{"ISSN":"00223182","abstract":"A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Education","id":"ITEM-1","issue":"1","issued":{"date-parts":[["1995","1"]]},"page":"24-31","title":"Eating disturbances among adolescent girls: Evaluation of a school-based primary prevention program","type":"article-journal","volume":"27"},"uris":["http://www.mendeley.com/documents/?uuid=588adb0d-18f3-406d-bdf5-5d66e25338c4"]}],"mendeley":{"formattedCitation":"(Neumark-Sztainer et al., 1995)","manualFormatting":"Neumark-Sztainer et al. (1995","plainTextFormattedCitation":"(Neumark-Sztainer et al., 1995)","previouslyFormattedCitation":"(Neumark-Sztainer et al., 1995)"},"properties":{"noteIndex":0},"schema":"https://github.com/citation-style-language/schema/raw/master/csl-citation.json"}</w:instrText>
            </w:r>
            <w:r w:rsidRPr="00B1522E">
              <w:rPr>
                <w:rFonts w:eastAsia="Calibri" w:cstheme="minorHAnsi"/>
                <w:lang w:val="de-DE"/>
              </w:rPr>
              <w:fldChar w:fldCharType="separate"/>
            </w:r>
            <w:r w:rsidRPr="00B1522E">
              <w:rPr>
                <w:rFonts w:eastAsia="Calibri" w:cstheme="minorHAnsi"/>
                <w:noProof/>
                <w:lang w:val="de-DE"/>
              </w:rPr>
              <w:t>Neumark-Sztainer et al. (1995</w:t>
            </w:r>
            <w:r w:rsidRPr="00B1522E">
              <w:rPr>
                <w:rFonts w:eastAsia="Calibri" w:cstheme="minorHAnsi"/>
                <w:lang w:val="de-DE"/>
              </w:rPr>
              <w:fldChar w:fldCharType="end"/>
            </w:r>
            <w:r w:rsidRPr="00B1522E">
              <w:rPr>
                <w:rFonts w:eastAsia="Calibri" w:cstheme="minorHAnsi"/>
                <w:lang w:val="de-DE"/>
              </w:rPr>
              <w:t>)</w:t>
            </w:r>
          </w:p>
          <w:p w14:paraId="64A9F77F" w14:textId="77777777" w:rsidR="00AE4AC2" w:rsidRPr="00B1522E" w:rsidRDefault="00AE4AC2" w:rsidP="00AE4AC2">
            <w:pPr>
              <w:spacing w:line="480" w:lineRule="auto"/>
              <w:rPr>
                <w:rFonts w:eastAsia="Calibri" w:cstheme="minorHAnsi"/>
                <w:lang w:val="de-DE"/>
              </w:rPr>
            </w:pPr>
          </w:p>
        </w:tc>
        <w:tc>
          <w:tcPr>
            <w:tcW w:w="1489" w:type="dxa"/>
          </w:tcPr>
          <w:p w14:paraId="6788BA45" w14:textId="77777777" w:rsidR="00AE4AC2" w:rsidRPr="00B1522E" w:rsidRDefault="00AE4AC2" w:rsidP="00AE4AC2">
            <w:pPr>
              <w:spacing w:line="480" w:lineRule="auto"/>
              <w:rPr>
                <w:rFonts w:eastAsia="Calibri" w:cstheme="minorHAnsi"/>
              </w:rPr>
            </w:pPr>
            <w:r w:rsidRPr="00B1522E">
              <w:rPr>
                <w:rFonts w:eastAsia="Calibri" w:cstheme="minorHAnsi"/>
              </w:rPr>
              <w:t xml:space="preserve">Increase regular meals and increase healthier food choices. </w:t>
            </w:r>
          </w:p>
        </w:tc>
        <w:tc>
          <w:tcPr>
            <w:tcW w:w="1417" w:type="dxa"/>
          </w:tcPr>
          <w:p w14:paraId="035EE1EE" w14:textId="77777777" w:rsidR="00AE4AC2" w:rsidRPr="00B1522E" w:rsidRDefault="00AE4AC2" w:rsidP="00AE4AC2">
            <w:pPr>
              <w:spacing w:line="480" w:lineRule="auto"/>
              <w:rPr>
                <w:rFonts w:eastAsia="Calibri" w:cstheme="minorHAnsi"/>
              </w:rPr>
            </w:pPr>
            <w:r w:rsidRPr="00B1522E">
              <w:rPr>
                <w:rFonts w:eastAsia="Calibri" w:cstheme="minorHAnsi"/>
              </w:rPr>
              <w:t xml:space="preserve">3 schools in Jerusalem.  </w:t>
            </w:r>
          </w:p>
          <w:p w14:paraId="6A0E1A69" w14:textId="77777777" w:rsidR="00AE4AC2" w:rsidRPr="00B1522E" w:rsidRDefault="00AE4AC2" w:rsidP="00AE4AC2">
            <w:pPr>
              <w:spacing w:line="480" w:lineRule="auto"/>
              <w:rPr>
                <w:rFonts w:eastAsia="Calibri" w:cstheme="minorHAnsi"/>
              </w:rPr>
            </w:pPr>
            <w:r w:rsidRPr="00B1522E">
              <w:rPr>
                <w:rFonts w:eastAsia="Calibri" w:cstheme="minorHAnsi"/>
              </w:rPr>
              <w:t xml:space="preserve">(n)341 female students </w:t>
            </w:r>
          </w:p>
        </w:tc>
        <w:tc>
          <w:tcPr>
            <w:tcW w:w="1755" w:type="dxa"/>
          </w:tcPr>
          <w:p w14:paraId="3A181BC4" w14:textId="77777777" w:rsidR="00AE4AC2" w:rsidRPr="00B1522E" w:rsidRDefault="00AE4AC2" w:rsidP="00AE4AC2">
            <w:pPr>
              <w:spacing w:line="480" w:lineRule="auto"/>
              <w:rPr>
                <w:rFonts w:eastAsia="Calibri" w:cstheme="minorHAnsi"/>
              </w:rPr>
            </w:pPr>
            <w:r w:rsidRPr="00B1522E">
              <w:rPr>
                <w:rFonts w:eastAsia="Calibri" w:cstheme="minorHAnsi"/>
              </w:rPr>
              <w:t xml:space="preserve">Quasi-experimental design.  </w:t>
            </w:r>
          </w:p>
        </w:tc>
        <w:tc>
          <w:tcPr>
            <w:tcW w:w="3075" w:type="dxa"/>
          </w:tcPr>
          <w:p w14:paraId="49EDFE14" w14:textId="77777777" w:rsidR="00AE4AC2" w:rsidRPr="00B1522E" w:rsidRDefault="00AE4AC2" w:rsidP="00AE4AC2">
            <w:pPr>
              <w:spacing w:line="480" w:lineRule="auto"/>
              <w:rPr>
                <w:rFonts w:eastAsia="Calibri" w:cstheme="minorHAnsi"/>
              </w:rPr>
            </w:pPr>
            <w:r w:rsidRPr="00B1522E">
              <w:rPr>
                <w:rFonts w:eastAsia="Calibri" w:cstheme="minorHAnsi"/>
              </w:rPr>
              <w:t xml:space="preserve">Questionnaires were completed to measure nutritional knowledge; dietary behaviour (FFQ); self-esteem; body dissatisfaction; attitudes and quality of recent weight </w:t>
            </w:r>
            <w:r w:rsidRPr="00B1522E">
              <w:rPr>
                <w:rFonts w:eastAsia="Calibri" w:cstheme="minorHAnsi"/>
              </w:rPr>
              <w:lastRenderedPageBreak/>
              <w:t>loss methods at baseline, 6 months and 2 years.</w:t>
            </w:r>
          </w:p>
        </w:tc>
        <w:tc>
          <w:tcPr>
            <w:tcW w:w="3076" w:type="dxa"/>
          </w:tcPr>
          <w:p w14:paraId="4A3910DE" w14:textId="50DC0DDB" w:rsidR="00AE4AC2" w:rsidRPr="00B1522E" w:rsidRDefault="00AE4AC2" w:rsidP="00AE4AC2">
            <w:pPr>
              <w:spacing w:line="480" w:lineRule="auto"/>
              <w:rPr>
                <w:rFonts w:eastAsia="Calibri" w:cstheme="minorHAnsi"/>
              </w:rPr>
            </w:pPr>
            <w:r w:rsidRPr="00B1522E">
              <w:rPr>
                <w:rFonts w:eastAsia="Calibri" w:cstheme="minorHAnsi"/>
              </w:rPr>
              <w:lastRenderedPageBreak/>
              <w:t>There was a significant interventional result: -</w:t>
            </w:r>
          </w:p>
          <w:p w14:paraId="0A48F90E" w14:textId="0CD96E28" w:rsidR="00AE4AC2" w:rsidRPr="00B1522E" w:rsidRDefault="00AE4AC2" w:rsidP="00AA5DD9">
            <w:pPr>
              <w:numPr>
                <w:ilvl w:val="0"/>
                <w:numId w:val="54"/>
              </w:numPr>
              <w:spacing w:line="480" w:lineRule="auto"/>
              <w:contextualSpacing/>
              <w:rPr>
                <w:rFonts w:eastAsia="Calibri" w:cstheme="minorHAnsi"/>
              </w:rPr>
            </w:pPr>
            <w:r w:rsidRPr="00B1522E">
              <w:rPr>
                <w:rFonts w:eastAsia="Calibri" w:cstheme="minorHAnsi"/>
              </w:rPr>
              <w:t xml:space="preserve">Participants at 6-month follow-up with an increase in regular meal-taking (p &lt; .01) </w:t>
            </w:r>
          </w:p>
          <w:p w14:paraId="2C8750D9" w14:textId="0C63BF8A" w:rsidR="00AE4AC2" w:rsidRPr="00B1522E" w:rsidRDefault="00AE4AC2" w:rsidP="00AA5DD9">
            <w:pPr>
              <w:numPr>
                <w:ilvl w:val="0"/>
                <w:numId w:val="25"/>
              </w:numPr>
              <w:spacing w:line="480" w:lineRule="auto"/>
              <w:contextualSpacing/>
              <w:rPr>
                <w:rFonts w:eastAsia="Calibri" w:cstheme="minorHAnsi"/>
              </w:rPr>
            </w:pPr>
            <w:r w:rsidRPr="00B1522E">
              <w:rPr>
                <w:rFonts w:eastAsia="Calibri" w:cstheme="minorHAnsi"/>
              </w:rPr>
              <w:lastRenderedPageBreak/>
              <w:t xml:space="preserve">Increased nutritional knowledge (p &lt; .05). </w:t>
            </w:r>
          </w:p>
        </w:tc>
        <w:tc>
          <w:tcPr>
            <w:tcW w:w="2158" w:type="dxa"/>
            <w:tcBorders>
              <w:right w:val="nil"/>
            </w:tcBorders>
          </w:tcPr>
          <w:p w14:paraId="5E35689A" w14:textId="77777777" w:rsidR="00AE4AC2" w:rsidRPr="00B1522E" w:rsidRDefault="00AE4AC2" w:rsidP="00AA5DD9">
            <w:pPr>
              <w:numPr>
                <w:ilvl w:val="0"/>
                <w:numId w:val="53"/>
              </w:numPr>
              <w:spacing w:line="480" w:lineRule="auto"/>
              <w:contextualSpacing/>
              <w:rPr>
                <w:rFonts w:eastAsia="Calibri" w:cstheme="minorHAnsi"/>
              </w:rPr>
            </w:pPr>
            <w:r w:rsidRPr="00B1522E">
              <w:rPr>
                <w:rFonts w:eastAsia="Calibri" w:cstheme="minorHAnsi"/>
              </w:rPr>
              <w:lastRenderedPageBreak/>
              <w:t>10 weeks</w:t>
            </w:r>
          </w:p>
          <w:p w14:paraId="41FAB8A2" w14:textId="77777777" w:rsidR="00AE4AC2" w:rsidRPr="00B1522E" w:rsidRDefault="00AE4AC2" w:rsidP="00AA5DD9">
            <w:pPr>
              <w:numPr>
                <w:ilvl w:val="0"/>
                <w:numId w:val="53"/>
              </w:numPr>
              <w:spacing w:line="480" w:lineRule="auto"/>
              <w:contextualSpacing/>
              <w:rPr>
                <w:rFonts w:eastAsia="Calibri" w:cstheme="minorHAnsi"/>
              </w:rPr>
            </w:pPr>
            <w:r w:rsidRPr="00B1522E">
              <w:rPr>
                <w:rFonts w:eastAsia="Calibri" w:cstheme="minorHAnsi"/>
              </w:rPr>
              <w:t>15.3 years old (mean)</w:t>
            </w:r>
          </w:p>
          <w:p w14:paraId="4A89ECC7" w14:textId="77777777" w:rsidR="00AE4AC2" w:rsidRPr="00B1522E" w:rsidRDefault="00AE4AC2" w:rsidP="00AA5DD9">
            <w:pPr>
              <w:numPr>
                <w:ilvl w:val="0"/>
                <w:numId w:val="53"/>
              </w:numPr>
              <w:spacing w:line="480" w:lineRule="auto"/>
              <w:contextualSpacing/>
              <w:rPr>
                <w:rFonts w:eastAsia="Calibri" w:cstheme="minorHAnsi"/>
              </w:rPr>
            </w:pPr>
            <w:r w:rsidRPr="00B1522E">
              <w:rPr>
                <w:rFonts w:eastAsia="Calibri" w:cstheme="minorHAnsi"/>
              </w:rPr>
              <w:t xml:space="preserve">Social Cognitive theory </w:t>
            </w:r>
          </w:p>
        </w:tc>
        <w:tc>
          <w:tcPr>
            <w:tcW w:w="1418" w:type="dxa"/>
            <w:tcBorders>
              <w:left w:val="nil"/>
            </w:tcBorders>
          </w:tcPr>
          <w:p w14:paraId="284D648A" w14:textId="77777777" w:rsidR="00AE4AC2" w:rsidRPr="00B1522E" w:rsidRDefault="00AE4AC2" w:rsidP="00AE4AC2">
            <w:pPr>
              <w:spacing w:line="480" w:lineRule="auto"/>
              <w:rPr>
                <w:rFonts w:eastAsia="Calibri" w:cstheme="minorHAnsi"/>
              </w:rPr>
            </w:pPr>
            <w:r w:rsidRPr="00B1522E">
              <w:rPr>
                <w:rFonts w:eastAsia="Calibri" w:cstheme="minorHAnsi"/>
              </w:rPr>
              <w:t xml:space="preserve">Strong </w:t>
            </w:r>
          </w:p>
        </w:tc>
      </w:tr>
      <w:tr w:rsidR="00E77769" w:rsidRPr="00B1522E" w14:paraId="056F33AB" w14:textId="77777777" w:rsidTr="006E6ACB">
        <w:trPr>
          <w:trHeight w:val="993"/>
        </w:trPr>
        <w:tc>
          <w:tcPr>
            <w:tcW w:w="1489" w:type="dxa"/>
          </w:tcPr>
          <w:p w14:paraId="4EA68ED1" w14:textId="431B73F9"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Life.'","type":"article-journal","volume":"2"},"uris":["http://www.mendeley.com/documents/?uuid=4ba034f3-de40-4333-9846-e6881c339756"]}],"mendeley":{"formattedCitation":"(Perry et al., 1987)","manualFormatting":"Perry et al. (1987)","plainTextFormattedCitation":"(Perry et al., 1987)","previouslyFormattedCitation":"(Perry et al., 1987)"},"properties":{"noteIndex":0},"schema":"https://github.com/citation-style-language/schema/raw/master/csl-citation.json"}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Perry et al. (1987)</w:t>
            </w:r>
            <w:r w:rsidRPr="00B1522E">
              <w:rPr>
                <w:rFonts w:eastAsia="Calibri" w:cstheme="minorHAnsi"/>
              </w:rPr>
              <w:fldChar w:fldCharType="end"/>
            </w:r>
            <w:r w:rsidRPr="00B1522E">
              <w:rPr>
                <w:rFonts w:eastAsia="Calibri" w:cstheme="minorHAnsi"/>
              </w:rPr>
              <w:t>.</w:t>
            </w:r>
          </w:p>
        </w:tc>
        <w:tc>
          <w:tcPr>
            <w:tcW w:w="1489" w:type="dxa"/>
          </w:tcPr>
          <w:p w14:paraId="66C1CA88" w14:textId="77777777" w:rsidR="00AE4AC2" w:rsidRPr="00B1522E" w:rsidRDefault="00AE4AC2" w:rsidP="00AE4AC2">
            <w:pPr>
              <w:spacing w:line="480" w:lineRule="auto"/>
              <w:rPr>
                <w:rFonts w:eastAsia="Calibri" w:cstheme="minorHAnsi"/>
              </w:rPr>
            </w:pPr>
            <w:r w:rsidRPr="00B1522E">
              <w:rPr>
                <w:rFonts w:eastAsia="Calibri" w:cstheme="minorHAnsi"/>
              </w:rPr>
              <w:t xml:space="preserve">Increase healthy snacking  </w:t>
            </w:r>
          </w:p>
        </w:tc>
        <w:tc>
          <w:tcPr>
            <w:tcW w:w="1417" w:type="dxa"/>
          </w:tcPr>
          <w:p w14:paraId="33839EBF" w14:textId="77777777" w:rsidR="00AE4AC2" w:rsidRPr="00B1522E" w:rsidRDefault="00AE4AC2" w:rsidP="00AE4AC2">
            <w:pPr>
              <w:spacing w:line="480" w:lineRule="auto"/>
              <w:rPr>
                <w:rFonts w:eastAsia="Calibri" w:cstheme="minorHAnsi"/>
              </w:rPr>
            </w:pPr>
            <w:r w:rsidRPr="00B1522E">
              <w:rPr>
                <w:rFonts w:eastAsia="Calibri" w:cstheme="minorHAnsi"/>
              </w:rPr>
              <w:t>1 school in the USA. (n)270</w:t>
            </w:r>
          </w:p>
        </w:tc>
        <w:tc>
          <w:tcPr>
            <w:tcW w:w="1755" w:type="dxa"/>
          </w:tcPr>
          <w:p w14:paraId="5B6DC8F8"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1DC3CC28" w14:textId="77777777" w:rsidR="00AE4AC2" w:rsidRPr="00B1522E" w:rsidRDefault="00AE4AC2" w:rsidP="00AE4AC2">
            <w:pPr>
              <w:spacing w:line="480" w:lineRule="auto"/>
              <w:rPr>
                <w:rFonts w:eastAsia="Calibri" w:cstheme="minorHAnsi"/>
              </w:rPr>
            </w:pPr>
            <w:r w:rsidRPr="00B1522E">
              <w:rPr>
                <w:rFonts w:eastAsia="Calibri" w:cstheme="minorHAnsi"/>
              </w:rPr>
              <w:t>Self-report survey measuring behaviour (FFQ), knowledge, intention and skills related to ‘heart health’ and eating. Measurements were completed at baseline and 1-year follow-up.</w:t>
            </w:r>
          </w:p>
        </w:tc>
        <w:tc>
          <w:tcPr>
            <w:tcW w:w="3076" w:type="dxa"/>
          </w:tcPr>
          <w:p w14:paraId="7B7BC9E2" w14:textId="0E500D33" w:rsidR="00AE4AC2" w:rsidRPr="00B1522E" w:rsidRDefault="00AE4AC2" w:rsidP="00AE4AC2">
            <w:pPr>
              <w:spacing w:line="480" w:lineRule="auto"/>
              <w:rPr>
                <w:rFonts w:eastAsia="Calibri" w:cstheme="minorHAnsi"/>
              </w:rPr>
            </w:pPr>
            <w:r w:rsidRPr="00B1522E">
              <w:rPr>
                <w:rFonts w:eastAsia="Calibri" w:cstheme="minorHAnsi"/>
              </w:rPr>
              <w:t>There was a significant interventional result compared to the control: -</w:t>
            </w:r>
          </w:p>
          <w:p w14:paraId="56FCDB83" w14:textId="77777777" w:rsidR="00AE4AC2" w:rsidRPr="00B1522E" w:rsidRDefault="00AE4AC2" w:rsidP="00AE4AC2">
            <w:pPr>
              <w:spacing w:line="480" w:lineRule="auto"/>
              <w:rPr>
                <w:rFonts w:eastAsia="Calibri" w:cstheme="minorHAnsi"/>
              </w:rPr>
            </w:pPr>
            <w:r w:rsidRPr="00B1522E">
              <w:rPr>
                <w:rFonts w:eastAsia="Calibri" w:cstheme="minorHAnsi"/>
              </w:rPr>
              <w:t>Females</w:t>
            </w:r>
          </w:p>
          <w:p w14:paraId="3D7E0688" w14:textId="48F8D21D" w:rsidR="00AE4AC2" w:rsidRPr="00B1522E" w:rsidRDefault="00AE4AC2" w:rsidP="00AA5DD9">
            <w:pPr>
              <w:numPr>
                <w:ilvl w:val="0"/>
                <w:numId w:val="56"/>
              </w:numPr>
              <w:spacing w:line="480" w:lineRule="auto"/>
              <w:contextualSpacing/>
              <w:rPr>
                <w:rFonts w:eastAsia="Calibri" w:cstheme="minorHAnsi"/>
              </w:rPr>
            </w:pPr>
            <w:r w:rsidRPr="00B1522E">
              <w:rPr>
                <w:rFonts w:eastAsia="Calibri" w:cstheme="minorHAnsi"/>
              </w:rPr>
              <w:t xml:space="preserve">Showed improvement in knowledge (p &lt; .001) and awareness (p = .001) regarding their diet </w:t>
            </w:r>
          </w:p>
          <w:p w14:paraId="26CD765C" w14:textId="0CA17350" w:rsidR="00AE4AC2" w:rsidRPr="00B1522E" w:rsidRDefault="00AE4AC2" w:rsidP="00AA5DD9">
            <w:pPr>
              <w:numPr>
                <w:ilvl w:val="0"/>
                <w:numId w:val="56"/>
              </w:numPr>
              <w:spacing w:line="480" w:lineRule="auto"/>
              <w:contextualSpacing/>
              <w:rPr>
                <w:rFonts w:eastAsia="Calibri" w:cstheme="minorHAnsi"/>
              </w:rPr>
            </w:pPr>
            <w:r w:rsidRPr="00B1522E">
              <w:rPr>
                <w:rFonts w:eastAsia="Calibri" w:cstheme="minorHAnsi"/>
              </w:rPr>
              <w:t>Improved actual eating habits (p = .001).</w:t>
            </w:r>
          </w:p>
          <w:p w14:paraId="334270ED" w14:textId="77777777" w:rsidR="00AE4AC2" w:rsidRPr="00B1522E" w:rsidRDefault="00AE4AC2" w:rsidP="006E6ACB">
            <w:pPr>
              <w:spacing w:line="480" w:lineRule="auto"/>
              <w:rPr>
                <w:rFonts w:eastAsia="Calibri" w:cstheme="minorHAnsi"/>
              </w:rPr>
            </w:pPr>
            <w:r w:rsidRPr="00B1522E">
              <w:rPr>
                <w:rFonts w:eastAsia="Calibri" w:cstheme="minorHAnsi"/>
              </w:rPr>
              <w:t xml:space="preserve">Males </w:t>
            </w:r>
          </w:p>
          <w:p w14:paraId="16F31535" w14:textId="28D17032" w:rsidR="00AE4AC2" w:rsidRPr="00B1522E" w:rsidRDefault="00AE4AC2" w:rsidP="00AA5DD9">
            <w:pPr>
              <w:numPr>
                <w:ilvl w:val="0"/>
                <w:numId w:val="56"/>
              </w:numPr>
              <w:spacing w:line="480" w:lineRule="auto"/>
              <w:contextualSpacing/>
              <w:rPr>
                <w:rFonts w:eastAsia="Calibri" w:cstheme="minorHAnsi"/>
              </w:rPr>
            </w:pPr>
            <w:r w:rsidRPr="00B1522E">
              <w:rPr>
                <w:rFonts w:eastAsia="Calibri" w:cstheme="minorHAnsi"/>
              </w:rPr>
              <w:t>Gained nutrition knowledge (p &lt; .05)</w:t>
            </w:r>
          </w:p>
          <w:p w14:paraId="06815552" w14:textId="05CA077C" w:rsidR="00AE4AC2" w:rsidRPr="00B1522E" w:rsidRDefault="00AE4AC2" w:rsidP="00AA5DD9">
            <w:pPr>
              <w:numPr>
                <w:ilvl w:val="0"/>
                <w:numId w:val="26"/>
              </w:numPr>
              <w:spacing w:line="480" w:lineRule="auto"/>
              <w:contextualSpacing/>
              <w:rPr>
                <w:rFonts w:eastAsia="Calibri" w:cstheme="minorHAnsi"/>
              </w:rPr>
            </w:pPr>
            <w:r w:rsidRPr="00B1522E">
              <w:rPr>
                <w:rFonts w:eastAsia="Calibri" w:cstheme="minorHAnsi"/>
              </w:rPr>
              <w:lastRenderedPageBreak/>
              <w:t>Modified their salt use (p &lt; .05)</w:t>
            </w:r>
          </w:p>
        </w:tc>
        <w:tc>
          <w:tcPr>
            <w:tcW w:w="2158" w:type="dxa"/>
            <w:tcBorders>
              <w:right w:val="nil"/>
            </w:tcBorders>
          </w:tcPr>
          <w:p w14:paraId="2AB2CDB5" w14:textId="77777777" w:rsidR="00AE4AC2" w:rsidRPr="00B1522E" w:rsidRDefault="00AE4AC2" w:rsidP="00AA5DD9">
            <w:pPr>
              <w:numPr>
                <w:ilvl w:val="0"/>
                <w:numId w:val="55"/>
              </w:numPr>
              <w:spacing w:line="480" w:lineRule="auto"/>
              <w:contextualSpacing/>
              <w:rPr>
                <w:rFonts w:eastAsia="Calibri" w:cstheme="minorHAnsi"/>
              </w:rPr>
            </w:pPr>
            <w:r w:rsidRPr="00B1522E">
              <w:rPr>
                <w:rFonts w:eastAsia="Calibri" w:cstheme="minorHAnsi"/>
              </w:rPr>
              <w:lastRenderedPageBreak/>
              <w:t>10 lessons (Fall of 1984 and repeated in Winter 1985)</w:t>
            </w:r>
          </w:p>
          <w:p w14:paraId="288A64F5" w14:textId="77777777" w:rsidR="00AE4AC2" w:rsidRPr="00B1522E" w:rsidRDefault="00AE4AC2" w:rsidP="00AA5DD9">
            <w:pPr>
              <w:numPr>
                <w:ilvl w:val="0"/>
                <w:numId w:val="55"/>
              </w:numPr>
              <w:spacing w:line="480" w:lineRule="auto"/>
              <w:contextualSpacing/>
              <w:rPr>
                <w:rFonts w:eastAsia="Calibri" w:cstheme="minorHAnsi"/>
              </w:rPr>
            </w:pPr>
            <w:r w:rsidRPr="00B1522E">
              <w:rPr>
                <w:rFonts w:eastAsia="Calibri" w:cstheme="minorHAnsi"/>
              </w:rPr>
              <w:t>Grade 9 (14-15 years old)</w:t>
            </w:r>
          </w:p>
          <w:p w14:paraId="604FDA6D" w14:textId="77777777" w:rsidR="00AE4AC2" w:rsidRPr="00B1522E" w:rsidRDefault="00AE4AC2" w:rsidP="00AA5DD9">
            <w:pPr>
              <w:numPr>
                <w:ilvl w:val="0"/>
                <w:numId w:val="55"/>
              </w:numPr>
              <w:spacing w:line="480" w:lineRule="auto"/>
              <w:contextualSpacing/>
              <w:rPr>
                <w:rFonts w:eastAsia="Calibri" w:cstheme="minorHAnsi"/>
              </w:rPr>
            </w:pPr>
            <w:r w:rsidRPr="00B1522E">
              <w:rPr>
                <w:rFonts w:eastAsia="Calibri" w:cstheme="minorHAnsi"/>
              </w:rPr>
              <w:t>Social Learning theory</w:t>
            </w:r>
          </w:p>
        </w:tc>
        <w:tc>
          <w:tcPr>
            <w:tcW w:w="1418" w:type="dxa"/>
            <w:tcBorders>
              <w:left w:val="nil"/>
            </w:tcBorders>
          </w:tcPr>
          <w:p w14:paraId="727B761D"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619B73A2" w14:textId="77777777" w:rsidTr="00966286">
        <w:trPr>
          <w:trHeight w:val="1850"/>
        </w:trPr>
        <w:tc>
          <w:tcPr>
            <w:tcW w:w="1489" w:type="dxa"/>
          </w:tcPr>
          <w:p w14:paraId="161DE7C9" w14:textId="60816684"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consumption.","type":"article-journal","volume":"12"},"uris":["http://www.mendeley.com/documents/?uuid=5e69dc5b-a75e-44cd-a690-1ad10a553ee8"]}],"mendeley":{"formattedCitation":"(Ratcliffe et al., 2011)","manualFormatting":"Ratcliffe (2011)","plainTextFormattedCitation":"(Ratcliffe et al., 2011)","previouslyFormattedCitation":"(Ratcliffe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Ratcliffe (2011)</w:t>
            </w:r>
            <w:r w:rsidRPr="00B1522E">
              <w:rPr>
                <w:rFonts w:eastAsia="Calibri" w:cstheme="minorHAnsi"/>
              </w:rPr>
              <w:fldChar w:fldCharType="end"/>
            </w:r>
            <w:r w:rsidRPr="00B1522E">
              <w:rPr>
                <w:rFonts w:eastAsia="Calibri" w:cstheme="minorHAnsi"/>
              </w:rPr>
              <w:t xml:space="preserve"> </w:t>
            </w:r>
          </w:p>
        </w:tc>
        <w:tc>
          <w:tcPr>
            <w:tcW w:w="1489" w:type="dxa"/>
          </w:tcPr>
          <w:p w14:paraId="1451DA7F" w14:textId="77777777" w:rsidR="00AE4AC2" w:rsidRPr="00B1522E" w:rsidRDefault="00AE4AC2" w:rsidP="00AE4AC2">
            <w:pPr>
              <w:spacing w:line="480" w:lineRule="auto"/>
              <w:rPr>
                <w:rFonts w:eastAsia="Calibri" w:cstheme="minorHAnsi"/>
              </w:rPr>
            </w:pPr>
            <w:r w:rsidRPr="00B1522E">
              <w:rPr>
                <w:rFonts w:eastAsia="Calibri" w:cstheme="minorHAnsi"/>
              </w:rPr>
              <w:t xml:space="preserve">Vegetable consumption </w:t>
            </w:r>
          </w:p>
        </w:tc>
        <w:tc>
          <w:tcPr>
            <w:tcW w:w="1417" w:type="dxa"/>
          </w:tcPr>
          <w:p w14:paraId="2337F0C3" w14:textId="77777777" w:rsidR="00AE4AC2" w:rsidRPr="00B1522E" w:rsidRDefault="00AE4AC2" w:rsidP="00AE4AC2">
            <w:pPr>
              <w:spacing w:line="480" w:lineRule="auto"/>
              <w:rPr>
                <w:rFonts w:eastAsia="Calibri" w:cstheme="minorHAnsi"/>
              </w:rPr>
            </w:pPr>
            <w:r w:rsidRPr="00B1522E">
              <w:rPr>
                <w:rFonts w:eastAsia="Calibri" w:cstheme="minorHAnsi"/>
              </w:rPr>
              <w:t>3 schools in the USA. (n)302</w:t>
            </w:r>
          </w:p>
        </w:tc>
        <w:tc>
          <w:tcPr>
            <w:tcW w:w="1755" w:type="dxa"/>
          </w:tcPr>
          <w:p w14:paraId="341C2C47" w14:textId="77777777" w:rsidR="00AE4AC2" w:rsidRPr="00B1522E" w:rsidRDefault="00AE4AC2" w:rsidP="00AE4AC2">
            <w:pPr>
              <w:spacing w:line="480" w:lineRule="auto"/>
              <w:rPr>
                <w:rFonts w:eastAsia="Calibri" w:cstheme="minorHAnsi"/>
              </w:rPr>
            </w:pPr>
            <w:r w:rsidRPr="00B1522E">
              <w:rPr>
                <w:rFonts w:eastAsia="Calibri" w:cstheme="minorHAnsi"/>
              </w:rPr>
              <w:t xml:space="preserve">Quasi-experiment with a control </w:t>
            </w:r>
          </w:p>
        </w:tc>
        <w:tc>
          <w:tcPr>
            <w:tcW w:w="3075" w:type="dxa"/>
          </w:tcPr>
          <w:p w14:paraId="37DB658D" w14:textId="1148F065" w:rsidR="00AE4AC2" w:rsidRPr="00B1522E" w:rsidRDefault="00AE4AC2" w:rsidP="00AE4AC2">
            <w:pPr>
              <w:spacing w:line="480" w:lineRule="auto"/>
              <w:rPr>
                <w:rFonts w:eastAsia="Calibri" w:cstheme="minorHAnsi"/>
              </w:rPr>
            </w:pPr>
            <w:r w:rsidRPr="00B1522E">
              <w:rPr>
                <w:rFonts w:eastAsia="Calibri" w:cstheme="minorHAnsi"/>
              </w:rPr>
              <w:t>A vegetable frequency questionnaire was completed at baseline and post intervention. Also, a taste test – to name, taste and rate their preferences.</w:t>
            </w:r>
          </w:p>
        </w:tc>
        <w:tc>
          <w:tcPr>
            <w:tcW w:w="3076" w:type="dxa"/>
          </w:tcPr>
          <w:p w14:paraId="76D3B02E" w14:textId="1DE9E274" w:rsidR="00AE4AC2" w:rsidRPr="00B1522E" w:rsidRDefault="00AE4AC2" w:rsidP="00AE4AC2">
            <w:pPr>
              <w:spacing w:line="480" w:lineRule="auto"/>
              <w:rPr>
                <w:rFonts w:eastAsia="Calibri" w:cstheme="minorHAnsi"/>
              </w:rPr>
            </w:pPr>
            <w:r w:rsidRPr="00B1522E">
              <w:rPr>
                <w:rFonts w:eastAsia="Calibri" w:cstheme="minorHAnsi"/>
              </w:rPr>
              <w:t>There was a significant interventional result: -</w:t>
            </w:r>
          </w:p>
          <w:p w14:paraId="321ACC5F" w14:textId="328DC0F1" w:rsidR="00AE4AC2" w:rsidRPr="00B1522E" w:rsidRDefault="00AE4AC2" w:rsidP="00AA5DD9">
            <w:pPr>
              <w:numPr>
                <w:ilvl w:val="0"/>
                <w:numId w:val="57"/>
              </w:numPr>
              <w:spacing w:line="480" w:lineRule="auto"/>
              <w:contextualSpacing/>
              <w:rPr>
                <w:rFonts w:eastAsia="Calibri" w:cstheme="minorHAnsi"/>
              </w:rPr>
            </w:pPr>
            <w:r w:rsidRPr="00B1522E">
              <w:rPr>
                <w:rFonts w:eastAsia="Calibri" w:cstheme="minorHAnsi"/>
              </w:rPr>
              <w:t>Children could correctly identify more vegetables (p = .02)</w:t>
            </w:r>
          </w:p>
          <w:p w14:paraId="491F357F" w14:textId="032FAD6E" w:rsidR="00AE4AC2" w:rsidRPr="00B1522E" w:rsidRDefault="00AE4AC2" w:rsidP="00AA5DD9">
            <w:pPr>
              <w:numPr>
                <w:ilvl w:val="0"/>
                <w:numId w:val="57"/>
              </w:numPr>
              <w:spacing w:line="480" w:lineRule="auto"/>
              <w:contextualSpacing/>
              <w:rPr>
                <w:rFonts w:eastAsia="Calibri" w:cstheme="minorHAnsi"/>
              </w:rPr>
            </w:pPr>
            <w:r w:rsidRPr="00B1522E">
              <w:rPr>
                <w:rFonts w:eastAsia="Calibri" w:cstheme="minorHAnsi"/>
              </w:rPr>
              <w:t>Increased preference for vegetables (p = .029)</w:t>
            </w:r>
          </w:p>
          <w:p w14:paraId="4D5432EF" w14:textId="571CFA33" w:rsidR="00AE4AC2" w:rsidRPr="00B1522E" w:rsidRDefault="00AE4AC2" w:rsidP="00AA5DD9">
            <w:pPr>
              <w:numPr>
                <w:ilvl w:val="0"/>
                <w:numId w:val="57"/>
              </w:numPr>
              <w:spacing w:line="480" w:lineRule="auto"/>
              <w:contextualSpacing/>
              <w:rPr>
                <w:rFonts w:eastAsia="Calibri" w:cstheme="minorHAnsi"/>
              </w:rPr>
            </w:pPr>
            <w:r w:rsidRPr="00B1522E">
              <w:rPr>
                <w:rFonts w:eastAsia="Calibri" w:cstheme="minorHAnsi"/>
              </w:rPr>
              <w:t>Increased willingness to taste vegetables (p &lt; .001).</w:t>
            </w:r>
          </w:p>
          <w:p w14:paraId="3232E6F2" w14:textId="0DB75AF0" w:rsidR="00AE4AC2" w:rsidRPr="00B1522E" w:rsidRDefault="00AE4AC2" w:rsidP="00AA5DD9">
            <w:pPr>
              <w:numPr>
                <w:ilvl w:val="0"/>
                <w:numId w:val="57"/>
              </w:numPr>
              <w:spacing w:line="480" w:lineRule="auto"/>
              <w:contextualSpacing/>
              <w:rPr>
                <w:rFonts w:eastAsia="Calibri" w:cstheme="minorHAnsi"/>
              </w:rPr>
            </w:pPr>
            <w:r w:rsidRPr="00B1522E">
              <w:rPr>
                <w:rFonts w:eastAsia="Calibri" w:cstheme="minorHAnsi"/>
              </w:rPr>
              <w:t xml:space="preserve">Increased the number and variety of vegetables they consumed per month (p &lt; .001).  </w:t>
            </w:r>
          </w:p>
        </w:tc>
        <w:tc>
          <w:tcPr>
            <w:tcW w:w="2158" w:type="dxa"/>
            <w:tcBorders>
              <w:right w:val="nil"/>
            </w:tcBorders>
          </w:tcPr>
          <w:p w14:paraId="65D2AFDF" w14:textId="77777777" w:rsidR="00AE4AC2" w:rsidRPr="00B1522E" w:rsidRDefault="00AE4AC2" w:rsidP="00AA5DD9">
            <w:pPr>
              <w:numPr>
                <w:ilvl w:val="0"/>
                <w:numId w:val="58"/>
              </w:numPr>
              <w:spacing w:line="480" w:lineRule="auto"/>
              <w:contextualSpacing/>
              <w:rPr>
                <w:rFonts w:eastAsia="Calibri" w:cstheme="minorHAnsi"/>
              </w:rPr>
            </w:pPr>
            <w:r w:rsidRPr="00B1522E">
              <w:rPr>
                <w:rFonts w:eastAsia="Calibri" w:cstheme="minorHAnsi"/>
              </w:rPr>
              <w:t xml:space="preserve">4 months </w:t>
            </w:r>
          </w:p>
          <w:p w14:paraId="5EB1F5AC" w14:textId="77777777" w:rsidR="00AE4AC2" w:rsidRPr="00B1522E" w:rsidRDefault="00AE4AC2" w:rsidP="00AA5DD9">
            <w:pPr>
              <w:numPr>
                <w:ilvl w:val="0"/>
                <w:numId w:val="58"/>
              </w:numPr>
              <w:spacing w:line="480" w:lineRule="auto"/>
              <w:contextualSpacing/>
              <w:rPr>
                <w:rFonts w:eastAsia="Calibri" w:cstheme="minorHAnsi"/>
              </w:rPr>
            </w:pPr>
            <w:r w:rsidRPr="00B1522E">
              <w:rPr>
                <w:rFonts w:eastAsia="Calibri" w:cstheme="minorHAnsi"/>
              </w:rPr>
              <w:t>11-13 years old</w:t>
            </w:r>
          </w:p>
          <w:p w14:paraId="6C2AA465" w14:textId="77777777" w:rsidR="00AE4AC2" w:rsidRPr="00B1522E" w:rsidRDefault="00AE4AC2" w:rsidP="00AA5DD9">
            <w:pPr>
              <w:numPr>
                <w:ilvl w:val="0"/>
                <w:numId w:val="58"/>
              </w:numPr>
              <w:spacing w:line="480" w:lineRule="auto"/>
              <w:contextualSpacing/>
              <w:rPr>
                <w:rFonts w:eastAsia="Calibri" w:cstheme="minorHAnsi"/>
              </w:rPr>
            </w:pPr>
            <w:r w:rsidRPr="00B1522E">
              <w:rPr>
                <w:rFonts w:eastAsia="Calibri" w:cstheme="minorHAnsi"/>
              </w:rPr>
              <w:t xml:space="preserve">Social Cognitive theory </w:t>
            </w:r>
          </w:p>
        </w:tc>
        <w:tc>
          <w:tcPr>
            <w:tcW w:w="1418" w:type="dxa"/>
            <w:tcBorders>
              <w:left w:val="nil"/>
            </w:tcBorders>
          </w:tcPr>
          <w:p w14:paraId="3AF19986"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767D0D4F" w14:textId="77777777" w:rsidTr="00966286">
        <w:trPr>
          <w:trHeight w:val="2789"/>
        </w:trPr>
        <w:tc>
          <w:tcPr>
            <w:tcW w:w="1489" w:type="dxa"/>
          </w:tcPr>
          <w:p w14:paraId="23AFF268" w14:textId="50D7C9F5"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DB273B" w:rsidRPr="00B1522E">
              <w:rPr>
                <w:rFonts w:eastAsia="Calibri" w:cstheme="minorHAnsi"/>
              </w:rPr>
              <w:instrText>ADDIN CSL_CITATION {"citationItems":[{"id":"ITEM-1","itemData":{"author":[{"dropping-particle":"","family":"Revill","given":"S. A.","non-dropping-particle":"","parse-names":false,"suffix":""}],"id":"ITEM-1","issued":{"date-parts":[["2004"]]},"publisher":"Newcastle-upon-tyme","title":"Evaluation of a school-based nutrition and food delivered intervention to schoolchildren preparation skills from deprived social backgrounds","type":"thesis"},"uris":["http://www.mendeley.com/documents/?uuid=44c9923f-702d-4966-8c0c-73345f576954"]}],"mendeley":{"formattedCitation":"(Revill, 2004)","manualFormatting":"Revill (2004)","plainTextFormattedCitation":"(Revill, 2004)","previouslyFormattedCitation":"(Revill,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Revill (2004)</w:t>
            </w:r>
            <w:r w:rsidRPr="00B1522E">
              <w:rPr>
                <w:rFonts w:eastAsia="Calibri" w:cstheme="minorHAnsi"/>
              </w:rPr>
              <w:fldChar w:fldCharType="end"/>
            </w:r>
            <w:r w:rsidRPr="00B1522E">
              <w:rPr>
                <w:rFonts w:eastAsia="Calibri" w:cstheme="minorHAnsi"/>
              </w:rPr>
              <w:t xml:space="preserve"> </w:t>
            </w:r>
          </w:p>
        </w:tc>
        <w:tc>
          <w:tcPr>
            <w:tcW w:w="1489" w:type="dxa"/>
          </w:tcPr>
          <w:p w14:paraId="2FF3507B" w14:textId="77777777" w:rsidR="00AE4AC2" w:rsidRPr="00B1522E" w:rsidRDefault="00AE4AC2" w:rsidP="00AE4AC2">
            <w:pPr>
              <w:spacing w:line="480" w:lineRule="auto"/>
              <w:rPr>
                <w:rFonts w:eastAsia="Calibri" w:cstheme="minorHAnsi"/>
              </w:rPr>
            </w:pPr>
            <w:r w:rsidRPr="00B1522E">
              <w:rPr>
                <w:rFonts w:eastAsia="Calibri" w:cstheme="minorHAnsi"/>
              </w:rPr>
              <w:t xml:space="preserve">To increase healthy food consumption </w:t>
            </w:r>
          </w:p>
        </w:tc>
        <w:tc>
          <w:tcPr>
            <w:tcW w:w="1417" w:type="dxa"/>
          </w:tcPr>
          <w:p w14:paraId="24634A37" w14:textId="77777777" w:rsidR="00AE4AC2" w:rsidRPr="00B1522E" w:rsidRDefault="00AE4AC2" w:rsidP="00AE4AC2">
            <w:pPr>
              <w:spacing w:line="480" w:lineRule="auto"/>
              <w:rPr>
                <w:rFonts w:eastAsia="Calibri" w:cstheme="minorHAnsi"/>
              </w:rPr>
            </w:pPr>
            <w:r w:rsidRPr="00B1522E">
              <w:rPr>
                <w:rFonts w:eastAsia="Calibri" w:cstheme="minorHAnsi"/>
              </w:rPr>
              <w:t>10 schools in the United Kingdom. (n)171</w:t>
            </w:r>
          </w:p>
        </w:tc>
        <w:tc>
          <w:tcPr>
            <w:tcW w:w="1755" w:type="dxa"/>
          </w:tcPr>
          <w:p w14:paraId="1022D70E"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23A0FAF8" w14:textId="77777777" w:rsidR="00AE4AC2" w:rsidRPr="00B1522E" w:rsidRDefault="00AE4AC2" w:rsidP="00AE4AC2">
            <w:pPr>
              <w:spacing w:line="480" w:lineRule="auto"/>
              <w:rPr>
                <w:rFonts w:eastAsia="Calibri" w:cstheme="minorHAnsi"/>
              </w:rPr>
            </w:pPr>
            <w:r w:rsidRPr="00B1522E">
              <w:rPr>
                <w:rFonts w:eastAsia="Calibri" w:cstheme="minorHAnsi"/>
              </w:rPr>
              <w:t>Intake was measured at baseline and post intervention using 3-day self-report dietary intake diary, interview about food consumed, and a nutritional knowledge questionnaire.</w:t>
            </w:r>
          </w:p>
        </w:tc>
        <w:tc>
          <w:tcPr>
            <w:tcW w:w="3076" w:type="dxa"/>
          </w:tcPr>
          <w:p w14:paraId="71C8CF7C" w14:textId="77777777" w:rsidR="00AE4AC2" w:rsidRPr="00B1522E" w:rsidRDefault="00AE4AC2" w:rsidP="00AE4AC2">
            <w:pPr>
              <w:spacing w:line="480" w:lineRule="auto"/>
              <w:rPr>
                <w:rFonts w:eastAsia="Calibri" w:cstheme="minorHAnsi"/>
              </w:rPr>
            </w:pPr>
            <w:r w:rsidRPr="00B1522E">
              <w:rPr>
                <w:rFonts w:eastAsia="Calibri" w:cstheme="minorHAnsi"/>
              </w:rPr>
              <w:t xml:space="preserve">There were no significant changes between the intervention group compared to the control. </w:t>
            </w:r>
          </w:p>
        </w:tc>
        <w:tc>
          <w:tcPr>
            <w:tcW w:w="2158" w:type="dxa"/>
            <w:tcBorders>
              <w:right w:val="nil"/>
            </w:tcBorders>
          </w:tcPr>
          <w:p w14:paraId="3FCCCE9E" w14:textId="77777777" w:rsidR="00AE4AC2" w:rsidRPr="00B1522E" w:rsidRDefault="00AE4AC2" w:rsidP="00AA5DD9">
            <w:pPr>
              <w:numPr>
                <w:ilvl w:val="0"/>
                <w:numId w:val="59"/>
              </w:numPr>
              <w:spacing w:line="480" w:lineRule="auto"/>
              <w:contextualSpacing/>
              <w:rPr>
                <w:rFonts w:eastAsia="Calibri" w:cstheme="minorHAnsi"/>
              </w:rPr>
            </w:pPr>
            <w:r w:rsidRPr="00B1522E">
              <w:rPr>
                <w:rFonts w:eastAsia="Calibri" w:cstheme="minorHAnsi"/>
              </w:rPr>
              <w:t xml:space="preserve">20 weeks </w:t>
            </w:r>
          </w:p>
          <w:p w14:paraId="2F1F65EE" w14:textId="77777777" w:rsidR="00AE4AC2" w:rsidRPr="00B1522E" w:rsidRDefault="00AE4AC2" w:rsidP="00AA5DD9">
            <w:pPr>
              <w:numPr>
                <w:ilvl w:val="0"/>
                <w:numId w:val="59"/>
              </w:numPr>
              <w:spacing w:line="480" w:lineRule="auto"/>
              <w:contextualSpacing/>
              <w:rPr>
                <w:rFonts w:eastAsia="Calibri" w:cstheme="minorHAnsi"/>
              </w:rPr>
            </w:pPr>
            <w:r w:rsidRPr="00B1522E">
              <w:rPr>
                <w:rFonts w:eastAsia="Calibri" w:cstheme="minorHAnsi"/>
              </w:rPr>
              <w:t>Year 8 (12-13 years old)</w:t>
            </w:r>
          </w:p>
          <w:p w14:paraId="62962FD4" w14:textId="77777777" w:rsidR="00AE4AC2" w:rsidRPr="00B1522E" w:rsidRDefault="00AE4AC2" w:rsidP="00AA5DD9">
            <w:pPr>
              <w:numPr>
                <w:ilvl w:val="0"/>
                <w:numId w:val="59"/>
              </w:numPr>
              <w:spacing w:line="480" w:lineRule="auto"/>
              <w:contextualSpacing/>
              <w:rPr>
                <w:rFonts w:eastAsia="Calibri" w:cstheme="minorHAnsi"/>
              </w:rPr>
            </w:pPr>
            <w:r w:rsidRPr="00B1522E">
              <w:rPr>
                <w:rFonts w:eastAsia="Calibri" w:cstheme="minorHAnsi"/>
              </w:rPr>
              <w:t>No specific theoretical base identified</w:t>
            </w:r>
          </w:p>
        </w:tc>
        <w:tc>
          <w:tcPr>
            <w:tcW w:w="1418" w:type="dxa"/>
            <w:tcBorders>
              <w:left w:val="nil"/>
            </w:tcBorders>
          </w:tcPr>
          <w:p w14:paraId="36B5C616" w14:textId="77777777" w:rsidR="00AE4AC2" w:rsidRPr="00B1522E" w:rsidRDefault="00AE4AC2" w:rsidP="00AE4AC2">
            <w:pPr>
              <w:spacing w:line="480" w:lineRule="auto"/>
              <w:rPr>
                <w:rFonts w:eastAsia="Calibri" w:cstheme="minorHAnsi"/>
              </w:rPr>
            </w:pPr>
            <w:r w:rsidRPr="00B1522E">
              <w:rPr>
                <w:rFonts w:eastAsia="Calibri" w:cstheme="minorHAnsi"/>
              </w:rPr>
              <w:t xml:space="preserve">Weak </w:t>
            </w:r>
          </w:p>
        </w:tc>
      </w:tr>
      <w:tr w:rsidR="00E77769" w:rsidRPr="00B1522E" w14:paraId="701F8B94" w14:textId="77777777" w:rsidTr="00524A72">
        <w:trPr>
          <w:trHeight w:val="1418"/>
        </w:trPr>
        <w:tc>
          <w:tcPr>
            <w:tcW w:w="1489" w:type="dxa"/>
          </w:tcPr>
          <w:p w14:paraId="36748F4E" w14:textId="143F716A"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intakes.","type":"article-journal","volume":"8"},"uris":["http://www.mendeley.com/documents/?uuid=827f05f5-1374-4d29-b4c3-d6c4de5de2d7"]}],"mendeley":{"formattedCitation":"(Siega-Riz et al., 2011)","manualFormatting":"Siega-Riz et al. (2011)","plainTextFormattedCitation":"(Siega-Riz et al., 2011)","previouslyFormattedCitation":"(Siega-Riz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Siega-Riz et al. (2011)</w:t>
            </w:r>
            <w:r w:rsidRPr="00B1522E">
              <w:rPr>
                <w:rFonts w:eastAsia="Calibri" w:cstheme="minorHAnsi"/>
              </w:rPr>
              <w:fldChar w:fldCharType="end"/>
            </w:r>
          </w:p>
          <w:p w14:paraId="30AA63B3" w14:textId="77777777" w:rsidR="00AE4AC2" w:rsidRPr="00B1522E" w:rsidRDefault="00AE4AC2" w:rsidP="00AE4AC2">
            <w:pPr>
              <w:spacing w:line="480" w:lineRule="auto"/>
              <w:rPr>
                <w:rFonts w:eastAsia="Calibri" w:cstheme="minorHAnsi"/>
              </w:rPr>
            </w:pPr>
          </w:p>
        </w:tc>
        <w:tc>
          <w:tcPr>
            <w:tcW w:w="1489" w:type="dxa"/>
          </w:tcPr>
          <w:p w14:paraId="13BFA4FE" w14:textId="77777777" w:rsidR="00AE4AC2" w:rsidRPr="00B1522E" w:rsidRDefault="00AE4AC2" w:rsidP="00AE4AC2">
            <w:pPr>
              <w:spacing w:line="480" w:lineRule="auto"/>
              <w:rPr>
                <w:rFonts w:eastAsia="Calibri" w:cstheme="minorHAnsi"/>
              </w:rPr>
            </w:pPr>
            <w:r w:rsidRPr="00B1522E">
              <w:rPr>
                <w:rFonts w:eastAsia="Calibri" w:cstheme="minorHAnsi"/>
              </w:rPr>
              <w:t xml:space="preserve">Fruit and vegetable consumption  </w:t>
            </w:r>
          </w:p>
        </w:tc>
        <w:tc>
          <w:tcPr>
            <w:tcW w:w="1417" w:type="dxa"/>
          </w:tcPr>
          <w:p w14:paraId="3A296B62" w14:textId="77777777" w:rsidR="00AE4AC2" w:rsidRPr="00B1522E" w:rsidRDefault="00AE4AC2" w:rsidP="00AE4AC2">
            <w:pPr>
              <w:spacing w:line="480" w:lineRule="auto"/>
              <w:rPr>
                <w:rFonts w:eastAsia="Calibri" w:cstheme="minorHAnsi"/>
              </w:rPr>
            </w:pPr>
            <w:r w:rsidRPr="00B1522E">
              <w:rPr>
                <w:rFonts w:eastAsia="Calibri" w:cstheme="minorHAnsi"/>
              </w:rPr>
              <w:t xml:space="preserve">42 schools in the USA. </w:t>
            </w:r>
          </w:p>
          <w:p w14:paraId="62095089" w14:textId="77777777" w:rsidR="00AE4AC2" w:rsidRPr="00B1522E" w:rsidRDefault="00AE4AC2" w:rsidP="00AE4AC2">
            <w:pPr>
              <w:spacing w:line="480" w:lineRule="auto"/>
              <w:rPr>
                <w:rFonts w:eastAsia="Calibri" w:cstheme="minorHAnsi"/>
              </w:rPr>
            </w:pPr>
            <w:r w:rsidRPr="00B1522E">
              <w:rPr>
                <w:rFonts w:eastAsia="Calibri" w:cstheme="minorHAnsi"/>
              </w:rPr>
              <w:t xml:space="preserve"> (n)4603</w:t>
            </w:r>
          </w:p>
        </w:tc>
        <w:tc>
          <w:tcPr>
            <w:tcW w:w="1755" w:type="dxa"/>
          </w:tcPr>
          <w:p w14:paraId="1A6391FB" w14:textId="77777777" w:rsidR="00AE4AC2" w:rsidRPr="00B1522E" w:rsidRDefault="00AE4AC2" w:rsidP="00AE4AC2">
            <w:pPr>
              <w:spacing w:line="480" w:lineRule="auto"/>
              <w:rPr>
                <w:rFonts w:eastAsia="Calibri" w:cstheme="minorHAnsi"/>
              </w:rPr>
            </w:pPr>
            <w:r w:rsidRPr="00B1522E">
              <w:rPr>
                <w:rFonts w:eastAsia="Calibri" w:cstheme="minorHAnsi"/>
              </w:rPr>
              <w:t>Cluster RCT. Intervention group compared to a control.</w:t>
            </w:r>
          </w:p>
        </w:tc>
        <w:tc>
          <w:tcPr>
            <w:tcW w:w="3075" w:type="dxa"/>
          </w:tcPr>
          <w:p w14:paraId="78E40779" w14:textId="77777777" w:rsidR="00AE4AC2" w:rsidRPr="00B1522E" w:rsidRDefault="00AE4AC2" w:rsidP="00AE4AC2">
            <w:pPr>
              <w:spacing w:line="480" w:lineRule="auto"/>
              <w:rPr>
                <w:rFonts w:eastAsia="Calibri" w:cstheme="minorHAnsi"/>
              </w:rPr>
            </w:pPr>
            <w:r w:rsidRPr="00B1522E">
              <w:rPr>
                <w:rFonts w:eastAsia="Calibri" w:cstheme="minorHAnsi"/>
              </w:rPr>
              <w:t>Self-report dietary intake using the Block Kids’ questionnaire (FFQ). Measurements completed at baseline and post intervention.</w:t>
            </w:r>
          </w:p>
        </w:tc>
        <w:tc>
          <w:tcPr>
            <w:tcW w:w="3076" w:type="dxa"/>
          </w:tcPr>
          <w:p w14:paraId="5EFF9D20" w14:textId="067E6677" w:rsidR="00AE4AC2" w:rsidRPr="00B1522E" w:rsidRDefault="00AE4AC2" w:rsidP="00AE4AC2">
            <w:pPr>
              <w:spacing w:line="480" w:lineRule="auto"/>
              <w:rPr>
                <w:rFonts w:eastAsia="Calibri" w:cstheme="minorHAnsi"/>
              </w:rPr>
            </w:pPr>
            <w:r w:rsidRPr="00B1522E">
              <w:rPr>
                <w:rFonts w:eastAsia="Calibri" w:cstheme="minorHAnsi"/>
              </w:rPr>
              <w:t xml:space="preserve">Intervention group compared to the control significantly </w:t>
            </w:r>
            <w:r w:rsidR="00524A72" w:rsidRPr="00B1522E">
              <w:rPr>
                <w:rFonts w:eastAsia="Calibri" w:cstheme="minorHAnsi"/>
              </w:rPr>
              <w:t>increased: -</w:t>
            </w:r>
            <w:r w:rsidRPr="00B1522E">
              <w:rPr>
                <w:rFonts w:eastAsia="Calibri" w:cstheme="minorHAnsi"/>
              </w:rPr>
              <w:t xml:space="preserve"> </w:t>
            </w:r>
          </w:p>
          <w:p w14:paraId="0F3BAB52" w14:textId="3A2D8AB8" w:rsidR="00AE4AC2" w:rsidRPr="00B1522E" w:rsidRDefault="00AE4AC2" w:rsidP="00AA5DD9">
            <w:pPr>
              <w:numPr>
                <w:ilvl w:val="0"/>
                <w:numId w:val="61"/>
              </w:numPr>
              <w:spacing w:line="480" w:lineRule="auto"/>
              <w:contextualSpacing/>
              <w:rPr>
                <w:rFonts w:eastAsia="Calibri" w:cstheme="minorHAnsi"/>
              </w:rPr>
            </w:pPr>
            <w:r w:rsidRPr="00B1522E">
              <w:rPr>
                <w:rFonts w:eastAsia="Calibri" w:cstheme="minorHAnsi"/>
              </w:rPr>
              <w:t>Water consumption (p = .008)</w:t>
            </w:r>
          </w:p>
          <w:p w14:paraId="7F282255" w14:textId="002F841F" w:rsidR="00AE4AC2" w:rsidRPr="00B1522E" w:rsidRDefault="00AE4AC2" w:rsidP="00AA5DD9">
            <w:pPr>
              <w:numPr>
                <w:ilvl w:val="0"/>
                <w:numId w:val="61"/>
              </w:numPr>
              <w:spacing w:line="480" w:lineRule="auto"/>
              <w:contextualSpacing/>
              <w:rPr>
                <w:rFonts w:eastAsia="Calibri" w:cstheme="minorHAnsi"/>
              </w:rPr>
            </w:pPr>
            <w:r w:rsidRPr="00B1522E">
              <w:rPr>
                <w:rFonts w:eastAsia="Calibri" w:cstheme="minorHAnsi"/>
              </w:rPr>
              <w:t>Daily fruit consumption (p = .002)</w:t>
            </w:r>
          </w:p>
        </w:tc>
        <w:tc>
          <w:tcPr>
            <w:tcW w:w="2158" w:type="dxa"/>
            <w:tcBorders>
              <w:right w:val="nil"/>
            </w:tcBorders>
          </w:tcPr>
          <w:p w14:paraId="41BA03E6" w14:textId="77777777" w:rsidR="00AE4AC2" w:rsidRPr="00B1522E" w:rsidRDefault="00AE4AC2" w:rsidP="00AA5DD9">
            <w:pPr>
              <w:numPr>
                <w:ilvl w:val="0"/>
                <w:numId w:val="60"/>
              </w:numPr>
              <w:spacing w:line="480" w:lineRule="auto"/>
              <w:contextualSpacing/>
              <w:rPr>
                <w:rFonts w:eastAsia="Calibri" w:cstheme="minorHAnsi"/>
              </w:rPr>
            </w:pPr>
            <w:r w:rsidRPr="00B1522E">
              <w:rPr>
                <w:rFonts w:eastAsia="Calibri" w:cstheme="minorHAnsi"/>
              </w:rPr>
              <w:t xml:space="preserve">5 school semesters </w:t>
            </w:r>
          </w:p>
          <w:p w14:paraId="1834737C" w14:textId="77777777" w:rsidR="00AE4AC2" w:rsidRPr="00B1522E" w:rsidRDefault="00AE4AC2" w:rsidP="00AA5DD9">
            <w:pPr>
              <w:numPr>
                <w:ilvl w:val="0"/>
                <w:numId w:val="60"/>
              </w:numPr>
              <w:spacing w:line="480" w:lineRule="auto"/>
              <w:contextualSpacing/>
              <w:rPr>
                <w:rFonts w:eastAsia="Calibri" w:cstheme="minorHAnsi"/>
              </w:rPr>
            </w:pPr>
            <w:r w:rsidRPr="00B1522E">
              <w:rPr>
                <w:rFonts w:eastAsia="Calibri" w:cstheme="minorHAnsi"/>
              </w:rPr>
              <w:t>10-11 years old (11.3 years old)</w:t>
            </w:r>
          </w:p>
          <w:p w14:paraId="2F3F2939" w14:textId="77777777" w:rsidR="00AE4AC2" w:rsidRPr="00B1522E" w:rsidRDefault="00AE4AC2" w:rsidP="00AA5DD9">
            <w:pPr>
              <w:numPr>
                <w:ilvl w:val="0"/>
                <w:numId w:val="60"/>
              </w:numPr>
              <w:spacing w:line="480" w:lineRule="auto"/>
              <w:contextualSpacing/>
              <w:rPr>
                <w:rFonts w:eastAsia="Calibri" w:cstheme="minorHAnsi"/>
              </w:rPr>
            </w:pPr>
            <w:r w:rsidRPr="00B1522E">
              <w:rPr>
                <w:rFonts w:eastAsia="Calibri" w:cstheme="minorHAnsi"/>
              </w:rPr>
              <w:t>Social Ecological model</w:t>
            </w:r>
          </w:p>
        </w:tc>
        <w:tc>
          <w:tcPr>
            <w:tcW w:w="1418" w:type="dxa"/>
            <w:tcBorders>
              <w:left w:val="nil"/>
            </w:tcBorders>
          </w:tcPr>
          <w:p w14:paraId="251D4CFF" w14:textId="77777777" w:rsidR="00AE4AC2" w:rsidRPr="00B1522E" w:rsidRDefault="00AE4AC2" w:rsidP="00AE4AC2">
            <w:pPr>
              <w:spacing w:line="480" w:lineRule="auto"/>
              <w:jc w:val="both"/>
              <w:rPr>
                <w:rFonts w:eastAsia="Calibri" w:cstheme="minorHAnsi"/>
              </w:rPr>
            </w:pPr>
            <w:r w:rsidRPr="00B1522E">
              <w:rPr>
                <w:rFonts w:eastAsia="Calibri" w:cstheme="minorHAnsi"/>
              </w:rPr>
              <w:t xml:space="preserve">Moderate </w:t>
            </w:r>
          </w:p>
        </w:tc>
      </w:tr>
      <w:tr w:rsidR="00E77769" w:rsidRPr="00B1522E" w14:paraId="564D978F" w14:textId="77777777" w:rsidTr="00966286">
        <w:trPr>
          <w:trHeight w:val="2201"/>
        </w:trPr>
        <w:tc>
          <w:tcPr>
            <w:tcW w:w="1489" w:type="dxa"/>
          </w:tcPr>
          <w:p w14:paraId="053AAEC5" w14:textId="254DA15C" w:rsidR="00AE4AC2" w:rsidRPr="00B1522E" w:rsidRDefault="00AE4AC2" w:rsidP="00AE4AC2">
            <w:pPr>
              <w:spacing w:line="480" w:lineRule="auto"/>
              <w:rPr>
                <w:rFonts w:eastAsia="Calibri" w:cstheme="minorHAnsi"/>
              </w:rPr>
            </w:pPr>
            <w:r w:rsidRPr="00B1522E">
              <w:rPr>
                <w:rFonts w:eastAsia="Calibri" w:cstheme="minorHAnsi"/>
              </w:rPr>
              <w:lastRenderedPageBreak/>
              <w:fldChar w:fldCharType="begin" w:fldLock="1"/>
            </w:r>
            <w:r w:rsidR="00DB273B" w:rsidRPr="00B1522E">
              <w:rPr>
                <w:rFonts w:eastAsia="Calibri" w:cstheme="minorHAnsi"/>
              </w:rPr>
              <w:instrText>ADDIN CSL_CITATION {"citationItems":[{"id":"ITEM-1","itemData":{"ISSN":"0031-5125","abstract":"The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Skills","id":"ITEM-1","issue":"2","issued":{"date-parts":[["2005","10"]]},"note":"Accession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eating.","type":"article-journal","volume":"101"},"uris":["http://www.mendeley.com/documents/?uuid=f16d6371-ae55-47d3-b34f-6f5099c47b13"]}],"mendeley":{"formattedCitation":"(Tsorbatzoudis, 2005)","manualFormatting":"Tsorbatzoudis (2005)","plainTextFormattedCitation":"(Tsorbatzoudis, 2005)","previouslyFormattedCitation":"(Tsorbatzoudis, 2005)"},"properties":{"noteIndex":0},"schema":"https://github.com/citation-style-language/schema/raw/master/csl-citation.json"}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Tsorbatzoudis (2005)</w:t>
            </w:r>
            <w:r w:rsidRPr="00B1522E">
              <w:rPr>
                <w:rFonts w:eastAsia="Calibri" w:cstheme="minorHAnsi"/>
              </w:rPr>
              <w:fldChar w:fldCharType="end"/>
            </w:r>
          </w:p>
          <w:p w14:paraId="374F74BD" w14:textId="77777777" w:rsidR="00AE4AC2" w:rsidRPr="00B1522E" w:rsidRDefault="00AE4AC2" w:rsidP="00AE4AC2">
            <w:pPr>
              <w:spacing w:line="480" w:lineRule="auto"/>
              <w:rPr>
                <w:rFonts w:eastAsia="Calibri" w:cstheme="minorHAnsi"/>
              </w:rPr>
            </w:pPr>
          </w:p>
        </w:tc>
        <w:tc>
          <w:tcPr>
            <w:tcW w:w="1489" w:type="dxa"/>
          </w:tcPr>
          <w:p w14:paraId="7E3E40D6" w14:textId="77777777" w:rsidR="00AE4AC2" w:rsidRPr="00B1522E" w:rsidRDefault="00AE4AC2" w:rsidP="00AE4AC2">
            <w:pPr>
              <w:spacing w:line="480" w:lineRule="auto"/>
              <w:rPr>
                <w:rFonts w:eastAsia="Calibri" w:cstheme="minorHAnsi"/>
              </w:rPr>
            </w:pPr>
            <w:r w:rsidRPr="00B1522E">
              <w:rPr>
                <w:rFonts w:eastAsia="Calibri" w:cstheme="minorHAnsi"/>
              </w:rPr>
              <w:t xml:space="preserve">To increase general healthy eating behaviours </w:t>
            </w:r>
          </w:p>
        </w:tc>
        <w:tc>
          <w:tcPr>
            <w:tcW w:w="1417" w:type="dxa"/>
          </w:tcPr>
          <w:p w14:paraId="354A4B34" w14:textId="77777777" w:rsidR="00AE4AC2" w:rsidRPr="00B1522E" w:rsidRDefault="00AE4AC2" w:rsidP="00AE4AC2">
            <w:pPr>
              <w:spacing w:line="480" w:lineRule="auto"/>
              <w:rPr>
                <w:rFonts w:eastAsia="Calibri" w:cstheme="minorHAnsi"/>
              </w:rPr>
            </w:pPr>
            <w:r w:rsidRPr="00B1522E">
              <w:rPr>
                <w:rFonts w:eastAsia="Calibri" w:cstheme="minorHAnsi"/>
              </w:rPr>
              <w:t>5 schools in Greece.  (n)335</w:t>
            </w:r>
          </w:p>
        </w:tc>
        <w:tc>
          <w:tcPr>
            <w:tcW w:w="1755" w:type="dxa"/>
          </w:tcPr>
          <w:p w14:paraId="7E33CE4C" w14:textId="77777777" w:rsidR="00AE4AC2" w:rsidRPr="00B1522E" w:rsidRDefault="00AE4AC2" w:rsidP="00AE4AC2">
            <w:pPr>
              <w:spacing w:line="480" w:lineRule="auto"/>
              <w:rPr>
                <w:rFonts w:eastAsia="Calibri" w:cstheme="minorHAnsi"/>
              </w:rPr>
            </w:pPr>
            <w:r w:rsidRPr="00B1522E">
              <w:rPr>
                <w:rFonts w:eastAsia="Calibri" w:cstheme="minorHAnsi"/>
              </w:rPr>
              <w:t>Quasi-experiment with a control.</w:t>
            </w:r>
          </w:p>
        </w:tc>
        <w:tc>
          <w:tcPr>
            <w:tcW w:w="3075" w:type="dxa"/>
          </w:tcPr>
          <w:p w14:paraId="247E3398" w14:textId="77777777" w:rsidR="00AE4AC2" w:rsidRPr="00B1522E" w:rsidRDefault="00AE4AC2" w:rsidP="00AE4AC2">
            <w:pPr>
              <w:spacing w:line="480" w:lineRule="auto"/>
              <w:rPr>
                <w:rFonts w:eastAsia="Calibri" w:cstheme="minorHAnsi"/>
              </w:rPr>
            </w:pPr>
            <w:r w:rsidRPr="00B1522E">
              <w:rPr>
                <w:rFonts w:eastAsia="Calibri" w:cstheme="minorHAnsi"/>
              </w:rPr>
              <w:t xml:space="preserve">FFQ were completed at the beginning of the second semester, after the intervention was completed and then at 2-month follow-up. Participants also answered questions about intention, attitude, subjective norms, perceived behaviour control, role identity and attitude strength. </w:t>
            </w:r>
          </w:p>
        </w:tc>
        <w:tc>
          <w:tcPr>
            <w:tcW w:w="3076" w:type="dxa"/>
          </w:tcPr>
          <w:p w14:paraId="188E1CF9" w14:textId="1D53B17A" w:rsidR="00AE4AC2" w:rsidRPr="00B1522E" w:rsidRDefault="00AE4AC2" w:rsidP="00AE4AC2">
            <w:pPr>
              <w:spacing w:line="480" w:lineRule="auto"/>
              <w:rPr>
                <w:rFonts w:eastAsia="Calibri" w:cstheme="minorHAnsi"/>
              </w:rPr>
            </w:pPr>
            <w:r w:rsidRPr="00B1522E">
              <w:rPr>
                <w:rFonts w:eastAsia="Calibri" w:cstheme="minorHAnsi"/>
              </w:rPr>
              <w:t>There were significant changes between groups in: -</w:t>
            </w:r>
          </w:p>
          <w:p w14:paraId="1EFA2C43" w14:textId="39EC537B" w:rsidR="00AE4AC2" w:rsidRPr="00B1522E" w:rsidRDefault="00AE4AC2" w:rsidP="00AA5DD9">
            <w:pPr>
              <w:numPr>
                <w:ilvl w:val="0"/>
                <w:numId w:val="63"/>
              </w:numPr>
              <w:spacing w:line="480" w:lineRule="auto"/>
              <w:contextualSpacing/>
              <w:rPr>
                <w:rFonts w:eastAsia="Calibri" w:cstheme="minorHAnsi"/>
              </w:rPr>
            </w:pPr>
            <w:r w:rsidRPr="00B1522E">
              <w:rPr>
                <w:rFonts w:eastAsia="Calibri" w:cstheme="minorHAnsi"/>
              </w:rPr>
              <w:t>Attitudes towards healthy eating and attitude strength (p &lt; .001),</w:t>
            </w:r>
          </w:p>
          <w:p w14:paraId="2C9E2108" w14:textId="77777777" w:rsidR="00B17B08" w:rsidRPr="00B1522E" w:rsidRDefault="00AE4AC2" w:rsidP="00AA5DD9">
            <w:pPr>
              <w:numPr>
                <w:ilvl w:val="0"/>
                <w:numId w:val="63"/>
              </w:numPr>
              <w:spacing w:line="480" w:lineRule="auto"/>
              <w:contextualSpacing/>
              <w:rPr>
                <w:rFonts w:eastAsia="Calibri" w:cstheme="minorHAnsi"/>
              </w:rPr>
            </w:pPr>
            <w:r w:rsidRPr="00B1522E">
              <w:rPr>
                <w:rFonts w:eastAsia="Calibri" w:cstheme="minorHAnsi"/>
              </w:rPr>
              <w:t>Intention (p &lt; .001)</w:t>
            </w:r>
          </w:p>
          <w:p w14:paraId="7E80DBD4" w14:textId="3EEB335B" w:rsidR="00AE4AC2" w:rsidRPr="00B1522E" w:rsidRDefault="0050142B" w:rsidP="00AA5DD9">
            <w:pPr>
              <w:numPr>
                <w:ilvl w:val="0"/>
                <w:numId w:val="63"/>
              </w:numPr>
              <w:spacing w:line="480" w:lineRule="auto"/>
              <w:contextualSpacing/>
              <w:rPr>
                <w:rFonts w:eastAsia="Calibri" w:cstheme="minorHAnsi"/>
              </w:rPr>
            </w:pPr>
            <w:r w:rsidRPr="00B1522E">
              <w:rPr>
                <w:rFonts w:eastAsia="Calibri" w:cstheme="minorHAnsi"/>
              </w:rPr>
              <w:t>P</w:t>
            </w:r>
            <w:r w:rsidR="00AE4AC2" w:rsidRPr="00B1522E">
              <w:rPr>
                <w:rFonts w:eastAsia="Calibri" w:cstheme="minorHAnsi"/>
              </w:rPr>
              <w:t>erceived behavioural control (p &lt; .001).</w:t>
            </w:r>
          </w:p>
          <w:p w14:paraId="307E5DE3" w14:textId="5A817CB5" w:rsidR="00AE4AC2" w:rsidRPr="00B1522E" w:rsidRDefault="00AE4AC2" w:rsidP="00AA5DD9">
            <w:pPr>
              <w:numPr>
                <w:ilvl w:val="0"/>
                <w:numId w:val="63"/>
              </w:numPr>
              <w:spacing w:line="480" w:lineRule="auto"/>
              <w:contextualSpacing/>
              <w:rPr>
                <w:rFonts w:eastAsia="Calibri" w:cstheme="minorHAnsi"/>
              </w:rPr>
            </w:pPr>
            <w:r w:rsidRPr="00B1522E">
              <w:rPr>
                <w:rFonts w:eastAsia="Calibri" w:cstheme="minorHAnsi"/>
              </w:rPr>
              <w:t xml:space="preserve">Healthy eating behaviours (p &lt; .05). </w:t>
            </w:r>
          </w:p>
        </w:tc>
        <w:tc>
          <w:tcPr>
            <w:tcW w:w="2158" w:type="dxa"/>
            <w:tcBorders>
              <w:right w:val="nil"/>
            </w:tcBorders>
          </w:tcPr>
          <w:p w14:paraId="7AE48954" w14:textId="77777777" w:rsidR="00AE4AC2" w:rsidRPr="00B1522E" w:rsidRDefault="00AE4AC2" w:rsidP="00AA5DD9">
            <w:pPr>
              <w:numPr>
                <w:ilvl w:val="0"/>
                <w:numId w:val="62"/>
              </w:numPr>
              <w:spacing w:line="480" w:lineRule="auto"/>
              <w:contextualSpacing/>
              <w:rPr>
                <w:rFonts w:eastAsia="Calibri" w:cstheme="minorHAnsi"/>
              </w:rPr>
            </w:pPr>
            <w:r w:rsidRPr="00B1522E">
              <w:rPr>
                <w:rFonts w:eastAsia="Calibri" w:cstheme="minorHAnsi"/>
              </w:rPr>
              <w:t>12 weeks</w:t>
            </w:r>
          </w:p>
          <w:p w14:paraId="2C7560BD" w14:textId="77777777" w:rsidR="00AE4AC2" w:rsidRPr="00B1522E" w:rsidRDefault="00AE4AC2" w:rsidP="00AA5DD9">
            <w:pPr>
              <w:numPr>
                <w:ilvl w:val="0"/>
                <w:numId w:val="62"/>
              </w:numPr>
              <w:spacing w:line="480" w:lineRule="auto"/>
              <w:contextualSpacing/>
              <w:rPr>
                <w:rFonts w:eastAsia="Calibri" w:cstheme="minorHAnsi"/>
              </w:rPr>
            </w:pPr>
            <w:r w:rsidRPr="00B1522E">
              <w:rPr>
                <w:rFonts w:eastAsia="Calibri" w:cstheme="minorHAnsi"/>
              </w:rPr>
              <w:t>14.8 years old (mean)</w:t>
            </w:r>
          </w:p>
          <w:p w14:paraId="2E0D0B01" w14:textId="77777777" w:rsidR="00AE4AC2" w:rsidRPr="00B1522E" w:rsidRDefault="00AE4AC2" w:rsidP="00AA5DD9">
            <w:pPr>
              <w:numPr>
                <w:ilvl w:val="0"/>
                <w:numId w:val="62"/>
              </w:numPr>
              <w:spacing w:line="480" w:lineRule="auto"/>
              <w:contextualSpacing/>
              <w:rPr>
                <w:rFonts w:eastAsia="Calibri" w:cstheme="minorHAnsi"/>
              </w:rPr>
            </w:pPr>
            <w:r w:rsidRPr="00B1522E">
              <w:rPr>
                <w:rFonts w:eastAsia="Calibri" w:cstheme="minorHAnsi"/>
              </w:rPr>
              <w:t>Theory of Planned Behaviour</w:t>
            </w:r>
          </w:p>
        </w:tc>
        <w:tc>
          <w:tcPr>
            <w:tcW w:w="1418" w:type="dxa"/>
            <w:tcBorders>
              <w:left w:val="nil"/>
            </w:tcBorders>
          </w:tcPr>
          <w:p w14:paraId="456BDEC2" w14:textId="77777777" w:rsidR="00AE4AC2" w:rsidRPr="00B1522E" w:rsidRDefault="00AE4AC2" w:rsidP="00AE4AC2">
            <w:pPr>
              <w:spacing w:line="480" w:lineRule="auto"/>
              <w:jc w:val="both"/>
              <w:rPr>
                <w:rFonts w:eastAsia="Calibri" w:cstheme="minorHAnsi"/>
              </w:rPr>
            </w:pPr>
            <w:r w:rsidRPr="00B1522E">
              <w:rPr>
                <w:rFonts w:eastAsia="Calibri" w:cstheme="minorHAnsi"/>
              </w:rPr>
              <w:t xml:space="preserve">Weak </w:t>
            </w:r>
          </w:p>
        </w:tc>
      </w:tr>
      <w:tr w:rsidR="00E77769" w:rsidRPr="00B1522E" w14:paraId="30676271" w14:textId="77777777" w:rsidTr="00BE16B3">
        <w:trPr>
          <w:trHeight w:val="2410"/>
        </w:trPr>
        <w:tc>
          <w:tcPr>
            <w:tcW w:w="1489" w:type="dxa"/>
          </w:tcPr>
          <w:p w14:paraId="79BC360B" w14:textId="327EA001"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International","id":"ITEM-1","issue":"2","issued":{"date-parts":[["2015","6"]]},"note":"Accession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China?","type":"article-journal","volume":"30"},"uris":["http://www.mendeley.com/documents/?uuid=145ecf81-8117-453e-bf69-159987f54f3c"]}],"mendeley":{"formattedCitation":"(Wang et al., 2015)","manualFormatting":"Wang et al. (2015)","plainTextFormattedCitation":"(Wang et al., 2015)","previouslyFormattedCitation":"(Wang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Wang et al. (2015)</w:t>
            </w:r>
            <w:r w:rsidRPr="00B1522E">
              <w:rPr>
                <w:rFonts w:eastAsia="Calibri" w:cstheme="minorHAnsi"/>
              </w:rPr>
              <w:fldChar w:fldCharType="end"/>
            </w:r>
            <w:r w:rsidRPr="00B1522E">
              <w:rPr>
                <w:rFonts w:eastAsia="Calibri" w:cstheme="minorHAnsi"/>
              </w:rPr>
              <w:t xml:space="preserve"> </w:t>
            </w:r>
          </w:p>
        </w:tc>
        <w:tc>
          <w:tcPr>
            <w:tcW w:w="1489" w:type="dxa"/>
          </w:tcPr>
          <w:p w14:paraId="44722FD1" w14:textId="0930592A" w:rsidR="00AE4AC2" w:rsidRPr="00B1522E" w:rsidRDefault="00AE4AC2" w:rsidP="00AE4AC2">
            <w:pPr>
              <w:spacing w:line="480" w:lineRule="auto"/>
              <w:rPr>
                <w:rFonts w:eastAsia="Calibri" w:cstheme="minorHAnsi"/>
              </w:rPr>
            </w:pPr>
            <w:r w:rsidRPr="00B1522E">
              <w:rPr>
                <w:rFonts w:eastAsia="Calibri" w:cstheme="minorHAnsi"/>
              </w:rPr>
              <w:t>To increase general healthy eating behaviours</w:t>
            </w:r>
          </w:p>
        </w:tc>
        <w:tc>
          <w:tcPr>
            <w:tcW w:w="1417" w:type="dxa"/>
          </w:tcPr>
          <w:p w14:paraId="6BA14D73" w14:textId="77777777" w:rsidR="00AE4AC2" w:rsidRPr="00B1522E" w:rsidRDefault="00AE4AC2" w:rsidP="00AE4AC2">
            <w:pPr>
              <w:spacing w:line="480" w:lineRule="auto"/>
              <w:rPr>
                <w:rFonts w:eastAsia="Calibri" w:cstheme="minorHAnsi"/>
              </w:rPr>
            </w:pPr>
            <w:r w:rsidRPr="00B1522E">
              <w:rPr>
                <w:rFonts w:eastAsia="Calibri" w:cstheme="minorHAnsi"/>
              </w:rPr>
              <w:t>3 schools in China.</w:t>
            </w:r>
          </w:p>
          <w:p w14:paraId="26251D87" w14:textId="77777777" w:rsidR="00AE4AC2" w:rsidRPr="00B1522E" w:rsidRDefault="00AE4AC2" w:rsidP="00AE4AC2">
            <w:pPr>
              <w:spacing w:line="480" w:lineRule="auto"/>
              <w:rPr>
                <w:rFonts w:eastAsia="Calibri" w:cstheme="minorHAnsi"/>
              </w:rPr>
            </w:pPr>
            <w:r w:rsidRPr="00B1522E">
              <w:rPr>
                <w:rFonts w:eastAsia="Calibri" w:cstheme="minorHAnsi"/>
              </w:rPr>
              <w:t>(n)195 students</w:t>
            </w:r>
          </w:p>
          <w:p w14:paraId="78EA9B7B" w14:textId="77777777" w:rsidR="00AE4AC2" w:rsidRPr="00B1522E" w:rsidRDefault="00AE4AC2" w:rsidP="00AE4AC2">
            <w:pPr>
              <w:spacing w:line="480" w:lineRule="auto"/>
              <w:rPr>
                <w:rFonts w:eastAsia="Calibri" w:cstheme="minorHAnsi"/>
              </w:rPr>
            </w:pPr>
            <w:r w:rsidRPr="00B1522E">
              <w:rPr>
                <w:rFonts w:eastAsia="Calibri" w:cstheme="minorHAnsi"/>
              </w:rPr>
              <w:t>195 parents</w:t>
            </w:r>
          </w:p>
          <w:p w14:paraId="5B5BBCE9"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60 staff</w:t>
            </w:r>
          </w:p>
        </w:tc>
        <w:tc>
          <w:tcPr>
            <w:tcW w:w="1755" w:type="dxa"/>
          </w:tcPr>
          <w:p w14:paraId="696B20F7" w14:textId="5DDEF816" w:rsidR="00AE4AC2" w:rsidRPr="00B1522E" w:rsidRDefault="00AE4AC2" w:rsidP="00AE4AC2">
            <w:pPr>
              <w:spacing w:line="480" w:lineRule="auto"/>
              <w:rPr>
                <w:rFonts w:eastAsia="Calibri" w:cstheme="minorHAnsi"/>
              </w:rPr>
            </w:pPr>
            <w:r w:rsidRPr="00B1522E">
              <w:rPr>
                <w:rFonts w:eastAsia="Calibri" w:cstheme="minorHAnsi"/>
              </w:rPr>
              <w:lastRenderedPageBreak/>
              <w:t>RCT. Three groups: -</w:t>
            </w:r>
          </w:p>
          <w:p w14:paraId="4DDC9A44" w14:textId="77777777" w:rsidR="00AE4AC2" w:rsidRPr="00B1522E" w:rsidRDefault="00AE4AC2" w:rsidP="00AE4AC2">
            <w:pPr>
              <w:spacing w:line="480" w:lineRule="auto"/>
              <w:rPr>
                <w:rFonts w:eastAsia="Calibri" w:cstheme="minorHAnsi"/>
              </w:rPr>
            </w:pPr>
            <w:r w:rsidRPr="00B1522E">
              <w:rPr>
                <w:rFonts w:eastAsia="Calibri" w:cstheme="minorHAnsi"/>
              </w:rPr>
              <w:t xml:space="preserve">1) The health promotion school (HPS), </w:t>
            </w:r>
          </w:p>
          <w:p w14:paraId="23170A2E"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2) school with improved health education only,</w:t>
            </w:r>
          </w:p>
          <w:p w14:paraId="45EE5AA1" w14:textId="77777777" w:rsidR="00AE4AC2" w:rsidRPr="00B1522E" w:rsidRDefault="00AE4AC2" w:rsidP="00AE4AC2">
            <w:pPr>
              <w:spacing w:line="480" w:lineRule="auto"/>
              <w:rPr>
                <w:rFonts w:eastAsia="Calibri" w:cstheme="minorHAnsi"/>
              </w:rPr>
            </w:pPr>
            <w:r w:rsidRPr="00B1522E">
              <w:rPr>
                <w:rFonts w:eastAsia="Calibri" w:cstheme="minorHAnsi"/>
              </w:rPr>
              <w:t xml:space="preserve">3) Control. </w:t>
            </w:r>
          </w:p>
        </w:tc>
        <w:tc>
          <w:tcPr>
            <w:tcW w:w="3075" w:type="dxa"/>
          </w:tcPr>
          <w:p w14:paraId="6417BD1C"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A self-report measurement of healthy eating behaviours (FFQ) and knowledge was completed at baseline and 3-month follow-up.</w:t>
            </w:r>
          </w:p>
        </w:tc>
        <w:tc>
          <w:tcPr>
            <w:tcW w:w="3076" w:type="dxa"/>
          </w:tcPr>
          <w:p w14:paraId="7DBEC737" w14:textId="1825383B" w:rsidR="00AE4AC2" w:rsidRPr="00B1522E" w:rsidRDefault="00AE4AC2" w:rsidP="00AE4AC2">
            <w:pPr>
              <w:spacing w:line="480" w:lineRule="auto"/>
              <w:rPr>
                <w:rFonts w:eastAsia="Calibri" w:cstheme="minorHAnsi"/>
              </w:rPr>
            </w:pPr>
            <w:r w:rsidRPr="00B1522E">
              <w:rPr>
                <w:rFonts w:eastAsia="Calibri" w:cstheme="minorHAnsi"/>
              </w:rPr>
              <w:t xml:space="preserve">HPS had the largest significant improvement in eating behaviours (students) (p &lt; .001) and knowledge (p &lt; .001) </w:t>
            </w:r>
            <w:r w:rsidRPr="00B1522E">
              <w:rPr>
                <w:rFonts w:eastAsia="Calibri" w:cstheme="minorHAnsi"/>
              </w:rPr>
              <w:lastRenderedPageBreak/>
              <w:t>when compared to the other two groups.</w:t>
            </w:r>
          </w:p>
          <w:p w14:paraId="1AED8657" w14:textId="77777777" w:rsidR="00AE4AC2" w:rsidRPr="00B1522E" w:rsidRDefault="00AE4AC2" w:rsidP="00AE4AC2">
            <w:pPr>
              <w:spacing w:line="480" w:lineRule="auto"/>
              <w:rPr>
                <w:rFonts w:eastAsia="Calibri" w:cstheme="minorHAnsi"/>
              </w:rPr>
            </w:pPr>
          </w:p>
        </w:tc>
        <w:tc>
          <w:tcPr>
            <w:tcW w:w="2158" w:type="dxa"/>
            <w:tcBorders>
              <w:right w:val="nil"/>
            </w:tcBorders>
          </w:tcPr>
          <w:p w14:paraId="254766BD" w14:textId="77777777" w:rsidR="00AE4AC2" w:rsidRPr="00B1522E" w:rsidRDefault="00AE4AC2" w:rsidP="00AA5DD9">
            <w:pPr>
              <w:numPr>
                <w:ilvl w:val="0"/>
                <w:numId w:val="64"/>
              </w:numPr>
              <w:spacing w:line="480" w:lineRule="auto"/>
              <w:contextualSpacing/>
              <w:jc w:val="both"/>
              <w:rPr>
                <w:rFonts w:eastAsia="Calibri" w:cstheme="minorHAnsi"/>
              </w:rPr>
            </w:pPr>
            <w:r w:rsidRPr="00B1522E">
              <w:rPr>
                <w:rFonts w:eastAsia="Calibri" w:cstheme="minorHAnsi"/>
              </w:rPr>
              <w:lastRenderedPageBreak/>
              <w:t>3 months</w:t>
            </w:r>
          </w:p>
          <w:p w14:paraId="3F3D1DCD" w14:textId="77777777" w:rsidR="00AE4AC2" w:rsidRPr="00B1522E" w:rsidRDefault="00AE4AC2" w:rsidP="00AA5DD9">
            <w:pPr>
              <w:numPr>
                <w:ilvl w:val="0"/>
                <w:numId w:val="64"/>
              </w:numPr>
              <w:spacing w:line="480" w:lineRule="auto"/>
              <w:contextualSpacing/>
              <w:jc w:val="both"/>
              <w:rPr>
                <w:rFonts w:eastAsia="Calibri" w:cstheme="minorHAnsi"/>
              </w:rPr>
            </w:pPr>
            <w:r w:rsidRPr="00B1522E">
              <w:rPr>
                <w:rFonts w:eastAsia="Calibri" w:cstheme="minorHAnsi"/>
              </w:rPr>
              <w:t>12-14 years old (12.8 years old)</w:t>
            </w:r>
          </w:p>
          <w:p w14:paraId="26AD23B5" w14:textId="4EE0701B" w:rsidR="00AE4AC2" w:rsidRPr="00B1522E" w:rsidRDefault="00AE4AC2" w:rsidP="00AA5DD9">
            <w:pPr>
              <w:numPr>
                <w:ilvl w:val="0"/>
                <w:numId w:val="27"/>
              </w:numPr>
              <w:spacing w:line="480" w:lineRule="auto"/>
              <w:contextualSpacing/>
              <w:rPr>
                <w:rFonts w:eastAsia="Calibri" w:cstheme="minorHAnsi"/>
              </w:rPr>
            </w:pPr>
            <w:r w:rsidRPr="00B1522E">
              <w:rPr>
                <w:rFonts w:eastAsia="Calibri" w:cstheme="minorHAnsi"/>
              </w:rPr>
              <w:lastRenderedPageBreak/>
              <w:t>Bronfenbrenner</w:t>
            </w:r>
            <w:r w:rsidR="00AA5DD9" w:rsidRPr="00B1522E">
              <w:rPr>
                <w:rFonts w:eastAsia="Calibri" w:cstheme="minorHAnsi"/>
              </w:rPr>
              <w:t>’</w:t>
            </w:r>
            <w:r w:rsidRPr="00B1522E">
              <w:rPr>
                <w:rFonts w:eastAsia="Calibri" w:cstheme="minorHAnsi"/>
              </w:rPr>
              <w:t>s</w:t>
            </w:r>
            <w:r w:rsidR="00AA5DD9" w:rsidRPr="00B1522E">
              <w:rPr>
                <w:rFonts w:eastAsia="Calibri" w:cstheme="minorHAnsi"/>
              </w:rPr>
              <w:t xml:space="preserve"> </w:t>
            </w:r>
            <w:r w:rsidRPr="00B1522E">
              <w:rPr>
                <w:rFonts w:eastAsia="Calibri" w:cstheme="minorHAnsi"/>
              </w:rPr>
              <w:t>Ecological theory</w:t>
            </w:r>
          </w:p>
        </w:tc>
        <w:tc>
          <w:tcPr>
            <w:tcW w:w="1418" w:type="dxa"/>
            <w:tcBorders>
              <w:left w:val="nil"/>
            </w:tcBorders>
          </w:tcPr>
          <w:p w14:paraId="5B3F8F40" w14:textId="77777777" w:rsidR="00AE4AC2" w:rsidRPr="00B1522E" w:rsidRDefault="00AE4AC2" w:rsidP="00AE4AC2">
            <w:pPr>
              <w:spacing w:line="480" w:lineRule="auto"/>
              <w:jc w:val="both"/>
              <w:rPr>
                <w:rFonts w:eastAsia="Calibri" w:cstheme="minorHAnsi"/>
              </w:rPr>
            </w:pPr>
            <w:r w:rsidRPr="00B1522E">
              <w:rPr>
                <w:rFonts w:eastAsia="Calibri" w:cstheme="minorHAnsi"/>
              </w:rPr>
              <w:lastRenderedPageBreak/>
              <w:t xml:space="preserve">Weak </w:t>
            </w:r>
          </w:p>
        </w:tc>
      </w:tr>
      <w:tr w:rsidR="00E77769" w:rsidRPr="00B1522E" w14:paraId="686BE34E" w14:textId="77777777" w:rsidTr="00AA5DD9">
        <w:trPr>
          <w:trHeight w:val="1702"/>
        </w:trPr>
        <w:tc>
          <w:tcPr>
            <w:tcW w:w="1489" w:type="dxa"/>
          </w:tcPr>
          <w:p w14:paraId="09385AE0" w14:textId="6821D4BC" w:rsidR="00AE4AC2" w:rsidRPr="00B1522E" w:rsidRDefault="00AE4AC2" w:rsidP="00AE4AC2">
            <w:pPr>
              <w:spacing w:line="480" w:lineRule="auto"/>
              <w:rPr>
                <w:rFonts w:eastAsia="Calibri" w:cstheme="minorHAnsi"/>
              </w:rPr>
            </w:pPr>
            <w:r w:rsidRPr="00B1522E">
              <w:rPr>
                <w:rFonts w:eastAsia="Calibri" w:cstheme="minorHAnsi"/>
                <w:lang w:val="it-IT"/>
              </w:rPr>
              <w:fldChar w:fldCharType="begin" w:fldLock="1"/>
            </w:r>
            <w:r w:rsidR="00DB273B" w:rsidRPr="00B1522E">
              <w:rPr>
                <w:rFonts w:eastAsia="Calibri" w:cstheme="minorHAnsi"/>
                <w:lang w:val="it-IT"/>
              </w:rPr>
              <w:instrText>ADDIN CSL_CITATION {"citationItems":[{"id":"ITEM-1","itemData":{"ISSN":"0091-7435","abstract":"Objective: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trial.","type":"article-journal","volume":"54"},"uris":["http://www.mendeley.com/documents/?uuid=7e4d5a33-052f-4c99-ab20-b4bf103139ae"]}],"mendeley":{"formattedCitation":"(Wilson et al., 2012)","manualFormatting":"Wilson (2012)","plainTextFormattedCitation":"(Wilson et al., 2012)","previouslyFormattedCitation":"(Wilson et al., 2012)"},"properties":{"noteIndex":0},"schema":"https://github.com/citation-style-language/schema/raw/master/csl-citation.json"}</w:instrText>
            </w:r>
            <w:r w:rsidRPr="00B1522E">
              <w:rPr>
                <w:rFonts w:eastAsia="Calibri" w:cstheme="minorHAnsi"/>
                <w:lang w:val="it-IT"/>
              </w:rPr>
              <w:fldChar w:fldCharType="separate"/>
            </w:r>
            <w:r w:rsidRPr="00B1522E">
              <w:rPr>
                <w:rFonts w:eastAsia="Calibri" w:cstheme="minorHAnsi"/>
                <w:noProof/>
              </w:rPr>
              <w:t>Wilson (2012)</w:t>
            </w:r>
            <w:r w:rsidRPr="00B1522E">
              <w:rPr>
                <w:rFonts w:eastAsia="Calibri" w:cstheme="minorHAnsi"/>
                <w:lang w:val="it-IT"/>
              </w:rPr>
              <w:fldChar w:fldCharType="end"/>
            </w:r>
            <w:r w:rsidRPr="00B1522E">
              <w:rPr>
                <w:rFonts w:eastAsia="Calibri" w:cstheme="minorHAnsi"/>
              </w:rPr>
              <w:t xml:space="preserve"> </w:t>
            </w:r>
          </w:p>
        </w:tc>
        <w:tc>
          <w:tcPr>
            <w:tcW w:w="1489" w:type="dxa"/>
          </w:tcPr>
          <w:p w14:paraId="52030456" w14:textId="77777777" w:rsidR="00AE4AC2" w:rsidRPr="00B1522E" w:rsidRDefault="00AE4AC2" w:rsidP="00AE4AC2">
            <w:pPr>
              <w:spacing w:line="480" w:lineRule="auto"/>
              <w:rPr>
                <w:rFonts w:eastAsia="Calibri" w:cstheme="minorHAnsi"/>
              </w:rPr>
            </w:pPr>
            <w:r w:rsidRPr="00B1522E">
              <w:rPr>
                <w:rFonts w:eastAsia="Calibri" w:cstheme="minorHAnsi"/>
              </w:rPr>
              <w:t>Fruit and vegetables consumption</w:t>
            </w:r>
          </w:p>
        </w:tc>
        <w:tc>
          <w:tcPr>
            <w:tcW w:w="1417" w:type="dxa"/>
          </w:tcPr>
          <w:p w14:paraId="58CA4396" w14:textId="77777777" w:rsidR="00AE4AC2" w:rsidRPr="00B1522E" w:rsidRDefault="00AE4AC2" w:rsidP="00AE4AC2">
            <w:pPr>
              <w:spacing w:line="480" w:lineRule="auto"/>
              <w:rPr>
                <w:rFonts w:eastAsia="Calibri" w:cstheme="minorHAnsi"/>
              </w:rPr>
            </w:pPr>
            <w:r w:rsidRPr="00B1522E">
              <w:rPr>
                <w:rFonts w:eastAsia="Calibri" w:cstheme="minorHAnsi"/>
              </w:rPr>
              <w:t>10 schools in the USA. (n)1119</w:t>
            </w:r>
          </w:p>
        </w:tc>
        <w:tc>
          <w:tcPr>
            <w:tcW w:w="1755" w:type="dxa"/>
          </w:tcPr>
          <w:p w14:paraId="628FC45B" w14:textId="77777777" w:rsidR="00AE4AC2" w:rsidRPr="00B1522E" w:rsidRDefault="00AE4AC2" w:rsidP="00AE4AC2">
            <w:pPr>
              <w:spacing w:line="480" w:lineRule="auto"/>
              <w:rPr>
                <w:rFonts w:eastAsia="Calibri" w:cstheme="minorHAnsi"/>
              </w:rPr>
            </w:pPr>
            <w:r w:rsidRPr="00B1522E">
              <w:rPr>
                <w:rFonts w:eastAsia="Calibri" w:cstheme="minorHAnsi"/>
              </w:rPr>
              <w:t>RCT. Intervention group compared to a control.</w:t>
            </w:r>
          </w:p>
        </w:tc>
        <w:tc>
          <w:tcPr>
            <w:tcW w:w="3075" w:type="dxa"/>
          </w:tcPr>
          <w:p w14:paraId="406CC25B" w14:textId="77777777" w:rsidR="00AE4AC2" w:rsidRPr="00B1522E" w:rsidRDefault="00AE4AC2" w:rsidP="00AE4AC2">
            <w:pPr>
              <w:spacing w:line="480" w:lineRule="auto"/>
              <w:rPr>
                <w:rFonts w:eastAsia="Calibri" w:cstheme="minorHAnsi"/>
              </w:rPr>
            </w:pPr>
            <w:r w:rsidRPr="00B1522E">
              <w:rPr>
                <w:rFonts w:eastAsia="Calibri" w:cstheme="minorHAnsi"/>
              </w:rPr>
              <w:t>Students completed self-reports assessing different healthy behaviours (FFQ), knowledge, and psychosocial variables.  Measurements were taken baseline, post intervention and 1-year follow-up.</w:t>
            </w:r>
          </w:p>
        </w:tc>
        <w:tc>
          <w:tcPr>
            <w:tcW w:w="3076" w:type="dxa"/>
          </w:tcPr>
          <w:p w14:paraId="2768FB18" w14:textId="1B8A9B0E" w:rsidR="00AE4AC2" w:rsidRPr="00B1522E" w:rsidRDefault="00AE4AC2" w:rsidP="00AE4AC2">
            <w:pPr>
              <w:spacing w:line="480" w:lineRule="auto"/>
              <w:rPr>
                <w:rFonts w:eastAsia="Calibri" w:cstheme="minorHAnsi"/>
              </w:rPr>
            </w:pPr>
            <w:r w:rsidRPr="00B1522E">
              <w:rPr>
                <w:rFonts w:eastAsia="Calibri" w:cstheme="minorHAnsi"/>
              </w:rPr>
              <w:t>Intervention group compared to the control significantly increased: -</w:t>
            </w:r>
          </w:p>
          <w:p w14:paraId="01759FFD" w14:textId="604E656E" w:rsidR="00AE4AC2" w:rsidRPr="00B1522E" w:rsidRDefault="00AE4AC2" w:rsidP="00AA5DD9">
            <w:pPr>
              <w:numPr>
                <w:ilvl w:val="0"/>
                <w:numId w:val="66"/>
              </w:numPr>
              <w:spacing w:line="480" w:lineRule="auto"/>
              <w:contextualSpacing/>
              <w:rPr>
                <w:rFonts w:eastAsia="Calibri" w:cstheme="minorHAnsi"/>
              </w:rPr>
            </w:pPr>
            <w:r w:rsidRPr="00B1522E">
              <w:rPr>
                <w:rFonts w:eastAsia="Calibri" w:cstheme="minorHAnsi"/>
              </w:rPr>
              <w:t xml:space="preserve">Fruit and vegetable consumption immediately after intervention (p = .039) and at 1-year follow-up (p = .040). </w:t>
            </w:r>
          </w:p>
          <w:p w14:paraId="18875F57" w14:textId="3A96157D" w:rsidR="00AE4AC2" w:rsidRPr="00B1522E" w:rsidRDefault="00AE4AC2" w:rsidP="00AA5DD9">
            <w:pPr>
              <w:numPr>
                <w:ilvl w:val="0"/>
                <w:numId w:val="66"/>
              </w:numPr>
              <w:spacing w:line="480" w:lineRule="auto"/>
              <w:contextualSpacing/>
              <w:rPr>
                <w:rFonts w:eastAsia="Calibri" w:cstheme="minorHAnsi"/>
              </w:rPr>
            </w:pPr>
            <w:r w:rsidRPr="00B1522E">
              <w:rPr>
                <w:rFonts w:eastAsia="Calibri" w:cstheme="minorHAnsi"/>
              </w:rPr>
              <w:t xml:space="preserve">Knowledge of 5-a-day recommendation was significantly higher in intervention school </w:t>
            </w:r>
            <w:r w:rsidRPr="00B1522E">
              <w:rPr>
                <w:rFonts w:eastAsia="Calibri" w:cstheme="minorHAnsi"/>
              </w:rPr>
              <w:lastRenderedPageBreak/>
              <w:t xml:space="preserve">immediately post intervention (p = .002) but not at 1 year follow-up.     </w:t>
            </w:r>
          </w:p>
        </w:tc>
        <w:tc>
          <w:tcPr>
            <w:tcW w:w="2158" w:type="dxa"/>
            <w:tcBorders>
              <w:right w:val="nil"/>
            </w:tcBorders>
          </w:tcPr>
          <w:p w14:paraId="1C614973" w14:textId="77777777" w:rsidR="00AE4AC2" w:rsidRPr="00B1522E" w:rsidRDefault="00AE4AC2" w:rsidP="00AA5DD9">
            <w:pPr>
              <w:numPr>
                <w:ilvl w:val="0"/>
                <w:numId w:val="65"/>
              </w:numPr>
              <w:spacing w:line="480" w:lineRule="auto"/>
              <w:contextualSpacing/>
              <w:rPr>
                <w:rFonts w:eastAsia="Calibri" w:cstheme="minorHAnsi"/>
              </w:rPr>
            </w:pPr>
            <w:r w:rsidRPr="00B1522E">
              <w:rPr>
                <w:rFonts w:eastAsia="Calibri" w:cstheme="minorHAnsi"/>
              </w:rPr>
              <w:lastRenderedPageBreak/>
              <w:t>8 weeks</w:t>
            </w:r>
          </w:p>
          <w:p w14:paraId="5B4B92A3" w14:textId="77777777" w:rsidR="00AE4AC2" w:rsidRPr="00B1522E" w:rsidRDefault="00AE4AC2" w:rsidP="00AA5DD9">
            <w:pPr>
              <w:numPr>
                <w:ilvl w:val="0"/>
                <w:numId w:val="65"/>
              </w:numPr>
              <w:spacing w:line="480" w:lineRule="auto"/>
              <w:contextualSpacing/>
              <w:rPr>
                <w:rFonts w:eastAsia="Calibri" w:cstheme="minorHAnsi"/>
              </w:rPr>
            </w:pPr>
            <w:r w:rsidRPr="00B1522E">
              <w:rPr>
                <w:rFonts w:eastAsia="Calibri" w:cstheme="minorHAnsi"/>
              </w:rPr>
              <w:t>12-15 years old (12.7 years old)</w:t>
            </w:r>
          </w:p>
          <w:p w14:paraId="7D454ED7" w14:textId="77777777" w:rsidR="00AE4AC2" w:rsidRPr="00B1522E" w:rsidRDefault="00AE4AC2" w:rsidP="00AA5DD9">
            <w:pPr>
              <w:numPr>
                <w:ilvl w:val="0"/>
                <w:numId w:val="65"/>
              </w:numPr>
              <w:spacing w:line="480" w:lineRule="auto"/>
              <w:contextualSpacing/>
              <w:rPr>
                <w:rFonts w:eastAsia="Calibri" w:cstheme="minorHAnsi"/>
              </w:rPr>
            </w:pPr>
            <w:r w:rsidRPr="00B1522E">
              <w:rPr>
                <w:rFonts w:eastAsia="Calibri" w:cstheme="minorHAnsi"/>
              </w:rPr>
              <w:t>Social Cognitive theory and Theory of Reasoned Action</w:t>
            </w:r>
          </w:p>
        </w:tc>
        <w:tc>
          <w:tcPr>
            <w:tcW w:w="1418" w:type="dxa"/>
            <w:tcBorders>
              <w:left w:val="nil"/>
            </w:tcBorders>
          </w:tcPr>
          <w:p w14:paraId="66EE8B89" w14:textId="77777777" w:rsidR="00AE4AC2" w:rsidRPr="00B1522E" w:rsidRDefault="00AE4AC2" w:rsidP="00AE4AC2">
            <w:pPr>
              <w:spacing w:line="480" w:lineRule="auto"/>
              <w:jc w:val="both"/>
              <w:rPr>
                <w:rFonts w:eastAsia="Calibri" w:cstheme="minorHAnsi"/>
              </w:rPr>
            </w:pPr>
            <w:r w:rsidRPr="00B1522E">
              <w:rPr>
                <w:rFonts w:eastAsia="Calibri" w:cstheme="minorHAnsi"/>
              </w:rPr>
              <w:t xml:space="preserve">Weak </w:t>
            </w:r>
          </w:p>
        </w:tc>
      </w:tr>
      <w:tr w:rsidR="00E77769" w:rsidRPr="00B1522E" w14:paraId="21299002" w14:textId="77777777" w:rsidTr="00AA5DD9">
        <w:trPr>
          <w:trHeight w:val="1201"/>
        </w:trPr>
        <w:tc>
          <w:tcPr>
            <w:tcW w:w="1489" w:type="dxa"/>
          </w:tcPr>
          <w:p w14:paraId="0DFC0DB1" w14:textId="6B53F845" w:rsidR="00AE4AC2" w:rsidRPr="00B1522E" w:rsidRDefault="00AE4AC2" w:rsidP="00AE4AC2">
            <w:pPr>
              <w:spacing w:line="480" w:lineRule="auto"/>
              <w:rPr>
                <w:rFonts w:eastAsia="Calibri" w:cstheme="minorHAnsi"/>
              </w:rPr>
            </w:pPr>
            <w:r w:rsidRPr="00B1522E">
              <w:rPr>
                <w:rFonts w:eastAsia="Calibri" w:cstheme="minorHAnsi"/>
              </w:rPr>
              <w:fldChar w:fldCharType="begin" w:fldLock="1"/>
            </w:r>
            <w:r w:rsidR="00DB273B" w:rsidRPr="00B1522E">
              <w:rPr>
                <w:rFonts w:eastAsia="Calibri" w:cstheme="minorHAnsi"/>
              </w:rPr>
              <w:instrText>ADDIN CSL_CITATION {"citationItems":[{"id":"ITEM-1","itemData":{"ISSN":"0360-1315","abstract":"Nutrition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elements.","type":"article-journal","volume":"88"},"uris":["http://www.mendeley.com/documents/?uuid=d0bc6350-9c55-462b-82b0-80648f3f942f"]}],"mendeley":{"formattedCitation":"(Yang et al., 2015)","manualFormatting":"Yang et al. (2015)","plainTextFormattedCitation":"(Yang et al., 2015)","previouslyFormattedCitation":"(Yang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Yang et al. (2015)</w:t>
            </w:r>
            <w:r w:rsidRPr="00B1522E">
              <w:rPr>
                <w:rFonts w:eastAsia="Calibri" w:cstheme="minorHAnsi"/>
              </w:rPr>
              <w:fldChar w:fldCharType="end"/>
            </w:r>
            <w:r w:rsidRPr="00B1522E">
              <w:rPr>
                <w:rFonts w:eastAsia="Calibri" w:cstheme="minorHAnsi"/>
              </w:rPr>
              <w:t xml:space="preserve"> </w:t>
            </w:r>
          </w:p>
        </w:tc>
        <w:tc>
          <w:tcPr>
            <w:tcW w:w="1489" w:type="dxa"/>
          </w:tcPr>
          <w:p w14:paraId="19A5F76D" w14:textId="77777777" w:rsidR="00AE4AC2" w:rsidRPr="00B1522E" w:rsidRDefault="00AE4AC2" w:rsidP="00AE4AC2">
            <w:pPr>
              <w:spacing w:line="480" w:lineRule="auto"/>
              <w:rPr>
                <w:rFonts w:eastAsia="Calibri" w:cstheme="minorHAnsi"/>
              </w:rPr>
            </w:pPr>
            <w:r w:rsidRPr="00B1522E">
              <w:rPr>
                <w:rFonts w:eastAsia="Calibri" w:cstheme="minorHAnsi"/>
              </w:rPr>
              <w:t>To increase general healthy eating behaviours</w:t>
            </w:r>
          </w:p>
        </w:tc>
        <w:tc>
          <w:tcPr>
            <w:tcW w:w="1417" w:type="dxa"/>
          </w:tcPr>
          <w:p w14:paraId="0F11C5F3" w14:textId="77777777" w:rsidR="00AE4AC2" w:rsidRPr="00B1522E" w:rsidRDefault="00AE4AC2" w:rsidP="00AE4AC2">
            <w:pPr>
              <w:spacing w:line="480" w:lineRule="auto"/>
              <w:rPr>
                <w:rFonts w:eastAsia="Calibri" w:cstheme="minorHAnsi"/>
              </w:rPr>
            </w:pPr>
            <w:r w:rsidRPr="00B1522E">
              <w:rPr>
                <w:rFonts w:eastAsia="Calibri" w:cstheme="minorHAnsi"/>
              </w:rPr>
              <w:t xml:space="preserve">1 school in North Taiwan. </w:t>
            </w:r>
          </w:p>
          <w:p w14:paraId="37E3BB58" w14:textId="77777777" w:rsidR="00AE4AC2" w:rsidRPr="00B1522E" w:rsidRDefault="00AE4AC2" w:rsidP="00AE4AC2">
            <w:pPr>
              <w:spacing w:line="480" w:lineRule="auto"/>
              <w:rPr>
                <w:rFonts w:eastAsia="Calibri" w:cstheme="minorHAnsi"/>
              </w:rPr>
            </w:pPr>
            <w:r w:rsidRPr="00B1522E">
              <w:rPr>
                <w:rFonts w:eastAsia="Calibri" w:cstheme="minorHAnsi"/>
              </w:rPr>
              <w:t>(n) 88 female students</w:t>
            </w:r>
          </w:p>
        </w:tc>
        <w:tc>
          <w:tcPr>
            <w:tcW w:w="1755" w:type="dxa"/>
          </w:tcPr>
          <w:p w14:paraId="3696DE0F" w14:textId="3D153021" w:rsidR="00AE4AC2" w:rsidRPr="00B1522E" w:rsidRDefault="00AE4AC2" w:rsidP="00AE4AC2">
            <w:pPr>
              <w:spacing w:line="480" w:lineRule="auto"/>
              <w:rPr>
                <w:rFonts w:eastAsia="Calibri" w:cstheme="minorHAnsi"/>
              </w:rPr>
            </w:pPr>
            <w:r w:rsidRPr="00B1522E">
              <w:rPr>
                <w:rFonts w:eastAsia="Calibri" w:cstheme="minorHAnsi"/>
              </w:rPr>
              <w:t xml:space="preserve">Quasi-experiment with three groups: - </w:t>
            </w:r>
          </w:p>
          <w:p w14:paraId="54D1BD0A" w14:textId="77777777" w:rsidR="00AE4AC2" w:rsidRPr="00B1522E" w:rsidRDefault="00AE4AC2" w:rsidP="00AE4AC2">
            <w:pPr>
              <w:spacing w:line="480" w:lineRule="auto"/>
              <w:rPr>
                <w:rFonts w:eastAsia="Calibri" w:cstheme="minorHAnsi"/>
              </w:rPr>
            </w:pPr>
            <w:r w:rsidRPr="00B1522E">
              <w:rPr>
                <w:rFonts w:eastAsia="Calibri" w:cstheme="minorHAnsi"/>
              </w:rPr>
              <w:t>1) cognitive-based instruction,</w:t>
            </w:r>
          </w:p>
          <w:p w14:paraId="0D4E0F70" w14:textId="77777777" w:rsidR="00AE4AC2" w:rsidRPr="00B1522E" w:rsidRDefault="00AE4AC2" w:rsidP="00AE4AC2">
            <w:pPr>
              <w:spacing w:line="480" w:lineRule="auto"/>
              <w:rPr>
                <w:rFonts w:eastAsia="Calibri" w:cstheme="minorHAnsi"/>
              </w:rPr>
            </w:pPr>
            <w:r w:rsidRPr="00B1522E">
              <w:rPr>
                <w:rFonts w:eastAsia="Calibri" w:cstheme="minorHAnsi"/>
              </w:rPr>
              <w:t xml:space="preserve">2) ‘Cloud’ diet assessment system </w:t>
            </w:r>
          </w:p>
          <w:p w14:paraId="06B2F742" w14:textId="77777777" w:rsidR="00AE4AC2" w:rsidRPr="00B1522E" w:rsidRDefault="00AE4AC2" w:rsidP="00AE4AC2">
            <w:pPr>
              <w:spacing w:line="480" w:lineRule="auto"/>
              <w:rPr>
                <w:rFonts w:eastAsia="Calibri" w:cstheme="minorHAnsi"/>
              </w:rPr>
            </w:pPr>
            <w:r w:rsidRPr="00B1522E">
              <w:rPr>
                <w:rFonts w:eastAsia="Calibri" w:cstheme="minorHAnsi"/>
              </w:rPr>
              <w:t xml:space="preserve">3) ‘Cloud’ diet assessment system and </w:t>
            </w:r>
            <w:r w:rsidRPr="00B1522E">
              <w:rPr>
                <w:rFonts w:eastAsia="Calibri" w:cstheme="minorHAnsi"/>
              </w:rPr>
              <w:lastRenderedPageBreak/>
              <w:t xml:space="preserve">game-based group learning. </w:t>
            </w:r>
          </w:p>
        </w:tc>
        <w:tc>
          <w:tcPr>
            <w:tcW w:w="3075" w:type="dxa"/>
          </w:tcPr>
          <w:p w14:paraId="1AC461F7" w14:textId="77777777" w:rsidR="00AE4AC2" w:rsidRPr="00B1522E" w:rsidRDefault="00AE4AC2" w:rsidP="00AE4AC2">
            <w:pPr>
              <w:spacing w:line="480" w:lineRule="auto"/>
              <w:rPr>
                <w:rFonts w:eastAsia="Calibri" w:cstheme="minorHAnsi"/>
              </w:rPr>
            </w:pPr>
            <w:r w:rsidRPr="00B1522E">
              <w:rPr>
                <w:rFonts w:eastAsia="Calibri" w:cstheme="minorHAnsi"/>
              </w:rPr>
              <w:lastRenderedPageBreak/>
              <w:t>Participants completed an online daily diet assessment: this was completed at baseline and post intervention</w:t>
            </w:r>
          </w:p>
        </w:tc>
        <w:tc>
          <w:tcPr>
            <w:tcW w:w="3076" w:type="dxa"/>
          </w:tcPr>
          <w:p w14:paraId="7AEF030A" w14:textId="5887FB58" w:rsidR="00AE4AC2" w:rsidRPr="00B1522E" w:rsidRDefault="00AE4AC2" w:rsidP="00AE4AC2">
            <w:pPr>
              <w:spacing w:line="480" w:lineRule="auto"/>
              <w:rPr>
                <w:rFonts w:eastAsia="Calibri" w:cstheme="minorHAnsi"/>
              </w:rPr>
            </w:pPr>
            <w:r w:rsidRPr="00B1522E">
              <w:rPr>
                <w:rFonts w:eastAsia="Calibri" w:cstheme="minorHAnsi"/>
              </w:rPr>
              <w:t xml:space="preserve">Group 3 had significant improvement in: - </w:t>
            </w:r>
          </w:p>
          <w:p w14:paraId="3E548D52" w14:textId="61E00686" w:rsidR="00AE4AC2" w:rsidRPr="00B1522E" w:rsidRDefault="00AE4AC2" w:rsidP="00AA5DD9">
            <w:pPr>
              <w:numPr>
                <w:ilvl w:val="0"/>
                <w:numId w:val="67"/>
              </w:numPr>
              <w:spacing w:line="480" w:lineRule="auto"/>
              <w:contextualSpacing/>
              <w:rPr>
                <w:rFonts w:eastAsia="Calibri" w:cstheme="minorHAnsi"/>
              </w:rPr>
            </w:pPr>
            <w:r w:rsidRPr="00B1522E">
              <w:rPr>
                <w:rFonts w:eastAsia="Calibri" w:cstheme="minorHAnsi"/>
              </w:rPr>
              <w:t xml:space="preserve">Consumption of food groups (including dairy (p &lt; .01), meats and proteins (p = .01), vegetables (p &lt; .01) and fruit (p &lt; .01) and micronutrients (p &lt; .01). </w:t>
            </w:r>
          </w:p>
        </w:tc>
        <w:tc>
          <w:tcPr>
            <w:tcW w:w="2158" w:type="dxa"/>
            <w:tcBorders>
              <w:right w:val="nil"/>
            </w:tcBorders>
          </w:tcPr>
          <w:p w14:paraId="4CBE51D7" w14:textId="77777777" w:rsidR="00AE4AC2" w:rsidRPr="00B1522E" w:rsidRDefault="00AE4AC2" w:rsidP="00AA5DD9">
            <w:pPr>
              <w:pStyle w:val="ListParagraph"/>
              <w:keepNext/>
              <w:numPr>
                <w:ilvl w:val="0"/>
                <w:numId w:val="68"/>
              </w:numPr>
              <w:spacing w:after="0" w:line="480" w:lineRule="auto"/>
              <w:rPr>
                <w:rFonts w:eastAsia="Calibri" w:cstheme="minorHAnsi"/>
              </w:rPr>
            </w:pPr>
            <w:r w:rsidRPr="00B1522E">
              <w:rPr>
                <w:rFonts w:eastAsia="Calibri" w:cstheme="minorHAnsi"/>
              </w:rPr>
              <w:t>10 weeks</w:t>
            </w:r>
          </w:p>
          <w:p w14:paraId="3C5670C9" w14:textId="77777777" w:rsidR="00AE4AC2" w:rsidRPr="00B1522E" w:rsidRDefault="00AE4AC2" w:rsidP="00AA5DD9">
            <w:pPr>
              <w:pStyle w:val="ListParagraph"/>
              <w:keepNext/>
              <w:numPr>
                <w:ilvl w:val="0"/>
                <w:numId w:val="68"/>
              </w:numPr>
              <w:spacing w:after="0" w:line="480" w:lineRule="auto"/>
              <w:rPr>
                <w:rFonts w:eastAsia="Calibri" w:cstheme="minorHAnsi"/>
              </w:rPr>
            </w:pPr>
            <w:r w:rsidRPr="00B1522E">
              <w:rPr>
                <w:rFonts w:eastAsia="Calibri" w:cstheme="minorHAnsi"/>
              </w:rPr>
              <w:t>15-16 years old</w:t>
            </w:r>
          </w:p>
          <w:p w14:paraId="5B319407" w14:textId="77777777" w:rsidR="00AE4AC2" w:rsidRPr="00B1522E" w:rsidRDefault="00AE4AC2" w:rsidP="00AA5DD9">
            <w:pPr>
              <w:pStyle w:val="ListParagraph"/>
              <w:keepNext/>
              <w:numPr>
                <w:ilvl w:val="0"/>
                <w:numId w:val="68"/>
              </w:numPr>
              <w:spacing w:after="0" w:line="480" w:lineRule="auto"/>
              <w:rPr>
                <w:rFonts w:eastAsia="Calibri" w:cstheme="minorHAnsi"/>
              </w:rPr>
            </w:pPr>
            <w:r w:rsidRPr="00B1522E">
              <w:rPr>
                <w:rFonts w:eastAsia="Calibri" w:cstheme="minorHAnsi"/>
              </w:rPr>
              <w:t>Social-Interdependence theory</w:t>
            </w:r>
          </w:p>
        </w:tc>
        <w:tc>
          <w:tcPr>
            <w:tcW w:w="1418" w:type="dxa"/>
            <w:tcBorders>
              <w:left w:val="nil"/>
            </w:tcBorders>
          </w:tcPr>
          <w:p w14:paraId="1808B58D" w14:textId="77777777" w:rsidR="00AE4AC2" w:rsidRPr="00B1522E" w:rsidRDefault="00AE4AC2" w:rsidP="00AE4AC2">
            <w:pPr>
              <w:keepNext/>
              <w:spacing w:line="480" w:lineRule="auto"/>
              <w:jc w:val="both"/>
              <w:rPr>
                <w:rFonts w:eastAsia="Calibri" w:cstheme="minorHAnsi"/>
              </w:rPr>
            </w:pPr>
            <w:r w:rsidRPr="00B1522E">
              <w:rPr>
                <w:rFonts w:eastAsia="Calibri" w:cstheme="minorHAnsi"/>
              </w:rPr>
              <w:t xml:space="preserve">Weak </w:t>
            </w:r>
          </w:p>
        </w:tc>
      </w:tr>
    </w:tbl>
    <w:p w14:paraId="2B0CD86C" w14:textId="77777777" w:rsidR="003D3818" w:rsidRPr="00B1522E" w:rsidRDefault="00A64BDA" w:rsidP="00AA5DD9">
      <w:pPr>
        <w:pBdr>
          <w:top w:val="single" w:sz="4" w:space="1" w:color="auto"/>
        </w:pBdr>
        <w:spacing w:line="240" w:lineRule="auto"/>
        <w:rPr>
          <w:rFonts w:cstheme="minorHAnsi"/>
        </w:rPr>
      </w:pPr>
      <w:r w:rsidRPr="00B1522E">
        <w:rPr>
          <w:rFonts w:cstheme="minorHAnsi"/>
        </w:rPr>
        <w:t>Key: FFQ = Food Frequency Questionnaire; RCT = Randomised Controlled Trial; SSB = Sugar-sweetened beverage.</w:t>
      </w:r>
    </w:p>
    <w:p w14:paraId="6589A0FC" w14:textId="04B190CE" w:rsidR="00712963" w:rsidRPr="00B1522E" w:rsidRDefault="00712963" w:rsidP="00AA5DD9">
      <w:pPr>
        <w:pBdr>
          <w:top w:val="single" w:sz="4" w:space="1" w:color="auto"/>
        </w:pBdr>
        <w:spacing w:line="240" w:lineRule="auto"/>
        <w:rPr>
          <w:rFonts w:eastAsia="Calibri" w:cstheme="minorHAnsi"/>
        </w:rPr>
      </w:pPr>
      <w:r w:rsidRPr="00B1522E">
        <w:rPr>
          <w:rFonts w:cstheme="minorHAnsi"/>
        </w:rPr>
        <w:t xml:space="preserve"> *Intervention description – duration of intervention, age of participants (range and/or mean at baseline), theoretical base (if presented) </w:t>
      </w:r>
    </w:p>
    <w:p w14:paraId="551488C1" w14:textId="6BF1C9AC" w:rsidR="00A774E7" w:rsidRPr="00B1522E" w:rsidRDefault="00A774E7" w:rsidP="00A64BDA">
      <w:pPr>
        <w:pStyle w:val="Caption"/>
        <w:spacing w:after="0" w:line="480" w:lineRule="auto"/>
        <w:rPr>
          <w:rFonts w:cstheme="minorHAnsi"/>
          <w:color w:val="auto"/>
          <w:sz w:val="22"/>
          <w:szCs w:val="22"/>
        </w:rPr>
        <w:sectPr w:rsidR="00A774E7" w:rsidRPr="00B1522E" w:rsidSect="00B24021">
          <w:headerReference w:type="default" r:id="rId27"/>
          <w:pgSz w:w="16838" w:h="11906" w:orient="landscape"/>
          <w:pgMar w:top="1440" w:right="1440" w:bottom="1440" w:left="1440" w:header="708" w:footer="708" w:gutter="0"/>
          <w:cols w:space="708"/>
          <w:docGrid w:linePitch="360"/>
        </w:sectPr>
      </w:pPr>
    </w:p>
    <w:p w14:paraId="1C117433" w14:textId="0F80A3B1" w:rsidR="00A64BDA" w:rsidRPr="00B1522E" w:rsidRDefault="00A64BDA" w:rsidP="00734D95">
      <w:pPr>
        <w:pStyle w:val="Caption"/>
        <w:spacing w:after="0" w:line="480" w:lineRule="auto"/>
        <w:rPr>
          <w:rFonts w:cstheme="minorHAnsi"/>
          <w:b/>
          <w:color w:val="auto"/>
          <w:sz w:val="22"/>
          <w:szCs w:val="22"/>
        </w:rPr>
      </w:pPr>
    </w:p>
    <w:bookmarkStart w:id="46" w:name="_Toc84678903"/>
    <w:p w14:paraId="5550DD81" w14:textId="04BFBB8B" w:rsidR="00987AC8" w:rsidRPr="00B1522E" w:rsidRDefault="003D3E63" w:rsidP="00734D95">
      <w:pPr>
        <w:spacing w:line="480" w:lineRule="auto"/>
        <w:rPr>
          <w:rFonts w:cstheme="minorHAnsi"/>
        </w:rPr>
      </w:pPr>
      <w:r w:rsidRPr="00B1522E">
        <w:rPr>
          <w:rFonts w:cstheme="minorHAnsi"/>
        </w:rPr>
        <w:fldChar w:fldCharType="begin"/>
      </w:r>
      <w:r w:rsidRPr="00B1522E">
        <w:rPr>
          <w:rFonts w:cstheme="minorHAnsi"/>
        </w:rPr>
        <w:instrText xml:space="preserve"> TC  "</w:instrText>
      </w:r>
      <w:bookmarkStart w:id="47" w:name="_Toc97310417"/>
      <w:r w:rsidRPr="00B1522E">
        <w:rPr>
          <w:rFonts w:cstheme="minorHAnsi"/>
        </w:rPr>
        <w:instrText>2.4.3 In</w:instrText>
      </w:r>
      <w:r w:rsidR="00495ED8" w:rsidRPr="00B1522E">
        <w:rPr>
          <w:rFonts w:cstheme="minorHAnsi"/>
        </w:rPr>
        <w:instrText>tervention components</w:instrText>
      </w:r>
      <w:bookmarkEnd w:id="47"/>
      <w:r w:rsidRPr="00B1522E">
        <w:rPr>
          <w:rFonts w:cstheme="minorHAnsi"/>
        </w:rPr>
        <w:instrText xml:space="preserve"> " \f x\l 3 </w:instrText>
      </w:r>
      <w:r w:rsidRPr="00B1522E">
        <w:rPr>
          <w:rFonts w:cstheme="minorHAnsi"/>
        </w:rPr>
        <w:fldChar w:fldCharType="end"/>
      </w:r>
      <w:r w:rsidR="00383D7E" w:rsidRPr="00B1522E">
        <w:rPr>
          <w:rFonts w:cstheme="minorHAnsi"/>
        </w:rPr>
        <w:t xml:space="preserve">2.4.3 </w:t>
      </w:r>
      <w:r w:rsidR="00987AC8" w:rsidRPr="00B1522E">
        <w:rPr>
          <w:rFonts w:cstheme="minorHAnsi"/>
        </w:rPr>
        <w:t>Intervention components</w:t>
      </w:r>
      <w:bookmarkEnd w:id="46"/>
      <w:r w:rsidR="00987AC8" w:rsidRPr="00B1522E">
        <w:rPr>
          <w:rFonts w:cstheme="minorHAnsi"/>
        </w:rPr>
        <w:t xml:space="preserve"> </w:t>
      </w:r>
    </w:p>
    <w:p w14:paraId="1A4E7F46" w14:textId="78267984" w:rsidR="00987AC8" w:rsidRPr="00B1522E" w:rsidRDefault="00987AC8" w:rsidP="00734D95">
      <w:pPr>
        <w:spacing w:after="0" w:line="480" w:lineRule="auto"/>
        <w:jc w:val="both"/>
        <w:rPr>
          <w:rFonts w:eastAsia="Calibri" w:cstheme="minorHAnsi"/>
        </w:rPr>
      </w:pPr>
      <w:r w:rsidRPr="00B1522E">
        <w:rPr>
          <w:rFonts w:eastAsia="Calibri" w:cstheme="minorHAnsi"/>
        </w:rPr>
        <w:t xml:space="preserve">The main intervention components of the 29 studies are outlined in Table </w:t>
      </w:r>
      <w:r w:rsidR="0007719B" w:rsidRPr="00B1522E">
        <w:rPr>
          <w:rFonts w:eastAsia="Calibri" w:cstheme="minorHAnsi"/>
        </w:rPr>
        <w:t xml:space="preserve">5 </w:t>
      </w:r>
      <w:r w:rsidRPr="00B1522E">
        <w:rPr>
          <w:rFonts w:eastAsia="Calibri" w:cstheme="minorHAnsi"/>
        </w:rPr>
        <w:t xml:space="preserve">(see below). The majority of studies included a healthy eating lesson component (n = 20) </w:t>
      </w:r>
      <w:r w:rsidRPr="00B1522E">
        <w:rPr>
          <w:rFonts w:eastAsia="Calibri" w:cstheme="minorHAnsi"/>
        </w:rPr>
        <w:fldChar w:fldCharType="begin" w:fldLock="1"/>
      </w:r>
      <w:r w:rsidR="00971CA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Medicine","id":"ITEM-4","issue":"1","issued":{"date-parts":[["2015","3"]]},"note":"Accession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girls.","type":"article-journal","volume":"5"},"uris":["http://www.mendeley.com/documents/?uuid=caa5507f-dbd0-4a8e-8a1f-8c2b3fd377e1"]},{"id":"ITEM-5","itemData":{"ISSN":"1090-1981","abstract":"The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Behavior","id":"ITEM-5","issue":"3","issued":{"date-parts":[["2009","6"]]},"note":"Accession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schools.","type":"article-journal","volume":"36"},"uris":["http://www.mendeley.com/documents/?uuid=74f4efaf-f648-40ee-a537-6d3097cacbbf"]},{"id":"ITEM-6","itemData":{"ISSN":"0268-1153","abstract":"Conducted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Research","id":"ITEM-6","issue":"4","issued":{"date-parts":[["1990","12"]]},"note":"Accession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study.","type":"article-journal","volume":"5"},"uris":["http://www.mendeley.com/documents/?uuid=9a48b06a-99b7-4f0b-b92b-862a85f3beb5"]},{"id":"ITEM-7","itemData":{"ISSN":"1403-4948","abstract":"Background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Health","id":"ITEM-7","issue":"5","issued":{"date-parts":[["2010","11"]]},"note":"Accession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study.","type":"article-journal","volume":"38"},"uris":["http://www.mendeley.com/documents/?uuid=78beb7d0-a0fa-4834-9f1b-52f489a9a220"]},{"id":"ITEM-8","itemData":{"ISSN":"1879-0739","PMID":"19083401","abstract":"Certain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research","id":"ITEM-8","issue":"3","issued":{"date-parts":[["2008","3"]]},"page":"144-50","title":"Beverage intake improvement by high school students in Saskatchewan, Canada.","type":"article-journal","volume":"28"},"uris":["http://www.mendeley.com/documents/?uuid=fdc5051e-cbf7-4dcc-9784-097b6caadb05"]},{"id":"ITEM-9","itemData":{"ISSN":"1054-139X","abstract":"Purpose: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Health","id":"ITEM-9","issue":"2","issued":{"date-parts":[["2009","2"]]},"note":"Accession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intervention.","type":"article-journal","volume":"44"},"uris":["http://www.mendeley.com/documents/?uuid=3436d664-5481-4deb-9498-5b6cd81039b0"]},{"id":"ITEM-10","itemData":{"ISSN":"08901171","abstract":"Purpose.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Promotion","id":"ITEM-10","issue":"3","issued":{"date-parts":[["2010","1"]]},"note":"Accession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Adolescents.","type":"article-journal","volume":"24"},"uris":["http://www.mendeley.com/documents/?uuid=dcce02ba-d07b-4b8a-9d22-177816d0f2ff"]},{"id":"ITEM-11","itemData":{"ISSN":"1087-3244","abstract":"Objectives: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Behavior","id":"ITEM-11","issue":"1","issued":{"date-parts":[["2015","1"]]},"note":"Accession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girls.","type":"article-journal","volume":"39"},"uris":["http://www.mendeley.com/documents/?uuid=7b8ee571-076a-4b5d-8ae8-9e0a03d039ae"]},{"id":"ITEM-12","itemData":{"ISSN":"00223182","abstract":"A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Education","id":"ITEM-12","issue":"1","issued":{"date-parts":[["1995","1"]]},"page":"24-31","title":"Eating disturbances among adolescent girls: Evaluation of a school-based primary prevention program","type":"article-journal","volume":"27"},"uris":["http://www.mendeley.com/documents/?uuid=588adb0d-18f3-406d-bdf5-5d66e25338c4"]},{"id":"ITEM-13","itemData":{"ISSN":"0268-1153","abstract":"Describes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Research","id":"ITEM-13","issue":"2","issued":{"date-parts":[["1987","6"]]},"note":"Accession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Life.'","type":"article-journal","volume":"2"},"uris":["http://www.mendeley.com/documents/?uuid=4ba034f3-de40-4333-9846-e6881c339756"]},{"id":"ITEM-14","itemData":{"ISSN":"1524-8399","abstract":"This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Practice","id":"ITEM-14","issue":"1","issued":{"date-parts":[["2011","1"]]},"note":"Accession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consumption.","type":"article-journal","volume":"12"},"uris":["http://www.mendeley.com/documents/?uuid=5e69dc5b-a75e-44cd-a690-1ad10a553ee8"]},{"id":"ITEM-15","itemData":{"ISSN":"1479-5868","abstract":"Background: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Activity","id":"ITEM-15","issued":{"date-parts":[["2011","2","4"]]},"note":"Accession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intakes.","type":"article-journal","volume":"8"},"uris":["http://www.mendeley.com/documents/?uuid=827f05f5-1374-4d29-b4c3-d6c4de5de2d7"]},{"id":"ITEM-16","itemData":{"ISSN":"0031-5125","abstract":"The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Skills","id":"ITEM-16","issue":"2","issued":{"date-parts":[["2005","10"]]},"note":"Accession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eating.","type":"article-journal","volume":"101"},"uris":["http://www.mendeley.com/documents/?uuid=f16d6371-ae55-47d3-b34f-6f5099c47b13"]},{"id":"ITEM-17","itemData":{"ISSN":"0957-4824","abstract":"To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International","id":"ITEM-17","issue":"2","issued":{"date-parts":[["2015","6"]]},"note":"Accession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China?","type":"article-journal","volume":"30"},"uris":["http://www.mendeley.com/documents/?uuid=145ecf81-8117-453e-bf69-159987f54f3c"]},{"id":"ITEM-18","itemData":{"ISSN":"0091-7435","abstract":"Objective: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Theory","id":"ITEM-18","issue":"2","issued":{"date-parts":[["2012","2","1"]]},"note":"Accession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trial.","type":"article-journal","volume":"54"},"uris":["http://www.mendeley.com/documents/?uuid=7e4d5a33-052f-4c99-ab20-b4bf103139ae"]},{"id":"ITEM-19","itemData":{"ISSN":"0360-1315","abstract":"Nutrition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Education","id":"ITEM-19","issued":{"date-parts":[["2015","10"]]},"note":"Accession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elements.","type":"article-journal","volume":"88"},"uris":["http://www.mendeley.com/documents/?uuid=d0bc6350-9c55-462b-82b0-80648f3f942f"]},{"id":"ITEM-20","itemData":{"ISSN":"1087-3244","abstract":"Objective: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Behavior","id":"ITEM-20","issue":"5","issued":{"date-parts":[["2016","9"]]},"note":"Accession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behaviors.","type":"article-journal","volume":"40"},"uris":["http://www.mendeley.com/documents/?uuid=d63aebec-2716-44e4-bcb3-02defb99b8f6"]},{"id":"ITEM-21","itemData":{"ISSN":"1545-1151","abstract":"INTRODUCTION: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Disease","id":"ITEM-21","issued":{"date-parts":[["2015","9","24"]]},"page":"1-105","publisher":"Centers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2009–2014","type":"article-journal","volume":"12"},"uris":["http://www.mendeley.com/documents/?uuid=7a939433-5065-4b4f-8418-9bf888206d98"]}],"mendeley":{"formattedCitation":"(Birnbaum et al., 2002; Bukhari et al., 2011; Chin A Paw et al., 2008; de Visser et al., 2016; Dowd et al., 2015; Dzewaltowski et al., 2009; Hölund, 1990; Lien et al., 2010; Lo et al., 2008; Lubans et al., 2009; Maatoug et al., 2015; M. Martens et al., 2010; McCabe et al., 2015; Neumark-Sztainer et al., 1995; Perry et al., 1987; Ratcliffe et al., 2011; Siega-Riz et al., 2011; Tsorbatzoudis, 2005; Wang et al., 2015; Wilson et al., 2012; Yang et al., 2015)","manualFormatting":"(Birnbaum et al., 2002; Bukhari et al., 2011; Chin A Paw et al., 2008; de Visser et al., 2016; Dowd et al., 2015; Dzewaltowski et al., 2009; Hölund, 1990; Lien et al., 2010; Lo et al., 2008; Lubans et al., 2009; Maatoug et al., 2015; Martens et al., 2010; McCabe et al., 2015; Neumark-Sztainer et al., 1995; Perry et al., 1987; Ratcliffe et al., 2011; Siega-Riz et al., 2011; Tsorbatzoudis, 2005; Wang et al., 2015; Wilson et al., 2012; Yang et al., 2015)","plainTextFormattedCitation":"(Birnbaum et al., 2002; Bukhari et al., 2011; Chin A Paw et al., 2008; de Visser et al., 2016; Dowd et al., 2015; Dzewaltowski et al., 2009; Hölund, 1990; Lien et al., 2010; Lo et al., 2008; Lubans et al., 2009; Maatoug et al., 2015; M. Martens et al., 2010; McCabe et al., 2015; Neumark-Sztainer et al., 1995; Perry et al., 1987; Ratcliffe et al., 2011; Siega-Riz et al., 2011; Tsorbatzoudis, 2005; Wang et al., 2015; Wilson et al., 2012; Yang et al., 2015)","previouslyFormattedCitation":"(Birnbaum et al., 2002; Bukhari et al., 2011; Chin A Paw et al., 2008; de Visser et al., 2016; Dowd et al., 2015; Dzewaltowski et al., 2009; Hölund, 1990; Lien et al., 2010; Lo et al., 2008; Lubans et al., 2009; Maatoug et al., 2015; M. Martens et al., 2010; McCabe et al., 2015; Neumark-Sztainer et al., 1995; Perry et al., 1987; Ratcliffe et al., 2011; Siega-Riz et al., 2011; Tsorbatzoudis, 2005; Wang et al., 2015; Wilson et al., 2012;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(Birnbaum et al., 2002; Bukhari et al., 2011; Chin A Paw et al., 2008; de Visser et al., 2016; Dowd et al., 2015; Dzewaltowski et al., 2009; Hölund, 1990; Lien et al., 2010; Lo et al., 2008; Lubans et al., 2009; Maatoug et al., 2015; Martens et al., 2010; McCabe et al., 2015; Neumark-Sztainer et al., 1995; Perry et al., 1987; Ratcliffe et al., 2011; Siega-Riz et al., 2011; Tsorbatzoudis, 2005; Wang et al., 2015; Wilson et al., 2012; Yang et al., 2015)</w:t>
      </w:r>
      <w:r w:rsidRPr="00B1522E">
        <w:rPr>
          <w:rFonts w:eastAsia="Calibri" w:cstheme="minorHAnsi"/>
        </w:rPr>
        <w:fldChar w:fldCharType="end"/>
      </w:r>
      <w:r w:rsidRPr="00B1522E">
        <w:rPr>
          <w:rFonts w:eastAsia="Calibri" w:cstheme="minorHAnsi"/>
        </w:rPr>
        <w:t xml:space="preserve">, healthy eating activities (e.g. practical activities – role-playing; n = 13)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Medicine","id":"ITEM-2","issue":"1","issued":{"date-parts":[["2015","3"]]},"note":"Accession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girls.","type":"article-journal","volume":"5"},"uris":["http://www.mendeley.com/documents/?uuid=caa5507f-dbd0-4a8e-8a1f-8c2b3fd377e1"]},{"id":"ITEM-3","itemData":{"ISSN":"0268-1153","abstract":"Conducted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Research","id":"ITEM-3","issue":"4","issued":{"date-parts":[["1990","12"]]},"note":"Accession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study.","type":"article-journal","volume":"5"},"uris":["http://www.mendeley.com/documents/?uuid=9a48b06a-99b7-4f0b-b92b-862a85f3beb5"]},{"id":"ITEM-4","itemData":{"ISSN":"1879-0739","PMID":"19083401","abstract":"Certain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research","id":"ITEM-4","issue":"3","issued":{"date-parts":[["2008","3"]]},"page":"144-50","title":"Beverage intake improvement by high school students in Saskatchewan, Canada.","type":"article-journal","volume":"28"},"uris":["http://www.mendeley.com/documents/?uuid=fdc5051e-cbf7-4dcc-9784-097b6caadb05"]},{"id":"ITEM-5","itemData":{"ISSN":"1087-3244","abstract":"Objectives: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Behavior","id":"ITEM-5","issue":"1","issued":{"date-parts":[["2015","1"]]},"note":"Accession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girls.","type":"article-journal","volume":"39"},"uris":["http://www.mendeley.com/documents/?uuid=7b8ee571-076a-4b5d-8ae8-9e0a03d039ae"]},{"id":"ITEM-6","itemData":{"ISSN":"0268-1153","abstract":"Describes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Research","id":"ITEM-6","issue":"2","issued":{"date-parts":[["1987","6"]]},"note":"Accession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Life.'","type":"article-journal","volume":"2"},"uris":["http://www.mendeley.com/documents/?uuid=4ba034f3-de40-4333-9846-e6881c339756"]},{"id":"ITEM-7","itemData":{"author":[{"dropping-particle":"","family":"Revill","given":"S. A.","non-dropping-particle":"","parse-names":false,"suffix":""}],"id":"ITEM-7","issued":{"date-parts":[["2004"]]},"publisher":"Newcastle-upon-tyme","title":"Evaluation of a school-based nutrition and food delivered intervention to schoolchildren preparation skills from deprived social backgrounds","type":"thesis"},"uris":["http://www.mendeley.com/documents/?uuid=44c9923f-702d-4966-8c0c-73345f576954"]},{"id":"ITEM-8","itemData":{"ISSN":"0031-5125","abstract":"The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Skills","id":"ITEM-8","issue":"2","issued":{"date-parts":[["2005","10"]]},"note":"Accession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eating.","type":"article-journal","volume":"101"},"uris":["http://www.mendeley.com/documents/?uuid=f16d6371-ae55-47d3-b34f-6f5099c47b13"]},{"id":"ITEM-9","itemData":{"ISSN":"0091-7435","abstract":"Objective: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Theory","id":"ITEM-9","issue":"2","issued":{"date-parts":[["2012","2","1"]]},"note":"Accession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trial.","type":"article-journal","volume":"54"},"uris":["http://www.mendeley.com/documents/?uuid=7e4d5a33-052f-4c99-ab20-b4bf103139ae"]},{"id":"ITEM-10","itemData":{"ISSN":"0360-1315","abstract":"Nutrition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Education","id":"ITEM-10","issued":{"date-parts":[["2015","10"]]},"note":"Accession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elements.","type":"article-journal","volume":"88"},"uris":["http://www.mendeley.com/documents/?uuid=d0bc6350-9c55-462b-82b0-80648f3f942f"]},{"id":"ITEM-11","itemData":{"ISSN":"1090-1981","abstract":"Examined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adolescents?","type":"article-journal","volume":"29"},"uris":["http://www.mendeley.com/documents/?uuid=5a0fd06f-d095-4747-85c1-849d749fe87a"]},{"id":"ITEM-12","itemData":{"ISSN":"1499-4046","abstract":"The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Behavior","id":"ITEM-12","issue":"5","issued":{"date-parts":[["2011","9"]]},"note":"Accession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choices.","type":"article-journal","volume":"43"},"uris":["http://www.mendeley.com/documents/?uuid=7656a537-f4ec-41dc-aa44-b227ceddf977"]},{"id":"ITEM-13","itemData":{"ISSN":"1471-2458","abstract":"Few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Health","id":"ITEM-13","issue":"1","issued":{"date-parts":[["2017","9"]]},"page":"695","title":"Evaluation of a peer education program on student leaders' energy balance-related behaviors","type":"article-journal","volume":"17"},"uris":["http://www.mendeley.com/documents/?uuid=560d1118-94b4-43a0-8347-10a81bff7b3e"]}],"mendeley":{"formattedCitation":"(Birnbaum et al., 2002; Bukhari et al., 2011; Chin A Paw et al., 2008; Dowd et al., 2015; Foley et al., 2017; Hölund, 1990; Lo et al., 2008; McCabe et al., 2015; Perry et al., 1987; Revill, 2004; Tsorbatzoudis, 2005; Wilson et al., 2012; Yang et al., 2015)","plainTextFormattedCitation":"(Birnbaum et al., 2002; Bukhari et al., 2011; Chin A Paw et al., 2008; Dowd et al., 2015; Foley et al., 2017; Hölund, 1990; Lo et al., 2008; McCabe et al., 2015; Perry et al., 1987; Revill, 2004; Tsorbatzoudis, 2005; Wilson et al., 2012; Yang et al., 2015)","previouslyFormattedCitation":"(Birnbaum et al., 2002; Bukhari et al., 2011; Chin A Paw et al., 2008; Dowd et al., 2015; Foley et al., 2017; Hölund, 1990; Lo et al., 2008; McCabe et al., 2015; Perry et al., 1987; Revill, 2004; Tsorbatzoudis, 2005; Wilson et al., 2012; Yang et al., 2015)"},"properties":{"noteIndex":0},"schema":"https://github.com/citation-style-language/schema/raw/master/csl-citation.json"}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(Birnbaum et al., 2002; Bukhari et al., 2011; Chin A Paw et al., 2008; Dowd et al., 2015; Foley et al., 2017; Hölund, 1990; Lo et al., 2008; McCabe et al., 2015; Perry et al., 1987; Revill, 2004; Tsorbatzoudis, 2005; Wilson et al., 2012; Yang et al., 2015)</w:t>
      </w:r>
      <w:r w:rsidRPr="00B1522E">
        <w:rPr>
          <w:rFonts w:eastAsia="Calibri" w:cstheme="minorHAnsi"/>
        </w:rPr>
        <w:fldChar w:fldCharType="end"/>
      </w:r>
      <w:r w:rsidRPr="00B1522E">
        <w:rPr>
          <w:rFonts w:eastAsia="Calibri" w:cstheme="minorHAnsi"/>
        </w:rPr>
        <w:t xml:space="preserve">, a worksheet (e.g. problem solving; n = 16) </w:t>
      </w:r>
      <w:r w:rsidRPr="00B1522E">
        <w:rPr>
          <w:rFonts w:eastAsia="Calibri" w:cstheme="minorHAnsi"/>
        </w:rPr>
        <w:fldChar w:fldCharType="begin" w:fldLock="1"/>
      </w:r>
      <w:r w:rsidR="00971CA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Medicine","id":"ITEM-4","issue":"1","issued":{"date-parts":[["2015","3"]]},"note":"Accession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girls.","type":"article-journal","volume":"5"},"uris":["http://www.mendeley.com/documents/?uuid=caa5507f-dbd0-4a8e-8a1f-8c2b3fd377e1"]},{"id":"ITEM-5","itemData":{"ISSN":"1359-107X","abstract":"Objective: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Psychology","id":"ITEM-5","issue":"4","issued":{"date-parts":[["2007","11"]]},"note":"Accession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framework.","type":"article-journal","volume":"12"},"uris":["http://www.mendeley.com/documents/?uuid=2c69d806-7516-4cd4-b2a3-27913c06c285"]},{"id":"ITEM-6","itemData":{"ISSN":"1403-4948","abstract":"Background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Health","id":"ITEM-6","issue":"5","issued":{"date-parts":[["2010","11"]]},"note":"Accession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study.","type":"article-journal","volume":"38"},"uris":["http://www.mendeley.com/documents/?uuid=78beb7d0-a0fa-4834-9f1b-52f489a9a220"]},{"id":"ITEM-7","itemData":{"ISSN":"1879-0739","PMID":"19083401","abstract":"Certain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research","id":"ITEM-7","issue":"3","issued":{"date-parts":[["2008","3"]]},"page":"144-50","title":"Beverage intake improvement by high school students in Saskatchewan, Canada.","type":"article-journal","volume":"28"},"uris":["http://www.mendeley.com/documents/?uuid=fdc5051e-cbf7-4dcc-9784-097b6caadb05"]},{"id":"ITEM-8","itemData":{"ISSN":"1054-139X","abstract":"Purpose: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Health","id":"ITEM-8","issue":"2","issued":{"date-parts":[["2009","2"]]},"note":"Accession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intervention.","type":"article-journal","volume":"44"},"uris":["http://www.mendeley.com/documents/?uuid=3436d664-5481-4deb-9498-5b6cd81039b0"]},{"id":"ITEM-9","itemData":{"ISSN":"08901171","abstract":"Purpose.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Promotion","id":"ITEM-9","issue":"3","issued":{"date-parts":[["2010","1"]]},"note":"Accession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Adolescents.","type":"article-journal","volume":"24"},"uris":["http://www.mendeley.com/documents/?uuid=dcce02ba-d07b-4b8a-9d22-177816d0f2ff"]},{"id":"ITEM-10","itemData":{"ISSN":"1087-3244","abstract":"Objectives: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Behavior","id":"ITEM-10","issue":"1","issued":{"date-parts":[["2015","1"]]},"note":"Accession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girls.","type":"article-journal","volume":"39"},"uris":["http://www.mendeley.com/documents/?uuid=7b8ee571-076a-4b5d-8ae8-9e0a03d039ae"]},{"id":"ITEM-11","itemData":{"ISSN":"0268-1153","abstract":"Describes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Research","id":"ITEM-11","issue":"2","issued":{"date-parts":[["1987","6"]]},"note":"Accession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Life.'","type":"article-journal","volume":"2"},"uris":["http://www.mendeley.com/documents/?uuid=4ba034f3-de40-4333-9846-e6881c339756"]},{"id":"ITEM-12","itemData":{"ISSN":"1524-8399","abstract":"This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Practice","id":"ITEM-12","issue":"1","issued":{"date-parts":[["2011","1"]]},"note":"Accession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consumption.","type":"article-journal","volume":"12"},"uris":["http://www.mendeley.com/documents/?uuid=5e69dc5b-a75e-44cd-a690-1ad10a553ee8"]},{"id":"ITEM-13","itemData":{"author":[{"dropping-particle":"","family":"Revill","given":"S. A.","non-dropping-particle":"","parse-names":false,"suffix":""}],"id":"ITEM-13","issued":{"date-parts":[["2004"]]},"publisher":"Newcastle-upon-tyme","title":"Evaluation of a school-based nutrition and food delivered intervention to schoolchildren preparation skills from deprived social backgrounds","type":"thesis"},"uris":["http://www.mendeley.com/documents/?uuid=44c9923f-702d-4966-8c0c-73345f576954"]},{"id":"ITEM-14","itemData":{"ISSN":"0031-5125","abstract":"The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Skills","id":"ITEM-14","issue":"2","issued":{"date-parts":[["2005","10"]]},"note":"Accession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eating.","type":"article-journal","volume":"101"},"uris":["http://www.mendeley.com/documents/?uuid=f16d6371-ae55-47d3-b34f-6f5099c47b13"]},{"id":"ITEM-15","itemData":{"ISSN":"0091-7435","abstract":"Objective: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Theory","id":"ITEM-15","issue":"2","issued":{"date-parts":[["2012","2","1"]]},"note":"Accession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trial.","type":"article-journal","volume":"54"},"uris":["http://www.mendeley.com/documents/?uuid=7e4d5a33-052f-4c99-ab20-b4bf103139ae"]},{"id":"ITEM-16","itemData":{"ISSN":"0360-1315","abstract":"Nutrition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Education","id":"ITEM-16","issued":{"date-parts":[["2015","10"]]},"note":"Accession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elements.","type":"article-journal","volume":"88"},"uris":["http://www.mendeley.com/documents/?uuid=d0bc6350-9c55-462b-82b0-80648f3f942f"]}],"mendeley":{"formattedCitation":"(Birnbaum et al., 2002; Bukhari et al., 2011; Chin A Paw et al., 2008; Dowd et al., 2015; Gratton et al., 2007; Lien et al., 2010; Lo et al., 2008; Lubans et al., 2009; M. Martens et al., 2010; McCabe et al., 2015; Perry et al., 1987; Ratcliffe et al., 2011; Revill, 2004; Tsorbatzoudis, 2005; Wilson et al., 2012; Yang et al., 2015)","manualFormatting":"(Birnbaum et al., 2002; Bukhari et al., 2011; Chin A Paw et al., 2008; Dowd et al., 2015; Gratton et al., 2007; Lien et al., 2010; Lo et al., 2008; Lubans et al., 2009; Martens et al., 2010; McCabe et al., 2015; Perry et al., 1987; Ratcliffe et al., 2011; Revill, 2004; Tsorbatzoudis, 2005; Wilson et al., 2012; Yang et al., 2015)","plainTextFormattedCitation":"(Birnbaum et al., 2002; Bukhari et al., 2011; Chin A Paw et al., 2008; Dowd et al., 2015; Gratton et al., 2007; Lien et al., 2010; Lo et al., 2008; Lubans et al., 2009; M. Martens et al., 2010; McCabe et al., 2015; Perry et al., 1987; Ratcliffe et al., 2011; Revill, 2004; Tsorbatzoudis, 2005; Wilson et al., 2012; Yang et al., 2015)","previouslyFormattedCitation":"(Birnbaum et al., 2002; Bukhari et al., 2011; Chin A Paw et al., 2008; Dowd et al., 2015; Gratton et al., 2007; Lien et al., 2010; Lo et al., 2008; Lubans et al., 2009; M. Martens et al., 2010; McCabe et al., 2015; Perry et al., 1987; Ratcliffe et al., 2011; Revill, 2004; Tsorbatzoudis, 2005; Wilson et al., 2012;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(Birnbaum et al., 2002; Bukhari et al., 2011; Chin A Paw et al., 2008; Dowd et al., 2015; Gratton et al., 2007; Lien et al., 2010; Lo et al., 2008; Lubans et al., 2009; Martens et al., 2010; McCabe et al., 2015; Perry et al., 1987; Ratcliffe et al., 2011; Revill, 2004; Tsorbatzoudis, 2005; Wilson et al., 2012; Yang et al., 2015)</w:t>
      </w:r>
      <w:r w:rsidRPr="00B1522E">
        <w:rPr>
          <w:rFonts w:eastAsia="Calibri" w:cstheme="minorHAnsi"/>
        </w:rPr>
        <w:fldChar w:fldCharType="end"/>
      </w:r>
      <w:r w:rsidRPr="00B1522E">
        <w:rPr>
          <w:rFonts w:eastAsia="Calibri" w:cstheme="minorHAnsi"/>
        </w:rPr>
        <w:t xml:space="preserve">, and/or a practical lesson (n = 11)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choices.","type":"article-journal","volume":"43"},"uris":["http://www.mendeley.com/documents/?uuid=7656a537-f4ec-41dc-aa44-b227ceddf977"]},{"id":"ITEM-3","itemData":{"ISSN":"1403-4948","abstract":"Background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Health","id":"ITEM-3","issue":"5","issued":{"date-parts":[["2010","11"]]},"note":"Accession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study.","type":"article-journal","volume":"38"},"uris":["http://www.mendeley.com/documents/?uuid=78beb7d0-a0fa-4834-9f1b-52f489a9a220"]},{"id":"ITEM-4","itemData":{"ISSN":"1879-0739","PMID":"19083401","abstract":"Certain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research","id":"ITEM-4","issue":"3","issued":{"date-parts":[["2008","3"]]},"page":"144-50","title":"Beverage intake improvement by high school students in Saskatchewan, Canada.","type":"article-journal","volume":"28"},"uris":["http://www.mendeley.com/documents/?uuid=fdc5051e-cbf7-4dcc-9784-097b6caadb05"]},{"id":"ITEM-5","itemData":{"ISSN":"08901171","abstract":"Purpose.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Promotion","id":"ITEM-5","issue":"3","issued":{"date-parts":[["2010","1"]]},"note":"Accession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Adolescents.","type":"article-journal","volume":"24"},"uris":["http://www.mendeley.com/documents/?uuid=dcce02ba-d07b-4b8a-9d22-177816d0f2ff"]},{"id":"ITEM-6","itemData":{"ISSN":"1087-3244","abstract":"Objectives: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Behavior","id":"ITEM-6","issue":"1","issued":{"date-parts":[["2015","1"]]},"note":"Accession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girls.","type":"article-journal","volume":"39"},"uris":["http://www.mendeley.com/documents/?uuid=7b8ee571-076a-4b5d-8ae8-9e0a03d039ae"]},{"id":"ITEM-7","itemData":{"ISSN":"0268-1153","abstract":"Describes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Research","id":"ITEM-7","issue":"2","issued":{"date-parts":[["1987","6"]]},"note":"Accession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Life.'","type":"article-journal","volume":"2"},"uris":["http://www.mendeley.com/documents/?uuid=4ba034f3-de40-4333-9846-e6881c339756"]},{"id":"ITEM-8","itemData":{"ISSN":"1524-8399","abstract":"This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Practice","id":"ITEM-8","issue":"1","issued":{"date-parts":[["2011","1"]]},"note":"Accession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consumption.","type":"article-journal","volume":"12"},"uris":["http://www.mendeley.com/documents/?uuid=5e69dc5b-a75e-44cd-a690-1ad10a553ee8"]},{"id":"ITEM-9","itemData":{"author":[{"dropping-particle":"","family":"Revill","given":"S. A.","non-dropping-particle":"","parse-names":false,"suffix":""}],"id":"ITEM-9","issued":{"date-parts":[["2004"]]},"publisher":"Newcastle-upon-tyme","title":"Evaluation of a school-based nutrition and food delivered intervention to schoolchildren preparation skills from deprived social backgrounds","type":"thesis"},"uris":["http://www.mendeley.com/documents/?uuid=44c9923f-702d-4966-8c0c-73345f576954"]},{"id":"ITEM-10","itemData":{"ISSN":"0360-1315","abstract":"Nutrition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Education","id":"ITEM-10","issued":{"date-parts":[["2015","10"]]},"note":"Accession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elements.","type":"article-journal","volume":"88"},"uris":["http://www.mendeley.com/documents/?uuid=d0bc6350-9c55-462b-82b0-80648f3f942f"]},{"id":"ITEM-11","itemData":{"ISBN":"2153-2168","ISSN":"2153-2168","PMID":"28448174","abstract":"Background: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Obesity","id":"ITEM-11","issue":"4","issued":{"date-parts":[["2017"]]},"page":"300-313","title":"A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Birnbaum et al., 2002; Bukhari et al., 2011; Lien et al., 2010; Lo et al., 2008; M. Martens et al., 2010; McCabe et al., 2015; Perry et al., 1987; Ratcliffe et al., 2011; Revill, 2004; Yang et al., 2015)","manualFormatting":"(Aceves-Martins et al., 2017; Birnbaum et al., 2002; Bukhari et al., 2011; Lien et al., 2010; Lo et al., 2008; Martens et al., 2010; McCabe et al., 2015; Perry et al., 1987; Ratcliffe et al., 2011; Revill, 2004; Yang et al., 2015)","plainTextFormattedCitation":"(Aceves-Martins et al., 2017; Birnbaum et al., 2002; Bukhari et al., 2011; Lien et al., 2010; Lo et al., 2008; M. Martens et al., 2010; McCabe et al., 2015; Perry et al., 1987; Ratcliffe et al., 2011; Revill, 2004; Yang et al., 2015)","previouslyFormattedCitation":"(Aceves-Martins et al., 2017; Birnbaum et al., 2002; Bukhari et al., 2011; Lien et al., 2010; Lo et al., 2008; M. Martens et al., 2010; McCabe et al., 2015; Perry et al., 1987; Ratcliffe et al., 2011; Revill, 2004;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(Aceves-Martins et al., 2017; Birnbaum et al., 2002; Bukhari et al., 2011; Lien et al., 2010; Lo et al., 2008;</w:t>
      </w:r>
      <w:r w:rsidR="00FB12F4" w:rsidRPr="00B1522E">
        <w:rPr>
          <w:rFonts w:eastAsia="Calibri" w:cstheme="minorHAnsi"/>
          <w:noProof/>
        </w:rPr>
        <w:t xml:space="preserve"> </w:t>
      </w:r>
      <w:r w:rsidR="00795693" w:rsidRPr="00B1522E">
        <w:rPr>
          <w:rFonts w:eastAsia="Calibri" w:cstheme="minorHAnsi"/>
          <w:noProof/>
        </w:rPr>
        <w:t>Martens et al., 2010; McCabe et al., 2015; Perry et al., 1987; Ratcliffe et al., 2011; Revill, 2004; Yang et al., 2015)</w:t>
      </w:r>
      <w:r w:rsidRPr="00B1522E">
        <w:rPr>
          <w:rFonts w:eastAsia="Calibri" w:cstheme="minorHAnsi"/>
        </w:rPr>
        <w:fldChar w:fldCharType="end"/>
      </w:r>
      <w:r w:rsidRPr="00B1522E">
        <w:rPr>
          <w:rFonts w:eastAsia="Calibri" w:cstheme="minorHAnsi"/>
        </w:rPr>
        <w:t xml:space="preserve">. Ten studies included a combination of healthy eating lesson, activities and a worksheet </w:t>
      </w:r>
      <w:r w:rsidRPr="00B1522E">
        <w:rPr>
          <w:rFonts w:eastAsia="Calibri" w:cstheme="minorHAnsi"/>
        </w:rPr>
        <w:fldChar w:fldCharType="begin" w:fldLock="1"/>
      </w:r>
      <w:r w:rsidR="00971CA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Medicine","id":"ITEM-4","issue":"1","issued":{"date-parts":[["2015","3"]]},"note":"Accession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girls.","type":"article-journal","volume":"5"},"uris":["http://www.mendeley.com/documents/?uuid=caa5507f-dbd0-4a8e-8a1f-8c2b3fd377e1"]},{"id":"ITEM-5","itemData":{"ISSN":"1879-0739","PMID":"19083401","abstract":"Certain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research","id":"ITEM-5","issue":"3","issued":{"date-parts":[["2008","3"]]},"page":"144-50","title":"Beverage intake improvement by high school students in Saskatchewan, Canada.","type":"article-journal","volume":"28"},"uris":["http://www.mendeley.com/documents/?uuid=fdc5051e-cbf7-4dcc-9784-097b6caadb05"]},{"id":"ITEM-6","itemData":{"ISSN":"1087-3244","abstract":"Objectives: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Behavior","id":"ITEM-6","issue":"1","issued":{"date-parts":[["2015","1"]]},"note":"Accession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girls.","type":"article-journal","volume":"39"},"uris":["http://www.mendeley.com/documents/?uuid=7b8ee571-076a-4b5d-8ae8-9e0a03d039ae"]},{"id":"ITEM-7","itemData":{"ISSN":"0268-1153","abstract":"Describes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Research","id":"ITEM-7","issue":"2","issued":{"date-parts":[["1987","6"]]},"note":"Accession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Life.'","type":"article-journal","volume":"2"},"uris":["http://www.mendeley.com/documents/?uuid=4ba034f3-de40-4333-9846-e6881c339756"]},{"id":"ITEM-8","itemData":{"ISSN":"0031-5125","abstract":"The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Skills","id":"ITEM-8","issue":"2","issued":{"date-parts":[["2005","10"]]},"note":"Accession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eating.","type":"article-journal","volume":"101"},"uris":["http://www.mendeley.com/documents/?uuid=f16d6371-ae55-47d3-b34f-6f5099c47b13"]},{"id":"ITEM-9","itemData":{"ISSN":"0360-1315","abstract":"Nutrition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Education","id":"ITEM-9","issued":{"date-parts":[["2015","10"]]},"note":"Accession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elements.","type":"article-journal","volume":"88"},"uris":["http://www.mendeley.com/documents/?uuid=d0bc6350-9c55-462b-82b0-80648f3f942f"]},{"id":"ITEM-10","itemData":{"ISSN":"0091-7435","abstract":"Objective: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Theory","id":"ITEM-10","issue":"2","issued":{"date-parts":[["2012","2","1"]]},"note":"Accession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trial.","type":"article-journal","volume":"54"},"uris":["http://www.mendeley.com/documents/?uuid=7e4d5a33-052f-4c99-ab20-b4bf103139ae"]}],"mendeley":{"formattedCitation":"(Birnbaum et al., 2002; Bukhari et al., 2011; Chin A Paw et al., 2008; Dowd et al., 2015; Lo et al., 2008; McCabe et al., 2015; Perry et al., 1987; Tsorbatzoudis, 2005; Wilson et al., 2012; Yang et al., 2015)","plainTextFormattedCitation":"(Birnbaum et al., 2002; Bukhari et al., 2011; Chin A Paw et al., 2008; Dowd et al., 2015; Lo et al., 2008; McCabe et al., 2015; Perry et al., 1987; Tsorbatzoudis, 2005; Wilson et al., 2012; Yang et al., 2015)","previouslyFormattedCitation":"(Birnbaum et al., 2002; Bukhari et al., 2011; Chin A Paw et al., 2008; Dowd et al., 2015; Lo et al., 2008; McCabe et al., 2015; Perry et al., 1987; Tsorbatzoudis, 2005; Wilson et al., 2012; Yang et al., 2015)"},"properties":{"noteIndex":0},"schema":"https://github.com/citation-style-language/schema/raw/master/csl-citation.json"}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(Birnbaum et al., 2002; Bukhari et al., 2011; Chin A Paw et al., 2008; Dowd et al., 2015; Lo et al., 2008; McCabe et al., 2015; Perry et al., 1987; Tsorbatzoudis, 2005; Wilson et al., 2012; Yang et al., 2015)</w:t>
      </w:r>
      <w:r w:rsidRPr="00B1522E">
        <w:rPr>
          <w:rFonts w:eastAsia="Calibri" w:cstheme="minorHAnsi"/>
        </w:rPr>
        <w:fldChar w:fldCharType="end"/>
      </w:r>
      <w:r w:rsidRPr="00B1522E">
        <w:rPr>
          <w:rFonts w:eastAsia="Calibri" w:cstheme="minorHAnsi"/>
        </w:rPr>
        <w:t xml:space="preserve">. Only one study described providing students with homework </w:t>
      </w:r>
      <w:r w:rsidRPr="00B1522E">
        <w:rPr>
          <w:rFonts w:eastAsia="Calibri" w:cstheme="minorHAnsi"/>
        </w:rPr>
        <w:fldChar w:fldCharType="begin" w:fldLock="1"/>
      </w:r>
      <w:r w:rsidR="007463D4" w:rsidRPr="00B1522E">
        <w:rPr>
          <w:rFonts w:eastAsia="Calibri" w:cstheme="minorHAnsi"/>
        </w:rPr>
        <w:instrText>ADDIN CSL_CITATION {"citationItems":[{"id":"ITEM-1","itemData":{"ISSN":"0268-1153","abstract":"Conducted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Research","id":"ITEM-1","issue":"4","issued":{"date-parts":[["1990","12"]]},"note":"Accession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study.","type":"article-journal","volume":"5"},"uris":["http://www.mendeley.com/documents/?uuid=9a48b06a-99b7-4f0b-b92b-862a85f3beb5"]}],"mendeley":{"formattedCitation":"(Hölund, 1990)","plainTextFormattedCitation":"(Hölund, 1990)","previouslyFormattedCitation":"(Hölund, 1990)"},"properties":{"noteIndex":0},"schema":"https://github.com/citation-style-language/schema/raw/master/csl-citation.json"}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(Hölund, 1990)</w:t>
      </w:r>
      <w:r w:rsidRPr="00B1522E">
        <w:rPr>
          <w:rFonts w:eastAsia="Calibri" w:cstheme="minorHAnsi"/>
        </w:rPr>
        <w:fldChar w:fldCharType="end"/>
      </w:r>
      <w:r w:rsidRPr="00B1522E">
        <w:rPr>
          <w:rFonts w:eastAsia="Calibri" w:cstheme="minorHAnsi"/>
        </w:rPr>
        <w:t xml:space="preserve"> whilst two changed the cafeteria food provided for students in school </w:t>
      </w:r>
      <w:r w:rsidRPr="00B1522E">
        <w:rPr>
          <w:rFonts w:eastAsia="Calibri" w:cstheme="minorHAnsi"/>
        </w:rPr>
        <w:fldChar w:fldCharType="begin" w:fldLock="1"/>
      </w:r>
      <w:r w:rsidR="00D046DC" w:rsidRPr="00B1522E">
        <w:rPr>
          <w:rFonts w:eastAsia="Calibri" w:cstheme="minorHAnsi"/>
        </w:rPr>
        <w:instrText>ADDIN CSL_CITATION {"citationItems":[{"id":"ITEM-1","itemData":{"ISSN":"1479-5868","abstract":"Background: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intakes.","type":"article-journal","volume":"8"},"uris":["http://www.mendeley.com/documents/?uuid=827f05f5-1374-4d29-b4c3-d6c4de5de2d7"]},{"id":"ITEM-2","itemData":{"ISSN":"1087-3244","abstract":"Objective: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Behavior","id":"ITEM-2","issue":"5","issued":{"date-parts":[["2016","9"]]},"note":"Accession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behaviors.","type":"article-journal","volume":"40"},"uris":["http://www.mendeley.com/documents/?uuid=d63aebec-2716-44e4-bcb3-02defb99b8f6"]}],"mendeley":{"formattedCitation":"(de Visser et al., 2016; Siega-Riz et al., 2011)","plainTextFormattedCitation":"(de Visser et al., 2016; Siega-Riz et al., 2011)","previouslyFormattedCitation":"(de Visser et al., 2016; Siega-Riz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(de Visser et al., 2016; Siega-Riz et al., 2011)</w:t>
      </w:r>
      <w:r w:rsidRPr="00B1522E">
        <w:rPr>
          <w:rFonts w:eastAsia="Calibri" w:cstheme="minorHAnsi"/>
        </w:rPr>
        <w:fldChar w:fldCharType="end"/>
      </w:r>
      <w:r w:rsidRPr="00B1522E">
        <w:rPr>
          <w:rFonts w:eastAsia="Calibri" w:cstheme="minorHAnsi"/>
        </w:rPr>
        <w:t xml:space="preserve">. Some interventional studies involved third parties, such as peers (n = 9)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Research","id":"ITEM-2","issue":"4","issued":{"date-parts":[["1990","12"]]},"note":"Accession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study.","type":"article-journal","volume":"5"},"uris":["http://www.mendeley.com/documents/?uuid=9a48b06a-99b7-4f0b-b92b-862a85f3beb5"]},{"id":"ITEM-3","itemData":{"ISSN":"1879-0739","PMID":"19083401","abstract":"Certain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research","id":"ITEM-3","issue":"3","issued":{"date-parts":[["2008","3"]]},"page":"144-50","title":"Beverage intake improvement by high school students in Saskatchewan, Canada.","type":"article-journal","volume":"28"},"uris":["http://www.mendeley.com/documents/?uuid=fdc5051e-cbf7-4dcc-9784-097b6caadb05"]},{"id":"ITEM-4","itemData":{"ISSN":"0268-1153","abstract":"Describes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Research","id":"ITEM-4","issue":"2","issued":{"date-parts":[["1987","6"]]},"note":"Accession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Life.'","type":"article-journal","volume":"2"},"uris":["http://www.mendeley.com/documents/?uuid=4ba034f3-de40-4333-9846-e6881c339756"]},{"id":"ITEM-5","itemData":{"ISSN":"0957-4824","abstract":"To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International","id":"ITEM-5","issue":"2","issued":{"date-parts":[["2015","6"]]},"note":"Accession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China?","type":"article-journal","volume":"30"},"uris":["http://www.mendeley.com/documents/?uuid=145ecf81-8117-453e-bf69-159987f54f3c"]},{"id":"ITEM-6","itemData":{"ISSN":"0091-7435","abstract":"Objective: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Theory","id":"ITEM-6","issue":"2","issued":{"date-parts":[["2012","2","1"]]},"note":"Accession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trial.","type":"article-journal","volume":"54"},"uris":["http://www.mendeley.com/documents/?uuid=7e4d5a33-052f-4c99-ab20-b4bf103139ae"]},{"id":"ITEM-7","itemData":{"ISSN":"1471-2458","abstract":"Few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Health","id":"ITEM-7","issue":"1","issued":{"date-parts":[["2017","9"]]},"page":"695","title":"Evaluation of a peer education program on student leaders' energy balance-related behaviors","type":"article-journal","volume":"17"},"uris":["http://www.mendeley.com/documents/?uuid=560d1118-94b4-43a0-8347-10a81bff7b3e"]},{"id":"ITEM-8","itemData":{"ISBN":"2153-2168","ISSN":"2153-2168","PMID":"28448174","abstract":"Background: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Obesity","id":"ITEM-8","issue":"4","issued":{"date-parts":[["2017"]]},"page":"300-313","title":"A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Study","type":"article-journal","volume":"13"},"uris":["http://www.mendeley.com/documents/?uuid=74a21169-2cf5-4820-beb8-c5f53e15a838"]},{"id":"ITEM-9","itemData":{"ISSN":"1545-1151","abstract":"INTRODUCTION: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Disease","id":"ITEM-9","issued":{"date-parts":[["2015","9","24"]]},"page":"1-105","publisher":"Centers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Birnbaum et al., 2002; Foley et al., 2017; Hölund, 1990; Lo et al., 2008; Maatoug et al., 2015; Perry et al., 1987; Wang et al., 2015; Wilson et al., 2012)","plainTextFormattedCitation":"(Aceves-Martins et al., 2017; Birnbaum et al., 2002; Foley et al., 2017; Hölund, 1990; Lo et al., 2008; Maatoug et al., 2015; Perry et al., 1987; Wang et al., 2015; Wilson et al., 2012)","previouslyFormattedCitation":"(Aceves-Martins et al., 2017; Birnbaum et al., 2002; Foley et al., 2017; Hölund, 1990; Lo et al., 2008; Maatoug et al., 2015; Perry et al., 1987; Wang et al., 2015;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Birnbaum et al., 2002; Foley et al., 2017; Hölund, 1990; Lo et al., 2008; Maatoug et al., 2015; Perry et al., 1987; Wang et al., 2015; Wilson et al., 2012)</w:t>
      </w:r>
      <w:r w:rsidRPr="00B1522E">
        <w:rPr>
          <w:rFonts w:eastAsia="Calibri" w:cstheme="minorHAnsi"/>
        </w:rPr>
        <w:fldChar w:fldCharType="end"/>
      </w:r>
      <w:r w:rsidRPr="00B1522E">
        <w:rPr>
          <w:rFonts w:eastAsia="Calibri" w:cstheme="minorHAnsi"/>
        </w:rPr>
        <w:t xml:space="preserve"> and parents (n = 10) </w:t>
      </w:r>
      <w:r w:rsidRPr="00B1522E">
        <w:rPr>
          <w:rFonts w:eastAsia="Calibri" w:cstheme="minorHAnsi"/>
        </w:rPr>
        <w:fldChar w:fldCharType="begin" w:fldLock="1"/>
      </w:r>
      <w:r w:rsidR="00DF6CCC"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Research","id":"ITEM-2","issue":"6","issued":{"date-parts":[["2006","12"]]},"note":"Accession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children.","type":"article-journal","volume":"21"},"uris":["http://www.mendeley.com/documents/?uuid=bbef8914-979d-4764-8405-477314275444"]},{"id":"ITEM-3","itemData":{"ISSN":"1403-4948","abstract":"Background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Health","id":"ITEM-3","issue":"5","issued":{"date-parts":[["2010","11"]]},"note":"Accession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study.","type":"article-journal","volume":"38"},"uris":["http://www.mendeley.com/documents/?uuid=78beb7d0-a0fa-4834-9f1b-52f489a9a220"]},{"id":"ITEM-4","itemData":{"ISSN":"1054-139X","abstract":"Purpose: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Health","id":"ITEM-4","issue":"2","issued":{"date-parts":[["2009","2"]]},"note":"Accession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intervention.","type":"article-journal","volume":"44"},"uris":["http://www.mendeley.com/documents/?uuid=3436d664-5481-4deb-9498-5b6cd81039b0"]},{"id":"ITEM-5","itemData":{"ISSN":"08901171","abstract":"Purpose.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Promotion","id":"ITEM-5","issue":"3","issued":{"date-parts":[["2010","1"]]},"note":"Accession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Adolescents.","type":"article-journal","volume":"24"},"uris":["http://www.mendeley.com/documents/?uuid=dcce02ba-d07b-4b8a-9d22-177816d0f2ff"]},{"id":"ITEM-6","itemData":{"ISSN":"1087-3244","abstract":"Objectives: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Behavior","id":"ITEM-6","issue":"1","issued":{"date-parts":[["2015","1"]]},"note":"Accession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girls.","type":"article-journal","volume":"39"},"uris":["http://www.mendeley.com/documents/?uuid=7b8ee571-076a-4b5d-8ae8-9e0a03d039ae"]},{"id":"ITEM-7","itemData":{"ISSN":"1524-8399","abstract":"This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Practice","id":"ITEM-7","issue":"1","issued":{"date-parts":[["2011","1"]]},"note":"Accession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consumption.","type":"article-journal","volume":"12"},"uris":["http://www.mendeley.com/documents/?uuid=5e69dc5b-a75e-44cd-a690-1ad10a553ee8"]},{"id":"ITEM-8","itemData":{"ISSN":"1479-5868","abstract":"Background: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Activity","id":"ITEM-8","issued":{"date-parts":[["2011","2","4"]]},"note":"Accession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intakes.","type":"article-journal","volume":"8"},"uris":["http://www.mendeley.com/documents/?uuid=827f05f5-1374-4d29-b4c3-d6c4de5de2d7"]},{"id":"ITEM-9","itemData":{"ISSN":"1359-1053","abstract":"Two studies investigated differences in the relationships between adolescents’ fruit and vegetable intake (FVI) and the predictors specified in the Health Action Process Approach and Social-Cognitive Theory. Retrospective (Study 1; N = 502) and prospective (Study 2; N = 668) designs were applied. Among adolescents with overweight/obesity, intention was cross-sectionally associated with FVI (Study 1); no social or cognitive predictors explained FVI at 14-month follow-up (Study 2). The planning—FVI and self-efficacy—FVI relationships were stronger among adolescents who reduced their body weight to normal, compared to effects observed among those who maintained their body weight (Studies 1 and 2). (PsycINFO Database Record (c) 2013 APA, all rights reserved). (journal abstract)","author":[{"dropping-particle":"","family":"Szczepanska","given":"Wanda Komorowska","non-dropping-particle":"","parse-names":false,"suffix":""},{"dropping-particle":"","family":"Scholz","given":"Urte","non-dropping-particle":"","parse-names":false,"suffix":""},{"dropping-particle":"","family":"Liszewska","given":"Natalia","non-dropping-particle":"","parse-names":false,"suffix":""},{"dropping-particle":"","family":"Luszczynska","given":"Aleksandra","non-dropping-particle":"","parse-names":false,"suffix":""}],"container-title":"Journal of Health Psychology","id":"ITEM-9","issue":"5","issued":{"date-parts":[["2013","5"]]},"note":"Accession Number: 2013-15269-008. PMID: 22933578 Partial author list: First Author &amp;amp; Affiliation: Szczepanska, Wanda Komorowska; Gdansk Medical University, Gdansk, Poland. Release Date: 20130819. Publication Type: Journal (0100), Peer Reviewed Journal (0110). Format Covered: Electronic. Document Type: Journal Article. Language: English. Grant Information: Scholz, Urte. Major Descriptor: Adolescent Development; Body Weight; Food Intake; Nutrition; Social Cognition. Minor Descriptor: Body Mass Index; Food; Intention; Obesity; Self Efficacy. Classification: Psychosocial &amp;amp; Personality Development (2840). Population: Human (10); Male (30); Female (40). Location: Poland. Age Group: Childhood (birth-12 yrs) (100); School Age (6-12 yrs) (180); Adolescence (13-17 yrs) (200); Adulthood (18 yrs &amp;amp; older) (300); Young Adulthood (18-29 yrs) (320). Tests &amp;amp; Measures: Intention to Eat Healthy Diet Measure; Nutrition Self-Efficacy Measure; Nutrition Planning Measure; Fruits/Vegetables Home Availability Measure; Mother support for Healthy Eating Measure; Health/Nutrition Attitudes Measure; Fruit and Vegetable Intake Measure; Taste Preferences Measure DOI: 10.1037/t22044-000. Methodology: Empirical Study; Followup Study; Longitudinal Study; Prospective Study; Retrospective Study; Quantitative Study. References Available: Y. Page Count: 13. Issue Publication Date: May, 2013. Copyright Statement: The Author(s). 2012.","page":"667-679","publisher":"Sage Publications","publisher-place":"Luszczynska, Aleksandra, Trauma, Health, &amp; Hazards Center, University of Colorado at Colorado Springs, 1420 Austin Bluffs Pkwy, Colorado Springs, CO, US, 80933-7150","title":"Social and cognitive predictors of fruit and vegetable intake among adolescents: The context of changes in body weight.","type":"article-journal","volume":"18"},"uris":["http://www.mendeley.com/documents/?uuid=f53e7ce8-7974-4988-875c-e1c16dc2e410"]},{"id":"ITEM-10","itemData":{"ISSN":"0091-7435","abstract":"Objective: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Theory","id":"ITEM-10","issue":"2","issued":{"date-parts":[["2012","2","1"]]},"note":"Accession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trial.","type":"article-journal","volume":"54"},"uris":["http://www.mendeley.com/documents/?uuid=7e4d5a33-052f-4c99-ab20-b4bf103139ae"]}],"mendeley":{"formattedCitation":"(Birnbaum et al., 2002; Haerens et al., 2006; Lien et al., 2010; Lubans et al., 2009; M. Martens et al., 2010; McCabe et al., 2015; Ratcliffe et al., 2011; Siega-Riz et al., 2011; Szczepanska et al., 2013; Wilson et al., 2012)","manualFormatting":"(Birnbaum et al., 2002; Haerens et al., 2006; Lien et al., 2010; Lubans et al., 2009; Martens et al., 2010; McCabe et al., 2015; Ratcliffe et al., 2011; Siega-Riz et al., 2011; Szczepanska et al., 2013; Wilson et al., 2012)","plainTextFormattedCitation":"(Birnbaum et al., 2002; Haerens et al., 2006; Lien et al., 2010; Lubans et al., 2009; M. Martens et al., 2010; McCabe et al., 2015; Ratcliffe et al., 2011; Siega-Riz et al., 2011; Szczepanska et al., 2013; Wilson et al., 2012)","previouslyFormattedCitation":"(Birnbaum et al., 2002; Haerens et al., 2006; Lien et al., 2010; Lubans et al., 2009; M. Martens et al., 2010; McCabe et al., 2015; Ratcliffe et al., 2011; Siega-Riz et al., 2011; Szczepanska et al., 2013; Wilson et al., 2012)"},"properties":{"noteIndex":0},"schema":"https://github.com/citation-style-language/schema/raw/master/csl-citation.json"}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 xml:space="preserve">(Birnbaum et al., 2002; </w:t>
      </w:r>
      <w:r w:rsidR="00795693" w:rsidRPr="00B1522E">
        <w:rPr>
          <w:rFonts w:eastAsia="Calibri" w:cstheme="minorHAnsi"/>
          <w:noProof/>
        </w:rPr>
        <w:lastRenderedPageBreak/>
        <w:t>Haerens et al., 2006; Lien et al., 2010; Lubans et al., 2009; Martens et al., 2010; McCabe et al., 2015; Ratcliffe et al., 2011; Siega-Riz et al., 2011; Szczepanska et al., 2013; Wilson et al., 2012)</w:t>
      </w:r>
      <w:r w:rsidRPr="00B1522E">
        <w:rPr>
          <w:rFonts w:eastAsia="Calibri" w:cstheme="minorHAnsi"/>
        </w:rPr>
        <w:fldChar w:fldCharType="end"/>
      </w:r>
      <w:r w:rsidRPr="00B1522E">
        <w:rPr>
          <w:rFonts w:eastAsia="Calibri" w:cstheme="minorHAnsi"/>
        </w:rPr>
        <w:t xml:space="preserve">. </w:t>
      </w:r>
    </w:p>
    <w:p w14:paraId="50755900" w14:textId="77777777" w:rsidR="00987AC8" w:rsidRPr="00B1522E" w:rsidRDefault="00987AC8" w:rsidP="00734D95">
      <w:pPr>
        <w:spacing w:after="0" w:line="480" w:lineRule="auto"/>
        <w:jc w:val="both"/>
        <w:rPr>
          <w:rFonts w:eastAsia="Calibri" w:cstheme="minorHAnsi"/>
        </w:rPr>
      </w:pPr>
    </w:p>
    <w:bookmarkStart w:id="48" w:name="_Toc84678904"/>
    <w:p w14:paraId="40E43429" w14:textId="415A2B8E" w:rsidR="00987AC8" w:rsidRPr="00B1522E" w:rsidRDefault="00495ED8" w:rsidP="00734D95">
      <w:pPr>
        <w:spacing w:line="480" w:lineRule="auto"/>
      </w:pPr>
      <w:r w:rsidRPr="00B1522E">
        <w:fldChar w:fldCharType="begin"/>
      </w:r>
      <w:r w:rsidRPr="00B1522E">
        <w:instrText xml:space="preserve"> TC  "</w:instrText>
      </w:r>
      <w:bookmarkStart w:id="49" w:name="_Toc97310418"/>
      <w:r w:rsidRPr="00B1522E">
        <w:instrText>2.4.</w:instrText>
      </w:r>
      <w:r w:rsidR="00DD602E" w:rsidRPr="00B1522E">
        <w:instrText>4 Intervention delivery</w:instrText>
      </w:r>
      <w:bookmarkEnd w:id="49"/>
      <w:r w:rsidR="00DD602E" w:rsidRPr="00B1522E">
        <w:instrText xml:space="preserve"> </w:instrText>
      </w:r>
      <w:r w:rsidRPr="00B1522E">
        <w:instrText xml:space="preserve">" \f x\l 3 </w:instrText>
      </w:r>
      <w:r w:rsidRPr="00B1522E">
        <w:fldChar w:fldCharType="end"/>
      </w:r>
      <w:r w:rsidR="00383D7E" w:rsidRPr="00B1522E">
        <w:t xml:space="preserve">2.4.4 </w:t>
      </w:r>
      <w:r w:rsidR="00987AC8" w:rsidRPr="00B1522E">
        <w:t>Intervention delivery</w:t>
      </w:r>
      <w:bookmarkEnd w:id="48"/>
    </w:p>
    <w:p w14:paraId="0DB1D699" w14:textId="3B076AD6" w:rsidR="00987AC8" w:rsidRPr="00B1522E" w:rsidRDefault="00987AC8" w:rsidP="00734D95">
      <w:pPr>
        <w:spacing w:after="0" w:line="480" w:lineRule="auto"/>
        <w:jc w:val="both"/>
        <w:rPr>
          <w:rFonts w:eastAsia="Calibri" w:cstheme="minorHAnsi"/>
        </w:rPr>
      </w:pPr>
      <w:r w:rsidRPr="00B1522E">
        <w:rPr>
          <w:rFonts w:eastAsia="Calibri" w:cstheme="minorHAnsi"/>
        </w:rPr>
        <w:t xml:space="preserve">Interventions were delivered by one or a combination of school staff (n = 15) </w:t>
      </w:r>
      <w:r w:rsidRPr="00B1522E">
        <w:rPr>
          <w:rFonts w:eastAsia="Calibri" w:cstheme="minorHAnsi"/>
        </w:rPr>
        <w:fldChar w:fldCharType="begin" w:fldLock="1"/>
      </w:r>
      <w:r w:rsidR="00FD502B"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Research","id":"ITEM-4","issue":"6","issued":{"date-parts":[["2006","12"]]},"note":"Accession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children.","type":"article-journal","volume":"21"},"uris":["http://www.mendeley.com/documents/?uuid=bbef8914-979d-4764-8405-477314275444"]},{"id":"ITEM-5","itemData":{"ISSN":"0268-1153","abstract":"Conducted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Research","id":"ITEM-5","issue":"4","issued":{"date-parts":[["1990","12"]]},"note":"Accession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study.","type":"article-journal","volume":"5"},"uris":["http://www.mendeley.com/documents/?uuid=9a48b06a-99b7-4f0b-b92b-862a85f3beb5"]},{"id":"ITEM-6","itemData":{"ISSN":"1403-4948","abstract":"Background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Health","id":"ITEM-6","issue":"5","issued":{"date-parts":[["2010","11"]]},"note":"Accession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study.","type":"article-journal","volume":"38"},"uris":["http://www.mendeley.com/documents/?uuid=78beb7d0-a0fa-4834-9f1b-52f489a9a220"]},{"id":"ITEM-7","itemData":{"ISSN":"1879-0739","PMID":"19083401","abstract":"Certain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research","id":"ITEM-7","issue":"3","issued":{"date-parts":[["2008","3"]]},"page":"144-50","title":"Beverage intake improvement by high school students in Saskatchewan, Canada.","type":"article-journal","volume":"28"},"uris":["http://www.mendeley.com/documents/?uuid=fdc5051e-cbf7-4dcc-9784-097b6caadb05"]},{"id":"ITEM-8","itemData":{"ISSN":"1054-139X","abstract":"Purpose: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Health","id":"ITEM-8","issue":"2","issued":{"date-parts":[["2009","2"]]},"note":"Accession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intervention.","type":"article-journal","volume":"44"},"uris":["http://www.mendeley.com/documents/?uuid=3436d664-5481-4deb-9498-5b6cd81039b0"]},{"id":"ITEM-9","itemData":{"ISSN":"08901171","abstract":"Purpose.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Promotion","id":"ITEM-9","issue":"3","issued":{"date-parts":[["2010","1"]]},"note":"Accession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Adolescents.","type":"article-journal","volume":"24"},"uris":["http://www.mendeley.com/documents/?uuid=dcce02ba-d07b-4b8a-9d22-177816d0f2ff"]},{"id":"ITEM-10","itemData":{"ISSN":"1524-8399","abstract":"This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Practice","id":"ITEM-10","issue":"1","issued":{"date-parts":[["2011","1"]]},"note":"Accession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consumption.","type":"article-journal","volume":"12"},"uris":["http://www.mendeley.com/documents/?uuid=5e69dc5b-a75e-44cd-a690-1ad10a553ee8"]},{"id":"ITEM-11","itemData":{"ISSN":"0360-1315","abstract":"Nutrition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Education","id":"ITEM-11","issued":{"date-parts":[["2015","10"]]},"note":"Accession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elements.","type":"article-journal","volume":"88"},"uris":["http://www.mendeley.com/documents/?uuid=d0bc6350-9c55-462b-82b0-80648f3f942f"]},{"id":"ITEM-12","itemData":{"author":[{"dropping-particle":"","family":"Revill","given":"S. A.","non-dropping-particle":"","parse-names":false,"suffix":""}],"id":"ITEM-12","issued":{"date-parts":[["2004"]]},"publisher":"Newcastle-upon-tyme","title":"Evaluation of a school-based nutrition and food delivered intervention to schoolchildren preparation skills from deprived social backgrounds","type":"thesis"},"uris":["http://www.mendeley.com/documents/?uuid=44c9923f-702d-4966-8c0c-73345f576954"]},{"id":"ITEM-13","itemData":{"ISSN":"1479-5868","abstract":"Background: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Activity","id":"ITEM-13","issued":{"date-parts":[["2016","12"]]},"note":"Accession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behaviors.","type":"article-journal","volume":"13"},"uris":["http://www.mendeley.com/documents/?uuid=823d9b1e-16f3-4ad7-ba7d-86b6176dc2c7"]},{"id":"ITEM-14","itemData":{"ISSN":"1087-3244","abstract":"Objective: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Behavior","id":"ITEM-14","issue":"5","issued":{"date-parts":[["2016","9"]]},"note":"Accession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behaviors.","type":"article-journal","volume":"40"},"uris":["http://www.mendeley.com/documents/?uuid=d63aebec-2716-44e4-bcb3-02defb99b8f6"]},{"id":"ITEM-15","itemData":{"ISSN":"1545-1151","abstract":"INTRODUCTION: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Disease","id":"ITEM-15","issued":{"date-parts":[["2015","9","24"]]},"page":"1-105","publisher":"Centers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2009–2014","type":"article-journal","volume":"12"},"uris":["http://www.mendeley.com/documents/?uuid=7a939433-5065-4b4f-8418-9bf888206d98"]}],"mendeley":{"formattedCitation":"(Birnbaum et al., 2002; Bukhari et al., 2011; Chin A Paw et al., 2008; de Visser et al., 2016; Haerens et al., 2006; Hoelscher et al., 2016; Hölund, 1990; Lien et al., 2010; Lo et al., 2008; Lubans et al., 2009; Maatoug et al., 2015; M. Martens et al., 2010; Ratcliffe et al., 2011; Revill, 2004; Yang et al., 2015)","manualFormatting":"(Birnbaum et al., 2002; Bukhari et al., 2011; Chin A Paw et al., 2008; de Visser et al., 2016; Haerens et al., 2006; Hoelscher et al., 2016; Hölund, 1990; Lien et al., 2010; Lo et al., 2008; Lubans et al., 2009; Maatoug et al., 2015; Martens et al., 2010; Ratcliffe et al., 2011; Revill, 2004; Yang et al., 2015)","plainTextFormattedCitation":"(Birnbaum et al., 2002; Bukhari et al., 2011; Chin A Paw et al., 2008; de Visser et al., 2016; Haerens et al., 2006; Hoelscher et al., 2016; Hölund, 1990; Lien et al., 2010; Lo et al., 2008; Lubans et al., 2009; Maatoug et al., 2015; M. Martens et al., 2010; Ratcliffe et al., 2011; Revill, 2004; Yang et al., 2015)","previouslyFormattedCitation":"(Birnbaum et al., 2002; Bukhari et al., 2011; Chin A Paw et al., 2008; de Visser et al., 2016; Haerens et al., 2006; Hoelscher et al., 2016; Hölund, 1990; Lien et al., 2010; Lo et al., 2008; Lubans et al., 2009; Maatoug et al., 2015; M. Martens et al., 2010; Ratcliffe et al., 2011; Revill, 2004;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(Birnbaum et al., 2002; Bukhari et al., 2011; Chin A Paw et al., 2008; de Visser et al., 2016; Haerens et al., 2006; Hoelscher et al., 2016; Hölund, 1990; Lien et al., 2010; Lo et al., 2008; Lubans et al., 2009; Maatoug et al., 2015; Martens et al., 2010; Ratcliffe et al., 2011; Revill, 2004; Yang et al., 2015)</w:t>
      </w:r>
      <w:r w:rsidRPr="00B1522E">
        <w:rPr>
          <w:rFonts w:eastAsia="Calibri" w:cstheme="minorHAnsi"/>
        </w:rPr>
        <w:fldChar w:fldCharType="end"/>
      </w:r>
      <w:r w:rsidRPr="00B1522E">
        <w:rPr>
          <w:rFonts w:eastAsia="Calibri" w:cstheme="minorHAnsi"/>
        </w:rPr>
        <w:t xml:space="preserve">, researchers (n = 4)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study.","type":"article-journal","volume":"38"},"uris":["http://www.mendeley.com/documents/?uuid=78beb7d0-a0fa-4834-9f1b-52f489a9a220"]},{"id":"ITEM-3","itemData":{"ISSN":"0091-7435","abstract":"Background: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Theory","id":"ITEM-3","issue":"6","issued":{"date-parts":[["2010","12"]]},"note":"Accession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adolescents.","type":"article-journal","volume":"51"},"uris":["http://www.mendeley.com/documents/?uuid=74acfc22-4c53-4fd1-8464-3f7cdd79586e"]},{"id":"ITEM-4","itemData":{"ISSN":"0031-5125","abstract":"The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Skills","id":"ITEM-4","issue":"2","issued":{"date-parts":[["2005","10"]]},"note":"Accession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eating.","type":"article-journal","volume":"101"},"uris":["http://www.mendeley.com/documents/?uuid=f16d6371-ae55-47d3-b34f-6f5099c47b13"]}],"mendeley":{"formattedCitation":"(Chin A Paw et al., 2008; Lien et al., 2010; Mauriello et al., 2010; Tsorbatzoudis, 2005)","plainTextFormattedCitation":"(Chin A Paw et al., 2008; Lien et al., 2010; Mauriello et al., 2010; Tsorbatzoudis, 2005)","previouslyFormattedCitation":"(Chin A Paw et al., 2008; Lien et al., 2010; Mauriello et al., 2010; Tsorbatzoudis, 2005)"},"properties":{"noteIndex":0},"schema":"https://github.com/citation-style-language/schema/raw/master/csl-citation.json"}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 Lien et al., 2010; Mauriello et al., 2010; Tsorbatzoudis, 2005)</w:t>
      </w:r>
      <w:r w:rsidRPr="00B1522E">
        <w:rPr>
          <w:rFonts w:eastAsia="Calibri" w:cstheme="minorHAnsi"/>
        </w:rPr>
        <w:fldChar w:fldCharType="end"/>
      </w:r>
      <w:r w:rsidRPr="00B1522E">
        <w:rPr>
          <w:rFonts w:eastAsia="Calibri" w:cstheme="minorHAnsi"/>
        </w:rPr>
        <w:t xml:space="preserve">, trained project staff (e.g. volunteers; n = 6) </w:t>
      </w:r>
      <w:r w:rsidRPr="00B1522E">
        <w:rPr>
          <w:rFonts w:eastAsia="Calibri" w:cstheme="minorHAnsi"/>
        </w:rPr>
        <w:fldChar w:fldCharType="begin" w:fldLock="1"/>
      </w:r>
      <w:r w:rsidR="00FD502B" w:rsidRPr="00B1522E">
        <w:rPr>
          <w:rFonts w:eastAsia="Calibri" w:cstheme="minorHAnsi"/>
        </w:rPr>
        <w:instrText>ADDIN CSL_CITATION {"citationItems":[{"id":"ITEM-1","itemData":{"ISSN":"1087-3244","abstract":"Objective: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Behavior","id":"ITEM-1","issue":"5","issued":{"date-parts":[["2016","9"]]},"note":"Accession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behaviors.","type":"article-journal","volume":"40"},"uris":["http://www.mendeley.com/documents/?uuid=d63aebec-2716-44e4-bcb3-02defb99b8f6"]},{"id":"ITEM-2","itemData":{"ISSN":"0268-1153","abstract":"This study reports the effect of a school-randomized fruit and vegetable intervention consisting of a subscription to the Norwegian School Fruit Programme at no parental cost, and the Fruit and Vegetables Make the Marks (FVMM) educational programme, both delivered in the school year of 2001-02. Nine randomly chosen schools received the intervention and 10 schools served as control schools. Participating pupils completed questionnaires at baseline (September 2001), at Follow-up 1 (May-June 2002) and at Follow-up 2 (May 2003). A total of 517 pupils (84%; mean age, 11.3 years at baseline) participated in all three surveys. At both Follow-up 1 and Follow-up 2, strong intervention effects were observed for all-day fruit and vegetable intake (effect sizes were 0.6 and 0.5 portions, respectively). The sustained effect at Follow-up 2,1 year after the end of the intervention, can partly be explained by greater participation rates in the School Fruit Programme (standard paid subscription). We conclude that the effects observed are most likely due to the no-cost subscription and not due to the FVMM educational programme, and that providing pupils with a piece of fruit or a vegetable at school at no cost for the parents is an effective strategy to increase school children's intake of fruit and vegetables. The effect is also sustained 1 year after the end of the nocost subscription, providing increased health benefits. (PsycINFO Database Record (c) 2013 APA, all rights reserved). (journal abstract)","author":[{"dropping-particle":"","family":"Bere","given":"E","non-dropping-particle":"","parse-names":false,"suffix":""},{"dropping-particle":"","family":"Veierød","given":"M B","non-dropping-particle":"","parse-names":false,"suffix":""},{"dropping-particle":"","family":"Bjelland","given":"M","non-dropping-particle":"","parse-names":false,"suffix":""},{"dropping-particle":"","family":"Klepp","given":"K -I.","non-dropping-particle":"","parse-names":false,"suffix":""}],"container-title":"Health Education Research","id":"ITEM-2","issue":"2","issued":{"date-parts":[["2006","4"]]},"note":"Accession Number: 2006-03809-010. PMID: 16219630 Partial author list: First Author &amp;amp; Affiliation: Bere, E.; Department of Nutrition, Institute of Basic Medical Sciences, University of Oslo, Oslo, Norway. Release Date: 20060424. Correction Date: 20130909. Publication Type: Journal (0100), Peer Reviewed Journal (0110). Format Covered: Electronic. Document Type: Journal Article. Language: English. Major Descriptor: Diets; Educational Programs; School Based Intervention; Student Attitudes. Minor Descriptor: Classroom Environment; Elementary School Students; Food Intake; Health Promotion. Classification: Promotion &amp;amp; Maintenance of Health &amp;amp; Wellness (3365). Population: Human (10); Male (30); Female (40). Location: Norway. Age Group: Childhood (birth-12 yrs) (100); School Age (6-12 yrs) (180). Methodology: Empirical Study; Followup Study; Quantitative Study. References Available: Y. Page Count: 8. Issue Publication Date: Apr, 2006.","page":"268-275","publisher":"Oxford University Press","publisher-place":"Bere, E., Department of Nutrition, Institute of Basic Medical Sciences, University of Oslo, Blindern, 0316, Oslo, Norway","title":"Free school fruit--sustained effect 1 year later.","type":"article-journal","volume":"21"},"uris":["http://www.mendeley.com/documents/?uuid=d704e684-57ec-4f08-bbed-9773cab79a29"]},{"id":"ITEM-3","itemData":{"ISSN":"1869-6716","abstract":"The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Medicine","id":"ITEM-3","issue":"1","issued":{"date-parts":[["2015","3"]]},"note":"Accession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girls.","type":"article-journal","volume":"5"},"uris":["http://www.mendeley.com/documents/?uuid=caa5507f-dbd0-4a8e-8a1f-8c2b3fd377e1"]},{"id":"ITEM-4","itemData":{"ISSN":"1090-1981","abstract":"The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Behavior","id":"ITEM-4","issue":"3","issued":{"date-parts":[["2009","6"]]},"note":"Accession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schools.","type":"article-journal","volume":"36"},"uris":["http://www.mendeley.com/documents/?uuid=74f4efaf-f648-40ee-a537-6d3097cacbbf"]},{"id":"ITEM-5","itemData":{"ISSN":"1479-5868","abstract":"Background: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Activity","id":"ITEM-5","issued":{"date-parts":[["2011","2","4"]]},"note":"Accession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intakes.","type":"article-journal","volume":"8"},"uris":["http://www.mendeley.com/documents/?uuid=827f05f5-1374-4d29-b4c3-d6c4de5de2d7"]},{"id":"ITEM-6","itemData":{"ISSN":"1479-5868","abstract":"Background: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Activity","id":"ITEM-6","issued":{"date-parts":[["2016","12"]]},"note":"Accession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behaviors.","type":"article-journal","volume":"13"},"uris":["http://www.mendeley.com/documents/?uuid=823d9b1e-16f3-4ad7-ba7d-86b6176dc2c7"]}],"mendeley":{"formattedCitation":"(Bere et al., 2006; de Visser et al., 2016; Dowd et al., 2015; Dzewaltowski et al., 2009; Hoelscher et al., 2016; Siega-Riz et al., 2011)","manualFormatting":"(Bere et al., 2006; de Visser et al., 2016; Dowd et al., 2015; Dzewaltowski et al., 2009; Hoelscher et al., 2016; Siega-Riz et al., 2011)","plainTextFormattedCitation":"(Bere et al., 2006; de Visser et al., 2016; Dowd et al., 2015; Dzewaltowski et al., 2009; Hoelscher et al., 2016; Siega-Riz et al., 2011)","previouslyFormattedCitation":"(Bere et al., 2006; de Visser et al., 2016; Dowd et al., 2015; Dzewaltowski et al., 2009; Hoelscher et al., 2016; Siega-Riz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2006; de Visser et al., 2016; Dowd et al., 2015; Dzewaltowski et al., 2009; Hoelscher et al., 2016; Siega-Riz et al., 2011)</w:t>
      </w:r>
      <w:r w:rsidRPr="00B1522E">
        <w:rPr>
          <w:rFonts w:eastAsia="Calibri" w:cstheme="minorHAnsi"/>
        </w:rPr>
        <w:fldChar w:fldCharType="end"/>
      </w:r>
      <w:r w:rsidRPr="00B1522E">
        <w:rPr>
          <w:rFonts w:eastAsia="Calibri" w:cstheme="minorHAnsi"/>
        </w:rPr>
        <w:t xml:space="preserve">, peers (n = 9)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research","id":"ITEM-2","issue":"3","issued":{"date-parts":[["2008","3"]]},"page":"144-50","title":"Beverage intake improvement by high school students in Saskatchewan, Canada.","type":"article-journal","volume":"28"},"uris":["http://www.mendeley.com/documents/?uuid=fdc5051e-cbf7-4dcc-9784-097b6caadb05"]},{"id":"ITEM-3","itemData":{"ISSN":"0268-1153","abstract":"Describes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Research","id":"ITEM-3","issue":"2","issued":{"date-parts":[["1987","6"]]},"note":"Accession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Life.'","type":"article-journal","volume":"2"},"uris":["http://www.mendeley.com/documents/?uuid=4ba034f3-de40-4333-9846-e6881c339756"]},{"id":"ITEM-4","itemData":{"ISSN":"0091-7435","abstract":"Objective: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Theory","id":"ITEM-4","issue":"2","issued":{"date-parts":[["2012","2","1"]]},"note":"Accession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trial.","type":"article-journal","volume":"54"},"uris":["http://www.mendeley.com/documents/?uuid=7e4d5a33-052f-4c99-ab20-b4bf103139ae"]},{"id":"ITEM-5","itemData":{"ISSN":"1471-2458","abstract":"Few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Health","id":"ITEM-5","issue":"1","issued":{"date-parts":[["2017","9"]]},"page":"695","title":"Evaluation of a peer education program on student leaders' energy balance-related behaviors","type":"article-journal","volume":"17"},"uris":["http://www.mendeley.com/documents/?uuid=560d1118-94b4-43a0-8347-10a81bff7b3e"]},{"id":"ITEM-6","itemData":{"ISBN":"2153-2168","ISSN":"2153-2168","PMID":"28448174","abstract":"Background: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Obesity","id":"ITEM-6","issue":"4","issued":{"date-parts":[["2017"]]},"page":"300-313","title":"A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Study","type":"article-journal","volume":"13"},"uris":["http://www.mendeley.com/documents/?uuid=74a21169-2cf5-4820-beb8-c5f53e15a838"]},{"id":"ITEM-7","itemData":{"ISSN":"1545-1151","abstract":"INTRODUCTION: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Disease","id":"ITEM-7","issued":{"date-parts":[["2015","9","24"]]},"page":"1-105","publisher":"Centers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2009–2014","type":"article-journal","volume":"12"},"uris":["http://www.mendeley.com/documents/?uuid=7a939433-5065-4b4f-8418-9bf888206d98"]},{"id":"ITEM-8","itemData":{"ISSN":"0957-4824","abstract":"To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International","id":"ITEM-8","issue":"2","issued":{"date-parts":[["2015","6"]]},"note":"Accession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China?","type":"article-journal","volume":"30"},"uris":["http://www.mendeley.com/documents/?uuid=145ecf81-8117-453e-bf69-159987f54f3c"]},{"id":"ITEM-9","itemData":{"ISSN":"0268-1153","abstract":"Conducted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Research","id":"ITEM-9","issue":"4","issued":{"date-parts":[["1990","12"]]},"note":"Accession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study.","type":"article-journal","volume":"5"},"uris":["http://www.mendeley.com/documents/?uuid=9a48b06a-99b7-4f0b-b92b-862a85f3beb5"]}],"mendeley":{"formattedCitation":"(Aceves-Martins et al., 2017; Birnbaum et al., 2002; Foley et al., 2017; Hölund, 1990; Lo et al., 2008; Maatoug et al., 2015; Perry et al., 1987; Wang et al., 2015; Wilson et al., 2012)","plainTextFormattedCitation":"(Aceves-Martins et al., 2017; Birnbaum et al., 2002; Foley et al., 2017; Hölund, 1990; Lo et al., 2008; Maatoug et al., 2015; Perry et al., 1987; Wang et al., 2015; Wilson et al., 2012)","previouslyFormattedCitation":"(Aceves-Martins et al., 2017; Birnbaum et al., 2002; Foley et al., 2017; Hölund, 1990; Lo et al., 2008; Maatoug et al., 2015; Perry et al., 1987; Wang et al., 2015;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Birnbaum et al., 2002; Foley et al., 2017; Hölund, 1990; Lo et al., 2008; Maatoug et al., 2015; Perry et al., 1987; Wang et al., 2015; Wilson et al., 2012)</w:t>
      </w:r>
      <w:r w:rsidRPr="00B1522E">
        <w:rPr>
          <w:rFonts w:eastAsia="Calibri" w:cstheme="minorHAnsi"/>
        </w:rPr>
        <w:fldChar w:fldCharType="end"/>
      </w:r>
      <w:r w:rsidRPr="00B1522E">
        <w:rPr>
          <w:rFonts w:eastAsia="Calibri" w:cstheme="minorHAnsi"/>
        </w:rPr>
        <w:t xml:space="preserve">, nutritional professional (n = 2) </w:t>
      </w:r>
      <w:r w:rsidRPr="00B1522E">
        <w:rPr>
          <w:rFonts w:eastAsia="Calibri" w:cstheme="minorHAnsi"/>
        </w:rPr>
        <w:fldChar w:fldCharType="begin" w:fldLock="1"/>
      </w:r>
      <w:r w:rsidR="007463D4" w:rsidRPr="00B1522E">
        <w:rPr>
          <w:rFonts w:eastAsia="Calibri" w:cstheme="minorHAnsi"/>
        </w:rPr>
        <w:instrText>ADDIN CSL_CITATION {"citationItems":[{"id":"ITEM-1","itemData":{"ISSN":"00223182","abstract":"A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Education","id":"ITEM-1","issue":"1","issued":{"date-parts":[["1995","1"]]},"page":"24-31","title":"Eating disturbances among adolescent girls: Evaluation of a school-based primary prevention program","type":"article-journal","volume":"27"},"uris":["http://www.mendeley.com/documents/?uuid=588adb0d-18f3-406d-bdf5-5d66e25338c4"]},{"id":"ITEM-2","itemData":{"ISSN":"0957-4824","abstract":"To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International","id":"ITEM-2","issue":"2","issued":{"date-parts":[["2015","6"]]},"note":"Accession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China?","type":"article-journal","volume":"30"},"uris":["http://www.mendeley.com/documents/?uuid=145ecf81-8117-453e-bf69-159987f54f3c"]}],"mendeley":{"formattedCitation":"(Neumark-Sztainer et al., 1995; Wang et al., 2015)","plainTextFormattedCitation":"(Neumark-Sztainer et al., 1995; Wang et al., 2015)","previouslyFormattedCitation":"(Neumark-Sztainer et al., 1995; Wang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(Neumark-Sztainer et al., 1995; Wang et al., 2015)</w:t>
      </w:r>
      <w:r w:rsidRPr="00B1522E">
        <w:rPr>
          <w:rFonts w:eastAsia="Calibri" w:cstheme="minorHAnsi"/>
        </w:rPr>
        <w:fldChar w:fldCharType="end"/>
      </w:r>
      <w:r w:rsidRPr="00B1522E">
        <w:rPr>
          <w:rFonts w:eastAsia="Calibri" w:cstheme="minorHAnsi"/>
        </w:rPr>
        <w:t xml:space="preserve">, a professional cook (n = 1) </w:t>
      </w:r>
      <w:r w:rsidRPr="00B1522E">
        <w:rPr>
          <w:rFonts w:eastAsia="Calibri" w:cstheme="minorHAnsi"/>
        </w:rPr>
        <w:fldChar w:fldCharType="begin" w:fldLock="1"/>
      </w:r>
      <w:r w:rsidR="007463D4" w:rsidRPr="00B1522E">
        <w:rPr>
          <w:rFonts w:eastAsia="Calibri" w:cstheme="minorHAnsi"/>
        </w:rPr>
        <w:instrText>ADDIN CSL_CITATION {"citationItems":[{"id":"ITEM-1","itemData":{"ISSN":"1499-4046","abstract":"The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Behavior","id":"ITEM-1","issue":"5","issued":{"date-parts":[["2011","9"]]},"note":"Accession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choices.","type":"article-journal","volume":"43"},"uris":["http://www.mendeley.com/documents/?uuid=7656a537-f4ec-41dc-aa44-b227ceddf977"]}],"mendeley":{"formattedCitation":"(Bukhari et al., 2011)","plainTextFormattedCitation":"(Bukhari et al., 2011)","previouslyFormattedCitation":"(Bukhari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(Bukhari et al., 2011)</w:t>
      </w:r>
      <w:r w:rsidRPr="00B1522E">
        <w:rPr>
          <w:rFonts w:eastAsia="Calibri" w:cstheme="minorHAnsi"/>
        </w:rPr>
        <w:fldChar w:fldCharType="end"/>
      </w:r>
      <w:r w:rsidRPr="00B1522E">
        <w:rPr>
          <w:rFonts w:eastAsia="Calibri" w:cstheme="minorHAnsi"/>
        </w:rPr>
        <w:t xml:space="preserve">, or a nurse (n = 1) </w:t>
      </w:r>
      <w:r w:rsidRPr="00B1522E">
        <w:rPr>
          <w:rFonts w:eastAsia="Calibri" w:cstheme="minorHAnsi"/>
        </w:rPr>
        <w:fldChar w:fldCharType="begin" w:fldLock="1"/>
      </w:r>
      <w:r w:rsidR="00660052" w:rsidRPr="00B1522E">
        <w:rPr>
          <w:rFonts w:eastAsia="Calibri" w:cstheme="minorHAnsi"/>
        </w:rPr>
        <w:instrText>ADDIN CSL_CITATION {"citationItems":[{"id":"ITEM-1","itemData":{"ISSN":"1403-4948","abstract":"Background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Health","id":"ITEM-1","issue":"5","issued":{"date-parts":[["2010","11"]]},"note":"Accession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study.","type":"article-journal","volume":"38"},"uris":["http://www.mendeley.com/documents/?uuid=78beb7d0-a0fa-4834-9f1b-52f489a9a220"]}],"mendeley":{"formattedCitation":"(Lien et al., 2010)","plainTextFormattedCitation":"(Lien et al., 2010)","previouslyFormattedCitation":"(Lien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(Lien et al., 2010)</w:t>
      </w:r>
      <w:r w:rsidRPr="00B1522E">
        <w:rPr>
          <w:rFonts w:eastAsia="Calibri" w:cstheme="minorHAnsi"/>
        </w:rPr>
        <w:fldChar w:fldCharType="end"/>
      </w:r>
      <w:r w:rsidRPr="00B1522E">
        <w:rPr>
          <w:rFonts w:eastAsia="Calibri" w:cstheme="minorHAnsi"/>
        </w:rPr>
        <w:t xml:space="preserve">, whilst one intervention was self-directed (n = 1) </w:t>
      </w:r>
      <w:r w:rsidRPr="00B1522E">
        <w:rPr>
          <w:rFonts w:eastAsia="Calibri" w:cstheme="minorHAnsi"/>
        </w:rPr>
        <w:fldChar w:fldCharType="begin" w:fldLock="1"/>
      </w:r>
      <w:r w:rsidR="007463D4" w:rsidRPr="00B1522E">
        <w:rPr>
          <w:rFonts w:eastAsia="Calibri" w:cstheme="minorHAnsi"/>
        </w:rPr>
        <w:instrText>ADDIN CSL_CITATION {"citationItems":[{"id":"ITEM-1","itemData":{"ISSN":"1087-3244","abstract":"Objectives: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girls.","type":"article-journal","volume":"39"},"uris":["http://www.mendeley.com/documents/?uuid=7b8ee571-076a-4b5d-8ae8-9e0a03d039ae"]}],"mendeley":{"formattedCitation":"(McCabe et al., 2015)","plainTextFormattedCitation":"(McCabe et al., 2015)","previouslyFormattedCitation":"(McCabe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(McCabe et al., 2015)</w:t>
      </w:r>
      <w:r w:rsidRPr="00B1522E">
        <w:rPr>
          <w:rFonts w:eastAsia="Calibri" w:cstheme="minorHAnsi"/>
        </w:rPr>
        <w:fldChar w:fldCharType="end"/>
      </w:r>
      <w:r w:rsidRPr="00B1522E">
        <w:rPr>
          <w:rFonts w:eastAsia="Calibri" w:cstheme="minorHAnsi"/>
        </w:rPr>
        <w:t>.</w:t>
      </w:r>
    </w:p>
    <w:p w14:paraId="7A826CEB" w14:textId="77777777" w:rsidR="00987AC8" w:rsidRPr="00B1522E" w:rsidRDefault="00987AC8" w:rsidP="00987AC8">
      <w:pPr>
        <w:spacing w:after="0" w:line="480" w:lineRule="auto"/>
        <w:jc w:val="both"/>
        <w:rPr>
          <w:rFonts w:eastAsia="Calibri" w:cstheme="minorHAnsi"/>
        </w:rPr>
      </w:pPr>
    </w:p>
    <w:p w14:paraId="78995C31" w14:textId="2910EE7E" w:rsidR="00987AC8" w:rsidRPr="00B1522E" w:rsidRDefault="00987AC8" w:rsidP="00987AC8">
      <w:pPr>
        <w:spacing w:line="480" w:lineRule="auto"/>
        <w:jc w:val="center"/>
        <w:rPr>
          <w:rFonts w:eastAsia="Calibri" w:cstheme="minorHAnsi"/>
        </w:rPr>
      </w:pPr>
    </w:p>
    <w:p w14:paraId="2E72C880" w14:textId="05CD90B8" w:rsidR="00987AC8" w:rsidRPr="00B1522E" w:rsidRDefault="00987AC8" w:rsidP="00987AC8">
      <w:pPr>
        <w:spacing w:line="480" w:lineRule="auto"/>
        <w:jc w:val="center"/>
        <w:rPr>
          <w:rFonts w:eastAsia="Calibri" w:cstheme="minorHAnsi"/>
        </w:rPr>
      </w:pPr>
    </w:p>
    <w:p w14:paraId="3A358D54" w14:textId="337BA8FB" w:rsidR="00C8445F" w:rsidRPr="00B1522E" w:rsidRDefault="00C8445F" w:rsidP="00987AC8">
      <w:pPr>
        <w:spacing w:line="480" w:lineRule="auto"/>
        <w:jc w:val="center"/>
        <w:rPr>
          <w:rFonts w:eastAsia="Calibri" w:cstheme="minorHAnsi"/>
        </w:rPr>
      </w:pPr>
    </w:p>
    <w:p w14:paraId="2A0E7A61" w14:textId="2928FA26" w:rsidR="00C8445F" w:rsidRPr="00B1522E" w:rsidRDefault="00C8445F" w:rsidP="00987AC8">
      <w:pPr>
        <w:spacing w:line="480" w:lineRule="auto"/>
        <w:jc w:val="center"/>
        <w:rPr>
          <w:rFonts w:eastAsia="Calibri" w:cstheme="minorHAnsi"/>
        </w:rPr>
      </w:pPr>
    </w:p>
    <w:p w14:paraId="241143B8" w14:textId="118791AB" w:rsidR="00C8445F" w:rsidRPr="00B1522E" w:rsidRDefault="00C8445F" w:rsidP="00987AC8">
      <w:pPr>
        <w:spacing w:line="480" w:lineRule="auto"/>
        <w:jc w:val="center"/>
        <w:rPr>
          <w:rFonts w:eastAsia="Calibri" w:cstheme="minorHAnsi"/>
        </w:rPr>
      </w:pPr>
    </w:p>
    <w:p w14:paraId="18EC0FBC" w14:textId="77930F8B" w:rsidR="00C8445F" w:rsidRPr="00B1522E" w:rsidRDefault="00C8445F" w:rsidP="00987AC8">
      <w:pPr>
        <w:spacing w:line="480" w:lineRule="auto"/>
        <w:jc w:val="center"/>
        <w:rPr>
          <w:rFonts w:eastAsia="Calibri" w:cstheme="minorHAnsi"/>
        </w:rPr>
      </w:pPr>
    </w:p>
    <w:p w14:paraId="5FC84B25" w14:textId="2FA04D51" w:rsidR="00C8445F" w:rsidRPr="00B1522E" w:rsidRDefault="00C8445F" w:rsidP="00987AC8">
      <w:pPr>
        <w:spacing w:line="480" w:lineRule="auto"/>
        <w:jc w:val="center"/>
        <w:rPr>
          <w:rFonts w:eastAsia="Calibri" w:cstheme="minorHAnsi"/>
        </w:rPr>
      </w:pPr>
    </w:p>
    <w:p w14:paraId="02DE4083" w14:textId="06B490DC" w:rsidR="00E54C75" w:rsidRPr="00B1522E" w:rsidRDefault="00C67356" w:rsidP="00E54C75">
      <w:pPr>
        <w:pStyle w:val="Caption"/>
        <w:keepNext/>
        <w:rPr>
          <w:rFonts w:cstheme="minorHAnsi"/>
          <w:i w:val="0"/>
          <w:iCs w:val="0"/>
          <w:color w:val="auto"/>
          <w:sz w:val="22"/>
          <w:szCs w:val="22"/>
        </w:rPr>
      </w:pPr>
      <w:r w:rsidRPr="00B1522E">
        <w:rPr>
          <w:rFonts w:cstheme="minorHAnsi"/>
          <w:b/>
          <w:bCs/>
          <w:i w:val="0"/>
          <w:iCs w:val="0"/>
          <w:color w:val="auto"/>
          <w:sz w:val="22"/>
          <w:szCs w:val="22"/>
        </w:rPr>
        <w:lastRenderedPageBreak/>
        <w:fldChar w:fldCharType="begin"/>
      </w:r>
      <w:r w:rsidRPr="00B1522E">
        <w:rPr>
          <w:rFonts w:cstheme="minorHAnsi"/>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50" w:name="_Toc97557128"/>
      <w:r w:rsidRPr="00B1522E">
        <w:rPr>
          <w:rFonts w:cstheme="minorHAnsi"/>
          <w:i w:val="0"/>
          <w:iCs w:val="0"/>
          <w:color w:val="auto"/>
          <w:sz w:val="22"/>
          <w:szCs w:val="22"/>
        </w:rPr>
        <w:instrText xml:space="preserve">Table </w:instrText>
      </w:r>
      <w:r w:rsidR="006325D2" w:rsidRPr="00B1522E">
        <w:rPr>
          <w:rFonts w:cstheme="minorHAnsi"/>
          <w:i w:val="0"/>
          <w:iCs w:val="0"/>
          <w:color w:val="auto"/>
          <w:sz w:val="22"/>
          <w:szCs w:val="22"/>
        </w:rPr>
        <w:instrText>5</w:instrText>
      </w:r>
      <w:r w:rsidRPr="00B1522E">
        <w:rPr>
          <w:rFonts w:cstheme="minorHAnsi"/>
          <w:i w:val="0"/>
          <w:iCs w:val="0"/>
          <w:color w:val="auto"/>
          <w:sz w:val="22"/>
          <w:szCs w:val="22"/>
        </w:rPr>
        <w:instrText>. Summary table of key information of intervention components across studies</w:instrText>
      </w:r>
      <w:r w:rsidRPr="00B1522E">
        <w:rPr>
          <w:rFonts w:eastAsia="Calibri" w:cstheme="minorHAnsi"/>
          <w:color w:val="auto"/>
          <w:sz w:val="22"/>
          <w:szCs w:val="22"/>
        </w:rPr>
        <w:instrText>.</w:instrText>
      </w:r>
      <w:bookmarkEnd w:id="50"/>
      <w:r w:rsidRPr="00B1522E">
        <w:rPr>
          <w:rFonts w:cstheme="minorHAnsi"/>
          <w:i w:val="0"/>
          <w:iCs w:val="0"/>
          <w:color w:val="auto"/>
          <w:sz w:val="22"/>
          <w:szCs w:val="22"/>
        </w:rPr>
        <w:instrText>”</w:instrText>
      </w:r>
      <w:r w:rsidRPr="00B1522E">
        <w:rPr>
          <w:rFonts w:cstheme="minorHAnsi"/>
          <w:b/>
          <w:bCs/>
          <w:i w:val="0"/>
          <w:iCs w:val="0"/>
          <w:color w:val="auto"/>
          <w:sz w:val="22"/>
          <w:szCs w:val="22"/>
        </w:rPr>
        <w:instrText xml:space="preserve">\f z\l 2 </w:instrText>
      </w:r>
      <w:r w:rsidRPr="00B1522E">
        <w:rPr>
          <w:rFonts w:cstheme="minorHAnsi"/>
          <w:b/>
          <w:bCs/>
          <w:i w:val="0"/>
          <w:iCs w:val="0"/>
          <w:color w:val="auto"/>
          <w:sz w:val="22"/>
          <w:szCs w:val="22"/>
        </w:rPr>
        <w:fldChar w:fldCharType="end"/>
      </w:r>
      <w:r w:rsidR="00E54C75" w:rsidRPr="00B1522E">
        <w:rPr>
          <w:rFonts w:cstheme="minorHAnsi"/>
          <w:i w:val="0"/>
          <w:iCs w:val="0"/>
          <w:color w:val="auto"/>
          <w:sz w:val="22"/>
          <w:szCs w:val="22"/>
        </w:rPr>
        <w:t xml:space="preserve">Table </w:t>
      </w:r>
      <w:r w:rsidR="006325D2" w:rsidRPr="00B1522E">
        <w:rPr>
          <w:rFonts w:cstheme="minorHAnsi"/>
          <w:i w:val="0"/>
          <w:iCs w:val="0"/>
          <w:color w:val="auto"/>
          <w:sz w:val="22"/>
          <w:szCs w:val="22"/>
        </w:rPr>
        <w:t>5</w:t>
      </w:r>
      <w:r w:rsidR="00E54C75" w:rsidRPr="00B1522E">
        <w:rPr>
          <w:rFonts w:cstheme="minorHAnsi"/>
          <w:i w:val="0"/>
          <w:iCs w:val="0"/>
          <w:color w:val="auto"/>
          <w:sz w:val="22"/>
          <w:szCs w:val="22"/>
        </w:rPr>
        <w:t>. Summary table of key information of intervention components across studies.</w:t>
      </w:r>
    </w:p>
    <w:p w14:paraId="6D7ADB9F" w14:textId="68DB37E8" w:rsidR="00C8445F" w:rsidRPr="00B1522E" w:rsidRDefault="0029133D" w:rsidP="00987AC8">
      <w:pPr>
        <w:spacing w:line="480" w:lineRule="auto"/>
        <w:jc w:val="center"/>
        <w:rPr>
          <w:rFonts w:eastAsia="Calibri" w:cstheme="minorHAnsi"/>
        </w:rPr>
      </w:pPr>
      <w:r w:rsidRPr="00B1522E">
        <w:rPr>
          <w:rFonts w:eastAsia="Calibri" w:cstheme="minorHAnsi"/>
          <w:noProof/>
        </w:rPr>
        <w:drawing>
          <wp:inline distT="0" distB="0" distL="0" distR="0" wp14:anchorId="3CFCAC74" wp14:editId="147D612E">
            <wp:extent cx="6057843" cy="8117058"/>
            <wp:effectExtent l="0" t="0" r="635" b="0"/>
            <wp:docPr id="257" name="Picture 25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alenda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59118" cy="8118766"/>
                    </a:xfrm>
                    <a:prstGeom prst="rect">
                      <a:avLst/>
                    </a:prstGeom>
                  </pic:spPr>
                </pic:pic>
              </a:graphicData>
            </a:graphic>
          </wp:inline>
        </w:drawing>
      </w:r>
    </w:p>
    <w:bookmarkStart w:id="51" w:name="_Toc84678905"/>
    <w:p w14:paraId="0482A45B" w14:textId="260192B3" w:rsidR="00987AC8" w:rsidRPr="00B1522E" w:rsidRDefault="00DD602E" w:rsidP="00734D95">
      <w:pPr>
        <w:spacing w:line="480" w:lineRule="auto"/>
      </w:pPr>
      <w:r w:rsidRPr="00B1522E">
        <w:lastRenderedPageBreak/>
        <w:fldChar w:fldCharType="begin"/>
      </w:r>
      <w:r w:rsidRPr="00B1522E">
        <w:instrText xml:space="preserve"> TC  "</w:instrText>
      </w:r>
      <w:bookmarkStart w:id="52" w:name="_Toc97310419"/>
      <w:r w:rsidRPr="00B1522E">
        <w:instrText>2.4.5 Intervention effectiveness</w:instrText>
      </w:r>
      <w:bookmarkEnd w:id="52"/>
      <w:r w:rsidRPr="00B1522E">
        <w:instrText xml:space="preserve"> " \f x\l 3 </w:instrText>
      </w:r>
      <w:r w:rsidRPr="00B1522E">
        <w:fldChar w:fldCharType="end"/>
      </w:r>
      <w:r w:rsidR="00383D7E" w:rsidRPr="00B1522E">
        <w:t xml:space="preserve">2.4.5 </w:t>
      </w:r>
      <w:r w:rsidR="00987AC8" w:rsidRPr="00B1522E">
        <w:t>Intervention effectiveness</w:t>
      </w:r>
      <w:bookmarkEnd w:id="51"/>
    </w:p>
    <w:p w14:paraId="34880DAD" w14:textId="2443C9FF" w:rsidR="00987AC8" w:rsidRPr="00B1522E" w:rsidRDefault="00987AC8" w:rsidP="00734D95">
      <w:pPr>
        <w:spacing w:line="480" w:lineRule="auto"/>
        <w:jc w:val="both"/>
        <w:rPr>
          <w:rFonts w:eastAsia="Calibri" w:cstheme="minorHAnsi"/>
        </w:rPr>
      </w:pPr>
      <w:r w:rsidRPr="00B1522E">
        <w:rPr>
          <w:rFonts w:eastAsia="Calibri" w:cstheme="minorHAnsi"/>
        </w:rPr>
        <w:t xml:space="preserve">Of the 29 studies identified for review, twenty-four were successful in promoting dietary behaviour change </w:t>
      </w:r>
      <w:r w:rsidRPr="00B1522E">
        <w:rPr>
          <w:rFonts w:eastAsia="Calibri" w:cstheme="minorHAnsi"/>
        </w:rPr>
        <w:fldChar w:fldCharType="begin" w:fldLock="1"/>
      </w:r>
      <w:r w:rsidR="00FD502B"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Behavior","id":"ITEM-3","issue":"5","issued":{"date-parts":[["2011","9"]]},"note":"Accession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choices.","type":"article-journal","volume":"43"},"uris":["http://www.mendeley.com/documents/?uuid=7656a537-f4ec-41dc-aa44-b227ceddf977"]},{"id":"ITEM-4","itemData":{"ISSN":"1479-5868","abstract":"Objectives: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Activity","id":"ITEM-4","issue":"41","issued":{"date-parts":[["2008","8","11"]]},"note":"Accession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program.","type":"article-journal","volume":"5"},"uris":["http://www.mendeley.com/documents/?uuid=0ae3b1a2-a736-4e3f-8869-95e5f4733a34"]},{"id":"ITEM-5","itemData":{"ISSN":"1087-3244","abstract":"Objective: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Behavior","id":"ITEM-5","issue":"5","issued":{"date-parts":[["2016","9"]]},"note":"Accession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behaviors.","type":"article-journal","volume":"40"},"uris":["http://www.mendeley.com/documents/?uuid=d63aebec-2716-44e4-bcb3-02defb99b8f6"]},{"id":"ITEM-6","itemData":{"ISSN":"1869-6716","abstract":"The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Medicine","id":"ITEM-6","issue":"1","issued":{"date-parts":[["2015","3"]]},"note":"Accession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girls.","type":"article-journal","volume":"5"},"uris":["http://www.mendeley.com/documents/?uuid=caa5507f-dbd0-4a8e-8a1f-8c2b3fd377e1"]},{"id":"ITEM-7","itemData":{"ISSN":"1359-107X","abstract":"Objective: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Psychology","id":"ITEM-7","issue":"4","issued":{"date-parts":[["2007","11"]]},"note":"Accession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framework.","type":"article-journal","volume":"12"},"uris":["http://www.mendeley.com/documents/?uuid=2c69d806-7516-4cd4-b2a3-27913c06c285"]},{"id":"ITEM-8","itemData":{"ISSN":"0268-1153","abstract":"The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Research","id":"ITEM-8","issue":"6","issued":{"date-parts":[["2006","12"]]},"note":"Accession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children.","type":"article-journal","volume":"21"},"uris":["http://www.mendeley.com/documents/?uuid=bbef8914-979d-4764-8405-477314275444"]},{"id":"ITEM-9","itemData":{"ISSN":"0268-1153","abstract":"Conducted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Research","id":"ITEM-9","issue":"4","issued":{"date-parts":[["1990","12"]]},"note":"Accession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study.","type":"article-journal","volume":"5"},"uris":["http://www.mendeley.com/documents/?uuid=9a48b06a-99b7-4f0b-b92b-862a85f3beb5"]},{"id":"ITEM-10","itemData":{"ISSN":"1479-5868","abstract":"Background: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Activity","id":"ITEM-10","issued":{"date-parts":[["2016","12"]]},"note":"Accession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behaviors.","type":"article-journal","volume":"13"},"uris":["http://www.mendeley.com/documents/?uuid=823d9b1e-16f3-4ad7-ba7d-86b6176dc2c7"]},{"id":"ITEM-11","itemData":{"ISSN":"1879-0739","PMID":"19083401","abstract":"Certain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research","id":"ITEM-11","issue":"3","issued":{"date-parts":[["2008","3"]]},"page":"144-50","title":"Beverage intake improvement by high school students in Saskatchewan, Canada.","type":"article-journal","volume":"28"},"uris":["http://www.mendeley.com/documents/?uuid=fdc5051e-cbf7-4dcc-9784-097b6caadb05"]},{"id":"ITEM-12","itemData":{"ISSN":"1054-139X","abstract":"Purpose: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Health","id":"ITEM-12","issue":"2","issued":{"date-parts":[["2009","2"]]},"note":"Accession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intervention.","type":"article-journal","volume":"44"},"uris":["http://www.mendeley.com/documents/?uuid=3436d664-5481-4deb-9498-5b6cd81039b0"]},{"id":"ITEM-13","itemData":{"ISSN":"0091-7435","abstract":"Background: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Theory","id":"ITEM-13","issue":"6","issued":{"date-parts":[["2010","12"]]},"note":"Accession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adolescents.","type":"article-journal","volume":"51"},"uris":["http://www.mendeley.com/documents/?uuid=74acfc22-4c53-4fd1-8464-3f7cdd79586e"]},{"id":"ITEM-14","itemData":{"ISSN":"00223182","abstract":"A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Education","id":"ITEM-14","issue":"1","issued":{"date-parts":[["1995","1"]]},"page":"24-31","title":"Eating disturbances among adolescent girls: Evaluation of a school-based primary prevention program","type":"article-journal","volume":"27"},"uris":["http://www.mendeley.com/documents/?uuid=588adb0d-18f3-406d-bdf5-5d66e25338c4"]},{"id":"ITEM-15","itemData":{"ISSN":"0268-1153","abstract":"Describes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Research","id":"ITEM-15","issue":"2","issued":{"date-parts":[["1987","6"]]},"note":"Accession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Life.'","type":"article-journal","volume":"2"},"uris":["http://www.mendeley.com/documents/?uuid=4ba034f3-de40-4333-9846-e6881c339756"]},{"id":"ITEM-16","itemData":{"ISSN":"1524-8399","abstract":"This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Practice","id":"ITEM-16","issue":"1","issued":{"date-parts":[["2011","1"]]},"note":"Accession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consumption.","type":"article-journal","volume":"12"},"uris":["http://www.mendeley.com/documents/?uuid=5e69dc5b-a75e-44cd-a690-1ad10a553ee8"]},{"id":"ITEM-17","itemData":{"ISSN":"1479-5868","abstract":"Background: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Activity","id":"ITEM-17","issued":{"date-parts":[["2011","2","4"]]},"note":"Accession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intakes.","type":"article-journal","volume":"8"},"uris":["http://www.mendeley.com/documents/?uuid=827f05f5-1374-4d29-b4c3-d6c4de5de2d7"]},{"id":"ITEM-18","itemData":{"ISSN":"0031-5125","abstract":"The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Skills","id":"ITEM-18","issue":"2","issued":{"date-parts":[["2005","10"]]},"note":"Accession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eating.","type":"article-journal","volume":"101"},"uris":["http://www.mendeley.com/documents/?uuid=f16d6371-ae55-47d3-b34f-6f5099c47b13"]},{"id":"ITEM-19","itemData":{"ISSN":"0957-4824","abstract":"To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International","id":"ITEM-19","issue":"2","issued":{"date-parts":[["2015","6"]]},"note":"Accession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China?","type":"article-journal","volume":"30"},"uris":["http://www.mendeley.com/documents/?uuid=145ecf81-8117-453e-bf69-159987f54f3c"]},{"id":"ITEM-20","itemData":{"ISSN":"0091-7435","abstract":"Objective: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Theory","id":"ITEM-20","issue":"2","issued":{"date-parts":[["2012","2","1"]]},"note":"Accession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trial.","type":"article-journal","volume":"54"},"uris":["http://www.mendeley.com/documents/?uuid=7e4d5a33-052f-4c99-ab20-b4bf103139ae"]},{"id":"ITEM-21","itemData":{"ISSN":"0360-1315","abstract":"Nutrition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Education","id":"ITEM-21","issued":{"date-parts":[["2015","10"]]},"note":"Accession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elements.","type":"article-journal","volume":"88"},"uris":["http://www.mendeley.com/documents/?uuid=d0bc6350-9c55-462b-82b0-80648f3f942f"]},{"id":"ITEM-22","itemData":{"ISSN":"1471-2458","abstract":"Few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Health","id":"ITEM-22","issue":"1","issued":{"date-parts":[["2017","9"]]},"page":"695","title":"Evaluation of a peer education program on student leaders' energy balance-related behaviors","type":"article-journal","volume":"17"},"uris":["http://www.mendeley.com/documents/?uuid=560d1118-94b4-43a0-8347-10a81bff7b3e"]},{"id":"ITEM-23","itemData":{"ISBN":"2153-2168","ISSN":"2153-2168","PMID":"28448174","abstract":"Background: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Obesity","id":"ITEM-23","issue":"4","issued":{"date-parts":[["2017"]]},"page":"300-313","title":"A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Study","type":"article-journal","volume":"13"},"uris":["http://www.mendeley.com/documents/?uuid=74a21169-2cf5-4820-beb8-c5f53e15a838"]},{"id":"ITEM-24","itemData":{"ISSN":"1545-1151","abstract":"INTRODUCTION: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Disease","id":"ITEM-24","issued":{"date-parts":[["2015","9","24"]]},"page":"1-105","publisher":"Centers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Bere et al., 2007; Birnbaum et al., 2002; Bukhari et al., 2011; Chin A Paw et al., 2008; de Visser et al., 2016; Dowd et al., 2015; Foley et al., 2017; Gratton et al., 2007; Haerens et al., 2006; Hoelscher et al., 2016; Hölund, 1990; Lo et al., 2008; Lubans et al., 2009; Maatoug et al., 2015; Mauriello et al., 2010; Neumark-Sztainer et al., 1995; Perry et al., 1987; Ratcliffe et al., 2011; Siega-Riz et al., 2011; Tsorbatzoudis, 2005; Wang et al., 2015; Wilson et al., 2012; Yang et al., 2015)","manualFormatting":"(Aceves-Martins et al., 2017; Bere et al., 2007; Birnbaum et al., 2002; Bukhari et al., 2011; Chin A Paw et al., 2008; de Visser et al., 2016; Dowd et al., 2015; Foley et al., 2017; Gratton et al., 2007; Haerens et al., 2006; Hoelscher et al., 2016; Hölund, 1990; Lo et al., 2008; Lubans et al., 2009; Maatoug et al., 2015; Mauriello et al., 2010; Neumark-Sztainer et al., 1995; Perry et al., 1987; Ratcliffe et al., 2011; Siega-Riz et al., 2011; Tsorbatzoudis, 2005; Wang et al., 2015; Wilson et al., 2012; Yang et al., 2015)","plainTextFormattedCitation":"(Aceves-Martins et al., 2017; Bere et al., 2007; Birnbaum et al., 2002; Bukhari et al., 2011; Chin A Paw et al., 2008; de Visser et al., 2016; Dowd et al., 2015; Foley et al., 2017; Gratton et al., 2007; Haerens et al., 2006; Hoelscher et al., 2016; Hölund, 1990; Lo et al., 2008; Lubans et al., 2009; Maatoug et al., 2015; Mauriello et al., 2010; Neumark-Sztainer et al., 1995; Perry et al., 1987; Ratcliffe et al., 2011; Siega-Riz et al., 2011; Tsorbatzoudis, 2005; Wang et al., 2015; Wilson et al., 2012; Yang et al., 2015)","previouslyFormattedCitation":"(Aceves-Martins et al., 2017; Bere et al., 2007; Birnbaum et al., 2002; Bukhari et al., 2011; Chin A Paw et al., 2008; de Visser et al., 2016; Dowd et al., 2015; Foley et al., 2017; Gratton et al., 2007; Haerens et al., 2006; Hoelscher et al., 2016; Hölund, 1990; Lo et al., 2008; Lubans et al., 2009; Maatoug et al., 2015; Mauriello et al., 2010; Neumark-Sztainer et al., 1995; Perry et al., 1987; Ratcliffe et al., 2011; Siega-Riz et al., 2011; Tsorbatzoudis, 2005; Wang et al., 2015; Wilson et al., 2012; Yang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Bere et al., 2007; Birnbaum et al., 2002; Bukhari et al., 2011; Chin A Paw et al., 2008; de Visser et al., 2016; Dowd et al., 2015; Foley et al., 2017; Gratton et al., 2007; Haerens et al., 2006; Hoelscher et al., 2016; Hölund, 1990; Lo et al., 2008; Lubans et al., 2009; Maatoug et al., 2015; Mauriello et al., 2010; Neumark-Sztainer et al., 1995; Perry et al., 1987; Ratcliffe et al., 2011; Siega-Riz et al., 2011; Tsorbatzoudis, 2005; Wang et al., 2015; Wilson et al., 2012; Yang et al., 2015)</w:t>
      </w:r>
      <w:r w:rsidRPr="00B1522E">
        <w:rPr>
          <w:rFonts w:eastAsia="Calibri" w:cstheme="minorHAnsi"/>
        </w:rPr>
        <w:fldChar w:fldCharType="end"/>
      </w:r>
      <w:r w:rsidRPr="00B1522E">
        <w:rPr>
          <w:rFonts w:eastAsia="Calibri" w:cstheme="minorHAnsi"/>
        </w:rPr>
        <w:t xml:space="preserve">. One of the main contributing factors to a successful intervention was peer involvement. Of the studies that included peer involvement (n = 9)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Research","id":"ITEM-2","issue":"4","issued":{"date-parts":[["1990","12"]]},"note":"Accession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study.","type":"article-journal","volume":"5"},"uris":["http://www.mendeley.com/documents/?uuid=9a48b06a-99b7-4f0b-b92b-862a85f3beb5"]},{"id":"ITEM-3","itemData":{"ISSN":"1879-0739","PMID":"19083401","abstract":"Certain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research","id":"ITEM-3","issue":"3","issued":{"date-parts":[["2008","3"]]},"page":"144-50","title":"Beverage intake improvement by high school students in Saskatchewan, Canada.","type":"article-journal","volume":"28"},"uris":["http://www.mendeley.com/documents/?uuid=fdc5051e-cbf7-4dcc-9784-097b6caadb05"]},{"id":"ITEM-4","itemData":{"ISSN":"0268-1153","abstract":"Describes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Research","id":"ITEM-4","issue":"2","issued":{"date-parts":[["1987","6"]]},"note":"Accession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Life.'","type":"article-journal","volume":"2"},"uris":["http://www.mendeley.com/documents/?uuid=4ba034f3-de40-4333-9846-e6881c339756"]},{"id":"ITEM-5","itemData":{"ISSN":"0957-4824","abstract":"To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International","id":"ITEM-5","issue":"2","issued":{"date-parts":[["2015","6"]]},"note":"Accession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China?","type":"article-journal","volume":"30"},"uris":["http://www.mendeley.com/documents/?uuid=145ecf81-8117-453e-bf69-159987f54f3c"]},{"id":"ITEM-6","itemData":{"ISSN":"0091-7435","abstract":"Objective: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Theory","id":"ITEM-6","issue":"2","issued":{"date-parts":[["2012","2","1"]]},"note":"Accession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trial.","type":"article-journal","volume":"54"},"uris":["http://www.mendeley.com/documents/?uuid=7e4d5a33-052f-4c99-ab20-b4bf103139ae"]},{"id":"ITEM-7","itemData":{"ISSN":"1471-2458","abstract":"Few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Health","id":"ITEM-7","issue":"1","issued":{"date-parts":[["2017","9"]]},"page":"695","title":"Evaluation of a peer education program on student leaders' energy balance-related behaviors","type":"article-journal","volume":"17"},"uris":["http://www.mendeley.com/documents/?uuid=560d1118-94b4-43a0-8347-10a81bff7b3e"]},{"id":"ITEM-8","itemData":{"ISBN":"2153-2168","ISSN":"2153-2168","PMID":"28448174","abstract":"Background: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Obesity","id":"ITEM-8","issue":"4","issued":{"date-parts":[["2017"]]},"page":"300-313","title":"A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Study","type":"article-journal","volume":"13"},"uris":["http://www.mendeley.com/documents/?uuid=74a21169-2cf5-4820-beb8-c5f53e15a838"]},{"id":"ITEM-9","itemData":{"ISSN":"1545-1151","abstract":"INTRODUCTION: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Disease","id":"ITEM-9","issued":{"date-parts":[["2015","9","24"]]},"page":"1-105","publisher":"Centers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Birnbaum et al., 2002; Foley et al., 2017; Hölund, 1990; Lo et al., 2008; Maatoug et al., 2015; Perry et al., 1987; Wang et al., 2015; Wilson et al., 2012)","plainTextFormattedCitation":"(Aceves-Martins et al., 2017; Birnbaum et al., 2002; Foley et al., 2017; Hölund, 1990; Lo et al., 2008; Maatoug et al., 2015; Perry et al., 1987; Wang et al., 2015; Wilson et al., 2012)","previouslyFormattedCitation":"(Aceves-Martins et al., 2017; Birnbaum et al., 2002; Foley et al., 2017; Hölund, 1990; Lo et al., 2008; Maatoug et al., 2015; Perry et al., 1987; Wang et al., 2015;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Birnbaum et al., 2002; Foley et al., 2017; Hölund, 1990; Lo et al., 2008; Maatoug et al., 2015; Perry et al., 1987; Wang et al., 2015; Wilson et al., 2012)</w:t>
      </w:r>
      <w:r w:rsidRPr="00B1522E">
        <w:rPr>
          <w:rFonts w:eastAsia="Calibri" w:cstheme="minorHAnsi"/>
        </w:rPr>
        <w:fldChar w:fldCharType="end"/>
      </w:r>
      <w:r w:rsidRPr="00B1522E">
        <w:rPr>
          <w:rFonts w:eastAsia="Calibri" w:cstheme="minorHAnsi"/>
        </w:rPr>
        <w:t xml:space="preserve">, such as discussion groups and small group projects, </w:t>
      </w:r>
      <w:r w:rsidRPr="00B1522E">
        <w:rPr>
          <w:rFonts w:eastAsia="Calibri" w:cstheme="minorHAnsi"/>
          <w:i/>
        </w:rPr>
        <w:t>all</w:t>
      </w:r>
      <w:r w:rsidRPr="00B1522E">
        <w:rPr>
          <w:rFonts w:eastAsia="Calibri" w:cstheme="minorHAnsi"/>
        </w:rPr>
        <w:t xml:space="preserve"> were successful at promoting behaviour change within the target population</w:t>
      </w:r>
      <w:r w:rsidRPr="00B1522E">
        <w:rPr>
          <w:rStyle w:val="CommentReference"/>
          <w:rFonts w:cstheme="minorHAnsi"/>
          <w:sz w:val="22"/>
          <w:szCs w:val="22"/>
        </w:rPr>
        <w:t>.</w:t>
      </w:r>
      <w:r w:rsidRPr="00B1522E">
        <w:rPr>
          <w:rFonts w:eastAsia="Calibri" w:cstheme="minorHAnsi"/>
        </w:rPr>
        <w:t xml:space="preserve"> In addition, interventions that included media content (n = 7; for example, in-school pre-recorded radio or television shows promoting healthy eating behaviours) </w:t>
      </w:r>
      <w:r w:rsidRPr="00B1522E">
        <w:rPr>
          <w:rFonts w:eastAsia="Calibri" w:cstheme="minorHAnsi"/>
        </w:rPr>
        <w:fldChar w:fldCharType="begin" w:fldLock="1"/>
      </w:r>
      <w:r w:rsidR="00971CA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Activity","id":"ITEM-2","issue":"41","issued":{"date-parts":[["2008","8","11"]]},"note":"Accession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program.","type":"article-journal","volume":"5"},"uris":["http://www.mendeley.com/documents/?uuid=0ae3b1a2-a736-4e3f-8869-95e5f4733a34"]},{"id":"ITEM-3","itemData":{"ISSN":"0268-1153","abstract":"Conducted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Research","id":"ITEM-3","issue":"4","issued":{"date-parts":[["1990","12"]]},"note":"Accession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study.","type":"article-journal","volume":"5"},"uris":["http://www.mendeley.com/documents/?uuid=9a48b06a-99b7-4f0b-b92b-862a85f3beb5"]},{"id":"ITEM-4","itemData":{"ISSN":"0268-1153","abstract":"Describes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Research","id":"ITEM-4","issue":"2","issued":{"date-parts":[["1987","6"]]},"note":"Accession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Life.'","type":"article-journal","volume":"2"},"uris":["http://www.mendeley.com/documents/?uuid=4ba034f3-de40-4333-9846-e6881c339756"]},{"id":"ITEM-5","itemData":{"ISSN":"0268-1153","abstract":"The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Research","id":"ITEM-5","issue":"6","issued":{"date-parts":[["2006","12"]]},"note":"Accession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children.","type":"article-journal","volume":"21"},"uris":["http://www.mendeley.com/documents/?uuid=bbef8914-979d-4764-8405-477314275444"]},{"id":"ITEM-6","itemData":{"ISSN":"1471-2458","abstract":"Few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Health","id":"ITEM-6","issue":"1","issued":{"date-parts":[["2017","9"]]},"page":"695","title":"Evaluation of a peer education program on student leaders' energy balance-related behaviors","type":"article-journal","volume":"17"},"uris":["http://www.mendeley.com/documents/?uuid=560d1118-94b4-43a0-8347-10a81bff7b3e"]},{"id":"ITEM-7","itemData":{"ISBN":"2153-2168","ISSN":"2153-2168","PMID":"28448174","abstract":"Background: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Obesity","id":"ITEM-7","issue":"4","issued":{"date-parts":[["2017"]]},"page":"300-313","title":"A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Birnbaum et al., 2002; Chin A Paw et al., 2008; Foley et al., 2017; Haerens et al., 2006; Hölund, 1990; Perry et al., 1987)","plainTextFormattedCitation":"(Aceves-Martins et al., 2017; Birnbaum et al., 2002; Chin A Paw et al., 2008; Foley et al., 2017; Haerens et al., 2006; Hölund, 1990; Perry et al., 1987)","previouslyFormattedCitation":"(Aceves-Martins et al., 2017; Birnbaum et al., 2002; Chin A Paw et al., 2008; Foley et al., 2017; Haerens et al., 2006; Hölund, 1990; Perry et al., 1987)"},"properties":{"noteIndex":0},"schema":"https://github.com/citation-style-language/schema/raw/master/csl-citation.json"}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(Aceves-Martins et al., 2017; Birnbaum et al., 2002; Chin A Paw et al., 2008; Foley et al., 2017; Haerens et al., 2006; Hölund, 1990; Perry et al., 1987)</w:t>
      </w:r>
      <w:r w:rsidRPr="00B1522E">
        <w:rPr>
          <w:rFonts w:eastAsia="Calibri" w:cstheme="minorHAnsi"/>
        </w:rPr>
        <w:fldChar w:fldCharType="end"/>
      </w:r>
      <w:r w:rsidRPr="00B1522E">
        <w:rPr>
          <w:rFonts w:eastAsia="Calibri" w:cstheme="minorHAnsi"/>
        </w:rPr>
        <w:t xml:space="preserve">, or increased the availability of healthy foods in the school (n = 6) </w:t>
      </w:r>
      <w:r w:rsidRPr="00B1522E">
        <w:rPr>
          <w:rFonts w:eastAsia="Calibri" w:cstheme="minorHAnsi"/>
        </w:rPr>
        <w:fldChar w:fldCharType="begin" w:fldLock="1"/>
      </w:r>
      <w:r w:rsidR="00971CA4" w:rsidRPr="00B1522E">
        <w:rPr>
          <w:rFonts w:eastAsia="Calibri" w:cstheme="minorHAnsi"/>
        </w:rPr>
        <w:instrText>ADDIN CSL_CITATION {"citationItems":[{"id":"ITEM-1","itemData":{"ISSN":"0268-1153","abstract":"This study reports the effect of a school-randomized fruit and vegetable intervention consisting of a subscription to the Norwegian School Fruit Programme at no parental cost, and the Fruit and Vegetables Make the Marks (FVMM) educational programme, both delivered in the school year of 2001-02. Nine randomly chosen schools received the intervention and 10 schools served as control schools. Participating pupils completed questionnaires at baseline (September 2001), at Follow-up 1 (May-June 2002) and at Follow-up 2 (May 2003). A total of 517 pupils (84%; mean age, 11.3 years at baseline) participated in all three surveys. At both Follow-up 1 and Follow-up 2, strong intervention effects were observed for all-day fruit and vegetable intake (effect sizes were 0.6 and 0.5 portions, respectively). The sustained effect at Follow-up 2,1 year after the end of the intervention, can partly be explained by greater participation rates in the School Fruit Programme (standard paid subscription). We conclude that the effects observed are most likely due to the no-cost subscription and not due to the FVMM educational programme, and that providing pupils with a piece of fruit or a vegetable at school at no cost for the parents is an effective strategy to increase school children's intake of fruit and vegetables. The effect is also sustained 1 year after the end of the nocost subscription, providing increased health benefits. (PsycINFO Database Record (c) 2013 APA, all rights reserved). (journal abstract)","author":[{"dropping-particle":"","family":"Bere","given":"E","non-dropping-particle":"","parse-names":false,"suffix":""},{"dropping-particle":"","family":"Veierød","given":"M B","non-dropping-particle":"","parse-names":false,"suffix":""},{"dropping-particle":"","family":"Bjelland","given":"M","non-dropping-particle":"","parse-names":false,"suffix":""},{"dropping-particle":"","family":"Klepp","given":"K -I.","non-dropping-particle":"","parse-names":false,"suffix":""}],"container-title":"Health Education Research","id":"ITEM-1","issue":"2","issued":{"date-parts":[["2006","4"]]},"note":"Accession Number: 2006-03809-010. PMID: 16219630 Partial author list: First Author &amp;amp; Affiliation: Bere, E.; Department of Nutrition, Institute of Basic Medical Sciences, University of Oslo, Oslo, Norway. Release Date: 20060424. Correction Date: 20130909. Publication Type: Journal (0100), Peer Reviewed Journal (0110). Format Covered: Electronic. Document Type: Journal Article. Language: English. Major Descriptor: Diets; Educational Programs; School Based Intervention; Student Attitudes. Minor Descriptor: Classroom Environment; Elementary School Students; Food Intake; Health Promotion. Classification: Promotion &amp;amp; Maintenance of Health &amp;amp; Wellness (3365). Population: Human (10); Male (30); Female (40). Location: Norway. Age Group: Childhood (birth-12 yrs) (100); School Age (6-12 yrs) (180). Methodology: Empirical Study; Followup Study; Quantitative Study. References Available: Y. Page Count: 8. Issue Publication Date: Apr, 2006.","page":"268-275","publisher":"Oxford University Press","publisher-place":"Bere, E., Department of Nutrition, Institute of Basic Medical Sciences, University of Oslo, Blindern, 0316, Oslo, Norway","title":"Free school fruit--sustained effect 1 year later.","type":"article-journal","volume":"21"},"uris":["http://www.mendeley.com/documents/?uuid=d704e684-57ec-4f08-bbed-9773cab79a29"]},{"id":"ITEM-2","itemData":{"ISSN":"1090-1981","abstract":"Examined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Research","id":"ITEM-4","issue":"6","issued":{"date-parts":[["2006","12"]]},"note":"Accession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children.","type":"article-journal","volume":"21"},"uris":["http://www.mendeley.com/documents/?uuid=bbef8914-979d-4764-8405-477314275444"]},{"id":"ITEM-5","itemData":{"ISSN":"1087-3244","abstract":"Objective: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Behavior","id":"ITEM-5","issue":"5","issued":{"date-parts":[["2016","9"]]},"note":"Accession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behaviors.","type":"article-journal","volume":"40"},"uris":["http://www.mendeley.com/documents/?uuid=d63aebec-2716-44e4-bcb3-02defb99b8f6"]},{"id":"ITEM-6","itemData":{"ISSN":"1545-1151","abstract":"INTRODUCTION: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Disease","id":"ITEM-6","issued":{"date-parts":[["2015","9","24"]]},"page":"1-105","publisher":"Centers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2009–2014","type":"article-journal","volume":"12"},"uris":["http://www.mendeley.com/documents/?uuid=7a939433-5065-4b4f-8418-9bf888206d98"]}],"mendeley":{"formattedCitation":"(Bere et al., 2006; Birnbaum et al., 2002; Chin A Paw et al., 2008; de Visser et al., 2016; Haerens et al., 2006; Maatoug et al., 2015)","manualFormatting":"(Bere et al., 2006; Birnbaum et al., 2002; Chin A Paw et al., 2008; de Visser et al., 2016; Haerens et al., 2006; Maatoug et al., 2015)","plainTextFormattedCitation":"(Bere et al., 2006; Birnbaum et al., 2002; Chin A Paw et al., 2008; de Visser et al., 2016; Haerens et al., 2006; Maatoug et al., 2015)","previouslyFormattedCitation":"(Bere et al., 2006; Birnbaum et al., 2002; Chin A Paw et al., 2008; de Visser et al., 2016; Haerens et al., 2006; Maatoug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2006; Birnbaum et al., 2002; Chin A Paw et al., 2008; de Visser et al., 2016; Haerens et al., 2006; Maatoug et al., 2015)</w:t>
      </w:r>
      <w:r w:rsidRPr="00B1522E">
        <w:rPr>
          <w:rFonts w:eastAsia="Calibri" w:cstheme="minorHAnsi"/>
        </w:rPr>
        <w:fldChar w:fldCharType="end"/>
      </w:r>
      <w:r w:rsidRPr="00B1522E">
        <w:rPr>
          <w:rFonts w:eastAsia="Calibri" w:cstheme="minorHAnsi"/>
        </w:rPr>
        <w:t xml:space="preserve">, also reported showing significant positive change in dietary behaviours (for example, increase in fruit and vegetable consumption </w:t>
      </w:r>
      <w:r w:rsidRPr="00B1522E">
        <w:rPr>
          <w:rFonts w:eastAsia="Calibri" w:cstheme="minorHAnsi"/>
        </w:rPr>
        <w:fldChar w:fldCharType="begin" w:fldLock="1"/>
      </w:r>
      <w:r w:rsidR="007463D4" w:rsidRPr="00B1522E">
        <w:rPr>
          <w:rFonts w:eastAsia="Calibri" w:cstheme="minorHAnsi"/>
        </w:rPr>
        <w:instrText>ADDIN CSL_CITATION {"citationItems":[{"id":"ITEM-1","itemData":{"ISSN":"1545-1151","abstract":"INTRODUCTION: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2009–2014","type":"article-journal","volume":"12"},"uris":["http://www.mendeley.com/documents/?uuid=7a939433-5065-4b4f-8418-9bf888206d98"]}],"mendeley":{"formattedCitation":"(Maatoug et al., 2015)","plainTextFormattedCitation":"(Maatoug et al., 2015)","previouslyFormattedCitation":"(Maatoug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(Maatoug et al., 2015)</w:t>
      </w:r>
      <w:r w:rsidRPr="00B1522E">
        <w:rPr>
          <w:rFonts w:eastAsia="Calibri" w:cstheme="minorHAnsi"/>
        </w:rPr>
        <w:fldChar w:fldCharType="end"/>
      </w:r>
      <w:r w:rsidRPr="00B1522E">
        <w:rPr>
          <w:rFonts w:eastAsia="Calibri" w:cstheme="minorHAnsi"/>
        </w:rPr>
        <w:t xml:space="preserve">). Three studies used focused interventions to target specific behaviours, through increasing the availability of fruit </w:t>
      </w:r>
      <w:r w:rsidRPr="00B1522E">
        <w:rPr>
          <w:rFonts w:eastAsia="Calibri" w:cstheme="minorHAnsi"/>
        </w:rPr>
        <w:fldChar w:fldCharType="begin" w:fldLock="1"/>
      </w:r>
      <w:r w:rsidR="00CD35E5"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later","type":"article-journal","volume":"4"},"uris":["http://www.mendeley.com/documents/?uuid=c57324e0-7849-4506-9783-9bf0eec726c9"]}],"mendeley":{"formattedCitation":"(Bere et al., 2007)","manualFormatting":"(Bere et al., 2007)","plainTextFormattedCitation":"(Bere et al., 2007)","previouslyFormattedCitation":"(Bere et al., 2007)"},"properties":{"noteIndex":0},"schema":"https://github.com/citation-style-language/schema/raw/master/csl-citation.json"}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2007)</w:t>
      </w:r>
      <w:r w:rsidRPr="00B1522E">
        <w:rPr>
          <w:rFonts w:eastAsia="Calibri" w:cstheme="minorHAnsi"/>
        </w:rPr>
        <w:fldChar w:fldCharType="end"/>
      </w:r>
      <w:r w:rsidRPr="00B1522E">
        <w:rPr>
          <w:rFonts w:eastAsia="Calibri" w:cstheme="minorHAnsi"/>
        </w:rPr>
        <w:t xml:space="preserve">, asking participants to form implementation intentions about fruit and vegetable consumption </w:t>
      </w:r>
      <w:r w:rsidRPr="00B1522E">
        <w:rPr>
          <w:rFonts w:eastAsia="Calibri" w:cstheme="minorHAnsi"/>
        </w:rPr>
        <w:fldChar w:fldCharType="begin" w:fldLock="1"/>
      </w:r>
      <w:r w:rsidR="007463D4" w:rsidRPr="00B1522E">
        <w:rPr>
          <w:rFonts w:eastAsia="Calibri" w:cstheme="minorHAnsi"/>
        </w:rPr>
        <w:instrText>ADDIN CSL_CITATION {"citationItems":[{"id":"ITEM-1","itemData":{"ISSN":"1359-107X","abstract":"Objective: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Psychology","id":"ITEM-1","issue":"4","issued":{"date-parts":[["2007","11"]]},"note":"Accession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framework.","type":"article-journal","volume":"12"},"uris":["http://www.mendeley.com/documents/?uuid=2c69d806-7516-4cd4-b2a3-27913c06c285"]}],"mendeley":{"formattedCitation":"(Gratton et al., 2007)","plainTextFormattedCitation":"(Gratton et al., 2007)","previouslyFormattedCitation":"(Gratton et al., 2007)"},"properties":{"noteIndex":0},"schema":"https://github.com/citation-style-language/schema/raw/master/csl-citation.json"}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(Gratton et al., 2007)</w:t>
      </w:r>
      <w:r w:rsidRPr="00B1522E">
        <w:rPr>
          <w:rFonts w:eastAsia="Calibri" w:cstheme="minorHAnsi"/>
        </w:rPr>
        <w:fldChar w:fldCharType="end"/>
      </w:r>
      <w:r w:rsidRPr="00B1522E">
        <w:rPr>
          <w:rFonts w:eastAsia="Calibri" w:cstheme="minorHAnsi"/>
        </w:rPr>
        <w:t xml:space="preserve">, and using computer-based feedback </w:t>
      </w:r>
      <w:r w:rsidRPr="00B1522E">
        <w:rPr>
          <w:rFonts w:eastAsia="Calibri" w:cstheme="minorHAnsi"/>
        </w:rPr>
        <w:fldChar w:fldCharType="begin" w:fldLock="1"/>
      </w:r>
      <w:r w:rsidR="00D046DC" w:rsidRPr="00B1522E">
        <w:rPr>
          <w:rFonts w:eastAsia="Calibri" w:cstheme="minorHAnsi"/>
        </w:rPr>
        <w:instrText>ADDIN CSL_CITATION {"citationItems":[{"id":"ITEM-1","itemData":{"ISSN":"0091-7435","abstract":"Background: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adolescents.","type":"article-journal","volume":"51"},"uris":["http://www.mendeley.com/documents/?uuid=74acfc22-4c53-4fd1-8464-3f7cdd79586e"]}],"mendeley":{"formattedCitation":"(Mauriello et al., 2010)","plainTextFormattedCitation":"(Mauriello et al., 2010)","previouslyFormattedCitation":"(Mauriello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(Mauriello et al., 2010)</w:t>
      </w:r>
      <w:r w:rsidRPr="00B1522E">
        <w:rPr>
          <w:rFonts w:eastAsia="Calibri" w:cstheme="minorHAnsi"/>
        </w:rPr>
        <w:fldChar w:fldCharType="end"/>
      </w:r>
      <w:r w:rsidRPr="00B1522E">
        <w:rPr>
          <w:rFonts w:eastAsia="Calibri" w:cstheme="minorHAnsi"/>
        </w:rPr>
        <w:t xml:space="preserve">; All three studies reported significant increases in fruit and/or vegetable intake post-intervention. </w:t>
      </w:r>
    </w:p>
    <w:p w14:paraId="544B5431" w14:textId="77777777" w:rsidR="0063715A" w:rsidRPr="00B1522E" w:rsidRDefault="0063715A" w:rsidP="00B3484F">
      <w:pPr>
        <w:spacing w:line="480" w:lineRule="auto"/>
        <w:jc w:val="both"/>
        <w:rPr>
          <w:rFonts w:eastAsia="Calibri" w:cstheme="minorHAnsi"/>
        </w:rPr>
      </w:pPr>
    </w:p>
    <w:p w14:paraId="5F888757" w14:textId="77777777" w:rsidR="00DB7E7D" w:rsidRPr="00B1522E" w:rsidRDefault="00DB7E7D" w:rsidP="003D7632">
      <w:pPr>
        <w:rPr>
          <w:b/>
          <w:bCs/>
        </w:rPr>
      </w:pPr>
      <w:bookmarkStart w:id="53" w:name="_Toc84678906"/>
    </w:p>
    <w:p w14:paraId="628184DB" w14:textId="0F28A2AA" w:rsidR="00987AC8" w:rsidRPr="00B1522E" w:rsidRDefault="00DD602E" w:rsidP="00734D95">
      <w:pPr>
        <w:spacing w:line="480" w:lineRule="auto"/>
        <w:rPr>
          <w:b/>
          <w:bCs/>
        </w:rPr>
      </w:pPr>
      <w:r w:rsidRPr="00B1522E">
        <w:lastRenderedPageBreak/>
        <w:fldChar w:fldCharType="begin"/>
      </w:r>
      <w:r w:rsidRPr="00B1522E">
        <w:instrText xml:space="preserve"> TC  "</w:instrText>
      </w:r>
      <w:bookmarkStart w:id="54" w:name="_Toc97310420"/>
      <w:r w:rsidRPr="00B1522E">
        <w:instrText>2.5 Discussion</w:instrText>
      </w:r>
      <w:bookmarkEnd w:id="54"/>
      <w:r w:rsidRPr="00B1522E">
        <w:instrText xml:space="preserve"> " \f x\l 2 </w:instrText>
      </w:r>
      <w:r w:rsidRPr="00B1522E">
        <w:fldChar w:fldCharType="end"/>
      </w:r>
      <w:r w:rsidR="00383D7E" w:rsidRPr="00B1522E">
        <w:rPr>
          <w:b/>
          <w:bCs/>
        </w:rPr>
        <w:t xml:space="preserve">2.5 </w:t>
      </w:r>
      <w:r w:rsidR="00987AC8" w:rsidRPr="00B1522E">
        <w:rPr>
          <w:b/>
          <w:bCs/>
        </w:rPr>
        <w:t>Discussion</w:t>
      </w:r>
      <w:bookmarkEnd w:id="53"/>
    </w:p>
    <w:p w14:paraId="1DD2ABB0" w14:textId="0F10324F" w:rsidR="00987AC8" w:rsidRPr="00B1522E" w:rsidRDefault="00987AC8" w:rsidP="00734D95">
      <w:pPr>
        <w:spacing w:line="480" w:lineRule="auto"/>
        <w:jc w:val="both"/>
        <w:rPr>
          <w:rFonts w:eastAsia="Calibri" w:cstheme="minorHAnsi"/>
        </w:rPr>
      </w:pPr>
      <w:r w:rsidRPr="00B1522E">
        <w:rPr>
          <w:rFonts w:eastAsia="Calibri" w:cstheme="minorHAnsi"/>
        </w:rPr>
        <w:t xml:space="preserve">The aim of this systematic review was to provide an evaluation of school-based healthy eating interventions for </w:t>
      </w:r>
      <w:r w:rsidR="00383D7E" w:rsidRPr="00B1522E">
        <w:rPr>
          <w:rFonts w:eastAsia="Calibri" w:cstheme="minorHAnsi"/>
        </w:rPr>
        <w:t>11- to 16-year-olds</w:t>
      </w:r>
      <w:r w:rsidRPr="00B1522E">
        <w:rPr>
          <w:rFonts w:eastAsia="Calibri" w:cstheme="minorHAnsi"/>
        </w:rPr>
        <w:t xml:space="preserve">. This review is the first to our knowledge </w:t>
      </w:r>
      <w:r w:rsidRPr="00B1522E">
        <w:rPr>
          <w:rFonts w:cstheme="minorHAnsi"/>
          <w:shd w:val="clear" w:color="auto" w:fill="FFFFFF"/>
        </w:rPr>
        <w:t>to primarily focus on children’s dietary behaviour change in this important age range within a school setting.</w:t>
      </w:r>
      <w:r w:rsidRPr="00B1522E">
        <w:rPr>
          <w:rFonts w:cstheme="minorHAnsi"/>
        </w:rPr>
        <w:t xml:space="preserve"> </w:t>
      </w:r>
      <w:r w:rsidRPr="00B1522E">
        <w:rPr>
          <w:rFonts w:eastAsia="Calibri" w:cstheme="minorHAnsi"/>
        </w:rPr>
        <w:t xml:space="preserve">The current review includes studies that demonstrate a wide range of interventions that have diverse components, measurements and target behaviours.  </w:t>
      </w:r>
    </w:p>
    <w:p w14:paraId="36114885" w14:textId="77777777" w:rsidR="00987AC8" w:rsidRPr="00B1522E" w:rsidRDefault="00987AC8" w:rsidP="00734D95">
      <w:pPr>
        <w:spacing w:line="480" w:lineRule="auto"/>
        <w:jc w:val="both"/>
        <w:rPr>
          <w:rFonts w:cstheme="minorHAnsi"/>
          <w:shd w:val="clear" w:color="auto" w:fill="FFFFFF"/>
        </w:rPr>
      </w:pPr>
    </w:p>
    <w:bookmarkStart w:id="55" w:name="_Toc84678907"/>
    <w:p w14:paraId="5017D807" w14:textId="6D188CB5" w:rsidR="00987AC8" w:rsidRPr="00B1522E" w:rsidRDefault="00DD602E" w:rsidP="00734D95">
      <w:pPr>
        <w:spacing w:line="480" w:lineRule="auto"/>
      </w:pPr>
      <w:r w:rsidRPr="00B1522E">
        <w:fldChar w:fldCharType="begin"/>
      </w:r>
      <w:r w:rsidRPr="00B1522E">
        <w:instrText xml:space="preserve"> TC  "</w:instrText>
      </w:r>
      <w:bookmarkStart w:id="56" w:name="_Toc97310421"/>
      <w:r w:rsidRPr="00B1522E">
        <w:instrText>2.5.1 Summary of main findings</w:instrText>
      </w:r>
      <w:bookmarkEnd w:id="56"/>
      <w:r w:rsidRPr="00B1522E">
        <w:instrText xml:space="preserve"> " \f x\l 3 </w:instrText>
      </w:r>
      <w:r w:rsidRPr="00B1522E">
        <w:fldChar w:fldCharType="end"/>
      </w:r>
      <w:r w:rsidR="00383D7E" w:rsidRPr="00B1522E">
        <w:t xml:space="preserve">2.5.1 </w:t>
      </w:r>
      <w:r w:rsidR="00987AC8" w:rsidRPr="00B1522E">
        <w:t>Summary of main findings</w:t>
      </w:r>
      <w:bookmarkEnd w:id="55"/>
    </w:p>
    <w:p w14:paraId="3DC769D9" w14:textId="1957D237" w:rsidR="00987AC8" w:rsidRPr="00B1522E" w:rsidRDefault="00987AC8" w:rsidP="00734D95">
      <w:pPr>
        <w:spacing w:line="480" w:lineRule="auto"/>
        <w:jc w:val="both"/>
        <w:rPr>
          <w:rFonts w:eastAsia="Calibri" w:cstheme="minorHAnsi"/>
        </w:rPr>
      </w:pPr>
      <w:r w:rsidRPr="00B1522E">
        <w:rPr>
          <w:rFonts w:eastAsia="Calibri" w:cstheme="minorHAnsi"/>
        </w:rPr>
        <w:t xml:space="preserve">The review identified twenty-nine studies that attempted to modify adolescents’ dietary behaviours through school-based interventions, with twenty-four interventions reporting positive changes in dietary behaviour outcomes. The intervention components (different behaviour change strategies) that seemed to be associated with improvements in dietary behaviour amongst this age group included: peer involvement; educational media; increasing in-school availability of healthy foods; and tailored computer-based feedback. Practical lessons, for example how to prepare food and/or cooking, only appeared to be an effective component in just over half the studies that utilized them. The inclusion of nutritional handbooks (including knowledge, dietary guidelines and self-motivated activities) in studies was associated with </w:t>
      </w:r>
      <w:r w:rsidRPr="00B1522E">
        <w:rPr>
          <w:rFonts w:eastAsia="Calibri" w:cstheme="minorHAnsi"/>
          <w:i/>
        </w:rPr>
        <w:t>less</w:t>
      </w:r>
      <w:r w:rsidRPr="00B1522E">
        <w:rPr>
          <w:rFonts w:eastAsia="Calibri" w:cstheme="minorHAnsi"/>
        </w:rPr>
        <w:t xml:space="preserve"> effective dietary behaviour change. In addition, four out of the five studies that were </w:t>
      </w:r>
      <w:r w:rsidRPr="00B1522E">
        <w:rPr>
          <w:rFonts w:eastAsia="Calibri" w:cstheme="minorHAnsi"/>
          <w:i/>
        </w:rPr>
        <w:t>not</w:t>
      </w:r>
      <w:r w:rsidRPr="00B1522E">
        <w:rPr>
          <w:rFonts w:eastAsia="Calibri" w:cstheme="minorHAnsi"/>
        </w:rPr>
        <w:t xml:space="preserve"> successful at improving dietary behaviour targeted more than one dietary behaviour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Behavior","id":"ITEM-1","issue":"3","issued":{"date-parts":[["2009","6"]]},"note":"Accession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study.","type":"article-journal","volume":"38"},"uris":["http://www.mendeley.com/documents/?uuid=78beb7d0-a0fa-4834-9f1b-52f489a9a220"]},{"id":"ITEM-3","itemData":{"ISSN":"08901171","abstract":"Purpose.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Promotion","id":"ITEM-3","issue":"3","issued":{"date-parts":[["2010","1"]]},"note":"Accession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Adolescents.","type":"article-journal","volume":"24"},"uris":["http://www.mendeley.com/documents/?uuid=dcce02ba-d07b-4b8a-9d22-177816d0f2ff"]},{"id":"ITEM-4","itemData":{"ISSN":"1087-3244","abstract":"Objectives: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Behavior","id":"ITEM-4","issue":"1","issued":{"date-parts":[["2015","1"]]},"note":"Accession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girls.","type":"article-journal","volume":"39"},"uris":["http://www.mendeley.com/documents/?uuid=7b8ee571-076a-4b5d-8ae8-9e0a03d039ae"]}],"mendeley":{"formattedCitation":"(Dzewaltowski et al., 2009; Lien et al., 2010; M. Martens et al., 2010; McCabe et al., 2015)","manualFormatting":"(Dzewaltowski et al., 2009; Lien et al., 2010; Martens et al., 2010; McCabe et al., 2015)","plainTextFormattedCitation":"(Dzewaltowski et al., 2009; Lien et al., 2010; M. Martens et al., 2010; McCabe et al., 2015)","previouslyFormattedCitation":"(Dzewaltowski et al., 2009; Lien et al., 2010; M. Martens et al., 2010; McCabe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(Dzewaltowski et al., 2009; Lien et al., 2010; Martens et al., 2010; McCabe et al., 2015)</w:t>
      </w:r>
      <w:r w:rsidRPr="00B1522E">
        <w:rPr>
          <w:rFonts w:eastAsia="Calibri" w:cstheme="minorHAnsi"/>
        </w:rPr>
        <w:fldChar w:fldCharType="end"/>
      </w:r>
      <w:r w:rsidRPr="00B1522E">
        <w:rPr>
          <w:rFonts w:eastAsia="Calibri" w:cstheme="minorHAnsi"/>
        </w:rPr>
        <w:t>.</w:t>
      </w:r>
    </w:p>
    <w:p w14:paraId="2634737D" w14:textId="77777777" w:rsidR="00987AC8" w:rsidRPr="00B1522E" w:rsidRDefault="00987AC8" w:rsidP="00734D95">
      <w:pPr>
        <w:spacing w:line="480" w:lineRule="auto"/>
        <w:jc w:val="both"/>
        <w:rPr>
          <w:rFonts w:cstheme="minorHAnsi"/>
          <w:spacing w:val="2"/>
          <w:shd w:val="clear" w:color="auto" w:fill="FCFCFC"/>
        </w:rPr>
      </w:pPr>
    </w:p>
    <w:bookmarkStart w:id="57" w:name="_Toc84678908"/>
    <w:p w14:paraId="519A6C3F" w14:textId="6335CBFD" w:rsidR="00734D95" w:rsidRPr="00B1522E" w:rsidRDefault="00611462" w:rsidP="00734D95">
      <w:pPr>
        <w:spacing w:line="480" w:lineRule="auto"/>
      </w:pPr>
      <w:r w:rsidRPr="00B1522E">
        <w:fldChar w:fldCharType="begin"/>
      </w:r>
      <w:r w:rsidRPr="00B1522E">
        <w:instrText xml:space="preserve"> TC  "</w:instrText>
      </w:r>
      <w:bookmarkStart w:id="58" w:name="_Toc97310422"/>
      <w:r w:rsidRPr="00B1522E">
        <w:instrText>2.5.2 Dietary behaviours targeted and types of intervention delivered</w:instrText>
      </w:r>
      <w:bookmarkEnd w:id="58"/>
      <w:r w:rsidRPr="00B1522E">
        <w:instrText xml:space="preserve"> " \f x\l 3 </w:instrText>
      </w:r>
      <w:r w:rsidRPr="00B1522E">
        <w:fldChar w:fldCharType="end"/>
      </w:r>
      <w:r w:rsidRPr="00B1522E">
        <w:t xml:space="preserve"> </w:t>
      </w:r>
      <w:r w:rsidR="00383D7E" w:rsidRPr="00B1522E">
        <w:t xml:space="preserve">2.5.2 </w:t>
      </w:r>
      <w:r w:rsidR="00987AC8" w:rsidRPr="00B1522E">
        <w:t xml:space="preserve">Dietary behaviours </w:t>
      </w:r>
      <w:r w:rsidR="00AE4AC2" w:rsidRPr="00B1522E">
        <w:t>targeted,</w:t>
      </w:r>
      <w:r w:rsidR="00987AC8" w:rsidRPr="00B1522E">
        <w:t xml:space="preserve"> and types of interventions delivered</w:t>
      </w:r>
      <w:bookmarkEnd w:id="57"/>
    </w:p>
    <w:p w14:paraId="2830928A" w14:textId="26154D6D" w:rsidR="00987AC8" w:rsidRPr="00B1522E" w:rsidRDefault="00987AC8" w:rsidP="00394669">
      <w:pPr>
        <w:spacing w:line="480" w:lineRule="auto"/>
        <w:jc w:val="both"/>
      </w:pPr>
      <w:r w:rsidRPr="00B1522E">
        <w:rPr>
          <w:rFonts w:eastAsia="Calibri" w:cstheme="minorHAnsi"/>
        </w:rPr>
        <w:t xml:space="preserve">The review included a range of interventions that targeted both single and multiple dietary behaviours. Increasing fruit and/or vegetable consumption was targeted by over half of all the studies </w:t>
      </w:r>
      <w:r w:rsidRPr="00B1522E">
        <w:rPr>
          <w:rFonts w:eastAsia="Calibri" w:cstheme="minorHAnsi"/>
        </w:rPr>
        <w:lastRenderedPageBreak/>
        <w:t xml:space="preserve">reviewed (n = 19) </w:t>
      </w:r>
      <w:r w:rsidRPr="00B1522E">
        <w:rPr>
          <w:rFonts w:eastAsia="Calibri" w:cstheme="minorHAnsi"/>
        </w:rPr>
        <w:fldChar w:fldCharType="begin" w:fldLock="1"/>
      </w:r>
      <w:r w:rsidR="00FD502B" w:rsidRPr="00B1522E">
        <w:rPr>
          <w:rFonts w:eastAsia="Calibri" w:cstheme="minorHAnsi"/>
        </w:rPr>
        <w:instrText>ADDIN CSL_CITATION {"citationItems":[{"id":"ITEM-1","itemData":{"ISSN":"0268-1153","abstract":"This study reports the effect of a school-randomized fruit and vegetable intervention consisting of a subscription to the Norwegian School Fruit Programme at no parental cost, and the Fruit and Vegetables Make the Marks (FVMM) educational programme, both delivered in the school year of 2001-02. Nine randomly chosen schools received the intervention and 10 schools served as control schools. Participating pupils completed questionnaires at baseline (September 2001), at Follow-up 1 (May-June 2002) and at Follow-up 2 (May 2003). A total of 517 pupils (84%; mean age, 11.3 years at baseline) participated in all three surveys. At both Follow-up 1 and Follow-up 2, strong intervention effects were observed for all-day fruit and vegetable intake (effect sizes were 0.6 and 0.5 portions, respectively). The sustained effect at Follow-up 2,1 year after the end of the intervention, can partly be explained by greater participation rates in the School Fruit Programme (standard paid subscription). We conclude that the effects observed are most likely due to the no-cost subscription and not due to the FVMM educational programme, and that providing pupils with a piece of fruit or a vegetable at school at no cost for the parents is an effective strategy to increase school children's intake of fruit and vegetables. The effect is also sustained 1 year after the end of the nocost subscription, providing increased health benefits. (PsycINFO Database Record (c) 2013 APA, all rights reserved). (journal abstract)","author":[{"dropping-particle":"","family":"Bere","given":"E","non-dropping-particle":"","parse-names":false,"suffix":""},{"dropping-particle":"","family":"Veierød","given":"M B","non-dropping-particle":"","parse-names":false,"suffix":""},{"dropping-particle":"","family":"Bjelland","given":"M","non-dropping-particle":"","parse-names":false,"suffix":""},{"dropping-particle":"","family":"Klepp","given":"K -I.","non-dropping-particle":"","parse-names":false,"suffix":""}],"container-title":"Health Education Research","id":"ITEM-1","issue":"2","issued":{"date-parts":[["2006","4"]]},"note":"Accession Number: 2006-03809-010. PMID: 16219630 Partial author list: First Author &amp;amp; Affiliation: Bere, E.; Department of Nutrition, Institute of Basic Medical Sciences, University of Oslo, Oslo, Norway. Release Date: 20060424. Correction Date: 20130909. Publication Type: Journal (0100), Peer Reviewed Journal (0110). Format Covered: Electronic. Document Type: Journal Article. Language: English. Major Descriptor: Diets; Educational Programs; School Based Intervention; Student Attitudes. Minor Descriptor: Classroom Environment; Elementary School Students; Food Intake; Health Promotion. Classification: Promotion &amp;amp; Maintenance of Health &amp;amp; Wellness (3365). Population: Human (10); Male (30); Female (40). Location: Norway. Age Group: Childhood (birth-12 yrs) (100); School Age (6-12 yrs) (180). Methodology: Empirical Study; Followup Study; Quantitative Study. References Available: Y. Page Count: 8. Issue Publication Date: Apr, 2006.","page":"268-275","publisher":"Oxford University Press","publisher-place":"Bere, E., Department of Nutrition, Institute of Basic Medical Sciences, University of Oslo, Blindern, 0316, Oslo, Norway","title":"Free school fruit--sustained effect 1 year later.","type":"article-journal","volume":"21"},"uris":["http://www.mendeley.com/documents/?uuid=d704e684-57ec-4f08-bbed-9773cab79a29"]},{"id":"ITEM-2","itemData":{"ISSN":"1090-1981","abstract":"Examined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Behavior","id":"ITEM-3","issue":"5","issued":{"date-parts":[["2016","9"]]},"note":"Accession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behaviors.","type":"article-journal","volume":"40"},"uris":["http://www.mendeley.com/documents/?uuid=d63aebec-2716-44e4-bcb3-02defb99b8f6"]},{"id":"ITEM-4","itemData":{"ISSN":"1869-6716","abstract":"The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Medicine","id":"ITEM-4","issue":"1","issued":{"date-parts":[["2015","3"]]},"note":"Accession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girls.","type":"article-journal","volume":"5"},"uris":["http://www.mendeley.com/documents/?uuid=caa5507f-dbd0-4a8e-8a1f-8c2b3fd377e1"]},{"id":"ITEM-5","itemData":{"ISSN":"1090-1981","abstract":"The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Behavior","id":"ITEM-5","issue":"3","issued":{"date-parts":[["2009","6"]]},"note":"Accession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schools.","type":"article-journal","volume":"36"},"uris":["http://www.mendeley.com/documents/?uuid=74f4efaf-f648-40ee-a537-6d3097cacbbf"]},{"id":"ITEM-6","itemData":{"ISSN":"1359-107X","abstract":"Objective: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Psychology","id":"ITEM-6","issue":"4","issued":{"date-parts":[["2007","11"]]},"note":"Accession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framework.","type":"article-journal","volume":"12"},"uris":["http://www.mendeley.com/documents/?uuid=2c69d806-7516-4cd4-b2a3-27913c06c285"]},{"id":"ITEM-7","itemData":{"ISSN":"0268-1153","abstract":"The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Research","id":"ITEM-7","issue":"6","issued":{"date-parts":[["2006","12"]]},"note":"Accession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children.","type":"article-journal","volume":"21"},"uris":["http://www.mendeley.com/documents/?uuid=bbef8914-979d-4764-8405-477314275444"]},{"id":"ITEM-8","itemData":{"ISSN":"1479-5868","abstract":"Background: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Activity","id":"ITEM-8","issued":{"date-parts":[["2016","12"]]},"note":"Accession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behaviors.","type":"article-journal","volume":"13"},"uris":["http://www.mendeley.com/documents/?uuid=823d9b1e-16f3-4ad7-ba7d-86b6176dc2c7"]},{"id":"ITEM-9","itemData":{"ISSN":"1403-4948","abstract":"Background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Health","id":"ITEM-9","issue":"5","issued":{"date-parts":[["2010","11"]]},"note":"Accession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study.","type":"article-journal","volume":"38"},"uris":["http://www.mendeley.com/documents/?uuid=78beb7d0-a0fa-4834-9f1b-52f489a9a220"]},{"id":"ITEM-10","itemData":{"ISSN":"1054-139X","abstract":"Purpose: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Health","id":"ITEM-10","issue":"2","issued":{"date-parts":[["2009","2"]]},"note":"Accession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intervention.","type":"article-journal","volume":"44"},"uris":["http://www.mendeley.com/documents/?uuid=3436d664-5481-4deb-9498-5b6cd81039b0"]},{"id":"ITEM-11","itemData":{"ISSN":"08901171","abstract":"Purpose.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Promotion","id":"ITEM-11","issue":"3","issued":{"date-parts":[["2010","1"]]},"note":"Accession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Adolescents.","type":"article-journal","volume":"24"},"uris":["http://www.mendeley.com/documents/?uuid=dcce02ba-d07b-4b8a-9d22-177816d0f2ff"]},{"id":"ITEM-12","itemData":{"ISSN":"0091-7435","abstract":"Background: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Theory","id":"ITEM-12","issue":"6","issued":{"date-parts":[["2010","12"]]},"note":"Accession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adolescents.","type":"article-journal","volume":"51"},"uris":["http://www.mendeley.com/documents/?uuid=74acfc22-4c53-4fd1-8464-3f7cdd79586e"]},{"id":"ITEM-13","itemData":{"ISSN":"1087-3244","abstract":"Objectives: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Behavior","id":"ITEM-13","issue":"1","issued":{"date-parts":[["2015","1"]]},"note":"Accession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girls.","type":"article-journal","volume":"39"},"uris":["http://www.mendeley.com/documents/?uuid=7b8ee571-076a-4b5d-8ae8-9e0a03d039ae"]},{"id":"ITEM-14","itemData":{"ISSN":"1524-8399","abstract":"This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Practice","id":"ITEM-14","issue":"1","issued":{"date-parts":[["2011","1"]]},"note":"Accession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consumption.","type":"article-journal","volume":"12"},"uris":["http://www.mendeley.com/documents/?uuid=5e69dc5b-a75e-44cd-a690-1ad10a553ee8"]},{"id":"ITEM-15","itemData":{"ISSN":"1479-5868","abstract":"Background: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Activity","id":"ITEM-15","issued":{"date-parts":[["2011","2","4"]]},"note":"Accession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intakes.","type":"article-journal","volume":"8"},"uris":["http://www.mendeley.com/documents/?uuid=827f05f5-1374-4d29-b4c3-d6c4de5de2d7"]},{"id":"ITEM-16","itemData":{"ISSN":"0091-7435","abstract":"Objective: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Theory","id":"ITEM-16","issue":"2","issued":{"date-parts":[["2012","2","1"]]},"note":"Accession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trial.","type":"article-journal","volume":"54"},"uris":["http://www.mendeley.com/documents/?uuid=7e4d5a33-052f-4c99-ab20-b4bf103139ae"]},{"id":"ITEM-17","itemData":{"ISSN":"1471-2458","abstract":"Few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Health","id":"ITEM-17","issue":"1","issued":{"date-parts":[["2017","9"]]},"page":"695","title":"Evaluation of a peer education program on student leaders' energy balance-related behaviors","type":"article-journal","volume":"17"},"uris":["http://www.mendeley.com/documents/?uuid=560d1118-94b4-43a0-8347-10a81bff7b3e"]},{"id":"ITEM-18","itemData":{"ISBN":"2153-2168","ISSN":"2153-2168","PMID":"28448174","abstract":"Background: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Obesity","id":"ITEM-18","issue":"4","issued":{"date-parts":[["2017"]]},"page":"300-313","title":"A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Study","type":"article-journal","volume":"13"},"uris":["http://www.mendeley.com/documents/?uuid=74a21169-2cf5-4820-beb8-c5f53e15a838"]},{"id":"ITEM-19","itemData":{"ISSN":"1545-1151","abstract":"INTRODUCTION: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Disease","id":"ITEM-19","issued":{"date-parts":[["2015","9","24"]]},"page":"1-105","publisher":"Centers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Bere et al., 2006; Birnbaum et al., 2002; de Visser et al., 2016; Dowd et al., 2015; Dzewaltowski et al., 2009; Foley et al., 2017; Gratton et al., 2007; Haerens et al., 2006; Hoelscher et al., 2016; Lien et al., 2010; Lubans et al., 2009; Maatoug et al., 2015; M. Martens et al., 2010; Mauriello et al., 2010; McCabe et al., 2015; Ratcliffe et al., 2011; Siega-Riz et al., 2011; Wilson et al., 2012)","manualFormatting":"(Aceves-Martins et al., 2017; Bere et al., 2006; Birnbaum et al., 2002; de Visser et al., 2016; Dowd et al., 2015; Dzewaltowski et al., 2009; Foley et al., 2017; Gratton et al., 2007; Haerens et al., 2006; Hoelscher et al., 2016; Lien et al., 2010; Lubans et al., 2009; Maatoug et al., 2015; Martens et al., 2010; Mauriello et al., 2010; McCabe et al., 2015; Ratcliffe et al., 2011; Siega-Riz et al., 2011; Wilson et al., 2012)","plainTextFormattedCitation":"(Aceves-Martins et al., 2017; Bere et al., 2006; Birnbaum et al., 2002; de Visser et al., 2016; Dowd et al., 2015; Dzewaltowski et al., 2009; Foley et al., 2017; Gratton et al., 2007; Haerens et al., 2006; Hoelscher et al., 2016; Lien et al., 2010; Lubans et al., 2009; Maatoug et al., 2015; M. Martens et al., 2010; Mauriello et al., 2010; McCabe et al., 2015; Ratcliffe et al., 2011; Siega-Riz et al., 2011; Wilson et al., 2012)","previouslyFormattedCitation":"(Aceves-Martins et al., 2017; Bere et al., 2006; Birnbaum et al., 2002; de Visser et al., 2016; Dowd et al., 2015; Dzewaltowski et al., 2009; Foley et al., 2017; Gratton et al., 2007; Haerens et al., 2006; Hoelscher et al., 2016; Lien et al., 2010; Lubans et al., 2009; Maatoug et al., 2015; M. Martens et al., 2010; Mauriello et al., 2010; McCabe et al., 2015; Ratcliffe et al., 2011; Siega-Riz et al., 2011;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Bere et al., 2006; Birnbaum et al., 2002; de Visser et al., 2016; Dowd et al., 2015; Dzewaltowski et al., 2009; Foley et al., 2017; Gratton et al., 2007; Haerens et al., 2006; Hoelscher et al., 2016; Lien et al., 2010; Lubans et al., 2009; Maatoug et al., 2015; Martens et al., 2010; Mauriello et al., 2010; McCabe et al., 2015; Ratcliffe et al., 2011; Siega-Riz et al., 2011; Wilson et al., 2012)</w:t>
      </w:r>
      <w:r w:rsidRPr="00B1522E">
        <w:rPr>
          <w:rFonts w:eastAsia="Calibri" w:cstheme="minorHAnsi"/>
        </w:rPr>
        <w:fldChar w:fldCharType="end"/>
      </w:r>
      <w:r w:rsidRPr="00B1522E">
        <w:rPr>
          <w:rFonts w:eastAsia="Calibri" w:cstheme="minorHAnsi"/>
        </w:rPr>
        <w:t xml:space="preserve">. Fruit and vegetables have many health benefits and adolescents are well documented as not eating the recommended daily amount </w:t>
      </w:r>
      <w:r w:rsidRPr="00B1522E">
        <w:rPr>
          <w:rFonts w:eastAsia="Calibri" w:cstheme="minorHAnsi"/>
        </w:rPr>
        <w:fldChar w:fldCharType="begin" w:fldLock="1"/>
      </w:r>
      <w:r w:rsidR="007463D4" w:rsidRPr="00B1522E">
        <w:rPr>
          <w:rFonts w:eastAsia="Calibri" w:cstheme="minorHAnsi"/>
        </w:rPr>
        <w:instrText>ADDIN CSL_CITATION {"citationItems":[{"id":"ITEM-1","itemData":{"ISBN":"0268-1153","ISSN":"02681153","PMID":"15031276","abstract":"This qualitative study compares the barriers to eating more fruit and vegetables reported before and after participation in a 6-month randomized controlled trial in primary care. At the initial intervention appointment of a primary care intervention to promote eating five or more portions of fruit and vegetables a day, participants were asked to identify the barriers that they thought they might encounter. Barriers were discussed again at the final appointment 6 months later. At the end of the study, a purposive sample of 40 of the trial participants was interviewed to explore their experiences in greater detail. Transcripts of tape recordings of the intervention appointments and the semi-structured interview were analysed using qualitative methods. This paper presents the results of a qualitative analysis of these appointment and interview transcripts (results of the trial are published elsewhere). Women reported that children and male partners were obstructive to their attempts to eat more fruit and vegetables, whilst men reported that their partners were supportive of the change. The perception that fruit and vegetables were expensive was a relatively intractable barrier for those with inflexible food budgets. Some barriers, including the problem of getting fruit and vegetables when travelling or when the daily routine is disrupted such as at weekends, were not anticipated and only encountered when participants tried to make changes. However, while all but three of the interview respondents described experiencing at least one barrier to eating more fruit and vegetables, three quarters (29 of 40) reported an increase in intake of between one and five daily portions. This study adds to the existing literature in that it investigates those barriers that were reported at the end of, as well as before, a 6-month trial of a dietary intervention. The findings show that trial participants were not always able to anticipate what might be a barrier to change at the initial intervention appointment. The flexible action plan meant that if participants found their initial plan hard to maintain, they were able to adapt it rather than give up. This suggests that health behaviour interventions that are negotiated and non-prescriptive may be more successful than those that are relatively inflexible.","author":[{"dropping-particle":"","family":"John","given":"Jeyanthi H.","non-dropping-particle":"","parse-names":false,"suffix":""},{"dropping-particle":"","family":"Ziebland","given":"Sue","non-dropping-particle":"","parse-names":false,"suffix":""}],"container-title":"Health Education Research","id":"ITEM-1","issue":"2","issued":{"date-parts":[["2004"]]},"page":"165-174","title":"Reported barriers to eating more fruit and vegetables before and after participation in a randomized controlled trial: A qualitative study","type":"article-journal","volume":"19"},"uris":["http://www.mendeley.com/documents/?uuid=75430a22-605e-4339-9365-46cdf7bdf88a"]}],"mendeley":{"formattedCitation":"(John &amp; Ziebland, 2004)","plainTextFormattedCitation":"(John &amp; Ziebland, 2004)","previouslyFormattedCitation":"(John &amp; Ziebland,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(John &amp; Ziebland, 2004)</w:t>
      </w:r>
      <w:r w:rsidRPr="00B1522E">
        <w:rPr>
          <w:rFonts w:eastAsia="Calibri" w:cstheme="minorHAnsi"/>
        </w:rPr>
        <w:fldChar w:fldCharType="end"/>
      </w:r>
      <w:r w:rsidRPr="00B1522E">
        <w:rPr>
          <w:rFonts w:eastAsia="Calibri" w:cstheme="minorHAnsi"/>
        </w:rPr>
        <w:t xml:space="preserve">; however, there is no agreed strategy to improve these behaviours </w:t>
      </w:r>
      <w:r w:rsidRPr="00B1522E">
        <w:rPr>
          <w:rFonts w:eastAsia="Calibri" w:cstheme="minorHAnsi"/>
        </w:rPr>
        <w:fldChar w:fldCharType="begin" w:fldLock="1"/>
      </w:r>
      <w:r w:rsidR="00F8302A" w:rsidRPr="00B1522E">
        <w:rPr>
          <w:rFonts w:eastAsia="Calibri" w:cstheme="minorHAnsi"/>
        </w:rPr>
        <w:instrText>ADDIN CSL_CITATION {"citationItems":[{"id":"ITEM-1","itemData":{"author":[{"dropping-particle":"","family":"World Health Organization","given":"","non-dropping-particle":"","parse-names":false,"suffix":""}],"id":"ITEM-1","issued":{"date-parts":[["2006"]]},"publisher":"Copenhagen: WHO Regional Office for Europe","title":"Food and nutrition policy for schools: a tool for the development of school nutrition programmes in the European Region","type":"article-journal"},"uris":["http://www.mendeley.com/documents/?uuid=4aeb8fe4-eed9-41c3-9a17-cbca3b4d6d51"]}],"mendeley":{"formattedCitation":"(World Health Organization, 2006)","plainTextFormattedCitation":"(World Health Organization, 2006)","previouslyFormattedCitation":"(World Health Organization, 2006)"},"properties":{"noteIndex":0},"schema":"https://github.com/citation-style-language/schema/raw/master/csl-citation.json"}</w:instrText>
      </w:r>
      <w:r w:rsidRPr="00B1522E">
        <w:rPr>
          <w:rFonts w:eastAsia="Calibri" w:cstheme="minorHAnsi"/>
        </w:rPr>
        <w:fldChar w:fldCharType="separate"/>
      </w:r>
      <w:r w:rsidR="00D671A4" w:rsidRPr="00B1522E">
        <w:rPr>
          <w:rFonts w:eastAsia="Calibri" w:cstheme="minorHAnsi"/>
          <w:noProof/>
        </w:rPr>
        <w:t>(World Health Organization, 2006)</w:t>
      </w:r>
      <w:r w:rsidRPr="00B1522E">
        <w:rPr>
          <w:rFonts w:eastAsia="Calibri" w:cstheme="minorHAnsi"/>
        </w:rPr>
        <w:fldChar w:fldCharType="end"/>
      </w:r>
      <w:r w:rsidRPr="00B1522E">
        <w:rPr>
          <w:rFonts w:eastAsia="Calibri" w:cstheme="minorHAnsi"/>
        </w:rPr>
        <w:t xml:space="preserve">. A number of studies within the review aimed to increase fruit and vegetables consumption to reach the recommended guidance </w:t>
      </w:r>
      <w:r w:rsidRPr="00B1522E">
        <w:rPr>
          <w:rFonts w:eastAsia="Calibri" w:cstheme="minorHAnsi"/>
        </w:rPr>
        <w:fldChar w:fldCharType="begin" w:fldLock="1"/>
      </w:r>
      <w:r w:rsidR="00CD35E5"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Medicine","id":"ITEM-3","issue":"1","issued":{"date-parts":[["2015","3"]]},"note":"Accession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girls.","type":"article-journal","volume":"5"},"uris":["http://www.mendeley.com/documents/?uuid=caa5507f-dbd0-4a8e-8a1f-8c2b3fd377e1"]},{"id":"ITEM-4","itemData":{"ISSN":"1090-1981","abstract":"The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Behavior","id":"ITEM-4","issue":"3","issued":{"date-parts":[["2009","6"]]},"note":"Accession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schools.","type":"article-journal","volume":"36"},"uris":["http://www.mendeley.com/documents/?uuid=74f4efaf-f648-40ee-a537-6d3097cacbbf"]},{"id":"ITEM-5","itemData":{"ISSN":"1359-107X","abstract":"Objective: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Psychology","id":"ITEM-5","issue":"4","issued":{"date-parts":[["2007","11"]]},"note":"Accession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framework.","type":"article-journal","volume":"12"},"uris":["http://www.mendeley.com/documents/?uuid=2c69d806-7516-4cd4-b2a3-27913c06c285"]},{"id":"ITEM-6","itemData":{"ISSN":"1403-4948","abstract":"Background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Health","id":"ITEM-6","issue":"5","issued":{"date-parts":[["2010","11"]]},"note":"Accession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study.","type":"article-journal","volume":"38"},"uris":["http://www.mendeley.com/documents/?uuid=78beb7d0-a0fa-4834-9f1b-52f489a9a220"]},{"id":"ITEM-7","itemData":{"ISSN":"1054-139X","abstract":"Purpose: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Health","id":"ITEM-7","issue":"2","issued":{"date-parts":[["2009","2"]]},"note":"Accession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intervention.","type":"article-journal","volume":"44"},"uris":["http://www.mendeley.com/documents/?uuid=3436d664-5481-4deb-9498-5b6cd81039b0"]},{"id":"ITEM-8","itemData":{"ISSN":"0091-7435","abstract":"Background: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Theory","id":"ITEM-8","issue":"6","issued":{"date-parts":[["2010","12"]]},"note":"Accession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adolescents.","type":"article-journal","volume":"51"},"uris":["http://www.mendeley.com/documents/?uuid=74acfc22-4c53-4fd1-8464-3f7cdd79586e"]},{"id":"ITEM-9","itemData":{"ISSN":"1087-3244","abstract":"Objectives: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Behavior","id":"ITEM-9","issue":"1","issued":{"date-parts":[["2015","1"]]},"note":"Accession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girls.","type":"article-journal","volume":"39"},"uris":["http://www.mendeley.com/documents/?uuid=7b8ee571-076a-4b5d-8ae8-9e0a03d039ae"]},{"id":"ITEM-10","itemData":{"ISSN":"1524-8399","abstract":"This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Practice","id":"ITEM-10","issue":"1","issued":{"date-parts":[["2011","1"]]},"note":"Accession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consumption.","type":"article-journal","volume":"12"},"uris":["http://www.mendeley.com/documents/?uuid=5e69dc5b-a75e-44cd-a690-1ad10a553ee8"]},{"id":"ITEM-11","itemData":{"ISSN":"0091-7435","abstract":"Objective: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Theory","id":"ITEM-11","issue":"2","issued":{"date-parts":[["2012","2","1"]]},"note":"Accession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trial.","type":"article-journal","volume":"54"},"uris":["http://www.mendeley.com/documents/?uuid=7e4d5a33-052f-4c99-ab20-b4bf103139ae"]},{"id":"ITEM-12","itemData":{"ISSN":"1471-2458","abstract":"Few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Health","id":"ITEM-12","issue":"1","issued":{"date-parts":[["2017","9"]]},"page":"695","title":"Evaluation of a peer education program on student leaders' energy balance-related behaviors","type":"article-journal","volume":"17"},"uris":["http://www.mendeley.com/documents/?uuid=560d1118-94b4-43a0-8347-10a81bff7b3e"]},{"id":"ITEM-13","itemData":{"ISSN":"1545-1151","abstract":"INTRODUCTION: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Disease","id":"ITEM-13","issued":{"date-parts":[["2015","9","24"]]},"page":"1-105","publisher":"Centers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2009–2014","type":"article-journal","volume":"12"},"uris":["http://www.mendeley.com/documents/?uuid=7a939433-5065-4b4f-8418-9bf888206d98"]},{"id":"ITEM-14","itemData":{"ISBN":"2153-2168","ISSN":"2153-2168","PMID":"28448174","abstract":"Background: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Obesity","id":"ITEM-14","issue":"4","issued":{"date-parts":[["2017"]]},"page":"300-313","title":"A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Bere et al., 2007; Birnbaum et al., 2002; Dowd et al., 2015; Dzewaltowski et al., 2009; Foley et al., 2017; Gratton et al., 2007; Lien et al., 2010; Lubans et al., 2009; Maatoug et al., 2015; Mauriello et al., 2010; McCabe et al., 2015; Ratcliffe et al., 2011; Wilson et al., 2012)","manualFormatting":"(Aceves-Martins et al., 2017; Bere et al., 2007; Birnbaum et al., 2002; Dowd et al., 2015; Dzewaltowski et al., 2009; Foley et al., 2017; Gratton et al., 2007; Lien et al., 2010; Lubans et al., 2009; Maatoug et al., 2015; Mauriello et al., 2010; McCabe et al., 2015; Ratcliffe et al., 2011; Wilson et al., 2012)","plainTextFormattedCitation":"(Aceves-Martins et al., 2017; Bere et al., 2007; Birnbaum et al., 2002; Dowd et al., 2015; Dzewaltowski et al., 2009; Foley et al., 2017; Gratton et al., 2007; Lien et al., 2010; Lubans et al., 2009; Maatoug et al., 2015; Mauriello et al., 2010; McCabe et al., 2015; Ratcliffe et al., 2011; Wilson et al., 2012)","previouslyFormattedCitation":"(Aceves-Martins et al., 2017; Bere et al., 2007; Birnbaum et al., 2002; Dowd et al., 2015; Dzewaltowski et al., 2009; Foley et al., 2017; Gratton et al., 2007; Lien et al., 2010; Lubans et al., 2009; Maatoug et al., 2015; Mauriello et al., 2010; McCabe et al., 2015; Ratcliffe et al., 2011;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Bere et al., 2007; Birnbaum et al., 2002; Dowd et al., 2015; Dzewaltowski et al., 2009; Foley et al., 2017; Gratton et al., 2007; Lien et al., 2010; Lubans et al., 2009; Maatoug et al., 2015; Mauriello et al., 2010; McCabe et al., 2015; Ratcliffe et al., 2011; Wilson et al., 2012)</w:t>
      </w:r>
      <w:r w:rsidRPr="00B1522E">
        <w:rPr>
          <w:rFonts w:eastAsia="Calibri" w:cstheme="minorHAnsi"/>
        </w:rPr>
        <w:fldChar w:fldCharType="end"/>
      </w:r>
      <w:r w:rsidRPr="00B1522E">
        <w:rPr>
          <w:rFonts w:eastAsia="Calibri" w:cstheme="minorHAnsi"/>
        </w:rPr>
        <w:t xml:space="preserve">. However, caution should be observed when comparing such studies, as the recommended guideline amounts for fruit and vegetable consumption can differ between countries (ranging from 5 to 10 portions dependent on country) </w:t>
      </w:r>
      <w:r w:rsidRPr="00B1522E">
        <w:rPr>
          <w:rFonts w:eastAsia="Calibri" w:cstheme="minorHAnsi"/>
        </w:rPr>
        <w:fldChar w:fldCharType="begin" w:fldLock="1"/>
      </w:r>
      <w:r w:rsidR="00660052" w:rsidRPr="00B1522E">
        <w:rPr>
          <w:rFonts w:eastAsia="Calibri" w:cstheme="minorHAnsi"/>
        </w:rPr>
        <w:instrText>ADDIN CSL_CITATION {"citationItems":[{"id":"ITEM-1","itemData":{"author":[{"dropping-particle":"","family":"World Health Organization","given":"","non-dropping-particle":"","parse-names":false,"suffix":""}],"id":"ITEM-1","issued":{"date-parts":[["2003"]]},"publisher":"Copenhagen: WHO Regional Office for Europe","title":"Food-based dietary guidelines in the WHO European Region","type":"report"},"uris":["http://www.mendeley.com/documents/?uuid=22b22b8a-5fa8-43ef-8d42-47390b34b0fa"]}],"mendeley":{"formattedCitation":"(World Health Organization, 2003)","plainTextFormattedCitation":"(World Health Organization, 2003)","previouslyFormattedCitation":"(World Health Organization, 2003)"},"properties":{"noteIndex":0},"schema":"https://github.com/citation-style-language/schema/raw/master/csl-citation.json"}</w:instrText>
      </w:r>
      <w:r w:rsidRPr="00B1522E">
        <w:rPr>
          <w:rFonts w:eastAsia="Calibri" w:cstheme="minorHAnsi"/>
        </w:rPr>
        <w:fldChar w:fldCharType="separate"/>
      </w:r>
      <w:r w:rsidR="00D046DC" w:rsidRPr="00B1522E">
        <w:rPr>
          <w:rFonts w:eastAsia="Calibri" w:cstheme="minorHAnsi"/>
          <w:noProof/>
        </w:rPr>
        <w:t>(World Health Organization, 2003)</w:t>
      </w:r>
      <w:r w:rsidRPr="00B1522E">
        <w:rPr>
          <w:rFonts w:eastAsia="Calibri" w:cstheme="minorHAnsi"/>
        </w:rPr>
        <w:fldChar w:fldCharType="end"/>
      </w:r>
      <w:r w:rsidRPr="00B1522E">
        <w:rPr>
          <w:rFonts w:eastAsia="Calibri" w:cstheme="minorHAnsi"/>
        </w:rPr>
        <w:t xml:space="preserve">. There is some disagreement in the literature about whether the consumption of fruit and vegetables should be considered as the same or as separate behaviours and so be independently targeted in interventions </w:t>
      </w:r>
      <w:r w:rsidRPr="00B1522E">
        <w:rPr>
          <w:rFonts w:eastAsia="Calibri" w:cstheme="minorHAnsi"/>
        </w:rPr>
        <w:fldChar w:fldCharType="begin" w:fldLock="1"/>
      </w:r>
      <w:r w:rsidR="007463D4" w:rsidRPr="00B1522E">
        <w:rPr>
          <w:rFonts w:eastAsia="Calibri" w:cstheme="minorHAnsi"/>
        </w:rPr>
        <w:instrText>ADDIN CSL_CITATION {"citationItems":[{"id":"ITEM-1","itemData":{"ISSN":"1436-6207","abstract":"PURPOSE: While the health benefits of a high fruit and vegetable consumption are well known and considerable work has attempted to improve intakes, increasing evidence also recognises a distinction between fruit and vegetables, both in their impacts on health and in consumption patterns. Increasing work suggests health benefits from a high consumption specifically of vegetables, yet intakes remain low, and barriers to increasing intakes are prevalent making intervention difficult. A systematic review was undertaken to identify from the published literature all studies reporting an intervention to increase intakes of vegetables as a distinct food group. METHODS: Databases—PubMed, PsychInfo and Medline—were searched over all years of records until April 2015 using pre-specified terms. RESULTS: Our searches identified 77 studies, detailing 140 interventions, of which 133 (81 %) interventions were conducted in children. Interventions aimed to use or change hedonic factors, such as taste, liking and familiarity (n = 72), use or change environmental factors (n = 39), use or change cognitive factors (n = 19), or a combination of strategies (n = 10). Increased vegetable acceptance, selection and/or consumption were reported to some degree in 116 (83 %) interventions, but the majority of effects seem small and inconsistent. CONCLUSIONS: Greater percent success is currently found from environmental, educational and multi-component interventions, but publication bias is likely, and long-term effects and cost-effectiveness are rarely considered. A focus on long-term benefits and sustained behaviour change is required. Certain population groups are also noticeably absent from the current list of tried interventions.","author":[{"dropping-particle":"","family":"Appleton","given":"Katherine M","non-dropping-particle":"","parse-names":false,"suffix":""},{"dropping-particle":"","family":"Hemingway","given":"Ann","non-dropping-particle":"","parse-names":false,"suffix":""},{"dropping-particle":"","family":"Saulais","given":"Laure","non-dropping-particle":"","parse-names":false,"suffix":""},{"dropping-particle":"","family":"Dinnella","given":"Caterina","non-dropping-particle":"","parse-names":false,"suffix":""},{"dropping-particle":"","family":"Monteleone","given":"Erminio","non-dropping-particle":"","parse-names":false,"suffix":""},{"dropping-particle":"","family":"Depezay","given":"Laurence","non-dropping-particle":"","parse-names":false,"suffix":""},{"dropping-particle":"","family":"Morizet","given":"David","non-dropping-particle":"","parse-names":false,"suffix":""},{"dropping-particle":"","family":"Armando Perez-Cueto","given":"F J","non-dropping-particle":"","parse-names":false,"suffix":""},{"dropping-particle":"","family":"Bevan","given":"Ann","non-dropping-particle":"","parse-names":false,"suffix":""},{"dropping-particle":"","family":"Hartwell","given":"Heather","non-dropping-particle":"","parse-names":false,"suffix":""}],"container-title":"European Journal of Nutrition","id":"ITEM-1","issued":{"date-parts":[["2016","1","11"]]},"page":"869-896","publisher":"Springer Berlin Heidelberg","publisher-place":"Berlin/Heidelberg","title":"Increasing vegetable intakes: rationale and systematic review of published interventions","type":"article-journal","volume":"55"},"uris":["http://www.mendeley.com/documents/?uuid=950254d9-820d-4b6c-99ce-1dbb4a9bcfa8"]}],"mendeley":{"formattedCitation":"(Appleton et al., 2016)","plainTextFormattedCitation":"(Appleton et al., 2016)","previouslyFormattedCitation":"(Appleton et al., 2016)"},"properties":{"noteIndex":0},"schema":"https://github.com/citation-style-language/schema/raw/master/csl-citation.json"}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(Appleton et al., 2016)</w:t>
      </w:r>
      <w:r w:rsidRPr="00B1522E">
        <w:rPr>
          <w:rFonts w:eastAsia="Calibri" w:cstheme="minorHAnsi"/>
        </w:rPr>
        <w:fldChar w:fldCharType="end"/>
      </w:r>
      <w:r w:rsidRPr="00B1522E">
        <w:rPr>
          <w:rFonts w:eastAsia="Calibri" w:cstheme="minorHAnsi"/>
        </w:rPr>
        <w:t xml:space="preserve"> as fruit and vegetables have different nutritional value </w:t>
      </w:r>
      <w:r w:rsidRPr="00B1522E">
        <w:rPr>
          <w:rFonts w:eastAsia="Calibri" w:cstheme="minorHAnsi"/>
        </w:rPr>
        <w:fldChar w:fldCharType="begin" w:fldLock="1"/>
      </w:r>
      <w:r w:rsidR="00FD502B" w:rsidRPr="00B1522E">
        <w:rPr>
          <w:rFonts w:eastAsia="Calibri" w:cstheme="minorHAnsi"/>
        </w:rPr>
        <w:instrText>ADDIN CSL_CITATION {"citationItems":[{"id":"ITEM-1","itemData":{"ISSN":"2156-5376 (Electronic)","PMID":"23674808","abstract":"Regular consumption of fruits, vegetables, whole grains, and other plant foods has been negatively correlated with the risk of the development of chronic diseases. There is a huge gap between the average consumption of fruits and vegetables in Americans and the amount recommended by the 2010 Dietary Guidelines for Americans. The key is to encourage consumers to increase the total amount to 9 to 13 servings of fruits and vegetables in all forms available. Fresh, processed fruits and vegetables including frozen and canned, cooked, 100% fruit juices and 100% vegetable juices, as well as dry fruits are all considered as servings of fruits and vegetables per day. A wide variety of fruits, vegetables, whole grains, and other plant foods provide a range of nutrients and different bioactive compounds including phytochemicals, vitamins, minerals, and fibers. Potatoes serve as one of the low-fat foods with unique nutrients and phytochemical profiles, particularly rich in vitamin C, vitamin B-6, potassium, manganese, and dietary fibers. Potatoes provide 25% of vegetable phenolics in the American diet, the largest contributors among the 27 vegetables commonly consumed in the United States, including flavonoids (quercetin and kaempferol), phenolic acids (chlorogenic acid and caffeic acid), and carotenoids (lutein and zeaxanthin). More and more evidence suggests that the health benefits of fruits, vegetables, whole grains, and other plant foods are attributed to the synergy or interactions of bioactive compounds and other nutrients in whole foods. Therefore, consumers should obtain their nutrients, antioxidants, bioactive compounds, and phytochemicals from a balanced diet with a wide variety of fruits, vegetables, whole grains, and other plant foods for optimal nutrition, health, and well-being, not from dietary supplements.","author":[{"dropping-particle":"","family":"Liu","given":"Rui Hai","non-dropping-particle":"","parse-names":false,"suffix":""}],"container-title":"Advances in nutrition","id":"ITEM-1","issue":"3","issued":{"date-parts":[["2013","5"]]},"language":"eng","page":"384S-92S","publisher-place":"United States","title":"Health-promoting components of fruits and vegetables in the diet.","type":"article-journal","volume":"4"},"uris":["http://www.mendeley.com/documents/?uuid=c77eb203-e3bc-4aa4-b7e2-d837a0d5255a"]}],"mendeley":{"formattedCitation":"(Liu, 2013)","plainTextFormattedCitation":"(Liu, 2013)","previouslyFormattedCitation":"(Liu, 2013)"},"properties":{"noteIndex":0},"schema":"https://github.com/citation-style-language/schema/raw/master/csl-citation.json"}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(Liu, 2013)</w:t>
      </w:r>
      <w:r w:rsidRPr="00B1522E">
        <w:rPr>
          <w:rFonts w:eastAsia="Calibri" w:cstheme="minorHAnsi"/>
        </w:rPr>
        <w:fldChar w:fldCharType="end"/>
      </w:r>
      <w:r w:rsidRPr="00B1522E">
        <w:rPr>
          <w:rFonts w:eastAsia="Calibri" w:cstheme="minorHAnsi"/>
        </w:rPr>
        <w:t>. Future interventional research should evaluate whether targeting multiple dietary behaviours (</w:t>
      </w:r>
      <w:r w:rsidR="007D734F" w:rsidRPr="00B1522E">
        <w:rPr>
          <w:rFonts w:eastAsia="Calibri" w:cstheme="minorHAnsi"/>
        </w:rPr>
        <w:t>e.g.,</w:t>
      </w:r>
      <w:r w:rsidRPr="00B1522E">
        <w:rPr>
          <w:rFonts w:eastAsia="Calibri" w:cstheme="minorHAnsi"/>
        </w:rPr>
        <w:t xml:space="preserve"> fruit and vegetable consumption), or focusing on a single dietary behaviour, would be more effective in improving dietary behaviours amongst adolescents. </w:t>
      </w:r>
    </w:p>
    <w:p w14:paraId="6A728229" w14:textId="62D5BB24" w:rsidR="00987AC8" w:rsidRPr="00B1522E" w:rsidRDefault="00987AC8" w:rsidP="00394669">
      <w:pPr>
        <w:spacing w:line="480" w:lineRule="auto"/>
        <w:jc w:val="both"/>
        <w:rPr>
          <w:rFonts w:eastAsia="Calibri" w:cstheme="minorHAnsi"/>
        </w:rPr>
      </w:pPr>
      <w:r w:rsidRPr="00B1522E">
        <w:rPr>
          <w:rFonts w:eastAsia="Calibri" w:cstheme="minorHAnsi"/>
        </w:rPr>
        <w:tab/>
        <w:t xml:space="preserve">The types of interventions included in the review were, firstly, single-component (i.e. featured a single behaviour change strategy) </w:t>
      </w:r>
      <w:r w:rsidRPr="00B1522E">
        <w:rPr>
          <w:rFonts w:eastAsia="Calibri" w:cstheme="minorHAnsi"/>
        </w:rPr>
        <w:fldChar w:fldCharType="begin" w:fldLock="1"/>
      </w:r>
      <w:r w:rsidR="00CD35E5" w:rsidRPr="00B1522E">
        <w:rPr>
          <w:rFonts w:eastAsia="Calibri" w:cstheme="minorHAnsi"/>
        </w:rPr>
        <w:instrText>ADDIN CSL_CITATION {"citationItems":[{"id":"ITEM-1","itemData":{"ISSN":"1359-107X","abstract":"Objective: This study compared a motivational intervention based on the Theory of Planned Behaviour (TPB) with a volitional intervention based on implementation intentions. Design: The study employed a quantitative longitudinal questionnaire design involving two waves of data collection. Method: Participants (N = 198) were randomly allocated to a control group or one of two intervention groups. TPB variables, and fruit and vegetable consumption were assessed at the beginning of the study (time 1) and 2 weeks later (time 2). Experimental group A formed an implementation intention, about how, when and where they could eat five portions a day, whilst experimental group B stated ways they could overcome motivational barriers to eating five portions a day. Results: Both interventions were found to increase fruit and vegetable consumption significantly, although only the volitional intervention demonstrated a significant increase in fruit and vegetable consumption over the control intervention. Conclusions: The present study found support for two interventions in increasing fruit and vegetable consumption in children. These findings are encouraging regarding the use of these types of interventions within schools to improve children's eating behaviour. (PsycINFO Database Record (c) 2012 APA, all rights reserved). (journal abstract)","author":[{"dropping-particle":"","family":"Gratton","given":"Lucy","non-dropping-particle":"","parse-names":false,"suffix":""},{"dropping-particle":"","family":"Povey","given":"Rachel","non-dropping-particle":"","parse-names":false,"suffix":""},{"dropping-particle":"","family":"Clark-Carter","given":"David","non-dropping-particle":"","parse-names":false,"suffix":""}],"container-title":"British Journal of Health Psychology","id":"ITEM-1","issue":"4","issued":{"date-parts":[["2007","11"]]},"note":"Accession Number: 2007-14751-011. Partial author list: First Author &amp;amp; Affiliation: Gratton, Lucy; Centre for Health Psychology, Faculty of Health and Sciences, Staffordshire University, Staffordshire, United Kingdom. Other Publishers: Wiley-Blackwell Publishing Ltd. Release Date: 20071105. Correction Date: 20111107. Publication Type: Journal (0100), Peer Reviewed Journal (0110). Format Covered: Electronic. Document Type: Journal Article. Language: English. Major Descriptor: Diets; Food Intake; Health Promotion; Intervention; Planned Behavior. Minor Descriptor: Intention. Classification: Promotion &amp;amp; Maintenance of Health &amp;amp; Wellness (3365). Population: Human (10); Male (30); Female (40). Location: England. Age Group: Childhood (birth-12 yrs) (100); School Age (6-12 yrs) (180); Adolescence (13-17 yrs) (200). Tests &amp;amp; Measures: Theory of Planned Behaviour Questionnaire. Methodology: Empirical Study; Longitudinal Study; Quantitative Study. References Available: Y. Page Count: 12. Issue Publication Date: Nov, 2007.","page":"639-650","publisher":"British Psychological Society","publisher-place":"Gratton, Lucy, Centre for Health Psychology, Staffordshire University, College Road, Stoke on Trent, Staffordshire, United Kingdom, ST42DE","title":"Promoting children's fruit and vegetable consumption: Interventions using the theory of planned behaviour as a framework.","type":"article-journal","volume":"12"},"uris":["http://www.mendeley.com/documents/?uuid=2c69d806-7516-4cd4-b2a3-27913c06c285"]},{"id":"ITEM-2","itemData":{"ISSN":"0268-1153","abstract":"This study reports the effect of a school-randomized fruit and vegetable intervention consisting of a subscription to the Norwegian School Fruit Programme at no parental cost, and the Fruit and Vegetables Make the Marks (FVMM) educational programme, both delivered in the school year of 2001-02. Nine randomly chosen schools received the intervention and 10 schools served as control schools. Participating pupils completed questionnaires at baseline (September 2001), at Follow-up 1 (May-June 2002) and at Follow-up 2 (May 2003). A total of 517 pupils (84%; mean age, 11.3 years at baseline) participated in all three surveys. At both Follow-up 1 and Follow-up 2, strong intervention effects were observed for all-day fruit and vegetable intake (effect sizes were 0.6 and 0.5 portions, respectively). The sustained effect at Follow-up 2,1 year after the end of the intervention, can partly be explained by greater participation rates in the School Fruit Programme (standard paid subscription). We conclude that the effects observed are most likely due to the no-cost subscription and not due to the FVMM educational programme, and that providing pupils with a piece of fruit or a vegetable at school at no cost for the parents is an effective strategy to increase school children's intake of fruit and vegetables. The effect is also sustained 1 year after the end of the nocost subscription, providing increased health benefits. (PsycINFO Database Record (c) 2013 APA, all rights reserved). (journal abstract)","author":[{"dropping-particle":"","family":"Bere","given":"E","non-dropping-particle":"","parse-names":false,"suffix":""},{"dropping-particle":"","family":"Veierød","given":"M B","non-dropping-particle":"","parse-names":false,"suffix":""},{"dropping-particle":"","family":"Bjelland","given":"M","non-dropping-particle":"","parse-names":false,"suffix":""},{"dropping-particle":"","family":"Klepp","given":"K -I.","non-dropping-particle":"","parse-names":false,"suffix":""}],"container-title":"Health Education Research","id":"ITEM-2","issue":"2","issued":{"date-parts":[["2006","4"]]},"note":"Accession Number: 2006-03809-010. PMID: 16219630 Partial author list: First Author &amp;amp; Affiliation: Bere, E.; Department of Nutrition, Institute of Basic Medical Sciences, University of Oslo, Oslo, Norway. Release Date: 20060424. Correction Date: 20130909. Publication Type: Journal (0100), Peer Reviewed Journal (0110). Format Covered: Electronic. Document Type: Journal Article. Language: English. Major Descriptor: Diets; Educational Programs; School Based Intervention; Student Attitudes. Minor Descriptor: Classroom Environment; Elementary School Students; Food Intake; Health Promotion. Classification: Promotion &amp;amp; Maintenance of Health &amp;amp; Wellness (3365). Population: Human (10); Male (30); Female (40). Location: Norway. Age Group: Childhood (birth-12 yrs) (100); School Age (6-12 yrs) (180). Methodology: Empirical Study; Followup Study; Quantitative Study. References Available: Y. Page Count: 8. Issue Publication Date: Apr, 2006.","page":"268-275","publisher":"Oxford University Press","publisher-place":"Bere, E., Department of Nutrition, Institute of Basic Medical Sciences, University of Oslo, Blindern, 0316, Oslo, Norway","title":"Free school fruit--sustained effect 1 year later.","type":"article-journal","volume":"21"},"uris":["http://www.mendeley.com/documents/?uuid=d704e684-57ec-4f08-bbed-9773cab79a29"]},{"id":"ITEM-3","itemData":{"ISSN":"0091-7435","abstract":"Background: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Theory","id":"ITEM-3","issue":"6","issued":{"date-parts":[["2010","12"]]},"note":"Accession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adolescents.","type":"article-journal","volume":"51"},"uris":["http://www.mendeley.com/documents/?uuid=74acfc22-4c53-4fd1-8464-3f7cdd79586e"]}],"mendeley":{"formattedCitation":"(Bere et al., 2006; Gratton et al., 2007; Mauriello et al., 2010)","manualFormatting":"(Bere et al., 2006; Gratton et al., 2007; Mauriello et al., 2010)","plainTextFormattedCitation":"(Bere et al., 2006; Gratton et al., 2007; Mauriello et al., 2010)","previouslyFormattedCitation":"(Bere et al., 2006; Gratton et al., 2007; Mauriello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2006; Gratton et al., 2007; Mauriello et al., 2010)</w:t>
      </w:r>
      <w:r w:rsidRPr="00B1522E">
        <w:rPr>
          <w:rFonts w:eastAsia="Calibri" w:cstheme="minorHAnsi"/>
        </w:rPr>
        <w:fldChar w:fldCharType="end"/>
      </w:r>
      <w:r w:rsidRPr="00B1522E">
        <w:rPr>
          <w:rFonts w:eastAsia="Calibri" w:cstheme="minorHAnsi"/>
        </w:rPr>
        <w:t xml:space="preserve">; these three studies were all successful at improving behaviour, potentially because interventions that are more targeted are simpler to adopt </w:t>
      </w:r>
      <w:r w:rsidRPr="00B1522E">
        <w:rPr>
          <w:rFonts w:eastAsia="Calibri" w:cstheme="minorHAnsi"/>
        </w:rPr>
        <w:fldChar w:fldCharType="begin" w:fldLock="1"/>
      </w:r>
      <w:r w:rsidR="00DF6CCC" w:rsidRPr="00B1522E">
        <w:rPr>
          <w:rFonts w:eastAsia="Calibri" w:cstheme="minorHAnsi"/>
        </w:rPr>
        <w:instrText>ADDIN CSL_CITATION {"citationItems":[{"id":"ITEM-1","itemData":{"ISSN":"0017-8969","abstract":"This paper presents a holistic model of the health promoting school and a panoramic framework for evalution. The framework is board, acknowle dging the range of national settings in which health promoging schools are being developed, and draws attention to the emphasis on context and process rather than outcomes. The conceptual model is applied to the European Network of Health Promoting Schools (ENHPS), where the same forces may be at work in relation to the innovation but operate in different ways and with different degrees of strength. The paper recommends a selective approach to evaluation which will serve specific audiences and decision making needs.","author":[{"dropping-particle":"","family":"Parsons","given":"Carl","non-dropping-particle":"","parse-names":false,"suffix":""},{"dropping-particle":"","family":"Stears","given":"David","non-dropping-particle":"","parse-names":false,"suffix":""},{"dropping-particle":"","family":"Thomas","given":"Caroline","non-dropping-particle":"","parse-names":false,"suffix":""}],"container-title":"Health Education Journal","id":"ITEM-1","issue":"3","issued":{"date-parts":[["1996","9","1"]]},"note":"doi: 10.1177/001789699605500306","page":"311-321","publisher":"SAGE Publications Ltd","title":"The health promoting school in Europe: conceptualising and evaluating the change","type":"article-journal","volume":"55"},"uris":["http://www.mendeley.com/documents/?uuid=5b3e0900-22b1-45c3-8b7e-708973ceeadb"]}],"mendeley":{"formattedCitation":"(Parsons et al., 1996)","plainTextFormattedCitation":"(Parsons et al., 1996)","previouslyFormattedCitation":"(Parsons et al., 1996)"},"properties":{"noteIndex":0},"schema":"https://github.com/citation-style-language/schema/raw/master/csl-citation.json"}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(Parsons et al., 1996)</w:t>
      </w:r>
      <w:r w:rsidRPr="00B1522E">
        <w:rPr>
          <w:rFonts w:eastAsia="Calibri" w:cstheme="minorHAnsi"/>
        </w:rPr>
        <w:fldChar w:fldCharType="end"/>
      </w:r>
      <w:r w:rsidRPr="00B1522E">
        <w:rPr>
          <w:rFonts w:eastAsia="Calibri" w:cstheme="minorHAnsi"/>
        </w:rPr>
        <w:t xml:space="preserve">. Secondly, there were multiple-component interventions (i.e. included multiple behaviour change strategies); out of these twenty-six studies, </w:t>
      </w:r>
      <w:r w:rsidRPr="00B1522E">
        <w:rPr>
          <w:rFonts w:eastAsia="Calibri" w:cstheme="minorHAnsi"/>
        </w:rPr>
        <w:fldChar w:fldCharType="begin" w:fldLock="1"/>
      </w:r>
      <w:r w:rsidR="00FD502B"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adolescents?","type":"article-journal","volume":"29"},"uris":["http://www.mendeley.com/documents/?uuid=5a0fd06f-d095-4747-85c1-849d749fe87a"]},{"id":"ITEM-2","itemData":{"ISSN":"1499-4046","abstract":"The article reports a study whose purpose was to evaluate the efficacy of a nutrition education curriculum that was developed to inspire new, more healthful dietary habits among adolescents, in order to address the growing public health problem of overweight in youth. The Reach, Efficacy, Adoption, Implementation and Maintenance (RE-AIM) model served as the evaluation framework for the project. This study's Reach focused on the penetration by grade level and the demographic characteristics of the participating students. The study sample included the entire ninth-grade class at a Brooklyn, New York, high school where nearly one third of students are from households with annual incomes below the poverty level and the school reports that 99% are from minority groups. Participants in Diet for a Healthy Planet with Teen Battle Chefs reported behavioral changes and greater awareness of opportunities for and interest in healthful eating at home and at school. These changes and the peer learning suggest the value of students sharing and using knowledge developed in the course. Such lessons learned can be applied to other high school settings to encourage a combination of skill building in cooking and gardening, experiential learning, and self-reflective techniques to improve dietary behavior and attitudes. (PsycINFO Database Record (c) 2012 APA, all rights reserved)","author":[{"dropping-particle":"","family":"Bukhari","given":"Ali","non-dropping-particle":"","parse-names":false,"suffix":""},{"dropping-particle":"","family":"Fredericks","given":"Lynn","non-dropping-particle":"","parse-names":false,"suffix":""},{"dropping-particle":"","family":"Wylie-Rosett","given":"Judith","non-dropping-particle":"","parse-names":false,"suffix":""}],"container-title":"Journal of Nutrition Education and Behavior","id":"ITEM-2","issue":"5","issued":{"date-parts":[["2011","9"]]},"note":"Accession Number: 2011-20749-020. PMID: 21906554 Other Journal Title: Journal of Nutrition Education. Partial author list: First Author &amp;amp; Affiliation: Bukhari, Ali; Institute of Human Nutrition, Columbia University, New York, NY, US. Other Publishers: BC Decker. Release Date: 20120319. Publication Type: Journal (0100), Peer Reviewed Journal (0110). Format Covered: Electronic. Document Type: Journal Article. Language: English. Major Descriptor: Curriculum Development; Food Preferences; Health Behavior; High School Students; Nutrition. Classification: Curriculum &amp;amp; Programs &amp;amp; Teaching Methods (3530). Population: Human (10). Location: US. Age Group: Adolescence (13-17 yrs) (200). Methodology: Empirical Study; Qualitative Study; Quantitative Study. References Available: Y. Page Count: 5. Issue Publication Date: Sep-Oct, 2011. Copyright Statement: Society for Nutrition Education. 2011.","page":"414-418","publisher":"Elsevier Science","publisher-place":"Fredericks, Lynn, Family Cook Productions, 330 East 43rd St, Suite 704, New York, NY, US, 10017","title":"Strategies to promote high school students’ healthful food choices.","type":"article-journal","volume":"43"},"uris":["http://www.mendeley.com/documents/?uuid=7656a537-f4ec-41dc-aa44-b227ceddf977"]},{"id":"ITEM-3","itemData":{"ISSN":"1479-5868","abstract":"Objectives: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Behavior","id":"ITEM-4","issue":"5","issued":{"date-parts":[["2016","9"]]},"note":"Accession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behaviors.","type":"article-journal","volume":"40"},"uris":["http://www.mendeley.com/documents/?uuid=d63aebec-2716-44e4-bcb3-02defb99b8f6"]},{"id":"ITEM-5","itemData":{"ISSN":"1869-6716","abstract":"The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Medicine","id":"ITEM-5","issue":"1","issued":{"date-parts":[["2015","3"]]},"note":"Accession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girls.","type":"article-journal","volume":"5"},"uris":["http://www.mendeley.com/documents/?uuid=caa5507f-dbd0-4a8e-8a1f-8c2b3fd377e1"]},{"id":"ITEM-6","itemData":{"ISSN":"1090-1981","abstract":"The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Behavior","id":"ITEM-6","issue":"3","issued":{"date-parts":[["2009","6"]]},"note":"Accession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schools.","type":"article-journal","volume":"36"},"uris":["http://www.mendeley.com/documents/?uuid=74f4efaf-f648-40ee-a537-6d3097cacbbf"]},{"id":"ITEM-7","itemData":{"ISSN":"0268-1153","abstract":"The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Research","id":"ITEM-7","issue":"6","issued":{"date-parts":[["2006","12"]]},"note":"Accession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children.","type":"article-journal","volume":"21"},"uris":["http://www.mendeley.com/documents/?uuid=bbef8914-979d-4764-8405-477314275444"]},{"id":"ITEM-8","itemData":{"ISSN":"0268-1153","abstract":"Conducted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Research","id":"ITEM-8","issue":"4","issued":{"date-parts":[["1990","12"]]},"note":"Accession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study.","type":"article-journal","volume":"5"},"uris":["http://www.mendeley.com/documents/?uuid=9a48b06a-99b7-4f0b-b92b-862a85f3beb5"]},{"id":"ITEM-9","itemData":{"ISSN":"1479-5868","abstract":"Background: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Activity","id":"ITEM-9","issued":{"date-parts":[["2016","12"]]},"note":"Accession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behaviors.","type":"article-journal","volume":"13"},"uris":["http://www.mendeley.com/documents/?uuid=823d9b1e-16f3-4ad7-ba7d-86b6176dc2c7"]},{"id":"ITEM-10","itemData":{"ISSN":"1403-4948","abstract":"Background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Health","id":"ITEM-10","issue":"5","issued":{"date-parts":[["2010","11"]]},"note":"Accession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study.","type":"article-journal","volume":"38"},"uris":["http://www.mendeley.com/documents/?uuid=78beb7d0-a0fa-4834-9f1b-52f489a9a220"]},{"id":"ITEM-11","itemData":{"ISSN":"1879-0739","PMID":"19083401","abstract":"Certain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research","id":"ITEM-11","issue":"3","issued":{"date-parts":[["2008","3"]]},"page":"144-50","title":"Beverage intake improvement by high school students in Saskatchewan, Canada.","type":"article-journal","volume":"28"},"uris":["http://www.mendeley.com/documents/?uuid=fdc5051e-cbf7-4dcc-9784-097b6caadb05"]},{"id":"ITEM-12","itemData":{"ISSN":"1054-139X","abstract":"Purpose: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Health","id":"ITEM-12","issue":"2","issued":{"date-parts":[["2009","2"]]},"note":"Accession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intervention.","type":"article-journal","volume":"44"},"uris":["http://www.mendeley.com/documents/?uuid=3436d664-5481-4deb-9498-5b6cd81039b0"]},{"id":"ITEM-13","itemData":{"ISSN":"08901171","abstract":"Purpose.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Promotion","id":"ITEM-13","issue":"3","issued":{"date-parts":[["2010","1"]]},"note":"Accession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Adolescents.","type":"article-journal","volume":"24"},"uris":["http://www.mendeley.com/documents/?uuid=dcce02ba-d07b-4b8a-9d22-177816d0f2ff"]},{"id":"ITEM-14","itemData":{"ISSN":"1087-3244","abstract":"Objectives: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Behavior","id":"ITEM-14","issue":"1","issued":{"date-parts":[["2015","1"]]},"note":"Accession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girls.","type":"article-journal","volume":"39"},"uris":["http://www.mendeley.com/documents/?uuid=7b8ee571-076a-4b5d-8ae8-9e0a03d039ae"]},{"id":"ITEM-15","itemData":{"ISSN":"00223182","abstract":"A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Education","id":"ITEM-15","issue":"1","issued":{"date-parts":[["1995","1"]]},"page":"24-31","title":"Eating disturbances among adolescent girls: Evaluation of a school-based primary prevention program","type":"article-journal","volume":"27"},"uris":["http://www.mendeley.com/documents/?uuid=588adb0d-18f3-406d-bdf5-5d66e25338c4"]},{"id":"ITEM-16","itemData":{"ISSN":"0268-1153","abstract":"Describes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Research","id":"ITEM-16","issue":"2","issued":{"date-parts":[["1987","6"]]},"note":"Accession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Life.'","type":"article-journal","volume":"2"},"uris":["http://www.mendeley.com/documents/?uuid=4ba034f3-de40-4333-9846-e6881c339756"]},{"id":"ITEM-17","itemData":{"ISSN":"1524-8399","abstract":"This study describes the effects of garden-based education on children’s vegetable consumption. As part of a pre–post panel study, 236 students complete the Garden Vegetable Frequency Questionnaire and 161 complete a taste test. Results indicate that school gardening may affect children’s vegetable consumption, including improved recognition of, attitudes toward, preferences for, and willingness to taste vegetables. Gardening also increases the variety of vegetables eaten. Future research should explore whether effects persist over time and if and how changes in children’s behavior affect the behavior of their caregivers. Implications of study findings for policy and practice are discussed. Suggestions for applying results to future health promotions are provided. (PsycINFO Database Record (c) 2012 APA, all rights reserved). (journal abstract)","author":[{"dropping-particle":"","family":"Ratcliffe","given":"Michelle M","non-dropping-particle":"","parse-names":false,"suffix":""},{"dropping-particle":"","family":"Merrigan","given":"Kathleen A","non-dropping-particle":"","parse-names":false,"suffix":""},{"dropping-particle":"","family":"Rogers","given":"Beatrice L","non-dropping-particle":"","parse-names":false,"suffix":""},{"dropping-particle":"","family":"Goldberg","given":"Jeanne P","non-dropping-particle":"","parse-names":false,"suffix":""}],"container-title":"Health Promotion Practice","id":"ITEM-17","issue":"1","issued":{"date-parts":[["2011","1"]]},"note":"Accession Number: 2010-26934-006. PMID: 19846682 Partial author list: First Author &amp;amp; Affiliation: Ratcliffe, Michelle M.; Ecotrust, Portland, OR, US. Release Date: 20110228. Correction Date: 20120618. Publication Type: Journal (0100), Peer Reviewed Journal (0110). Format Covered: Electronic. Document Type: Journal Article. Language: English. Major Descriptor: Food Intake; Food Preferences; Knowledge Level; Middle School Students; Student Attitudes. Minor Descriptor: Middle Schools. Classification: Classroom Dynamics &amp;amp; Student Adjustment &amp;amp; Attitudes (3560). Population: Human (10). Location: US. Age Group: Childhood (birth-12 yrs) (100); School Age (6-12 yrs) (180); Adolescence (13-17 yrs) (200). Tests &amp;amp; Measures: Garden Vegetables Frequency Questionnaire; Taste Test. Methodology: Empirical Study; Quantitative Study. References Available: Y. Page Count: 8. Issue Publication Date: Jan, 2011. Copyright Statement: Society for Public Health Education. 2011.","page":"36-43","publisher":"Sage Publications","publisher-place":"Ratcliffe, Michelle M., Ecotrust, 721 NW Ninth Ave, Suite 200, Portland, OR, US, 97209","title":"The effects of school garden experiences on middle school-aged students’ knowledge, attitudes, and behaviors associated with vegetable consumption.","type":"article-journal","volume":"12"},"uris":["http://www.mendeley.com/documents/?uuid=5e69dc5b-a75e-44cd-a690-1ad10a553ee8"]},{"id":"ITEM-18","itemData":{"author":[{"dropping-particle":"","family":"Revill","given":"S. A.","non-dropping-particle":"","parse-names":false,"suffix":""}],"id":"ITEM-18","issued":{"date-parts":[["2004"]]},"publisher":"Newcastle-upon-tyme","title":"Evaluation of a school-based nutrition and food delivered intervention to schoolchildren preparation skills from deprived social backgrounds","type":"thesis"},"uris":["http://www.mendeley.com/documents/?uuid=44c9923f-702d-4966-8c0c-73345f576954"]},{"id":"ITEM-19","itemData":{"ISSN":"1479-5868","abstract":"Background: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Activity","id":"ITEM-19","issued":{"date-parts":[["2011","2","4"]]},"note":"Accession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intakes.","type":"article-journal","volume":"8"},"uris":["http://www.mendeley.com/documents/?uuid=827f05f5-1374-4d29-b4c3-d6c4de5de2d7"]},{"id":"ITEM-20","itemData":{"ISSN":"0031-5125","abstract":"The objective of the study was to test the effectiveness of an intervention program based on the theoretical framework of the Theory of Planned Behavior, with the addition of attitude strength and role identity. The aim was to alter adolescents' healthy eating attitudes and behaviour. In the sample were 335 high school students, who were divided into intervention and control groups. The intervention lasted 12 weeks and included posters and lectures promoting healthy eating. The measures included a questionnaire assessing the hypothesis and a food frequency questionnaire which measured eating habits. Analysis showed the intervention was effective in improving attitudes toward healthy eating and attitude strength, intention, perceived behavioral control, and healthy eating behaviour, but not effective in predicting subjective norms and role identity. Results provide evidence that intervention changed attitudes toward a behavior in a school setting. (PsycINFO Database Record (c) 2012 APA, all rights reserved). (journal abstract)","author":[{"dropping-particle":"","family":"Tsorbatzoudis","given":"Haralambos","non-dropping-particle":"","parse-names":false,"suffix":""}],"container-title":"Perceptual and Motor Skills","id":"ITEM-20","issue":"2","issued":{"date-parts":[["2005","10"]]},"note":"Accession Number: 2006-00523-036. PMID: 16383096 Other Journal Title: Perceptual &amp;amp; Motor Skills Research Exchange. Partial author list: First Author &amp;amp; Affiliation: Tsorbatzoudis, Haralambos; Sport Psychology Laboratory, Aristotle University of Thessaloniki, Thessaloniki, Greece. Release Date: 20060227. Publication Type: Journal (0100), Peer Reviewed Journal (0110). Format Covered: Print. Document Type: Journal Article. Language: English. Major Descriptor: Eating Attitudes; Eating Behavior; Health Behavior; Health Promotion; Planned Behavior. Minor Descriptor: Adolescent Attitudes; High School Students; School Based Intervention. Classification: Curriculum &amp;amp; Programs &amp;amp; Teaching Methods (3530); Promotion &amp;amp; Maintenance of Health &amp;amp; Wellness (3365). Population: Human (10); Male (30); Female (40). Location: Greece. Age Group: Adolescence (13-17 yrs) (200). Tests &amp;amp; Measures: Greek Adolescents' Food Frequency Questionnaire. Methodology: Empirical Study; Quantitative Study; Treatment Outcome/Clinical Trial. References Available: Y. Page Count: 18. Issue Publication Date: Oct, 2005.","page":"587-604","publisher":"Perceptual &amp; Motor Skills","publisher-place":"Tsorbatzoudis, Haralambos, Aristotle University of Thessaloniki, Department of Physical Education and Sport Science, Sport Psychology Laboratory, Thessaloniki, Greece, 54124","title":"Evaluation of a planned behavior theory-based intervention programme to promote healthy eating.","type":"article-journal","volume":"101"},"uris":["http://www.mendeley.com/documents/?uuid=f16d6371-ae55-47d3-b34f-6f5099c47b13"]},{"id":"ITEM-21","itemData":{"ISSN":"0360-1315","abstract":"Nutrition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Education","id":"ITEM-21","issued":{"date-parts":[["2015","10"]]},"note":"Accession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elements.","type":"article-journal","volume":"88"},"uris":["http://www.mendeley.com/documents/?uuid=d0bc6350-9c55-462b-82b0-80648f3f942f"]},{"id":"ITEM-22","itemData":{"ISSN":"0091-7435","abstract":"Objective: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Theory","id":"ITEM-22","issue":"2","issued":{"date-parts":[["2012","2","1"]]},"note":"Accession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trial.","type":"article-journal","volume":"54"},"uris":["http://www.mendeley.com/documents/?uuid=7e4d5a33-052f-4c99-ab20-b4bf103139ae"]},{"id":"ITEM-23","itemData":{"ISSN":"1545-1151","abstract":"INTRODUCTION: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Disease","id":"ITEM-23","issued":{"date-parts":[["2015","9","24"]]},"page":"1-105","publisher":"Centers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2009–2014","type":"article-journal","volume":"12"},"uris":["http://www.mendeley.com/documents/?uuid=7a939433-5065-4b4f-8418-9bf888206d98"]},{"id":"ITEM-24","itemData":{"ISBN":"2153-2168","ISSN":"2153-2168","PMID":"28448174","abstract":"Background: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Obesity","id":"ITEM-24","issue":"4","issued":{"date-parts":[["2017"]]},"page":"300-313","title":"A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Study","type":"article-journal","volume":"13"},"uris":["http://www.mendeley.com/documents/?uuid=74a21169-2cf5-4820-beb8-c5f53e15a838"]},{"id":"ITEM-25","itemData":{"ISSN":"1471-2458","abstract":"Few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Health","id":"ITEM-25","issue":"1","issued":{"date-parts":[["2017","9"]]},"page":"695","title":"Evaluation of a peer education program on student leaders' energy balance-related behaviors","type":"article-journal","volume":"17"},"uris":["http://www.mendeley.com/documents/?uuid=560d1118-94b4-43a0-8347-10a81bff7b3e"]}],"mendeley":{"formattedCitation":"(Aceves-Martins et al., 2017; Birnbaum et al., 2002; Bukhari et al., 2011; Chin A Paw et al., 2008; de Visser et al., 2016; Dowd et al., 2015; Dzewaltowski et al., 2009; Foley et al., 2017; Haerens et al., 2006; Hoelscher et al., 2016; Hölund, 1990; Lien et al., 2010; Lo et al., 2008; Lubans et al., 2009; Maatoug et al., 2015; M. Martens et al., 2010; McCabe et al., 2015; Neumark-Sztainer et al., 1995; Perry et al., 1987; Ratcliffe et al., 2011; Revill, 2004; Siega-Riz et al., 2011; Tsorbatzoudis, 2005; Wilson et al., 2012; Yang et al., 2015)","manualFormatting":"(Aceves-Martins et al., 2017; Birnbaum et al., 2002; Bukhari et al., 2011; Chin A Paw et al., 2008; de Visser et al., 2016; Dowd et al., 2015; Dzewaltowski et al., 2009; Foley et al., 2017; Haerens et al., 2006; Hoelscher et al., 2016; Hölund, 1990; Lien et al., 2010; Lo et al., 2008; Lubans et al., 2009; Maatoug et al., 2015; Martens et al., 2010; McCabe et al., 2015; Neumark-Sztainer et al., 1995; Perry et al., 1987; Ratcliffe et al., 2011; Revill, 2004; Siega-Riz et al., 2011; Tsorbatzoudis, 2005; Wilson et al., 2012; Yang et al., 2015)","plainTextFormattedCitation":"(Aceves-Martins et al., 2017; Birnbaum et al., 2002; Bukhari et al., 2011; Chin A Paw et al., 2008; de Visser et al., 2016; Dowd et al., 2015; Dzewaltowski et al., 2009; Foley et al., 2017; Haerens et al., 2006; Hoelscher et al., 2016; Hölund, 1990; Lien et al., 2010; Lo et al., 2008; Lubans et al., 2009; Maatoug et al., 2015; M. Martens et al., 2010; McCabe et al., 2015; Neumark-Sztainer et al., 1995; Perry et al., 1987; Ratcliffe et al., 2011; Revill, 2004; Siega-Riz et al., 2011; Tsorbatzoudis, 2005; Wilson et al., 2012; Yang et al., 2015)","previouslyFormattedCitation":"(Aceves-Martins et al., 2017; Birnbaum et al., 2002; Bukhari et al., 2011; Chin A Paw et al., 2008; de Visser et al., 2016; Dowd et al., 2015; Dzewaltowski et al., 2009; Foley et al., 2017; Haerens et al., 2006; Hoelscher et al., 2016; Hölund, 1990; Lien et al., 2010; Lo et al., 2008; Lubans et al., 2009; Maatoug et al., 2015; M. Martens et al., 2010; McCabe et al., 2015; Neumark-Sztainer et al., 1995; Perry et al., 1987; Ratcliffe et al., 2011; Revill, 2004; Siega-Riz et al., 2011; Tsorbatzoudis, 2005; Wilson et al., 2012;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 xml:space="preserve">(Aceves-Martins et al., 2017; Birnbaum et al., 2002; Bukhari et al., 2011; Chin A Paw et al., </w:t>
      </w:r>
      <w:r w:rsidR="00795693" w:rsidRPr="00B1522E">
        <w:rPr>
          <w:rFonts w:eastAsia="Calibri" w:cstheme="minorHAnsi"/>
          <w:noProof/>
        </w:rPr>
        <w:lastRenderedPageBreak/>
        <w:t>2008; de Visser et al., 2016; Dowd et al., 2015; Dzewaltowski et al., 2009; Foley et al., 2017; Haerens et al., 2006; Hoelscher et al., 2016; Hölund, 1990; Lien et al., 2010; Lo et al., 2008; Lubans et al., 2009; Maatoug et al., 2015; Martens et al., 2010; McCabe et al., 2015; Neumark-Sztainer et al., 1995; Perry et al., 1987; Ratcliffe et al., 2011; Revill, 2004; Siega-Riz et al., 2011; Tsorbatzoudis, 2005; Wilson et al., 2012; Yang et al., 2015)</w:t>
      </w:r>
      <w:r w:rsidRPr="00B1522E">
        <w:rPr>
          <w:rFonts w:eastAsia="Calibri" w:cstheme="minorHAnsi"/>
        </w:rPr>
        <w:fldChar w:fldCharType="end"/>
      </w:r>
      <w:r w:rsidRPr="00B1522E">
        <w:rPr>
          <w:rFonts w:eastAsia="Calibri" w:cstheme="minorHAnsi"/>
        </w:rPr>
        <w:t xml:space="preserve">, only five were </w:t>
      </w:r>
      <w:r w:rsidRPr="00B1522E">
        <w:rPr>
          <w:rFonts w:eastAsia="Calibri" w:cstheme="minorHAnsi"/>
          <w:i/>
        </w:rPr>
        <w:t xml:space="preserve">not </w:t>
      </w:r>
      <w:r w:rsidRPr="00B1522E">
        <w:rPr>
          <w:rFonts w:eastAsia="Calibri" w:cstheme="minorHAnsi"/>
        </w:rPr>
        <w:t xml:space="preserve">successful at changing dietary behaviour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Behavior","id":"ITEM-1","issue":"3","issued":{"date-parts":[["2009","6"]]},"note":"Accession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study.","type":"article-journal","volume":"38"},"uris":["http://www.mendeley.com/documents/?uuid=78beb7d0-a0fa-4834-9f1b-52f489a9a220"]},{"id":"ITEM-3","itemData":{"ISSN":"08901171","abstract":"Purpose.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Promotion","id":"ITEM-3","issue":"3","issued":{"date-parts":[["2010","1"]]},"note":"Accession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Adolescents.","type":"article-journal","volume":"24"},"uris":["http://www.mendeley.com/documents/?uuid=dcce02ba-d07b-4b8a-9d22-177816d0f2ff"]},{"id":"ITEM-4","itemData":{"ISSN":"1087-3244","abstract":"Objectives: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Behavior","id":"ITEM-4","issue":"1","issued":{"date-parts":[["2015","1"]]},"note":"Accession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girls.","type":"article-journal","volume":"39"},"uris":["http://www.mendeley.com/documents/?uuid=7b8ee571-076a-4b5d-8ae8-9e0a03d039ae"]},{"id":"ITEM-5","itemData":{"author":[{"dropping-particle":"","family":"Revill","given":"S. A.","non-dropping-particle":"","parse-names":false,"suffix":""}],"id":"ITEM-5","issued":{"date-parts":[["2004"]]},"publisher":"Newcastle-upon-tyme","title":"Evaluation of a school-based nutrition and food delivered intervention to schoolchildren preparation skills from deprived social backgrounds","type":"thesis"},"uris":["http://www.mendeley.com/documents/?uuid=44c9923f-702d-4966-8c0c-73345f576954"]}],"mendeley":{"formattedCitation":"(Dzewaltowski et al., 2009; Lien et al., 2010; M. Martens et al., 2010; McCabe et al., 2015; Revill, 2004)","manualFormatting":"(Dzewaltowski et al., 2009; Lien et al., 2010; Martens et al., 2010; McCabe et al., 2015; Revill, 2004)","plainTextFormattedCitation":"(Dzewaltowski et al., 2009; Lien et al., 2010; M. Martens et al., 2010; McCabe et al., 2015; Revill, 2004)","previouslyFormattedCitation":"(Dzewaltowski et al., 2009; Lien et al., 2010; M. Martens et al., 2010; McCabe et al., 2015; Revill, 2004)"},"properties":{"noteIndex":0},"schema":"https://github.com/citation-style-language/schema/raw/master/csl-citation.json"}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(Dzewaltowski et al., 2009; Lien et al., 2010; Martens et al., 2010; McCabe et al., 2015; Revill, 2004)</w:t>
      </w:r>
      <w:r w:rsidRPr="00B1522E">
        <w:rPr>
          <w:rFonts w:eastAsia="Calibri" w:cstheme="minorHAnsi"/>
        </w:rPr>
        <w:fldChar w:fldCharType="end"/>
      </w:r>
      <w:r w:rsidRPr="00B1522E">
        <w:rPr>
          <w:rFonts w:eastAsia="Calibri" w:cstheme="minorHAnsi"/>
        </w:rPr>
        <w:t xml:space="preserve">. It has been argued that to change adolescents’ dietary behaviour, interventions should use multiple strategies simultaneously </w:t>
      </w:r>
      <w:r w:rsidRPr="00B1522E">
        <w:rPr>
          <w:rFonts w:eastAsia="Calibri" w:cstheme="minorHAnsi"/>
        </w:rPr>
        <w:fldChar w:fldCharType="begin" w:fldLock="1"/>
      </w:r>
      <w:r w:rsidR="007463D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adolescents?","type":"article-journal","volume":"29"},"uris":["http://www.mendeley.com/documents/?uuid=5a0fd06f-d095-4747-85c1-849d749fe87a"]}],"mendeley":{"formattedCitation":"(Birnbaum et al., 2002)","plainTextFormattedCitation":"(Birnbaum et al., 2002)","previouslyFormattedCitation":"(Birnbaum et al., 2002)"},"properties":{"noteIndex":0},"schema":"https://github.com/citation-style-language/schema/raw/master/csl-citation.json"}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(Birnbaum et al., 2002)</w:t>
      </w:r>
      <w:r w:rsidRPr="00B1522E">
        <w:rPr>
          <w:rFonts w:eastAsia="Calibri" w:cstheme="minorHAnsi"/>
        </w:rPr>
        <w:fldChar w:fldCharType="end"/>
      </w:r>
      <w:r w:rsidRPr="00B1522E">
        <w:rPr>
          <w:rFonts w:eastAsia="Calibri" w:cstheme="minorHAnsi"/>
        </w:rPr>
        <w:t xml:space="preserve">. However, this can be challenging as it can be unclear which components are effective in eliciting behaviour change, and also it is difficult to assess if all components have been properly implemented, which could affect the intended outcomes </w:t>
      </w:r>
      <w:r w:rsidRPr="00B1522E">
        <w:rPr>
          <w:rFonts w:eastAsia="Calibri" w:cstheme="minorHAnsi"/>
        </w:rPr>
        <w:fldChar w:fldCharType="begin" w:fldLock="1"/>
      </w:r>
      <w:r w:rsidR="00DF6CCC" w:rsidRPr="00B1522E">
        <w:rPr>
          <w:rFonts w:eastAsia="Calibri" w:cstheme="minorHAnsi"/>
        </w:rPr>
        <w:instrText>ADDIN CSL_CITATION {"citationItems":[{"id":"ITEM-1","itemData":{"ISSN":"0091-0562 (Print)","PMID":"10676545","abstract":"The past decade has seen increasing recognition in prevention science of the need to move away from a black box approach to intervention evaluation and toward an approach that can elaborate on the mechanisms through which changes in the outcomes operate (Chen &amp; Rossi, 1989; Durlak &amp; Wells, 1997; Spoth et al., 1995). An approach that examines issues of program implementation is particularly critical in the design of efficacy studies of school-based preventive interventions. Numerous preventive intervention strategies are now delivered within the schools, often by regular classroom teachers. The extent to which teachers faithfully deliver a particular curriculum or incorporate instructional strategies emphasized by an intervention is a critical question for the overall project evaluation. This article illustrates the utilization of process measures from a multicomponent school-based prevention program to examine implementation of a teaching staff development intervention, and the program's underlying theoretical basis. Given the nested study design, the analyses utilize hierarchical linear models (Bryk &amp; Raudenbush, 1992) to examine changes in teaching strategies by condition and investigate the hypothesized relationships between teaching practices and student behaviors based on the program's theoretical framework. Results suggest that teaching practices in two of the six intervention focus areas were positively impacted in the first 18 months of the project. Findings also support the relationships between teachers' instructional practices and students' behavior.","author":[{"dropping-particle":"","family":"Harachi","given":"T W","non-dropping-particle":"","parse-names":false,"suffix":""},{"dropping-particle":"","family":"Abbott","given":"R D","non-dropping-particle":"","parse-names":false,"suffix":""},{"dropping-particle":"","family":"Catalano","given":"R F","non-dropping-particle":"","parse-names":false,"suffix":""},{"dropping-particle":"","family":"Haggerty","given":"K P","non-dropping-particle":"","parse-names":false,"suffix":""},{"dropping-particle":"","family":"Fleming","given":"C B","non-dropping-particle":"","parse-names":false,"suffix":""}],"container-title":"American journal of community psychology","id":"ITEM-1","issue":"5","issued":{"date-parts":[["1999","10"]]},"language":"eng","page":"711-731","publisher-place":"England","title":"Opening the black box: using process evaluation measures to assess implementation and theory building.","type":"article-journal","volume":"27"},"uris":["http://www.mendeley.com/documents/?uuid=c4e545ab-42d9-4fff-b967-c21477e6b5ed"]},{"id":"ITEM-2","itemData":{"ISSN":"0195-8402 (Print)","PMID":"4077544","abstract":"Monitoring the implementation of a program being evaluated can improve the interpretability of data collected and help evaluators to avoid committing a Type III error: evaluating a program that has not been adequately implemented. This article describes an evaluation that analyzed the implementation of a school health education curriculum, assessed cognitive learning outcomes attributable to the curriculum, and examined the relationship between classroom implementation and changes in students' knowledge. Five fifth-grade classes (n = 101) participated in the curriculum, and five classes (n = 84) served as a comparison group. Data collection procedures involved a pretest and posttest of all students' health-related knowledge, daily monitoring of classroom implementation by the five teachers participating, and questionnaires completed by principals and teachers. Analysis methods included descriptive statistics, parametric and nonparametric tests of significance, and qualitative assessment procedures. Results indicated that the curriculum had a positive effect on learning in students; curriculum implementation varied considerably among the five classes participating; teaching/learning activities that were most and least likely to be implemented could be identified and described; both teachers and principals perceived the program favorably; some health instruction was occurring in the comparison classes, so it was not appropriate to consider them as pure controls; and no statistically significant relationship between curriculum implementation and cognitive outcomes was observed. This study provides evidence of the need for and value of measuring implementation of programs being evaluated. Implications for developing implementation measures and the role of formative evaluation in health education practice are considered.","author":[{"dropping-particle":"","family":"Basch","given":"C E","non-dropping-particle":"","parse-names":false,"suffix":""},{"dropping-particle":"","family":"Sliepcevich","given":"E M","non-dropping-particle":"","parse-names":false,"suffix":""},{"dropping-particle":"","family":"Gold","given":"R S","non-dropping-particle":"","parse-names":false,"suffix":""},{"dropping-particle":"","family":"Duncan","given":"D F","non-dropping-particle":"","parse-names":false,"suffix":""},{"dropping-particle":"","family":"Kolbe","given":"L J","non-dropping-particle":"","parse-names":false,"suffix":""}],"container-title":"Health education quarterly","id":"ITEM-2","issue":"4","issued":{"date-parts":[["1985"]]},"language":"eng","page":"315-331","publisher-place":"United States","title":"Avoiding type III errors in health education program evaluations: a case study.","type":"article-journal","volume":"12"},"uris":["http://www.mendeley.com/documents/?uuid=ed6ec940-f427-4099-9fe9-09b63379cdfe"]}],"mendeley":{"formattedCitation":"(Basch et al., 1985; Harachi et al., 1999)","plainTextFormattedCitation":"(Basch et al., 1985; Harachi et al., 1999)","previouslyFormattedCitation":"(Basch et al., 1985; Harachi et al., 1999)"},"properties":{"noteIndex":0},"schema":"https://github.com/citation-style-language/schema/raw/master/csl-citation.json"}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(Basch et al., 1985; Harachi et al., 1999)</w:t>
      </w:r>
      <w:r w:rsidRPr="00B1522E">
        <w:rPr>
          <w:rFonts w:eastAsia="Calibri" w:cstheme="minorHAnsi"/>
        </w:rPr>
        <w:fldChar w:fldCharType="end"/>
      </w:r>
      <w:r w:rsidRPr="00B1522E">
        <w:rPr>
          <w:rFonts w:eastAsia="Calibri" w:cstheme="minorHAnsi"/>
        </w:rPr>
        <w:t xml:space="preserve">. </w:t>
      </w:r>
    </w:p>
    <w:p w14:paraId="45F84A6B" w14:textId="77777777" w:rsidR="00987AC8" w:rsidRPr="00B1522E" w:rsidRDefault="00987AC8" w:rsidP="00734D95">
      <w:pPr>
        <w:spacing w:line="480" w:lineRule="auto"/>
        <w:jc w:val="both"/>
        <w:rPr>
          <w:rFonts w:eastAsia="Calibri" w:cstheme="minorHAnsi"/>
        </w:rPr>
      </w:pPr>
    </w:p>
    <w:bookmarkStart w:id="59" w:name="_Toc84678909"/>
    <w:p w14:paraId="614BB772" w14:textId="2706CE84" w:rsidR="00987AC8" w:rsidRPr="00B1522E" w:rsidRDefault="00611462" w:rsidP="00734D95">
      <w:pPr>
        <w:spacing w:line="480" w:lineRule="auto"/>
      </w:pPr>
      <w:r w:rsidRPr="00B1522E">
        <w:fldChar w:fldCharType="begin"/>
      </w:r>
      <w:r w:rsidRPr="00B1522E">
        <w:instrText xml:space="preserve"> TC  "</w:instrText>
      </w:r>
      <w:bookmarkStart w:id="60" w:name="_Toc97310423"/>
      <w:r w:rsidRPr="00B1522E">
        <w:instrText>2.5.3 Duration</w:instrText>
      </w:r>
      <w:r w:rsidR="00887BA1" w:rsidRPr="00B1522E">
        <w:instrText xml:space="preserve"> of interventions and how they were measured</w:instrText>
      </w:r>
      <w:bookmarkEnd w:id="60"/>
      <w:r w:rsidRPr="00B1522E">
        <w:instrText xml:space="preserve"> " \f x\l 3 </w:instrText>
      </w:r>
      <w:r w:rsidRPr="00B1522E">
        <w:fldChar w:fldCharType="end"/>
      </w:r>
      <w:r w:rsidR="00383D7E" w:rsidRPr="00B1522E">
        <w:t>2.5.3</w:t>
      </w:r>
      <w:r w:rsidR="00987AC8" w:rsidRPr="00B1522E">
        <w:t xml:space="preserve"> Duration of interventions and how they were measured</w:t>
      </w:r>
      <w:bookmarkEnd w:id="59"/>
      <w:r w:rsidR="00987AC8" w:rsidRPr="00B1522E">
        <w:t xml:space="preserve"> </w:t>
      </w:r>
    </w:p>
    <w:p w14:paraId="30C982AE" w14:textId="290D8A29" w:rsidR="00987AC8" w:rsidRPr="00B1522E" w:rsidRDefault="00987AC8" w:rsidP="00734D95">
      <w:pPr>
        <w:spacing w:line="480" w:lineRule="auto"/>
        <w:jc w:val="both"/>
        <w:rPr>
          <w:rFonts w:eastAsia="Calibri" w:cstheme="minorHAnsi"/>
        </w:rPr>
      </w:pPr>
      <w:r w:rsidRPr="00B1522E">
        <w:rPr>
          <w:rFonts w:eastAsia="Calibri" w:cstheme="minorHAnsi"/>
        </w:rPr>
        <w:t xml:space="preserve">The duration of the delivery of interventions varied within the review ranging from two weeks to three school years. Research has suggested that changing children’s dietary behaviours can be difficult using short-term interventions (in terms of the duration of intervention itself) </w:t>
      </w:r>
      <w:r w:rsidRPr="00B1522E">
        <w:rPr>
          <w:rFonts w:eastAsia="Calibri" w:cstheme="minorHAnsi"/>
        </w:rPr>
        <w:fldChar w:fldCharType="begin" w:fldLock="1"/>
      </w:r>
      <w:r w:rsidR="00D046DC" w:rsidRPr="00B1522E">
        <w:rPr>
          <w:rFonts w:eastAsia="Calibri" w:cstheme="minorHAnsi"/>
        </w:rPr>
        <w:instrText>ADDIN CSL_CITATION {"citationItems":[{"id":"ITEM-1","itemData":{"ISSN":"0195-6663","abstract":"Much of the research on the determinants of dietary behavior has been guided by Bandura’s Social Cognitive Theory (SCT), yet few studies have tested the utility of its proposed structural paths. The aim of this paper was to test the capacity of SCT to explain dietary behaviors in a sample of 357 adolescent girls (13.2 ± 0.5 years) from 12 secondary schools located in low-income communities in New South Wales, Australia. Participants completed validated SCT scales assessing nutrition-related self-efficacy, intention, behavioral strategies, family support, situation, outcome expectations, and outcome expectancies. Participants completed a validated food frequency questionnaire, from which, the percentage of total kilojoules from core-foods, non-core foods and saturated fat were calculated. The theoretical models were tested using structural equation modeling in AMOS. The models explained 48–51% and 13–19% of the variance in intention and dietary behavior, respectively. The models provided an adequate fit to the data, and self-efficacy was positively associated with healthy eating and inversely associated with unhealthy eating. However, the pathway from intention to behavior was not statistically significant in any of the models. While this study has demonstrated the utility of SCT constructs to explain behavior in adolescents girls, the proposed structural pathways were not supported. Further study of the role that implementation intentions play in explaining adolescent girls’ dietary behaviors is required. (PsycINFO Database Record (c) 2015 APA, all rights reserved). (journal abstract)","author":[{"dropping-particle":"","family":"Lubans","given":"David R","non-dropping-particle":"","parse-names":false,"suffix":""},{"dropping-particle":"","family":"Plotnikoff","given":"Ronald C","non-dropping-particle":"","parse-names":false,"suffix":""},{"dropping-particle":"","family":"Morgan","given":"Philip J","non-dropping-particle":"","parse-names":false,"suffix":""},{"dropping-particle":"","family":"Dewar","given":"Deborah","non-dropping-particle":"","parse-names":false,"suffix":""},{"dropping-particle":"","family":"Costigan","given":"Sarah","non-dropping-particle":"","parse-names":false,"suffix":""},{"dropping-particle":"","family":"Collins","given":"Clare E","non-dropping-particle":"","parse-names":false,"suffix":""}],"container-title":"Appetite","id":"ITEM-1","issue":"2","issued":{"date-parts":[["2012","4"]]},"note":"Accession Number: 2012-04681-018. PMID: 22227067 Partial author list: First Author &amp;amp; Affiliation: Lubans, David R.; Priority Research Centre in Physical Activity and Nutrition, School of Education, University of Newcastle, Newcastle, NSW, Australia. Release Date: 20120402. Correction Date: 20151214. Publication Type: Journal (0100), Peer Reviewed Journal (0110). Format Covered: Electronic. Document Type: Journal Article. Language: English. Major Descriptor: Diets; Disadvantaged; Food Intake; Secondary Education; Social Cognition. Minor Descriptor: Adolescent Development; Human Females; Lower Income Level; Nutrition; Schools; Theories. Classification: Developmental Psychology (2800). Population: Human (10); Female (40). Location: Australia. Age Group: Adolescence (13-17 yrs) (200). Tests &amp;amp; Measures: Australian Child and Adolescent Eating Survey; Goals Scale; Behavioral Strategies Scale; Family Support Scale; Situation Scale; Outcome Expectations Scale; Outcome Expectancies Scale; Self-Efficacy Scale; Food Frequency Questionnaire. Methodology: Empirical Study; Quantitative Study. References Available: Y. Page Count: 8. Issue Publication Date: Apr, 2012. Publication History: First Posted Date: Dec 29, 2011; Accepted Date: Dec 18, 2011; Revised Date: Dec 1, 2011; First Submitted Date: Aug 31, 2011. Copyright Statement: All rights reserved. Elsevier Ltd. 2012.","page":"517-524","publisher":"Elsevier Science","publisher-place":"Lubans, David R.","title":"Explaining dietary intake in adolescent girls from disadvantaged secondary schools. A test of Social Cognitive Theory.","type":"article-journal","volume":"58"},"uris":["http://www.mendeley.com/documents/?uuid=cc86c7d6-b8ab-44e5-a280-38e479ffc6fc"]}],"mendeley":{"formattedCitation":"(Lubans et al., 2012)","plainTextFormattedCitation":"(Lubans et al., 2012)","previouslyFormattedCitation":"(Lubans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(Lubans et al., 2012)</w:t>
      </w:r>
      <w:r w:rsidRPr="00B1522E">
        <w:rPr>
          <w:rFonts w:eastAsia="Calibri" w:cstheme="minorHAnsi"/>
        </w:rPr>
        <w:fldChar w:fldCharType="end"/>
      </w:r>
      <w:r w:rsidRPr="00B1522E">
        <w:rPr>
          <w:rFonts w:eastAsia="Calibri" w:cstheme="minorHAnsi"/>
        </w:rPr>
        <w:t xml:space="preserve">. However, four out of the five reviewed studies that were </w:t>
      </w:r>
      <w:r w:rsidRPr="00B1522E">
        <w:rPr>
          <w:rFonts w:eastAsia="Calibri" w:cstheme="minorHAnsi"/>
          <w:i/>
        </w:rPr>
        <w:t xml:space="preserve">not </w:t>
      </w:r>
      <w:r w:rsidRPr="00B1522E">
        <w:rPr>
          <w:rFonts w:eastAsia="Calibri" w:cstheme="minorHAnsi"/>
        </w:rPr>
        <w:t xml:space="preserve">successful at changing behaviour ranged in duration from 8 months to 2 years </w:t>
      </w:r>
      <w:r w:rsidRPr="00B1522E">
        <w:rPr>
          <w:rFonts w:eastAsia="Calibri" w:cstheme="minorHAnsi"/>
        </w:rPr>
        <w:fldChar w:fldCharType="begin" w:fldLock="1"/>
      </w:r>
      <w:r w:rsidR="00660052" w:rsidRPr="00B1522E">
        <w:rPr>
          <w:rFonts w:eastAsia="Calibri" w:cstheme="minorHAnsi"/>
        </w:rPr>
        <w:instrText>ADDIN CSL_CITATION {"citationItems":[{"id":"ITEM-1","itemData":{"author":[{"dropping-particle":"","family":"Revill","given":"S. A.","non-dropping-particle":"","parse-names":false,"suffix":""}],"id":"ITEM-1","issued":{"date-parts":[["2004"]]},"publisher":"Newcastle-upon-tyme","title":"Evaluation of a school-based nutrition and food delivered intervention to schoolchildren preparation skills from deprived social backgrounds","type":"thesis"},"uris":["http://www.mendeley.com/documents/?uuid=44c9923f-702d-4966-8c0c-73345f576954"]},{"id":"ITEM-2","itemData":{"ISSN":"1090-1981","abstract":"The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Behavior","id":"ITEM-2","issue":"3","issued":{"date-parts":[["2009","6"]]},"note":"Accession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schools.","type":"article-journal","volume":"36"},"uris":["http://www.mendeley.com/documents/?uuid=74f4efaf-f648-40ee-a537-6d3097cacbbf"]},{"id":"ITEM-3","itemData":{"ISSN":"1403-4948","abstract":"Background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Health","id":"ITEM-3","issue":"5","issued":{"date-parts":[["2010","11"]]},"note":"Accession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study.","type":"article-journal","volume":"38"},"uris":["http://www.mendeley.com/documents/?uuid=78beb7d0-a0fa-4834-9f1b-52f489a9a220"]},{"id":"ITEM-4","itemData":{"ISSN":"1087-3244","abstract":"Objectives: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Behavior","id":"ITEM-4","issue":"1","issued":{"date-parts":[["2015","1"]]},"note":"Accession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girls.","type":"article-journal","volume":"39"},"uris":["http://www.mendeley.com/documents/?uuid=7b8ee571-076a-4b5d-8ae8-9e0a03d039ae"]}],"mendeley":{"formattedCitation":"(Dzewaltowski et al., 2009; Lien et al., 2010; McCabe et al., 2015; Revill, 2004)","plainTextFormattedCitation":"(Dzewaltowski et al., 2009; Lien et al., 2010; McCabe et al., 2015; Revill, 2004)","previouslyFormattedCitation":"(Dzewaltowski et al., 2009; Lien et al., 2010; McCabe et al., 2015; Revill,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(Dzewaltowski et al., 2009; Lien et al., 2010; McCabe et al., 2015; Revill, 2004)</w:t>
      </w:r>
      <w:r w:rsidRPr="00B1522E">
        <w:rPr>
          <w:rFonts w:eastAsia="Calibri" w:cstheme="minorHAnsi"/>
        </w:rPr>
        <w:fldChar w:fldCharType="end"/>
      </w:r>
      <w:r w:rsidRPr="00B1522E">
        <w:rPr>
          <w:rFonts w:eastAsia="Calibri" w:cstheme="minorHAnsi"/>
        </w:rPr>
        <w:t xml:space="preserve">. This lack of success may be explained by the frequency of structured contact sessions (intensity) related to the intervention; three of the studies that were not successful had physical contact once per month or less frequently (e.g. every other month)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Behavior","id":"ITEM-1","issue":"3","issued":{"date-parts":[["2009","6"]]},"note":"Accession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schools.","type":"article-journal","volume":"36"},"uris":["http://www.mendeley.com/documents/?uuid=74f4efaf-f648-40ee-a537-6d3097cacbbf"]},{"id":"ITEM-2","itemData":{"ISSN":"1403-4948","abstract":"Background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Health","id":"ITEM-2","issue":"5","issued":{"date-parts":[["2010","11"]]},"note":"Accession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study.","type":"article-journal","volume":"38"},"uris":["http://www.mendeley.com/documents/?uuid=78beb7d0-a0fa-4834-9f1b-52f489a9a220"]},{"id":"ITEM-3","itemData":{"ISSN":"1087-3244","abstract":"Objectives: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Behavior","id":"ITEM-3","issue":"1","issued":{"date-parts":[["2015","1"]]},"note":"Accession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girls.","type":"article-journal","volume":"39"},"uris":["http://www.mendeley.com/documents/?uuid=7b8ee571-076a-4b5d-8ae8-9e0a03d039ae"]}],"mendeley":{"formattedCitation":"(Dzewaltowski et al., 2009; Lien et al., 2010; McCabe et al., 2015)","plainTextFormattedCitation":"(Dzewaltowski et al., 2009; Lien et al., 2010; McCabe et al., 2015)","previouslyFormattedCitation":"(Dzewaltowski et al., 2009; Lien et al., 2010; McCabe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(Dzewaltowski et al., 2009; Lien et al., 2010; McCabe et al., 2015)</w:t>
      </w:r>
      <w:r w:rsidRPr="00B1522E">
        <w:rPr>
          <w:rFonts w:eastAsia="Calibri" w:cstheme="minorHAnsi"/>
        </w:rPr>
        <w:fldChar w:fldCharType="end"/>
      </w:r>
      <w:r w:rsidRPr="00B1522E">
        <w:rPr>
          <w:rFonts w:eastAsia="Calibri" w:cstheme="minorHAnsi"/>
        </w:rPr>
        <w:t xml:space="preserve">. Also, one unsuccessful study which had contact time on average of once per week divided in four blocks of 5 weeks duration (total of 20 sessions) over seven months, found that only 6 students out of 84 that consented to take part actually attended all of the intervention sessions </w:t>
      </w:r>
      <w:r w:rsidRPr="00B1522E">
        <w:rPr>
          <w:rFonts w:eastAsia="Calibri" w:cstheme="minorHAnsi"/>
        </w:rPr>
        <w:fldChar w:fldCharType="begin" w:fldLock="1"/>
      </w:r>
      <w:r w:rsidR="00D671A4" w:rsidRPr="00B1522E">
        <w:rPr>
          <w:rFonts w:eastAsia="Calibri" w:cstheme="minorHAnsi"/>
        </w:rPr>
        <w:instrText>ADDIN CSL_CITATION {"citationItems":[{"id":"ITEM-1","itemData":{"author":[{"dropping-particle":"","family":"Revill","given":"S. A.","non-dropping-particle":"","parse-names":false,"suffix":""}],"id":"ITEM-1","issued":{"date-parts":[["2004"]]},"publisher":"Newcastle-upon-tyme","title":"Evaluation of a school-based nutrition and food delivered intervention to schoolchildren preparation skills from deprived social backgrounds","type":"thesis"},"uris":["http://www.mendeley.com/documents/?uuid=44c9923f-702d-4966-8c0c-73345f576954"]}],"mendeley":{"formattedCitation":"(Revill, 2004)","plainTextFormattedCitation":"(Revill, 2004)","previouslyFormattedCitation":"(Revill,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(Revill, 2004)</w:t>
      </w:r>
      <w:r w:rsidRPr="00B1522E">
        <w:rPr>
          <w:rFonts w:eastAsia="Calibri" w:cstheme="minorHAnsi"/>
        </w:rPr>
        <w:fldChar w:fldCharType="end"/>
      </w:r>
      <w:r w:rsidRPr="00B1522E">
        <w:rPr>
          <w:rFonts w:eastAsia="Calibri" w:cstheme="minorHAnsi"/>
        </w:rPr>
        <w:t xml:space="preserve">.  It has been suggested for a dietary behaviour change intervention </w:t>
      </w:r>
      <w:r w:rsidRPr="00B1522E">
        <w:rPr>
          <w:rFonts w:eastAsia="Calibri" w:cstheme="minorHAnsi"/>
        </w:rPr>
        <w:lastRenderedPageBreak/>
        <w:t xml:space="preserve">that the level of exposure of the intervention can affect its intended outcome </w:t>
      </w:r>
      <w:r w:rsidRPr="00B1522E">
        <w:rPr>
          <w:rFonts w:eastAsia="Calibri" w:cstheme="minorHAnsi"/>
        </w:rPr>
        <w:fldChar w:fldCharType="begin" w:fldLock="1"/>
      </w:r>
      <w:r w:rsidR="007463D4" w:rsidRPr="00B1522E">
        <w:rPr>
          <w:rFonts w:eastAsia="Calibri" w:cstheme="minorHAnsi"/>
        </w:rPr>
        <w:instrText>ADDIN CSL_CITATION {"citationItems":[{"id":"ITEM-1","itemData":{"ISSN":"1475-2727 (Electronic)","PMID":"22850118","abstract":"OBJECTIVE: To evaluate implementation and effectiveness of nutrition promotion programmes using the health-promoting schools (HPS) approach, to indicate areas where further research is needed and to make recommendations for practice in this field. DESIGN: The searched electronic databases included: CINAHL, Cochrane Library, Health Reference Center, Informit Search, MEDLINE, ProQuest, PsycINFO, PubMed, ScienceDirect, Scopus, Social Services Abstracts and Web of Science. Inclusion criteria were: (i) controlled or before-and-after studies evaluating a nutrition intervention and involving the HPS approach, either fully or in part; (ii) provision of information about components and delivery of the intervention; and (iii) report on all evaluated outcomes. SETTING: Schools. SUBJECTS: Students, parents and school staff. RESULTS: All included studies described intervention delivery and six reported on process evaluation. In intervention schools school environment and ethos were more supportive, appropriate curriculum was delivered and parents and/or the community were more engaged and involved. Students participated in interventions at differing levels, but the majority was satisfied with the intervention. The evidence indicates that nutrition promotion programmes using the HPS approach can increase participants' consumption of high-fibre foods, healthier snacks, water, milk, fruit and vegetables. It can also reduce participants' 'breakfast skipping', as well as reduce intakes of red food, low-nutrient dense foods, fatty and cream foods, sweet drinks consumption and eating disorders. It can help to develop hygienic habits and improved food safety behaviours. CONCLUSIONS: More professional training for teachers in the HPS approach, further qualitative studies, longer intervention periods, improved follow-up evaluations and adequate funding are required for future school-based nutrition promotion programmes.","author":[{"dropping-particle":"","family":"Wang","given":"Dongxu","non-dropping-particle":"","parse-names":false,"suffix":""},{"dropping-particle":"","family":"Stewart","given":"Donald","non-dropping-particle":"","parse-names":false,"suffix":""}],"container-title":"Public health nutrition","id":"ITEM-1","issue":"6","issued":{"date-parts":[["2013","6"]]},"language":"eng","page":"1082-1100","publisher-place":"England","title":"The implementation and effectiveness of school-based nutrition promotion programmes using a health-promoting schools approach: a systematic review.","type":"article-journal","volume":"16"},"uris":["http://www.mendeley.com/documents/?uuid=17f3ab75-0a8d-49c1-aea8-4a9d1905881d"]}],"mendeley":{"formattedCitation":"(Wang &amp; Stewart, 2013)","plainTextFormattedCitation":"(Wang &amp; Stewart, 2013)","previouslyFormattedCitation":"(Wang &amp; Stewart, 2013)"},"properties":{"noteIndex":0},"schema":"https://github.com/citation-style-language/schema/raw/master/csl-citation.json"}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(Wang &amp; Stewart, 2013)</w:t>
      </w:r>
      <w:r w:rsidRPr="00B1522E">
        <w:rPr>
          <w:rFonts w:eastAsia="Calibri" w:cstheme="minorHAnsi"/>
        </w:rPr>
        <w:fldChar w:fldCharType="end"/>
      </w:r>
      <w:r w:rsidRPr="00B1522E">
        <w:rPr>
          <w:rFonts w:eastAsia="Calibri" w:cstheme="minorHAnsi"/>
        </w:rPr>
        <w:t xml:space="preserve">. Authors inconsistently reported the uptake and retention for each intervention, which can make it challenging to analyse the exposure to (or dose of) a dietary behaviour intervention and whether this influences behaviour change </w:t>
      </w:r>
      <w:r w:rsidRPr="00B1522E">
        <w:rPr>
          <w:rFonts w:eastAsia="Calibri" w:cstheme="minorHAnsi"/>
        </w:rPr>
        <w:fldChar w:fldCharType="begin" w:fldLock="1"/>
      </w:r>
      <w:r w:rsidR="00DF6CCC" w:rsidRPr="00B1522E">
        <w:rPr>
          <w:rFonts w:eastAsia="Calibri" w:cstheme="minorHAnsi"/>
        </w:rPr>
        <w:instrText>ADDIN CSL_CITATION {"citationItems":[{"id":"ITEM-1","itemData":{"ISSN":"1559-3258","abstract":"Behavioral interventions could lead to changes in behavior through changes in a mediator. This dose?response relationship might only hold true for those participants who are actively engaged in interventions. This Internet study investigated the role of engagement in a planning intervention to promote fruit and vegetable consumption in addition to testing the intervention effect on planning and behavior. A sample of 701 adults (mean = 38.71 years, 81% women) were randomly assigned either to a planning intervention (experimental group) or to one of 2 control conditions (untreated waiting list control group or placebo active control group). Moderated mediation analyses were carried out. Significant changes over time and time ? group effects revealed the effectiveness of the intervention. The effect of the intervention (time 1) on changes in behavior (time 3; 1 month after the personal deadline study participants set for themselves to start implementing their plans) was mediated by changes in planning (time 2; 1 week the personal deadline). Effects of planning on behavior were documented only at a moderate level of intervention engagement. This indicates an inverse U-shaped dose?response effect. Thus, examining participants? intervention engagement allows for a more careful evaluation of why some interventions work and others do not.","author":[{"dropping-particle":"","family":"Lippke","given":"Sonia","non-dropping-particle":"","parse-names":false,"suffix":""},{"dropping-particle":"","family":"Corbet","given":"Jana M","non-dropping-particle":"","parse-names":false,"suffix":""},{"dropping-particle":"","family":"Lange","given":"Daniela","non-dropping-particle":"","parse-names":false,"suffix":""},{"dropping-particle":"","family":"Parschau","given":"Linda","non-dropping-particle":"","parse-names":false,"suffix":""},{"dropping-particle":"","family":"Schwarzer","given":"Ralf","non-dropping-particle":"","parse-names":false,"suffix":""}],"container-title":"Dose-Response","id":"ITEM-1","issue":"1","issued":{"date-parts":[["2016","2","26"]]},"note":"doi: 10.1177/1559325816637515","page":"1559325816637515","publisher":"SAGE Publications Inc","title":"Intervention Engagement Moderates the Dose–Response Relationships in a Dietary Intervention","type":"article-journal","volume":"14"},"uris":["http://www.mendeley.com/documents/?uuid=f0096d4e-b8be-4a13-a213-93b53f2fcbee"]}],"mendeley":{"formattedCitation":"(Lippke et al., 2016)","plainTextFormattedCitation":"(Lippke et al., 2016)","previouslyFormattedCitation":"(Lippke et al., 2016)"},"properties":{"noteIndex":0},"schema":"https://github.com/citation-style-language/schema/raw/master/csl-citation.json"}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(Lippke et al., 2016)</w:t>
      </w:r>
      <w:r w:rsidRPr="00B1522E">
        <w:rPr>
          <w:rFonts w:eastAsia="Calibri" w:cstheme="minorHAnsi"/>
        </w:rPr>
        <w:fldChar w:fldCharType="end"/>
      </w:r>
      <w:r w:rsidRPr="00B1522E">
        <w:rPr>
          <w:rFonts w:eastAsia="Calibri" w:cstheme="minorHAnsi"/>
        </w:rPr>
        <w:t>. Overall, the results showed that longer interventions are not necessarily more effective, it is important to take into consideration other factors such as uptake of intervention, and exposure to the intervention.</w:t>
      </w:r>
    </w:p>
    <w:p w14:paraId="3DA72720" w14:textId="4BF7C09F" w:rsidR="00987AC8" w:rsidRPr="00B1522E" w:rsidRDefault="00987AC8" w:rsidP="00734D95">
      <w:pPr>
        <w:spacing w:line="480" w:lineRule="auto"/>
        <w:ind w:firstLine="720"/>
        <w:jc w:val="both"/>
        <w:rPr>
          <w:rFonts w:eastAsia="Calibri" w:cstheme="minorHAnsi"/>
        </w:rPr>
      </w:pPr>
      <w:r w:rsidRPr="00B1522E">
        <w:rPr>
          <w:rFonts w:eastAsia="Calibri" w:cstheme="minorHAnsi"/>
        </w:rPr>
        <w:t xml:space="preserve">All the studies in the review involved at least one self-report measure of dietary behaviour. The majority, twenty-four studies, utilised a food frequency questionnaire (FFQ). As school-based studies often have large sample sizes, self-report measures allow the collection of a large amount of data that is comparable in an efficient manner </w:t>
      </w:r>
      <w:r w:rsidRPr="00B1522E">
        <w:rPr>
          <w:rFonts w:eastAsia="Calibri" w:cstheme="minorHAnsi"/>
        </w:rPr>
        <w:fldChar w:fldCharType="begin" w:fldLock="1"/>
      </w:r>
      <w:r w:rsidR="00DF6CCC" w:rsidRPr="00B1522E">
        <w:rPr>
          <w:rFonts w:eastAsia="Calibri" w:cstheme="minorHAnsi"/>
        </w:rPr>
        <w:instrText>ADDIN CSL_CITATION {"citationItems":[{"id":"ITEM-1","itemData":{"ISSN":"1607-0658","author":[{"dropping-particle":"","family":"Rankin","given":"Driekie","non-dropping-particle":"","parse-names":false,"suffix":""},{"dropping-particle":"","family":"Hanekom","given":"S M","non-dropping-particle":"","parse-names":false,"suffix":""},{"dropping-particle":"","family":"Wright","given":"H H","non-dropping-particle":"","parse-names":false,"suffix":""},{"dropping-particle":"","family":"MacIntyre","given":"U E","non-dropping-particle":"","parse-names":false,"suffix":""}],"container-title":"South African Journal of Clinical Nutrition","id":"ITEM-1","issue":"2","issued":{"date-parts":[["2010"]]},"page":"65-74","publisher":"Taylor &amp; Francis","title":"Dietary assessment methodology for adolescents: a review of reproducibility and validation studies","type":"article-journal","volume":"23"},"uris":["http://www.mendeley.com/documents/?uuid=488a0006-f9c6-4e95-b519-d8dd95c341ca"]}],"mendeley":{"formattedCitation":"(Rankin et al., 2010)","plainTextFormattedCitation":"(Rankin et al., 2010)","previouslyFormattedCitation":"(Rankin et al., 2010)"},"properties":{"noteIndex":0},"schema":"https://github.com/citation-style-language/schema/raw/master/csl-citation.json"}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(Rankin et al., 2010)</w:t>
      </w:r>
      <w:r w:rsidRPr="00B1522E">
        <w:rPr>
          <w:rFonts w:eastAsia="Calibri" w:cstheme="minorHAnsi"/>
        </w:rPr>
        <w:fldChar w:fldCharType="end"/>
      </w:r>
      <w:r w:rsidRPr="00B1522E">
        <w:rPr>
          <w:rFonts w:eastAsia="Calibri" w:cstheme="minorHAnsi"/>
        </w:rPr>
        <w:t xml:space="preserve">. A number of studies in the review indicate that using a self-report measure such as FFQ can be limiting as individuals can over- or underestimate dietary behaviours </w:t>
      </w:r>
      <w:r w:rsidRPr="00B1522E">
        <w:rPr>
          <w:rFonts w:eastAsia="Calibri" w:cstheme="minorHAnsi"/>
        </w:rPr>
        <w:fldChar w:fldCharType="begin" w:fldLock="1"/>
      </w:r>
      <w:r w:rsidR="00660052" w:rsidRPr="00B1522E">
        <w:rPr>
          <w:rFonts w:eastAsia="Calibri" w:cstheme="minorHAnsi"/>
        </w:rPr>
        <w:instrText>ADDIN CSL_CITATION {"citationItems":[{"id":"ITEM-1","itemData":{"ISSN":"08901171","abstract":"Purpose.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Promotion","id":"ITEM-1","issue":"3","issued":{"date-parts":[["2010","1"]]},"note":"Accession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Adolescents.","type":"article-journal","volume":"24"},"uris":["http://www.mendeley.com/documents/?uuid=dcce02ba-d07b-4b8a-9d22-177816d0f2ff"]},{"id":"ITEM-2","itemData":{"ISSN":"1869-6716","abstract":"The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Medicine","id":"ITEM-2","issue":"1","issued":{"date-parts":[["2015","3"]]},"note":"Accession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girls.","type":"article-journal","volume":"5"},"uris":["http://www.mendeley.com/documents/?uuid=caa5507f-dbd0-4a8e-8a1f-8c2b3fd377e1"]},{"id":"ITEM-3","itemData":{"ISSN":"0268-1153","abstract":"The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Research","id":"ITEM-3","issue":"6","issued":{"date-parts":[["2006","12"]]},"note":"Accession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children.","type":"article-journal","volume":"21"},"uris":["http://www.mendeley.com/documents/?uuid=bbef8914-979d-4764-8405-477314275444"]},{"id":"ITEM-4","itemData":{"ISSN":"1879-0739","PMID":"19083401","abstract":"Certain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research","id":"ITEM-4","issue":"3","issued":{"date-parts":[["2008","3"]]},"page":"144-50","title":"Beverage intake improvement by high school students in Saskatchewan, Canada.","type":"article-journal","volume":"28"},"uris":["http://www.mendeley.com/documents/?uuid=fdc5051e-cbf7-4dcc-9784-097b6caadb05"]},{"id":"ITEM-5","itemData":{"ISSN":"0091-7435","abstract":"Background: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Theory","id":"ITEM-5","issue":"6","issued":{"date-parts":[["2010","12"]]},"note":"Accession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adolescents.","type":"article-journal","volume":"51"},"uris":["http://www.mendeley.com/documents/?uuid=74acfc22-4c53-4fd1-8464-3f7cdd79586e"]},{"id":"ITEM-6","itemData":{"ISSN":"1087-3244","abstract":"Objectives: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Behavior","id":"ITEM-6","issue":"1","issued":{"date-parts":[["2015","1"]]},"note":"Accession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girls.","type":"article-journal","volume":"39"},"uris":["http://www.mendeley.com/documents/?uuid=7b8ee571-076a-4b5d-8ae8-9e0a03d039ae"]},{"id":"ITEM-7","itemData":{"ISSN":"1479-5868","abstract":"Background: The HEALTHY study was designed to respond to the alarming trends in increasing rates of overweight, obesity, and type 2 diabetes mellitus in youth. The objective of this analysis was to examine the effects of the HEALTHY study on student self-reported dietary intakes (energy, macronutrients and grams consumed of selected food groups). Methods: HEALTHY was a cluster-randomized study in 42 public middle schools. Students, n = 3908, self-reported dietary intake using the Block Kids Questionnaire. General linear mixed models were used to analyze differences in dietary intake at the end of the study between intervention and control schools. Results: The reported average daily fruit consumption was 10% higher at the end of the study in the intervention schools than in the control schools (138 g or approximately 2 servings versus 122 g, respectively, p = 0.0016). The reported water intake was approximately 2 fluid ounces higher in the intervention schools than in the control (483 g versus 429 g respectively; p = 0.008). There were no significant differences between intervention and control for mean intakes of energy, macronutrients, fiber, grains, vegetables, legumes, sweets, sweetened beverages, and higher- or lower-fat milk consumption. Conclusion: The HEALTHY study, a five-semester middle school-based intervention program that integrated multiple components in nutrition, physical education, behavior change, and social marketing-based communications, resulted in significant changes to student’s reported fruit and water intake. Subsequent interventions need to go beyond the school environment to change diet behaviors that may affect weight status of children. (PsycINFO Database Record (c) 2015 APA, all rights reserved). (journal abstract)","author":[{"dropping-particle":"","family":"Siega-Riz","given":"Anna Maria","non-dropping-particle":"","parse-names":false,"suffix":""},{"dropping-particle":"El","family":"Ghormli","given":"Laurie","non-dropping-particle":"","parse-names":false,"suffix":""},{"dropping-particle":"","family":"Mobley","given":"Connie","non-dropping-particle":"","parse-names":false,"suffix":""},{"dropping-particle":"","family":"Gillis","given":"Bonnie","non-dropping-particle":"","parse-names":false,"suffix":""},{"dropping-particle":"","family":"Stadler","given":"Diane","non-dropping-particle":"","parse-names":false,"suffix":""},{"dropping-particle":"","family":"Hartstein","given":"Jill","non-dropping-particle":"","parse-names":false,"suffix":""},{"dropping-particle":"","family":"Volpe","given":"Stella L","non-dropping-particle":"","parse-names":false,"suffix":""},{"dropping-particle":"","family":"Virus","given":"Amy","non-dropping-particle":"","parse-names":false,"suffix":""},{"dropping-particle":"","family":"Bridgman","given":"Jessica","non-dropping-particle":"","parse-names":false,"suffix":""},{"dropping-particle":"","family":"Study Group","given":"HEALTHY","non-dropping-particle":"","parse-names":false,"suffix":""}],"container-title":"The International Journal of Behavioral Nutrition and Physical Activity","id":"ITEM-7","issued":{"date-parts":[["2011","2","4"]]},"note":"Accession Number: 2012-31106-001. PMID: 21294869 Partial author list: First Author &amp;amp; Affiliation: Siega-Riz, Anna Maria; Carolina Population Center, University of North Carolina at Chapel Hill, Chapel Hill, NC, US. Institutional Authors: HEALTHY Study Group. Release Date: 20121210. Correction Date: 20151207. Publication Type: Journal (0100), Peer Reviewed Journal (0110). Format Covered: Electronic. Document Type: Journal Article. Language: English. Major Descriptor: At Risk Populations; Diets; Food Intake; Nutrition; School Based Intervention. Minor Descriptor: Diabetes Mellitus; Health Education; Obesity; Water Intake; Type 2 Diabetes. Classification: Educational/Vocational Counseling &amp;amp; Student Services (3580). Population: Human (10); Male (30); Female (40). Location: US. Age Group: Childhood (birth-12 yrs) (100); School Age (6-12 yrs) (180); Adolescence (13-17 yrs) (200). Tests &amp;amp; Measures: Block Kids Questionnaire. Methodology: Empirical Study; Quantitative Study; Treatment Outcome/Clinical Trial. References Available: Y. ArtID: 7. Issue Publication Date: Feb 4, 2011. Publication History: First Posted Date: Feb 4, 2011; Accepted Date: Feb 4, 2011; First Submitted Date: Jul 22,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Siega-Riz et al; licensee BioMed Central Ltd. 2011.","page":"7-15","publisher":"BioMed Central Limited","publisher-place":"Siega-Riz, Anna Maria, Carolina Population Center, University of North Carolina at Chapel Hill, Chapel Hill, NC, US","title":"The effects of the HEALTHY study intervention on middle school student dietary intakes.","type":"article-journal","volume":"8"},"uris":["http://www.mendeley.com/documents/?uuid=827f05f5-1374-4d29-b4c3-d6c4de5de2d7"]},{"id":"ITEM-8","itemData":{"ISSN":"0091-7435","abstract":"Objective: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Theory","id":"ITEM-8","issue":"2","issued":{"date-parts":[["2012","2","1"]]},"note":"Accession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trial.","type":"article-journal","volume":"54"},"uris":["http://www.mendeley.com/documents/?uuid=7e4d5a33-052f-4c99-ab20-b4bf103139ae"]},{"id":"ITEM-9","itemData":{"ISSN":"1087-3244","abstract":"Objective: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Behavior","id":"ITEM-9","issue":"5","issued":{"date-parts":[["2016","9"]]},"note":"Accession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behaviors.","type":"article-journal","volume":"40"},"uris":["http://www.mendeley.com/documents/?uuid=d63aebec-2716-44e4-bcb3-02defb99b8f6"]},{"id":"ITEM-10","itemData":{"ISSN":"1545-1151","abstract":"INTRODUCTION: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Disease","id":"ITEM-10","issued":{"date-parts":[["2015","9","24"]]},"page":"1-105","publisher":"Centers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2009–2014","type":"article-journal","volume":"12"},"uris":["http://www.mendeley.com/documents/?uuid=7a939433-5065-4b4f-8418-9bf888206d98"]},{"id":"ITEM-11","itemData":{"ISBN":"2153-2168","ISSN":"2153-2168","PMID":"28448174","abstract":"Background: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Obesity","id":"ITEM-11","issue":"4","issued":{"date-parts":[["2017"]]},"page":"300-313","title":"A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Study","type":"article-journal","volume":"13"},"uris":["http://www.mendeley.com/documents/?uuid=74a21169-2cf5-4820-beb8-c5f53e15a838"]}],"mendeley":{"formattedCitation":"(Aceves-Martins et al., 2017; de Visser et al., 2016; Dowd et al., 2015; Haerens et al., 2006; Lo et al., 2008; Maatoug et al., 2015; M. Martens et al., 2010; Mauriello et al., 2010; McCabe et al., 2015; Siega-Riz et al., 2011; Wilson et al., 2012)","manualFormatting":"(Aceves-Martins et al., 2017; de Visser et al., 2016; Dowd et al., 2015; Haerens et al., 2006; Lo et al., 2008; Maatoug et al., 2015; Martens et al., 2010; Mauriello et al., 2010; McCabe et al., 2015; Siega-Riz et al., 2011; Wilson et al., 2012)","plainTextFormattedCitation":"(Aceves-Martins et al., 2017; de Visser et al., 2016; Dowd et al., 2015; Haerens et al., 2006; Lo et al., 2008; Maatoug et al., 2015; M. Martens et al., 2010; Mauriello et al., 2010; McCabe et al., 2015; Siega-Riz et al., 2011; Wilson et al., 2012)","previouslyFormattedCitation":"(Aceves-Martins et al., 2017; de Visser et al., 2016; Dowd et al., 2015; Haerens et al., 2006; Lo et al., 2008; Maatoug et al., 2015; M. Martens et al., 2010; Mauriello et al., 2010; McCabe et al., 2015; Siega-Riz et al., 2011; Wilson et al., 2012)"},"properties":{"noteIndex":0},"schema":"https://github.com/citation-style-language/schema/raw/master/csl-citation.json"}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(Aceves-Martins et al., 2017; de Visser et al., 2016; Dowd et al., 2015; Haerens et al., 2006; Lo et al., 2008; Maatoug et al., 2015; Martens et al., 2010; Mauriello et al., 2010; McCabe et al., 2015; Siega-Riz et al., 2011; Wilson et al., 2012)</w:t>
      </w:r>
      <w:r w:rsidRPr="00B1522E">
        <w:rPr>
          <w:rFonts w:eastAsia="Calibri" w:cstheme="minorHAnsi"/>
        </w:rPr>
        <w:fldChar w:fldCharType="end"/>
      </w:r>
      <w:r w:rsidRPr="00B1522E">
        <w:rPr>
          <w:rFonts w:eastAsia="Calibri" w:cstheme="minorHAnsi"/>
        </w:rPr>
        <w:t xml:space="preserve">. One study argued that FFQs are not sensitive enough to detect immediate slight dietary changes, and perhaps repetition of the measurement is needed at a longer-term follow-up </w:t>
      </w:r>
      <w:r w:rsidRPr="00B1522E">
        <w:rPr>
          <w:rFonts w:eastAsia="Calibri" w:cstheme="minorHAnsi"/>
        </w:rPr>
        <w:fldChar w:fldCharType="begin" w:fldLock="1"/>
      </w:r>
      <w:r w:rsidR="007463D4" w:rsidRPr="00B1522E">
        <w:rPr>
          <w:rFonts w:eastAsia="Calibri" w:cstheme="minorHAnsi"/>
        </w:rPr>
        <w:instrText>ADDIN CSL_CITATION {"citationItems":[{"id":"ITEM-1","itemData":{"ISSN":"1087-3244","abstract":"Objectives: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Behavior","id":"ITEM-1","issue":"1","issued":{"date-parts":[["2015","1"]]},"note":"Accession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girls.","type":"article-journal","volume":"39"},"uris":["http://www.mendeley.com/documents/?uuid=7b8ee571-076a-4b5d-8ae8-9e0a03d039ae"]}],"mendeley":{"formattedCitation":"(McCabe et al., 2015)","plainTextFormattedCitation":"(McCabe et al., 2015)","previouslyFormattedCitation":"(McCabe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(McCabe et al., 2015)</w:t>
      </w:r>
      <w:r w:rsidRPr="00B1522E">
        <w:rPr>
          <w:rFonts w:eastAsia="Calibri" w:cstheme="minorHAnsi"/>
        </w:rPr>
        <w:fldChar w:fldCharType="end"/>
      </w:r>
      <w:r w:rsidRPr="00B1522E">
        <w:rPr>
          <w:rFonts w:eastAsia="Calibri" w:cstheme="minorHAnsi"/>
        </w:rPr>
        <w:t xml:space="preserve">. Moreover, researchers have suggested that the most effective tool in which to measure adolescents’ dietary behaviours is a combination of both a FFQ and multiple 24-hour recall diaries </w:t>
      </w:r>
      <w:r w:rsidRPr="00B1522E">
        <w:rPr>
          <w:rFonts w:eastAsia="Calibri" w:cstheme="minorHAnsi"/>
        </w:rPr>
        <w:fldChar w:fldCharType="begin" w:fldLock="1"/>
      </w:r>
      <w:r w:rsidR="00DF6CCC" w:rsidRPr="00B1522E">
        <w:rPr>
          <w:rFonts w:eastAsia="Calibri" w:cstheme="minorHAnsi"/>
        </w:rPr>
        <w:instrText>ADDIN CSL_CITATION {"citationItems":[{"id":"ITEM-1","itemData":{"ISSN":"0002-8223 (Print)","PMID":"17000188","abstract":"OBJECTIVE: Twenty-four-hour recalls capture rich information on food consumption, but suffer from inadequately measuring usual intakes of episodically consumed foods. We explore using food frequency questionnaire (FFQ) data as covariates in a statistical model to estimate individual usual intakes of episodically consumed foods and their distributions and describe the development of the Food Propensity Questionnaire, an FFQ introduced in the 2003-2004 National Health and Nutrition Examination Survey. DESIGN: We analyzed data from 965 adult participants in the Eating at America's Table Study who completed four 24-hour recalls and an FFQ. We assessed whether or not increasing FFQ-reported frequency was associated with both number of 24-hour recall consumption days and amounts reported. RESULTS: For 52 of 56 food groups (93%), and 218 of 230 individual foods (95%), there were significant monotonically increasing relationships between FFQ frequency and 24-hour recall probability of consumption. For 47 of 56 food groups (84%) and 55 of 230 (24%) individual foods, there were significant positive correlations between FFQ frequencies and consumption-day mean intake. CONCLUSIONS: We found strong and consistent relationships between reported FFQ frequency of food and food-group consumption and probability of consumption on 24-hour recalls. This supports the premise that frequency data may offer important covariate information in supplementing multiple recalls for estimating usual intake of food groups.","author":[{"dropping-particle":"","family":"Subar","given":"Amy F","non-dropping-particle":"","parse-names":false,"suffix":""},{"dropping-particle":"","family":"Dodd","given":"Kevin W","non-dropping-particle":"","parse-names":false,"suffix":""},{"dropping-particle":"","family":"Guenther","given":"Patricia M","non-dropping-particle":"","parse-names":false,"suffix":""},{"dropping-particle":"","family":"Kipnis","given":"Victor","non-dropping-particle":"","parse-names":false,"suffix":""},{"dropping-particle":"","family":"Midthune","given":"Douglas","non-dropping-particle":"","parse-names":false,"suffix":""},{"dropping-particle":"","family":"McDowell","given":"Margaret","non-dropping-particle":"","parse-names":false,"suffix":""},{"dropping-particle":"","family":"Tooze","given":"Janet A","non-dropping-particle":"","parse-names":false,"suffix":""},{"dropping-particle":"","family":"Freedman","given":"Laurence S","non-dropping-particle":"","parse-names":false,"suffix":""},{"dropping-particle":"","family":"Krebs-Smith","given":"Susan M","non-dropping-particle":"","parse-names":false,"suffix":""}],"container-title":"Journal of the American Dietetic Association","id":"ITEM-1","issue":"10","issued":{"date-parts":[["2006","10"]]},"language":"eng","page":"1556-1563","publisher-place":"United States","title":"The food propensity questionnaire: concept, development, and validation for use as a covariate in a model to estimate usual food intake.","type":"article-journal","volume":"106"},"uris":["http://www.mendeley.com/documents/?uuid=8493129c-3f1a-4b61-a661-542bb41e1178"]},{"id":"ITEM-2","itemData":{"ISSN":"0022-3166 (Print)","PMID":"16484543","abstract":"Many years of research have resulted in a set of accepted methods for dietary assessment of adult populations in large epidemiologic studies. Yet, relatively little has been done to develop and validate dietary methods for studies of pregnant and lactating women, infants, children, and adolescents. As plans for including dietary assessment in the National Children's Study (NCS) were developed, it became clear that complex methodological issues required further study and clarification. Along with validation of existing and new instruments, research is required to identify key dietary characteristics to be assessed at various stages of childhood and adolescence and how that information can best be collected. The types of instruments used, the mode of data collection (automated vs. nonautomated instruments), the timing of data collection, and differentiation between children and parents as respondents are areas requiring further inquiry. This paper presents the research needs identified through the process followed to provide the NCS with recommendations for the collection of dietary intake data.","author":[{"dropping-particle":"","family":"Potischman","given":"Nancy","non-dropping-particle":"","parse-names":false,"suffix":""},{"dropping-particle":"","family":"Cohen","given":"Barbara E","non-dropping-particle":"","parse-names":false,"suffix":""},{"dropping-particle":"","family":"Picciano","given":"Mary Frances","non-dropping-particle":"","parse-names":false,"suffix":""}],"container-title":"The Journal of nutrition","id":"ITEM-2","issue":"3","issued":{"date-parts":[["2006","3"]]},"language":"eng","page":"686-689","publisher-place":"United States","title":"Dietary recommendations and identified research needs for The National Children's Study.","type":"article-journal","volume":"136"},"uris":["http://www.mendeley.com/documents/?uuid=0a3a671b-cc19-4096-94e1-e227090af6b7"]}],"mendeley":{"formattedCitation":"(Potischman et al., 2006; Subar et al., 2006)","plainTextFormattedCitation":"(Potischman et al., 2006; Subar et al., 2006)","previouslyFormattedCitation":"(Potischman et al., 2006; Subar et al., 2006)"},"properties":{"noteIndex":0},"schema":"https://github.com/citation-style-language/schema/raw/master/csl-citation.json"}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(Potischman et al., 2006; Subar et al., 2006)</w:t>
      </w:r>
      <w:r w:rsidRPr="00B1522E">
        <w:rPr>
          <w:rFonts w:eastAsia="Calibri" w:cstheme="minorHAnsi"/>
        </w:rPr>
        <w:fldChar w:fldCharType="end"/>
      </w:r>
      <w:r w:rsidRPr="00B1522E">
        <w:rPr>
          <w:rFonts w:eastAsia="Calibri" w:cstheme="minorHAnsi"/>
        </w:rPr>
        <w:t>, to document both the frequency of consumption (using a FFQ) and also more precise details of foods consumed (via 24-hour recall). Therefore, it is recommended that there needs to be a repeated use within research of a validated measure of dietary behaviour to be able to compare studies.</w:t>
      </w:r>
    </w:p>
    <w:p w14:paraId="5094CF44" w14:textId="6B72BB2D" w:rsidR="00987AC8" w:rsidRPr="00B1522E" w:rsidRDefault="00987AC8" w:rsidP="00734D95">
      <w:pPr>
        <w:spacing w:line="480" w:lineRule="auto"/>
        <w:jc w:val="both"/>
        <w:rPr>
          <w:rFonts w:eastAsia="Calibri" w:cstheme="minorHAnsi"/>
        </w:rPr>
      </w:pPr>
      <w:r w:rsidRPr="00B1522E">
        <w:rPr>
          <w:rFonts w:eastAsia="Calibri" w:cstheme="minorHAnsi"/>
        </w:rPr>
        <w:t xml:space="preserve"> </w:t>
      </w:r>
    </w:p>
    <w:p w14:paraId="2B839859" w14:textId="7278507E" w:rsidR="006862E2" w:rsidRPr="00B1522E" w:rsidRDefault="006862E2" w:rsidP="00734D95">
      <w:pPr>
        <w:spacing w:line="480" w:lineRule="auto"/>
        <w:jc w:val="both"/>
        <w:rPr>
          <w:rFonts w:eastAsia="Calibri" w:cstheme="minorHAnsi"/>
        </w:rPr>
      </w:pPr>
    </w:p>
    <w:p w14:paraId="0CB4DA87" w14:textId="77777777" w:rsidR="006862E2" w:rsidRPr="00B1522E" w:rsidRDefault="006862E2" w:rsidP="00734D95">
      <w:pPr>
        <w:spacing w:line="480" w:lineRule="auto"/>
        <w:jc w:val="both"/>
        <w:rPr>
          <w:rFonts w:eastAsia="Calibri" w:cstheme="minorHAnsi"/>
        </w:rPr>
      </w:pPr>
    </w:p>
    <w:bookmarkStart w:id="61" w:name="_Toc84678910"/>
    <w:p w14:paraId="77E038F8" w14:textId="354CF8BA" w:rsidR="00987AC8" w:rsidRPr="00B1522E" w:rsidRDefault="00887BA1" w:rsidP="00734D95">
      <w:pPr>
        <w:spacing w:line="480" w:lineRule="auto"/>
      </w:pPr>
      <w:r w:rsidRPr="00B1522E">
        <w:lastRenderedPageBreak/>
        <w:fldChar w:fldCharType="begin"/>
      </w:r>
      <w:r w:rsidRPr="00B1522E">
        <w:instrText xml:space="preserve"> TC  "</w:instrText>
      </w:r>
      <w:bookmarkStart w:id="62" w:name="_Toc97310424"/>
      <w:r w:rsidRPr="00B1522E">
        <w:instrText>2.</w:instrText>
      </w:r>
      <w:r w:rsidR="00AE09AF" w:rsidRPr="00B1522E">
        <w:instrText>5.4 Effectiveness of improving dietary behaviour for 11- to 16</w:instrText>
      </w:r>
      <w:r w:rsidR="00DE20D7" w:rsidRPr="00B1522E">
        <w:instrText>-year-olds</w:instrText>
      </w:r>
      <w:bookmarkEnd w:id="62"/>
      <w:r w:rsidRPr="00B1522E">
        <w:instrText xml:space="preserve"> " \f x\l 3 </w:instrText>
      </w:r>
      <w:r w:rsidRPr="00B1522E">
        <w:fldChar w:fldCharType="end"/>
      </w:r>
      <w:r w:rsidR="00383D7E" w:rsidRPr="00B1522E">
        <w:t xml:space="preserve">2.5.4 </w:t>
      </w:r>
      <w:r w:rsidR="00987AC8" w:rsidRPr="00B1522E">
        <w:t>Effectiveness of</w:t>
      </w:r>
      <w:r w:rsidR="00B64DC8" w:rsidRPr="00B1522E">
        <w:t xml:space="preserve"> intervention for</w:t>
      </w:r>
      <w:r w:rsidR="00987AC8" w:rsidRPr="00B1522E">
        <w:t xml:space="preserve"> improving dietary behaviour for 11- to 16-year-olds</w:t>
      </w:r>
      <w:bookmarkEnd w:id="61"/>
    </w:p>
    <w:p w14:paraId="6FF6770E" w14:textId="56D53963" w:rsidR="00987AC8" w:rsidRPr="00B1522E" w:rsidRDefault="00987AC8" w:rsidP="00734D95">
      <w:pPr>
        <w:spacing w:line="480" w:lineRule="auto"/>
        <w:jc w:val="both"/>
        <w:rPr>
          <w:rFonts w:eastAsia="Calibri" w:cstheme="minorHAnsi"/>
          <w:noProof/>
        </w:rPr>
      </w:pPr>
      <w:r w:rsidRPr="00B1522E">
        <w:rPr>
          <w:rFonts w:eastAsia="Calibri" w:cstheme="minorHAnsi"/>
        </w:rPr>
        <w:t xml:space="preserve">Of the twenty-nine studies included in this review, twenty-four studies reported significant improvements in dietary behaviour. It was notable that the five studies which reported non-significant results, only included follow-up assessments taken immediately after the intervention </w:t>
      </w:r>
      <w:r w:rsidRPr="00B1522E">
        <w:rPr>
          <w:rFonts w:eastAsia="Calibri" w:cstheme="minorHAnsi"/>
        </w:rPr>
        <w:fldChar w:fldCharType="begin" w:fldLock="1"/>
      </w:r>
      <w:r w:rsidR="0063396E" w:rsidRPr="00B1522E">
        <w:rPr>
          <w:rFonts w:eastAsia="Calibri" w:cstheme="minorHAnsi"/>
        </w:rPr>
        <w:instrText xml:space="preserve">ADDIN CSL_CITATION {"citationItems":[{"id":"ITEM-1","itemData":{"ISSN":"0195-6663","abstract":"Poor dietary habits and obesity are more prevalent in lower socio-economic status (SES) communities. The NEAT Girls cluster randomized controlled trial was a school-based obesity prevention program targeting adolescent girls in low SES schools in NSW, Australia. The aim was to evaluate the 12-month impact of key nutrition program messages on dietary intake and food behaviors. Diet was assessed using a validated semi-quantitative food frequency questionnaire (FFQ). Individual foods were categorized into nutrient-dense or energy-dense, nutrient-poor food groups and the percentage contribution to total energy intake calculated. Participants were aged 13.2 ± 0.5 years (n = 330). There were no statistically significant group-by-time effects for dietary intake or food related behaviors, with 12-month trends suggesting more intervention group girls had improved water intakes (59% consuming </w:instrText>
      </w:r>
      <w:r w:rsidR="0063396E" w:rsidRPr="00B1522E">
        <w:rPr>
          <w:rFonts w:ascii="Cambria Math" w:eastAsia="Calibri" w:hAnsi="Cambria Math" w:cs="Cambria Math"/>
        </w:rPr>
        <w:instrText>⩽</w:instrText>
      </w:r>
      <w:r w:rsidR="0063396E" w:rsidRPr="00B1522E">
        <w:rPr>
          <w:rFonts w:eastAsia="Calibri" w:cstheme="minorHAnsi"/>
        </w:rPr>
        <w:instrText xml:space="preserve"> three glasses per day to 54% at 12months vs. 50% to 61% in controls, p = 0.052), with a greater proportion consuming &lt; one sweetened beverage per day (24–41% vs. 34–37% in controls, p = 0.057). Further research including more intensive nutrition intervention strategies are required to evaluate whether dietary intake in adolescent girls attending schools in low SES communities can be optimized. (PsycINFO Database Record (c) 2015 APA, all rights reserved). (journal abstract)","author":[{"dropping-particle":"","family":"Collins","given":"Clare E","non-dropping-particle":"","parse-names":false,"suffix":""},{"dropping-particle":"","family":"Dewar","given":"Deborah L","non-dropping-particle":"","parse-names":false,"suffix":""},{"dropping-particle":"","family":"Schumacher","given":"Tracy L","non-dropping-particle":"","parse-names":false,"suffix":""},{"dropping-particle":"","family":"Finn","given":"Tara","non-dropping-particle":"","parse-names":false,"suffix":""},{"dropping-particle":"","family":"Morgan","given":"Philip J","non-dropping-particle":"","parse-names":false,"suffix":""},{"dropping-particle":"","family":"Lubans","given":"David R","non-dropping-particle":"","parse-names":false,"suffix":""}],"container-title":"Appetite","id":"ITEM-1","issued":{"date-parts":[["2014","2","1"]]},"note":"Accession Number: 2013-45541-020. PMID: 24239513 Partial author list: First Author &amp;amp; Affiliation: Collins, Clare E.; Priority Research Centre in Physical Activity and Nutrition, School of Health Sciences, Faculty of Health, University of Newcastle, Callaghan, NSW, Australia. Release Date: 20140203. Correction Date: 20151214. Publication Type: Journal (0100), Peer Reviewed Journal (0110). Format Covered: Electronic. Document Type: Journal Article. Language: English. Grant Information: Collins, Clare E. Major Descriptor: Clinical Trials; Developmental Age Groups; Food Intake; Nutrition; School Based Intervention. Minor Descriptor: Communities; Diets; Human Females; Lower Income Level; Obesity. Classification: Curriculum &amp;amp; Programs &amp;amp; Teaching Methods (3530). Population: Human (10); Female (40). Location: Australia. Age Group: Adolescence (13-17 yrs) (200). Tests &amp;amp; Measures: Food Frequency Questionnaire. Methodology: Empirical Study; Quantitative Study; Treatment Outcome/Clinical Trial. Supplemental Data: Tables and Figures Internet. References Available: Y. Page Count: 9. Issue Publication Date: Feb 1, 2014. Publication History: First Posted Date: Nov 12, 2013; Accepted Date: Nov 3, 2013; Revised Date: Oct 30, 2013; First Submitted Date: Jun 28, 2013. Copyright Statement: All rights reserved. Elsevier Ltd. 2013.","page":"147-155","publisher":"Elsevier Science","publisher-place":"Collins, Clare E., Priority Research Centre in Physical Activity and Nutrition, School of Health Sciences, Faculty of Health, University of Newcastle, HA12 Hunter Building, University Drive, Callaghan, NSW, Australia, 2308","title":"12 Month changes in dietary intake of adolescent girls attending schools in low-income communities following the NEAT Girls cluster randomized controlled trial.","type":"article-journal","volume":"73"},"uris":["http://www.mendeley.com/documents/?uuid=38c3cfd7-f57b-49b9-bcd2-0ed1be7a3196"]},{"id":"ITEM-2","itemData":{"ISSN":"1090-1981","abstract":"The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Behavior","id":"ITEM-2","issue":"3","issued":{"date-parts":[["2009","6"]]},"note":"Accession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schools.","type":"article-journal","volume":"36"},"uris":["http://www.mendeley.com/documents/?uuid=74f4efaf-f648-40ee-a537-6d3097cacbbf"]},{"id":"ITEM-3","itemData":{"ISSN":"1403-4948","abstract":"Background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Health","id":"ITEM-3","issue":"5","issued":{"date-parts":[["2010","11"]]},"note":"Accession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study.","type":"article-journal","volume":"38"},"uris":["http://www.mendeley.com/documents/?uuid=78beb7d0-a0fa-4834-9f1b-52f489a9a220"]},{"id":"ITEM-4","itemData":{"ISSN":"08901171","abstract":"Purpose.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Promotion","id":"ITEM-4","issue":"3","issued":{"date-parts":[["2010","1"]]},"note":"Accession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Adolescents.","type":"article-journal","volume":"24"},"uris":["http://www.mendeley.com/documents/?uuid=dcce02ba-d07b-4b8a-9d22-177816d0f2ff"]},{"id":"ITEM-5","itemData":{"ISSN":"1087-3244","abstract":"Objectives: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Behavior","id":"ITEM-5","issue":"1","issued":{"date-parts":[["2015","1"]]},"note":"Accession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girls.","type":"article-journal","volume":"39"},"uris":["http://www.mendeley.com/documents/?uuid=7b8ee571-076a-4b5d-8ae8-9e0a03d039ae"]},{"id":"ITEM-6","itemData":{"author":[{"dropping-particle":"","family":"Revill","given":"S. A.","non-dropping-particle":"","parse-names":false,"suffix":""}],"id":"ITEM-6","issued":{"date-parts":[["2004"]]},"publisher":"Newcastle-upon-tyme","title":"Evaluation of a school-based nutrition and food delivered intervention to schoolchildren preparation skills from deprived social backgrounds","type":"thesis"},"uris":["http://www.mendeley.com/documents/?uuid=44c9923f-702d-4966-8c0c-73345f576954"]}],"mendeley":{"formattedCitation":"(C. E. Collins et al., 2014; Dzewaltowski et al., 2009; Lien et al., 2010; M. Martens et al., 2010; McCabe et al., 2015; Revill, 2004)","manualFormatting":"(Collins et al., 2014; Dzewaltowski et al., 2009; Lien et al., 2010; Martens et al., 2010; McCabe et al., 2015; Revill, 2004)","plainTextFormattedCitation":"(C. E. Collins et al., 2014; Dzewaltowski et al., 2009; Lien et al., 2010; M. Martens et al., 2010; McCabe et al., 2015; Revill, 2004)","previouslyFormattedCitation":"(C. E. Collins et al., 2014; Dzewaltowski et al., 2009; Lien et al., 2010; M. Martens et al., 2010; McCabe et al., 2015; Revill, 2004)"},"properties":{"noteIndex":0},"schema":"https://github.com/citation-style-language/schema/raw/master/csl-citation.json"}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(Collins et al., 2014; Dzewaltowski et al., 2009; Lien et al., 2010; Martens et al., 2010; McCabe et al., 2015; Revill, 2004)</w:t>
      </w:r>
      <w:r w:rsidRPr="00B1522E">
        <w:rPr>
          <w:rFonts w:eastAsia="Calibri" w:cstheme="minorHAnsi"/>
        </w:rPr>
        <w:fldChar w:fldCharType="end"/>
      </w:r>
      <w:r w:rsidRPr="00B1522E">
        <w:rPr>
          <w:rFonts w:eastAsia="Calibri" w:cstheme="minorHAnsi"/>
        </w:rPr>
        <w:t xml:space="preserve">, which may not be sufficient time to evidence possible changes in behaviour. It has been argued that longer-term follow-ups are needed following interventional studies as dietary behaviour change may not be apparent immediately </w:t>
      </w:r>
      <w:r w:rsidRPr="00B1522E">
        <w:rPr>
          <w:rFonts w:eastAsia="Calibri" w:cstheme="minorHAnsi"/>
        </w:rPr>
        <w:fldChar w:fldCharType="begin" w:fldLock="1"/>
      </w:r>
      <w:r w:rsidR="007463D4" w:rsidRPr="00B1522E">
        <w:rPr>
          <w:rFonts w:eastAsia="Calibri" w:cstheme="minorHAnsi"/>
        </w:rPr>
        <w:instrText>ADDIN CSL_CITATION {"citationItems":[{"id":"ITEM-1","itemData":{"ISSN":"0140-6736","abstract":"BACKGROUND: Findings of large randomised trials have shown that lowering LDL cholesterol with statins reduces vascular morbidity and mortality rapidly, but limited evidence exists about the long-term efficacy and safety of statin treatment. The aim of the extended follow-up of the Heart Protection Study (HPS) is to assess long-term efficacy and safety of lowering LDL cholesterol with statins, and here we report cause-specific mortality and major morbidity in the in-trial and post-trial periods. METHODS: 20 536 patients at high risk of vascular and non-vascular outcomes were allocated either 40 mg simvastatin daily or placebo, using minimised randomisation. Mean in-trial follow-up was 5·3 years (SD 1·2), and post-trial follow-up of surviving patients yielded a mean total duration of 11·0 years (SD 0·6). The primary outcome of the long-term follow-up of HPS was first post-randomisation major vascular event, and analysis was by intention to treat. This trial is registered with ISRCTN, number 48489393. FINDINGS: During the in-trial period, allocation to simvastatin yielded an average reduction in LDL cholesterol of 1·0 mmol/L and a proportional decrease in major vascular events of 23% (95% CI 19–28; p&lt;0·0001), with significant divergence each year after the first. During the post-trial period (when statin use and lipid concentrations were similar in both groups), no further significant reductions were noted in either major vascular events (risk ratio [RR] 0·95 [0·89–1·02]) or vascular mortality (0·98 [0·90–1·07]). During the combined in-trial and post-trial periods, no significant differences were recorded in cancer incidence at all sites (0·98 [0·92–1·05]) or any particular site, or in mortality attributed to cancer (1·01 [0·92–1·11]) or to non-vascular causes (0·96 [0·89–1·03]). INTERPRETATION: More prolonged LDL-lowering statin treatment produces larger absolute reductions in vascular events. Moreover, even after study treatment stopped in HPS, benefits persisted for at least 5 years without any evidence of emerging hazards. These findings provide further support for the prompt initiation and long-term continuation of statin treatment. FUNDING: UK Medical Research Council, British Heart Foundation, Merck &amp; Co, Roche Vitamins.","author":[{"dropping-particle":"","family":"Bulbulia R, Bowman L, Wallendszus K, Parish S, Armitage J, Peto R, Collins R, Collins R, Meade T, Sleight P, Armitage J, Parish S, Peto R, Youngman L, Buxton M, De Bono D, George C, Fuller J, Keech A, Mansfield A, Pentecost B, Simpson D, Warlow C, McNamar","given":"Sandercock P","non-dropping-particle":"","parse-names":false,"suffix":""}],"container-title":"Lancet","id":"ITEM-1","issue":"9808","issued":{"date-parts":[["2011","12","10"]]},"page":"2013-2020","publisher":"Lancet Publishing Group","title":"Effects on 11-year mortality and morbidity of lowering LDL cholesterol with simvastatin for about 5 years in 20 536 high-risk individuals: a randomised controlled trial","type":"article-journal","volume":"378"},"uris":["http://www.mendeley.com/documents/?uuid=f7a629e2-6db6-404c-b5a5-14f065575063"]}],"mendeley":{"formattedCitation":"(Bulbulia R, Bowman L, Wallendszus K, Parish S, Armitage J, Peto R, Collins R, Collins R, Meade T, Sleight P, Armitage J, Parish S, Peto R, Youngman L, Buxton M, De Bono D, George C, Fuller J, Keech A, Mansfield A, Pentecost B, Simpson D, Warlow C, McNamar, 2011)","manualFormatting":"(Bulbulia et al., 2011)","plainTextFormattedCitation":"(Bulbulia R, Bowman L, Wallendszus K, Parish S, Armitage J, Peto R, Collins R, Collins R, Meade T, Sleight P, Armitage J, Parish S, Peto R, Youngman L, Buxton M, De Bono D, George C, Fuller J, Keech A, Mansfield A, Pentecost B, Simpson D, Warlow C, McNamar, 2011)","previouslyFormattedCitation":"(Bulbulia R, Bowman L, Wallendszus K, Parish S, Armitage J, Peto R, Collins R, Collins R, Meade T, Sleight P, Armitage J, Parish S, Peto R, Youngman L, Buxton M, De Bono D, George C, Fuller J, Keech A, Mansfield A, Pentecost B, Simpson D, Warlow C, McNamar,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(Bulbulia</w:t>
      </w:r>
      <w:r w:rsidR="00CF3100" w:rsidRPr="00B1522E">
        <w:rPr>
          <w:rFonts w:eastAsia="Calibri" w:cstheme="minorHAnsi"/>
          <w:noProof/>
        </w:rPr>
        <w:t xml:space="preserve"> et al.</w:t>
      </w:r>
      <w:r w:rsidRPr="00B1522E">
        <w:rPr>
          <w:rFonts w:eastAsia="Calibri" w:cstheme="minorHAnsi"/>
          <w:noProof/>
        </w:rPr>
        <w:t>, 2011)</w:t>
      </w:r>
      <w:r w:rsidRPr="00B1522E">
        <w:rPr>
          <w:rFonts w:eastAsia="Calibri" w:cstheme="minorHAnsi"/>
        </w:rPr>
        <w:fldChar w:fldCharType="end"/>
      </w:r>
      <w:r w:rsidRPr="00B1522E">
        <w:rPr>
          <w:rFonts w:eastAsia="Calibri" w:cstheme="minorHAnsi"/>
        </w:rPr>
        <w:t xml:space="preserve">. </w:t>
      </w:r>
      <w:r w:rsidRPr="00B1522E">
        <w:rPr>
          <w:rFonts w:eastAsia="Calibri" w:cstheme="minorHAnsi"/>
        </w:rPr>
        <w:fldChar w:fldCharType="begin" w:fldLock="1"/>
      </w:r>
      <w:r w:rsidR="00D671A4" w:rsidRPr="00B1522E">
        <w:rPr>
          <w:rFonts w:eastAsia="Calibri" w:cstheme="minorHAnsi"/>
        </w:rPr>
        <w:instrText>ADDIN CSL_CITATION {"citationItems":[{"id":"ITEM-1","itemData":{"ISBN":"1475-2719","ISSN":"0029-6651","PMID":"12133209","abstract":"Dietary changes can be difficult to effect both at an individual and at a population level, and even when changes do occur they are often far slower and less pronounced than might be expected. Three possible reasons for this situation will be considered: the complexity of food choice and competing influences, attitudinal ambivalence and optimistic bias. Food choice is influenced by a large number of factors, not only health considerations, and therefore it is not surprising that interventions based primarily on health concerns have been ineffective. Another concern is that people do not always have clear-cut attitudes, but rather can be ambivalent about foods and about healthy eating, and this factor might impact on the translation of beliefs and attitudes into behaviour. A third possible reason is optimistic bias, where individuals believe themselves to be at less risk from various hazards than is the average person. This effect has been demonstrated for nutritional risks, and this factor might lead people to take less note of health education messages. The stages-of-change model from health psychology has been proposed as a method for improving the effectiveness of behaviour change interventions. However, there are a number of problems in transferring such a model from smoking, where it was originally developed, to dietary behaviours, including the lack of clear-cut specific behaviours and behaviour change targets in the dietary field.","author":[{"dropping-particle":"","family":"Shepherd","given":"Richard","non-dropping-particle":"","parse-names":false,"suffix":""},{"dropping-particle":"","family":"Shepherd","given":"Richard","non-dropping-particle":"","parse-names":false,"suffix":""}],"container-title":"The Proceedings of the Nutrition Society","id":"ITEM-1","issue":"2002","issued":{"date-parts":[["2002"]]},"page":"267-272","title":"Resistance to changes in diet.","type":"article-journal","volume":"61"},"uris":["http://www.mendeley.com/documents/?uuid=060fdb9a-462f-4745-aaed-69ef5bde7435"]}],"mendeley":{"formattedCitation":"(Shepherd &amp; Shepherd, 2002)","manualFormatting":"Shepherd and Shepherd (2002)","plainTextFormattedCitation":"(Shepherd &amp; Shepherd, 2002)","previouslyFormattedCitation":"(Shepherd &amp; Shepherd, 2002)"},"properties":{"noteIndex":0},"schema":"https://github.com/citation-style-language/schema/raw/master/csl-citation.json"}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Shepherd and Shepherd (2002)</w:t>
      </w:r>
      <w:r w:rsidRPr="00B1522E">
        <w:rPr>
          <w:rFonts w:eastAsia="Calibri" w:cstheme="minorHAnsi"/>
        </w:rPr>
        <w:fldChar w:fldCharType="end"/>
      </w:r>
      <w:r w:rsidRPr="00B1522E">
        <w:rPr>
          <w:rFonts w:eastAsia="Calibri" w:cstheme="minorHAnsi"/>
        </w:rPr>
        <w:t xml:space="preserve"> </w:t>
      </w:r>
      <w:r w:rsidRPr="00B1522E">
        <w:rPr>
          <w:rFonts w:eastAsia="Calibri" w:cstheme="minorHAnsi"/>
        </w:rPr>
        <w:fldChar w:fldCharType="begin" w:fldLock="1"/>
      </w:r>
      <w:r w:rsidR="00D671A4" w:rsidRPr="00B1522E">
        <w:rPr>
          <w:rFonts w:eastAsia="Calibri" w:cstheme="minorHAnsi"/>
        </w:rPr>
        <w:instrText>ADDIN CSL_CITATION {"citationItems":[{"id":"ITEM-1","itemData":{"ISBN":"1475-2719","ISSN":"0029-6651","PMID":"12133209","abstract":"Dietary changes can be difficult to effect both at an individual and at a population level, and even when changes do occur they are often far slower and less pronounced than might be expected. Three possible reasons for this situation will be considered: the complexity of food choice and competing influences, attitudinal ambivalence and optimistic bias. Food choice is influenced by a large number of factors, not only health considerations, and therefore it is not surprising that interventions based primarily on health concerns have been ineffective. Another concern is that people do not always have clear-cut attitudes, but rather can be ambivalent about foods and about healthy eating, and this factor might impact on the translation of beliefs and attitudes into behaviour. A third possible reason is optimistic bias, where individuals believe themselves to be at less risk from various hazards than is the average person. This effect has been demonstrated for nutritional risks, and this factor might lead people to take less note of health education messages. The stages-of-change model from health psychology has been proposed as a method for improving the effectiveness of behaviour change interventions. However, there are a number of problems in transferring such a model from smoking, where it was originally developed, to dietary behaviours, including the lack of clear-cut specific behaviours and behaviour change targets in the dietary field.","author":[{"dropping-particle":"","family":"Shepherd","given":"Richard","non-dropping-particle":"","parse-names":false,"suffix":""},{"dropping-particle":"","family":"Shepherd","given":"Richard","non-dropping-particle":"","parse-names":false,"suffix":""}],"container-title":"The Proceedings of the Nutrition Society","id":"ITEM-1","issue":"2002","issued":{"date-parts":[["2002"]]},"page":"267-272","title":"Resistance to changes in diet.","type":"article-journal","volume":"61"},"uris":["http://www.mendeley.com/documents/?uuid=060fdb9a-462f-4745-aaed-69ef5bde7435"]}],"mendeley":{"formattedCitation":"(Shepherd &amp; Shepherd, 2002)","plainTextFormattedCitation":"(Shepherd &amp; Shepherd, 2002)","previouslyFormattedCitation":"(Shepherd &amp; Shepherd, 2002)"},"properties":{"noteIndex":0},"schema":"https://github.com/citation-style-language/schema/raw/master/csl-citation.json"}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(Shepherd &amp; Shepherd, 2002)</w:t>
      </w:r>
      <w:r w:rsidRPr="00B1522E">
        <w:rPr>
          <w:rFonts w:eastAsia="Calibri" w:cstheme="minorHAnsi"/>
        </w:rPr>
        <w:fldChar w:fldCharType="end"/>
      </w:r>
      <w:r w:rsidRPr="00B1522E">
        <w:rPr>
          <w:rFonts w:eastAsia="Calibri" w:cstheme="minorHAnsi"/>
        </w:rPr>
        <w:t xml:space="preserve"> argue that even when dietary changes do occur, they may be slower and less evident than is expected, potentially because habits change at a gradual pace and eating behaviour is in large part habitual </w:t>
      </w:r>
      <w:r w:rsidRPr="00B1522E">
        <w:rPr>
          <w:rFonts w:eastAsia="Calibri" w:cstheme="minorHAnsi"/>
        </w:rPr>
        <w:fldChar w:fldCharType="begin" w:fldLock="1"/>
      </w:r>
      <w:r w:rsidR="00DF6CCC" w:rsidRPr="00B1522E">
        <w:rPr>
          <w:rFonts w:eastAsia="Calibri" w:cstheme="minorHAnsi"/>
        </w:rPr>
        <w:instrText>ADDIN CSL_CITATION {"citationItems":[{"id":"ITEM-1","itemData":{"ISSN":"0278-6133 (Print)","PMID":"11950110","abstract":"Application of the theory of planned behavior (TPB) to healthy eating in 144 health promotion clinic attendees is reported. Respondents completed self-report TPB measures after the clinic (Time 1) and 6 months later (Time 2) with a measure of perceived past behavior. Intention stability was assessed on Time 1-2 differences. Six years later (Time 3), respondents completed measures of healthy eating intentions and behavior. Intentions were predicted by attitudes, perceived behavioral control, and perceived past behavior (cross-sectionally). Healthy eating behavior (Time 3) was predicted from intentions (Time 2). As intention stability increased, intentions and perceived past behavior became stronger and weaker predictors of behavior, respectively. Implications for understanding health cognitions in long-term performance of health behavior are discussed.","author":[{"dropping-particle":"","family":"Conner","given":"Mark","non-dropping-particle":"","parse-names":false,"suffix":""},{"dropping-particle":"","family":"Norman","given":"Paul","non-dropping-particle":"","parse-names":false,"suffix":""},{"dropping-particle":"","family":"Bell","given":"Russell","non-dropping-particle":"","parse-names":false,"suffix":""}],"container-title":"Health psychology : official journal of the Division of Health Psychology, American Psychological Association","id":"ITEM-1","issue":"2","issued":{"date-parts":[["2002","3"]]},"language":"eng","page":"194-201","publisher-place":"United States","title":"The theory of planned behavior and healthy eating.","type":"article-journal","volume":"21"},"uris":["http://www.mendeley.com/documents/?uuid=fef98e0b-8f58-4015-93ab-6d28aacf9b35"]},{"id":"ITEM-2","itemData":{"ISBN":"1475-2719","ISSN":"0029-6651","PMID":"12133209","abstract":"Dietary changes can be difficult to effect both at an individual and at a population level, and even when changes do occur they are often far slower and less pronounced than might be expected. Three possible reasons for this situation will be considered: the complexity of food choice and competing influences, attitudinal ambivalence and optimistic bias. Food choice is influenced by a large number of factors, not only health considerations, and therefore it is not surprising that interventions based primarily on health concerns have been ineffective. Another concern is that people do not always have clear-cut attitudes, but rather can be ambivalent about foods and about healthy eating, and this factor might impact on the translation of beliefs and attitudes into behaviour. A third possible reason is optimistic bias, where individuals believe themselves to be at less risk from various hazards than is the average person. This effect has been demonstrated for nutritional risks, and this factor might lead people to take less note of health education messages. The stages-of-change model from health psychology has been proposed as a method for improving the effectiveness of behaviour change interventions. However, there are a number of problems in transferring such a model from smoking, where it was originally developed, to dietary behaviours, including the lack of clear-cut specific behaviours and behaviour change targets in the dietary field.","author":[{"dropping-particle":"","family":"Shepherd","given":"Richard","non-dropping-particle":"","parse-names":false,"suffix":""},{"dropping-particle":"","family":"Shepherd","given":"Richard","non-dropping-particle":"","parse-names":false,"suffix":""}],"container-title":"The Proceedings of the Nutrition Society","id":"ITEM-2","issue":"2002","issued":{"date-parts":[["2002"]]},"page":"267-272","title":"Resistance to changes in diet.","type":"article-journal","volume":"61"},"uris":["http://www.mendeley.com/documents/?uuid=060fdb9a-462f-4745-aaed-69ef5bde7435"]}],"mendeley":{"formattedCitation":"(Conner et al., 2002; Shepherd &amp; Shepherd, 2002)","plainTextFormattedCitation":"(Conner et al., 2002; Shepherd &amp; Shepherd, 2002)","previouslyFormattedCitation":"(Conner et al., 2002; Shepherd &amp; Shepherd, 2002)"},"properties":{"noteIndex":0},"schema":"https://github.com/citation-style-language/schema/raw/master/csl-citation.json"}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(Conner et al., 2002; Shepherd &amp; Shepherd, 2002)</w:t>
      </w:r>
      <w:r w:rsidRPr="00B1522E">
        <w:rPr>
          <w:rFonts w:eastAsia="Calibri" w:cstheme="minorHAnsi"/>
        </w:rPr>
        <w:fldChar w:fldCharType="end"/>
      </w:r>
      <w:r w:rsidRPr="00B1522E">
        <w:rPr>
          <w:rFonts w:eastAsia="Calibri" w:cstheme="minorHAnsi"/>
        </w:rPr>
        <w:t xml:space="preserve">. A recommendation based on this review, supported by prior reviews </w:t>
      </w:r>
      <w:r w:rsidRPr="00B1522E">
        <w:rPr>
          <w:rFonts w:eastAsia="Calibri" w:cstheme="minorHAnsi"/>
        </w:rPr>
        <w:fldChar w:fldCharType="begin" w:fldLock="1"/>
      </w:r>
      <w:r w:rsidR="007463D4" w:rsidRPr="00B1522E">
        <w:rPr>
          <w:rFonts w:eastAsia="Calibri" w:cstheme="minorHAnsi"/>
        </w:rPr>
        <w:instrText>ADDIN CSL_CITATION {"citationItems":[{"id":"ITEM-1","itemData":{"ISSN":"1436-6207","abstract":"PURPOSE: While the health benefits of a high fruit and vegetable consumption are well known and considerable work has attempted to improve intakes, increasing evidence also recognises a distinction between fruit and vegetables, both in their impacts on health and in consumption patterns. Increasing work suggests health benefits from a high consumption specifically of vegetables, yet intakes remain low, and barriers to increasing intakes are prevalent making intervention difficult. A systematic review was undertaken to identify from the published literature all studies reporting an intervention to increase intakes of vegetables as a distinct food group. METHODS: Databases—PubMed, PsychInfo and Medline—were searched over all years of records until April 2015 using pre-specified terms. RESULTS: Our searches identified 77 studies, detailing 140 interventions, of which 133 (81 %) interventions were conducted in children. Interventions aimed to use or change hedonic factors, such as taste, liking and familiarity (n = 72), use or change environmental factors (n = 39), use or change cognitive factors (n = 19), or a combination of strategies (n = 10). Increased vegetable acceptance, selection and/or consumption were reported to some degree in 116 (83 %) interventions, but the majority of effects seem small and inconsistent. CONCLUSIONS: Greater percent success is currently found from environmental, educational and multi-component interventions, but publication bias is likely, and long-term effects and cost-effectiveness are rarely considered. A focus on long-term benefits and sustained behaviour change is required. Certain population groups are also noticeably absent from the current list of tried interventions.","author":[{"dropping-particle":"","family":"Appleton","given":"Katherine M","non-dropping-particle":"","parse-names":false,"suffix":""},{"dropping-particle":"","family":"Hemingway","given":"Ann","non-dropping-particle":"","parse-names":false,"suffix":""},{"dropping-particle":"","family":"Saulais","given":"Laure","non-dropping-particle":"","parse-names":false,"suffix":""},{"dropping-particle":"","family":"Dinnella","given":"Caterina","non-dropping-particle":"","parse-names":false,"suffix":""},{"dropping-particle":"","family":"Monteleone","given":"Erminio","non-dropping-particle":"","parse-names":false,"suffix":""},{"dropping-particle":"","family":"Depezay","given":"Laurence","non-dropping-particle":"","parse-names":false,"suffix":""},{"dropping-particle":"","family":"Morizet","given":"David","non-dropping-particle":"","parse-names":false,"suffix":""},{"dropping-particle":"","family":"Armando Perez-Cueto","given":"F J","non-dropping-particle":"","parse-names":false,"suffix":""},{"dropping-particle":"","family":"Bevan","given":"Ann","non-dropping-particle":"","parse-names":false,"suffix":""},{"dropping-particle":"","family":"Hartwell","given":"Heather","non-dropping-particle":"","parse-names":false,"suffix":""}],"container-title":"European Journal of Nutrition","id":"ITEM-1","issued":{"date-parts":[["2016","1","11"]]},"page":"869-896","publisher":"Springer Berlin Heidelberg","publisher-place":"Berlin/Heidelberg","title":"Increasing vegetable intakes: rationale and systematic review of published interventions","type":"article-journal","volume":"55"},"uris":["http://www.mendeley.com/documents/?uuid=950254d9-820d-4b6c-99ce-1dbb4a9bcfa8"]}],"mendeley":{"formattedCitation":"(Appleton et al., 2016)","plainTextFormattedCitation":"(Appleton et al., 2016)","previouslyFormattedCitation":"(Appleton et al., 2016)"},"properties":{"noteIndex":0},"schema":"https://github.com/citation-style-language/schema/raw/master/csl-citation.json"}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(Appleton et al., 2016)</w:t>
      </w:r>
      <w:r w:rsidRPr="00B1522E">
        <w:rPr>
          <w:rFonts w:eastAsia="Calibri" w:cstheme="minorHAnsi"/>
        </w:rPr>
        <w:fldChar w:fldCharType="end"/>
      </w:r>
      <w:r w:rsidRPr="00B1522E">
        <w:rPr>
          <w:rFonts w:eastAsia="Calibri" w:cstheme="minorHAnsi"/>
        </w:rPr>
        <w:t xml:space="preserve">, is that future studies need to include follow-up assessments at both the short and longer term to better account for possible changes in dietary behaviour. In the present review, short-term measures were collected in the period of 1 – 6 weeks post-intervention whilst longer-term measures were collected from 7 weeks to 4 years post-intervention. Ensuring that both short and longer-term follow-ups are included in studies will mean that the possible effects of the intervention on outcomes are appropriately documented.  </w:t>
      </w:r>
    </w:p>
    <w:p w14:paraId="5D4242C1" w14:textId="77777777" w:rsidR="00987AC8" w:rsidRPr="00B1522E" w:rsidRDefault="00987AC8" w:rsidP="00734D95">
      <w:pPr>
        <w:spacing w:line="480" w:lineRule="auto"/>
        <w:jc w:val="both"/>
        <w:rPr>
          <w:rFonts w:eastAsia="Calibri" w:cstheme="minorHAnsi"/>
        </w:rPr>
      </w:pPr>
    </w:p>
    <w:bookmarkStart w:id="63" w:name="_Toc84678911"/>
    <w:p w14:paraId="7357DAE4" w14:textId="59795E34" w:rsidR="008E6DA0" w:rsidRPr="00B1522E" w:rsidRDefault="00DE20D7" w:rsidP="00734D95">
      <w:pPr>
        <w:spacing w:line="480" w:lineRule="auto"/>
      </w:pPr>
      <w:r w:rsidRPr="00B1522E">
        <w:fldChar w:fldCharType="begin"/>
      </w:r>
      <w:r w:rsidRPr="00B1522E">
        <w:instrText xml:space="preserve"> TC  "</w:instrText>
      </w:r>
      <w:bookmarkStart w:id="64" w:name="_Toc97310425"/>
      <w:r w:rsidRPr="00B1522E">
        <w:instrText>2.5.5 Gender differneces</w:instrText>
      </w:r>
      <w:bookmarkEnd w:id="64"/>
      <w:r w:rsidRPr="00B1522E">
        <w:instrText xml:space="preserve"> " \f x\l 3 </w:instrText>
      </w:r>
      <w:r w:rsidRPr="00B1522E">
        <w:fldChar w:fldCharType="end"/>
      </w:r>
      <w:r w:rsidR="00383D7E" w:rsidRPr="00B1522E">
        <w:t xml:space="preserve">2.5.5 </w:t>
      </w:r>
      <w:r w:rsidR="00987AC8" w:rsidRPr="00B1522E">
        <w:t>Gender differences</w:t>
      </w:r>
      <w:bookmarkEnd w:id="63"/>
      <w:r w:rsidR="00987AC8" w:rsidRPr="00B1522E">
        <w:t xml:space="preserve"> </w:t>
      </w:r>
    </w:p>
    <w:p w14:paraId="0FFF726F" w14:textId="429980C2" w:rsidR="00987AC8" w:rsidRPr="00B1522E" w:rsidRDefault="00987AC8" w:rsidP="00734D95">
      <w:pPr>
        <w:spacing w:line="480" w:lineRule="auto"/>
        <w:jc w:val="both"/>
        <w:rPr>
          <w:rFonts w:eastAsia="Calibri" w:cstheme="minorHAnsi"/>
        </w:rPr>
      </w:pPr>
      <w:bookmarkStart w:id="65" w:name="OLE_LINK1"/>
      <w:bookmarkStart w:id="66" w:name="OLE_LINK2"/>
      <w:r w:rsidRPr="00B1522E">
        <w:rPr>
          <w:rFonts w:eastAsia="Calibri" w:cstheme="minorHAnsi"/>
        </w:rPr>
        <w:t>It is noteworthy</w:t>
      </w:r>
      <w:bookmarkEnd w:id="65"/>
      <w:bookmarkEnd w:id="66"/>
      <w:r w:rsidRPr="00B1522E">
        <w:rPr>
          <w:rFonts w:eastAsia="Calibri" w:cstheme="minorHAnsi"/>
        </w:rPr>
        <w:t xml:space="preserve"> that four studies targeted a female-only population </w:t>
      </w:r>
      <w:r w:rsidRPr="00B1522E">
        <w:rPr>
          <w:rFonts w:eastAsia="Calibri" w:cstheme="minorHAnsi"/>
        </w:rPr>
        <w:fldChar w:fldCharType="begin" w:fldLock="1"/>
      </w:r>
      <w:r w:rsidR="0063396E" w:rsidRPr="00B1522E">
        <w:rPr>
          <w:rFonts w:eastAsia="Calibri" w:cstheme="minorHAnsi"/>
        </w:rPr>
        <w:instrText xml:space="preserve">ADDIN CSL_CITATION {"citationItems":[{"id":"ITEM-1","itemData":{"ISSN":"0195-6663","abstract":"Poor dietary habits and obesity are more prevalent in lower socio-economic status (SES) communities. The NEAT Girls cluster randomized controlled trial was a school-based obesity prevention program targeting adolescent girls in low SES schools in NSW, Australia. The aim was to evaluate the 12-month impact of key nutrition program messages on dietary intake and food behaviors. Diet was assessed using a validated semi-quantitative food frequency questionnaire (FFQ). Individual foods were categorized into nutrient-dense or energy-dense, nutrient-poor food groups and the percentage contribution to total energy intake calculated. Participants were aged 13.2 ± 0.5 years (n = 330). There were no statistically significant group-by-time effects for dietary intake or food related behaviors, with 12-month trends suggesting more intervention group girls had improved water intakes (59% consuming </w:instrText>
      </w:r>
      <w:r w:rsidR="0063396E" w:rsidRPr="00B1522E">
        <w:rPr>
          <w:rFonts w:ascii="Cambria Math" w:eastAsia="Calibri" w:hAnsi="Cambria Math" w:cs="Cambria Math"/>
        </w:rPr>
        <w:instrText>⩽</w:instrText>
      </w:r>
      <w:r w:rsidR="0063396E" w:rsidRPr="00B1522E">
        <w:rPr>
          <w:rFonts w:eastAsia="Calibri" w:cstheme="minorHAnsi"/>
        </w:rPr>
        <w:instrText xml:space="preserve"> three glasses per day to 54% at 12months vs. 50% to 61% in controls, p = 0.052), with a greater proportion consuming &lt; one sweetened beverage per day (24–41% vs. 34–37% in controls, p = 0.057). Further research including more intensive nutrition intervention strategies are required to evaluate whether dietary intake in adolescent girls attending schools in low SES communities can be optimized. (PsycINFO Database Record (c) 2015 APA, all rights reserved). (journal abstract)","author":[{"dropping-particle":"","family":"Collins","given":"Clare E","non-dropping-particle":"","parse-names":false,"suffix":""},{"dropping-particle":"","family":"Dewar","given":"Deborah L","non-dropping-particle":"","parse-names":false,"suffix":""},{"dropping-particle":"","family":"Schumacher","given":"Tracy L","non-dropping-particle":"","parse-names":false,"suffix":""},{"dropping-particle":"","family":"Finn","given":"Tara","non-dropping-particle":"","parse-names":false,"suffix":""},{"dropping-particle":"","family":"Morgan","given":"Philip J","non-dropping-particle":"","parse-names":false,"suffix":""},{"dropping-particle":"","family":"Lubans","given":"David R","non-dropping-particle":"","parse-names":false,"suffix":""}],"container-title":"Appetite","id":"ITEM-1","issued":{"date-parts":[["2014","2","1"]]},"note":"Accession Number: 2013-45541-020. PMID: 24239513 Partial author list: First Author &amp;amp; Affiliation: Collins, Clare E.; Priority Research Centre in Physical Activity and Nutrition, School of Health Sciences, Faculty of Health, University of Newcastle, Callaghan, NSW, Australia. Release Date: 20140203. Correction Date: 20151214. Publication Type: Journal (0100), Peer Reviewed Journal (0110). Format Covered: Electronic. Document Type: Journal Article. Language: English. Grant Information: Collins, Clare E. Major Descriptor: Clinical Trials; Developmental Age Groups; Food Intake; Nutrition; School Based Intervention. Minor Descriptor: Communities; Diets; Human Females; Lower Income Level; Obesity. Classification: Curriculum &amp;amp; Programs &amp;amp; Teaching Methods (3530). Population: Human (10); Female (40). Location: Australia. Age Group: Adolescence (13-17 yrs) (200). Tests &amp;amp; Measures: Food Frequency Questionnaire. Methodology: Empirical Study; Quantitative Study; Treatment Outcome/Clinical Trial. Supplemental Data: Tables and Figures Internet. References Available: Y. Page Count: 9. Issue Publication Date: Feb 1, 2014. Publication History: First Posted Date: Nov 12, 2013; Accepted Date: Nov 3, 2013; Revised Date: Oct 30, 2013; First Submitted Date: Jun 28, 2013. Copyright Statement: All rights reserved. Elsevier Ltd. 2013.","page":"147-155","publisher":"Elsevier Science","publisher-place":"Collins, Clare E., Priority Research Centre in Physical Activity and Nutrition, School of Health Sciences, Faculty of Health, University of Newcastle, HA12 Hunter Building, University Drive, Callaghan, NSW, Australia, 2308","title":"12 Month changes in dietary intake of adolescent girls attending schools in low-income communities following the NEAT Girls cluster randomized controlled trial.","type":"article-journal","volume":"73"},"uris":["http://www.mendeley.com/documents/?uuid=38c3cfd7-f57b-49b9-bcd2-0ed1be7a3196"]},{"id":"ITEM-2","itemData":{"ISSN":"1869-6716","abstract":"The objective of this study was to assess changes in adolescent girls’ health-enhancing cognitions and behaviors targeted by the Go Girls! group-based mentorship lifestyle program. Three hundred and ten adolescent girls (nested within 40 Go Girls! groups) completed questionnaires that assessed cognitions (attitudes, self-regulatory efficacy, and intentions) and behaviors (physical activity and dietary) at four time points (two pre-program, one at the end of the program, and one at 7-week follow-up). Hierarchical linear modeling was used to examine changes in the outcome variables among Go Girls! participants (Mage = 11.68 years, SD = 0.80). No significant changes occurred in the outcome variables during the baseline comparison period (Time 1–2). When compared to the average of the baseline assessments, 7 weeks after completing the program, girls reported significant improvements in physical activity (MBaseline PAtotal = 3.82, SD = 3.49; MT4PAtotal = 4.38, SD = 3.75) and healthy eating (MBaseline = 10.71, SD = 1.13; MT4 = 11.35, SD = 1.05) behavior and related cognitions (d values ≥0.65). Findings provide preliminary support for programs that foster belongingness and target health behaviors through mentorship models. (PsycINFO Database Record (c) 2015 APA, all rights reserved). (journal abstract)","author":[{"dropping-particle":"","family":"Dowd","given":"A Justine","non-dropping-particle":"","parse-names":false,"suffix":""},{"dropping-particle":"","family":"Chen","given":"Michelle Y","non-dropping-particle":"","parse-names":false,"suffix":""},{"dropping-particle":"","family":"Jung","given":"Mary E","non-dropping-particle":"","parse-names":false,"suffix":""},{"dropping-particle":"","family":"Beauchamp","given":"Mark R","non-dropping-particle":"","parse-names":false,"suffix":""}],"container-title":"Translational Behavioral Medicine","id":"ITEM-2","issue":"1","issued":{"date-parts":[["2015","3"]]},"note":"Accession Number: 2015-07945-009. PMID: 25729456 Partial author list: First Author &amp;amp; Affiliation: Dowd, A. Justine; School of Kinesiology, University of British Columbia, Vancouver, BC, Canada. Release Date: 20150406. Correction Date: 20151207. Publication Type: Journal (0100), Peer Reviewed Journal (0110). Format Covered: Electronic. Document Type: Journal Article. Language: English. Grant Information: Dowd, A. Justine. Major Descriptor: Childhood Development; Health Attitudes; Health Behavior; Health Promotion; Lifestyle. Minor Descriptor: Human Females; Mentor; Belonging. Classification: Promotion &amp;amp; Maintenance of Health &amp;amp; Wellness (3365). Population: Human (10); Female (40). Location: Canada. Age Group: Childhood (birth-12 yrs) (100); School Age (6-12 yrs) (180); Adolescence (13-17 yrs) (200). Tests &amp;amp; Measures: Physical Activity Behavior Questionnaire; Adolescent Food Habits Checklist-Revised; World Health Organization Health Behavior in School Children Survey; Go Girls Program Scale; Self-Regulatory Efficacy Scale; Intentions to engage in Physical Activity Questionnaire; Instrumental Attitudes Scale; Affective Attitudes Scale. Methodology: Empirical Study; Longitudinal Study; Prospective Study; Quantitative Study. References Available: Y. Page Count: 10. Issue Publication Date: Mar, 2015.","page":"77-86","publisher":"Springer","publisher-place":"Dowd, A. Justine, School of Kinesiology, University of British Columbia, Vancouver, BC, Canada, V6T 1Z1","title":"'Go girls!': Psychological and behavioral outcomes associated with a group-based healthy lifestyle program for adolescent girls.","type":"article-journal","volume":"5"},"uris":["http://www.mendeley.com/documents/?uuid=caa5507f-dbd0-4a8e-8a1f-8c2b3fd377e1"]},{"id":"ITEM-3","itemData":{"ISSN":"00223182","abstract":"A school-based program aimed at the primary prevention of eating disturbances was developed, implemented, and evaluated. The eating disturbances targeted included unhealthy dieting and binge-eating, which are common among nonclinical populations of adolescent girls. The program was based on social-cognitive principles for behavioral change, and the goals were to change knowledge, attitudes, and behaviors related to nutrition and weight control; improve body and self-image; and promote greater self-efficacy in dealing with social pressures regarding excessive eating and dieting. The baseline population included 341 tenth-grade girls from 16 classes at three high schools in Jerusalem. Classes were assigned to intervention or control groups and girls in the former participated in a 10-session program. Program effectiveness was evaluated with a quasi-experimental design for 269 girls who were present at follow-up assessments conducted both 6 months and 2 years after program implementation. Results indicated that the program had moderate effects on nutrition knowledge and meal patterns and on preventing the. onset of unhealthy dieting and bingeing behaviors. The effects were most consistent among overweight girls. The results suggest that school-based programs can contribute to primary prevention of eating disturbances.","author":[{"dropping-particle":"","family":"Neumark-Sztainer","given":"Dianne","non-dropping-particle":"","parse-names":false,"suffix":""},{"dropping-particle":"","family":"Butler","given":"Ruth","non-dropping-particle":"","parse-names":false,"suffix":""},{"dropping-particle":"","family":"Palti","given":"Hava","non-dropping-particle":"","parse-names":false,"suffix":""}],"container-title":"Journal of Nutrition Education","id":"ITEM-3","issue":"1","issued":{"date-parts":[["1995","1"]]},"page":"24-31","title":"Eating disturbances among adolescent girls: Evaluation of a school-based primary prevention program","type":"article-journal","volume":"27"},"uris":["http://www.mendeley.com/documents/?uuid=588adb0d-18f3-406d-bdf5-5d66e25338c4"]},{"id":"ITEM-4","itemData":{"ISSN":"0360-1315","abstract":"Nutrition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Education","id":"ITEM-4","issued":{"date-parts":[["2015","10"]]},"note":"Accession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elements.","type":"article-journal","volume":"88"},"uris":["http://www.mendeley.com/documents/?uuid=d0bc6350-9c55-462b-82b0-80648f3f942f"]}],"mendeley":{"formattedCitation":"(C. E. Collins et al., 2014; Dowd et al., 2015; Neumark-Sztainer et al., 1995; Yang et al., 2015)","manualFormatting":"(Collins et al., 2014; Dowd et al., 2015; Neumark-Sztainer et al., 1995; Yang et al., 2015)","plainTextFormattedCitation":"(C. E. Collins et al., 2014; Dowd et al., 2015; Neumark-Sztainer et al., 1995; Yang et al., 2015)","previouslyFormattedCitation":"(C. E. Collins et al., 2014; Dowd et al., 2015; Neumark-Sztainer et al., 1995; Yang et al., 2015)"},"properties":{"noteIndex":0},"schema":"https://github.com/citation-style-language/schema/raw/master/csl-citation.json"}</w:instrText>
      </w:r>
      <w:r w:rsidRPr="00B1522E">
        <w:rPr>
          <w:rFonts w:eastAsia="Calibri" w:cstheme="minorHAnsi"/>
        </w:rPr>
        <w:fldChar w:fldCharType="separate"/>
      </w:r>
      <w:r w:rsidR="00795693" w:rsidRPr="00B1522E">
        <w:rPr>
          <w:rFonts w:eastAsia="Calibri" w:cstheme="minorHAnsi"/>
          <w:noProof/>
        </w:rPr>
        <w:t>(Collins et al., 2014; Dowd et al., 2015; Neumark-Sztainer et al., 1995; Yang et al., 2015)</w:t>
      </w:r>
      <w:r w:rsidRPr="00B1522E">
        <w:rPr>
          <w:rFonts w:eastAsia="Calibri" w:cstheme="minorHAnsi"/>
        </w:rPr>
        <w:fldChar w:fldCharType="end"/>
      </w:r>
      <w:r w:rsidRPr="00B1522E">
        <w:rPr>
          <w:rFonts w:eastAsia="Calibri" w:cstheme="minorHAnsi"/>
        </w:rPr>
        <w:t xml:space="preserve">, but no studies targeted a male-only population amongst this 11-16 year old age group. These studies justified their use of a female-only population based on previously reported gender-differences in dietary behaviours, such as female students often having unhealthy dietary patterns, skipping meals, and eating unhealthy foods often lacking in protein, calcium and iron </w:t>
      </w:r>
      <w:r w:rsidRPr="00B1522E">
        <w:rPr>
          <w:rFonts w:eastAsia="Calibri" w:cstheme="minorHAnsi"/>
        </w:rPr>
        <w:fldChar w:fldCharType="begin" w:fldLock="1"/>
      </w:r>
      <w:r w:rsidR="007463D4" w:rsidRPr="00B1522E">
        <w:rPr>
          <w:rFonts w:eastAsia="Calibri" w:cstheme="minorHAnsi"/>
        </w:rPr>
        <w:instrText>ADDIN CSL_CITATION {"citationItems":[{"id":"ITEM-1","itemData":{"ISSN":"2047-6302","abstract":"Objective: The aim of this study was to examine whether baseline (T1) or 2-year change in sweet drink intake in children and adolescents was associated with age- and gender-standardized body mass index (BMIz) at time two (T2), 2 years later. Methods: Data on 1465 children and adolescents from the comparison groups of two quasi-experimental intervention studies from Victoria, Australia were analysed. At two time points between 2003 and 2008 (mean interval: 2.2 years) height and weight were measured and sweet drink consumption (soft drink and fruit juice/cordial) was assessed. Results: No association was observed between T1 sweet drink intake and BMIz at T2 among children or adolescents. Children from higher socioeconomic status families who reported an increased intake of sweet drinks at T2 compared with T1 had higher mean BMIz at T2 (β: 0.13, P = 0.05). There was no evidence of a dose–response relationship between sweet drink intake and BMIz. In supplementary analyses, we observed that more frequent usual consumption of fruit juice/cordial was associated with a higher BMIz at T2 among children. Conclusion: This study showed limited evidence of an association between sweet drink intake and BMIz. However, the association is complex and may be confounded by both dietary and activity behaviours. (PsycINFO Database Record (c) 2013 APA, all rights reserved). (journal abstract)","author":[{"dropping-particle":"","family":"Jensen","given":"B W","non-dropping-particle":"","parse-names":false,"suffix":""},{"dropping-particle":"","family":"Nichols","given":"M","non-dropping-particle":"","parse-names":false,"suffix":""},{"dropping-particle":"","family":"Allender","given":"S","non-dropping-particle":"","parse-names":false,"suffix":""},{"dropping-particle":"","family":"Silva‐Sanigorski","given":"A","non-dropping-particle":"de","parse-names":false,"suffix":""},{"dropping-particle":"","family":"Millar","given":"L","non-dropping-particle":"","parse-names":false,"suffix":""},{"dropping-particle":"","family":"Kremer","given":"P","non-dropping-particle":"","parse-names":false,"suffix":""},{"dropping-particle":"","family":"Lacy","given":"K","non-dropping-particle":"","parse-names":false,"suffix":""},{"dropping-particle":"","family":"Swinburn","given":"B","non-dropping-particle":"","parse-names":false,"suffix":""}],"container-title":"Pediatric Obesity","id":"ITEM-1","issue":"4","issued":{"date-parts":[["2013","8"]]},"note":"Accession Number: 2013-25638-006. PMID: 23785025 Other Journal Title: International Journal of Pediatric Obesity. Partial author list: First Author &amp;amp; Affiliation: Jensen, B. W.; Research Unit for Dietary Studies, Institute of Preventive Medicine, Bispebjerg Hospital, Copenhagen University Hospital, Frederiksberg, Denmark. Other Publishers: Informa Healthcare; Taylor &amp;amp; Francis. Release Date: 20131111. Publication Type: Journal (0100), Peer Reviewed Journal (0110). Format Covered: Electronic. Document Type: Journal Article. Language: English. Grant Information: de Silva‐Sanigorski, A. Major Descriptor: Body Mass Index; Eating Behavior; Fluid Intake; Pediatrics; Sugars. Minor Descriptor: Socioeconomic Status. Classification: Promotion &amp;amp; Maintenance of Health &amp;amp; Wellness (3365). Population: Human (10); Male (30); Female (40). Location: Australia. Age Group: Childhood (birth-12 yrs) (100); Preschool Age (2-5 yrs) (160); School Age (6-12 yrs) (180); Adolescence (13-17 yrs) (200); Adulthood (18 yrs &amp;amp; older) (300); Young Adulthood (18-29 yrs) (320). Tests &amp;amp; Measures: Adolescent Behaviours Attitude and Knowledge Questionnaire. Methodology: Empirical Study; Longitudinal Study; Interview; Quantitative Study. References Available: Y. Page Count: 13. Issue Publication Date: Aug, 2013. Publication History: Accepted Date: Apr 8, 2013; Revised Date: Mar 29, 2013; First Submitted Date: Dec 4, 2012. Copyright Statement: The Author. Pediatric Obesity—International Association for the Study of Obesity. 2013.","page":"271-283","publisher":"Wiley-Blackwell Publishing Ltd.","publisher-place":"Jensen, B. W., Research Unit for Dietary Studies, Institute of Preventive Medicine, Bispebjerg Hospital, University Hospital, Hovedvejen, Entrance 5, Nordre Fasanvej 57, DK-2000, Frederiksberg, Denmark","title":"Inconsistent associations between sweet drink intake and 2‐year change in BMI among Victorian children and adolescents.","type":"article-journal","volume":"8"},"uris":["http://www.mendeley.com/documents/?uuid=75cb6e4c-29fe-4cd1-bfdb-810c0903cf7d"]}],"mendeley":{"formattedCitation":"(Jensen et al., 2013)","plainTextFormattedCitation":"(Jensen et al., 2013)","previouslyFormattedCitation":"(Jensen et al., 2013)"},"properties":{"noteIndex":0},"schema":"https://github.com/citation-style-language/schema/raw/master/csl-citation.json"}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(Jensen et al., 2013)</w:t>
      </w:r>
      <w:r w:rsidRPr="00B1522E">
        <w:rPr>
          <w:rFonts w:eastAsia="Calibri" w:cstheme="minorHAnsi"/>
        </w:rPr>
        <w:fldChar w:fldCharType="end"/>
      </w:r>
      <w:r w:rsidRPr="00B1522E">
        <w:rPr>
          <w:rFonts w:eastAsia="Calibri" w:cstheme="minorHAnsi"/>
        </w:rPr>
        <w:t xml:space="preserve">. </w:t>
      </w:r>
      <w:r w:rsidRPr="00B1522E">
        <w:rPr>
          <w:rFonts w:eastAsia="Calibri" w:cstheme="minorHAnsi"/>
        </w:rPr>
        <w:fldChar w:fldCharType="begin" w:fldLock="1"/>
      </w:r>
      <w:r w:rsidR="00D046DC" w:rsidRPr="00B1522E">
        <w:rPr>
          <w:rFonts w:eastAsia="Calibri" w:cstheme="minorHAnsi"/>
        </w:rPr>
        <w:instrText>ADDIN CSL_CITATION {"citationItems":[{"id":"ITEM-1","itemData":{"author":[{"dropping-particle":"","family":"Sweeting","given":"H","non-dropping-particle":"","parse-names":false,"suffix":""}],"container-title":"Nutrition Journal","id":"ITEM-1","issued":{"date-parts":[["2007"]]},"page":"1-8","title":"Measurement and definitions of obesity in childhood and adolescence: a field guide for the uninitiated","type":"article-journal","volume":"6"},"uris":["http://www.mendeley.com/documents/?uuid=9e7e264d-e612-462f-be78-396bd4e57a35"]}],"mendeley":{"formattedCitation":"(Sweeting, 2007)","manualFormatting":"Sweeting (2007)","plainTextFormattedCitation":"(Sweeting, 2007)","previouslyFormattedCitation":"(Sweeting, 2007)"},"properties":{"noteIndex":0},"schema":"https://github.com/citation-style-language/schema/raw/master/csl-citation.json"}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Sweeting (2007)</w:t>
      </w:r>
      <w:r w:rsidRPr="00B1522E">
        <w:rPr>
          <w:rFonts w:eastAsia="Calibri" w:cstheme="minorHAnsi"/>
        </w:rPr>
        <w:fldChar w:fldCharType="end"/>
      </w:r>
      <w:r w:rsidRPr="00B1522E">
        <w:rPr>
          <w:rFonts w:eastAsia="Calibri" w:cstheme="minorHAnsi"/>
        </w:rPr>
        <w:t xml:space="preserve"> suggested that obesity prevention </w:t>
      </w:r>
      <w:r w:rsidRPr="00B1522E">
        <w:rPr>
          <w:rFonts w:eastAsia="Calibri" w:cstheme="minorHAnsi"/>
        </w:rPr>
        <w:lastRenderedPageBreak/>
        <w:t xml:space="preserve">interventions are more likely to be developed for adolescent girls, as girls in adolescence become increasingly concerned about body image and body weight management. Girls in this age bracket also decrease their involvement in physical activity </w:t>
      </w:r>
      <w:r w:rsidRPr="00B1522E">
        <w:rPr>
          <w:rFonts w:eastAsia="Calibri" w:cstheme="minorHAnsi"/>
        </w:rPr>
        <w:fldChar w:fldCharType="begin" w:fldLock="1"/>
      </w:r>
      <w:r w:rsidR="00660052" w:rsidRPr="00B1522E">
        <w:rPr>
          <w:rFonts w:eastAsia="Calibri" w:cstheme="minorHAnsi"/>
        </w:rPr>
        <w:instrText>ADDIN CSL_CITATION {"citationItems":[{"id":"ITEM-1","itemData":{"author":[{"dropping-particle":"","family":"Flynn","given":"M","non-dropping-particle":"","parse-names":false,"suffix":""},{"dropping-particle":"","family":"McNeil","given":"D A","non-dropping-particle":"","parse-names":false,"suffix":""},{"dropping-particle":"","family":"Maloff","given":"B","non-dropping-particle":"","parse-names":false,"suffix":""},{"dropping-particle":"","family":"Mutasingwa","given":"D","non-dropping-particle":"","parse-names":false,"suffix":""},{"dropping-particle":"","family":"Wu","given":"M","non-dropping-particle":"","parse-names":false,"suffix":""},{"dropping-particle":"","family":"Ford","given":"C","non-dropping-particle":"","parse-names":false,"suffix":""},{"dropping-particle":"","family":"Tough","given":"S C","non-dropping-particle":"","parse-names":false,"suffix":""}],"container-title":"Obesity Reviews","id":"ITEM-1","issue":"1","issued":{"date-parts":[["2006"]]},"page":"7-66","title":"Reducing obesity and related chronic disease risk in children and youth: a synthesis of evidence with 'best practice' recommendations","type":"article-journal","volume":"7"},"uris":["http://www.mendeley.com/documents/?uuid=81d4eb58-44b2-4106-99c8-122f335b47ee"]}],"mendeley":{"formattedCitation":"(Flynn et al., 2006)","manualFormatting":"(Flynn et al., 2006)","plainTextFormattedCitation":"(Flynn et al., 2006)","previouslyFormattedCitation":"(Flynn et al., 2006)"},"properties":{"noteIndex":0},"schema":"https://github.com/citation-style-language/schema/raw/master/csl-citation.json"}</w:instrText>
      </w:r>
      <w:r w:rsidRPr="00B1522E">
        <w:rPr>
          <w:rFonts w:eastAsia="Calibri" w:cstheme="minorHAnsi"/>
        </w:rPr>
        <w:fldChar w:fldCharType="separate"/>
      </w:r>
      <w:r w:rsidR="00F8302A" w:rsidRPr="00B1522E">
        <w:rPr>
          <w:rFonts w:eastAsia="Calibri" w:cstheme="minorHAnsi"/>
          <w:noProof/>
        </w:rPr>
        <w:t>(Flynn et al., 2006)</w:t>
      </w:r>
      <w:r w:rsidRPr="00B1522E">
        <w:rPr>
          <w:rFonts w:eastAsia="Calibri" w:cstheme="minorHAnsi"/>
        </w:rPr>
        <w:fldChar w:fldCharType="end"/>
      </w:r>
      <w:r w:rsidRPr="00B1522E">
        <w:rPr>
          <w:rFonts w:eastAsia="Calibri" w:cstheme="minorHAnsi"/>
        </w:rPr>
        <w:t xml:space="preserve"> and often lack important nutrients required for a healthy diet </w:t>
      </w:r>
      <w:r w:rsidRPr="00B1522E">
        <w:rPr>
          <w:rFonts w:eastAsia="Calibri" w:cstheme="minorHAnsi"/>
        </w:rPr>
        <w:fldChar w:fldCharType="begin" w:fldLock="1"/>
      </w:r>
      <w:r w:rsidR="00660052" w:rsidRPr="00B1522E">
        <w:rPr>
          <w:rFonts w:eastAsia="Calibri" w:cstheme="minorHAnsi"/>
        </w:rPr>
        <w:instrText>ADDIN CSL_CITATION {"citationItems":[{"id":"ITEM-1","itemData":{"ISSN":"0029-6651","PMID":"9168541","author":[{"dropping-particle":"","family":"Flynn","given":"M","non-dropping-particle":"","parse-names":false,"suffix":""}],"container-title":"Proceedings of the Nutrition Society","id":"ITEM-1","issue":"1B","issued":{"date-parts":[["1997","3","18"]]},"page":"305-317","publisher":"Cambridge University Press","title":"Fear of fatness and adolescent girls: Implications for obesity prevention","type":"article-journal","volume":"56"},"uris":["http://www.mendeley.com/documents/?uuid=80ac3973-8657-3f0c-8f71-2f38053fe706"]}],"mendeley":{"formattedCitation":"(Flynn, 1997)","manualFormatting":"(Flynn, 1997)","plainTextFormattedCitation":"(Flynn, 1997)","previouslyFormattedCitation":"(Flynn, 1997)"},"properties":{"noteIndex":0},"schema":"https://github.com/citation-style-language/schema/raw/master/csl-citation.json"}</w:instrText>
      </w:r>
      <w:r w:rsidRPr="00B1522E">
        <w:rPr>
          <w:rFonts w:eastAsia="Calibri" w:cstheme="minorHAnsi"/>
        </w:rPr>
        <w:fldChar w:fldCharType="separate"/>
      </w:r>
      <w:r w:rsidR="00F8302A" w:rsidRPr="00B1522E">
        <w:rPr>
          <w:rFonts w:eastAsia="Calibri" w:cstheme="minorHAnsi"/>
          <w:noProof/>
        </w:rPr>
        <w:t>(Flynn, 1997)</w:t>
      </w:r>
      <w:r w:rsidRPr="00B1522E">
        <w:rPr>
          <w:rFonts w:eastAsia="Calibri" w:cstheme="minorHAnsi"/>
        </w:rPr>
        <w:fldChar w:fldCharType="end"/>
      </w:r>
      <w:r w:rsidRPr="00B1522E">
        <w:rPr>
          <w:rFonts w:eastAsia="Calibri" w:cstheme="minorHAnsi"/>
        </w:rPr>
        <w:t xml:space="preserve">. Seven studies within the present review noted that there were gender differences in the results </w:t>
      </w:r>
      <w:r w:rsidRPr="00B1522E">
        <w:rPr>
          <w:rFonts w:eastAsia="Calibri" w:cstheme="minorHAnsi"/>
        </w:rPr>
        <w:fldChar w:fldCharType="begin" w:fldLock="1"/>
      </w:r>
      <w:r w:rsidR="00FD502B"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Research","id":"ITEM-2","issue":"6","issued":{"date-parts":[["2006","12"]]},"note":"Accession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children.","type":"article-journal","volume":"21"},"uris":["http://www.mendeley.com/documents/?uuid=bbef8914-979d-4764-8405-477314275444"]},{"id":"ITEM-3","itemData":{"ISSN":"1479-5868","abstract":"Background: Most schools have not fully implemented wellness policies, and those that have rarely incorporate meaningful student participation. The aim of the Fuel Up to Play 60 (FUTP60) program is to help schools implement wellness policies by engaging students in activities to improve access to healthful, good tasting food and drinks, and increase the number and type of opportunities for students to be physically active. The aim of this paper is to present initial student-level results from an implementation of FUTP60 in 72 schools, grades 6–9. Methods: The study used a non-controlled pretest/posttest with serial cross-sectional data. School process data and student-level data were collected in fall 2009 (pre-intervention) and spring 2010 (post-intervention). School wellness practices were captured during a baseline needs assessment survey. Validated self-administered questionnaires assessing dietary and physical activity (PA) behaviors were administered to students in grades 6–9 in the 72 pilot schools. Mixed-effects logistic regression controlling for clustering of schools and demographics was used to calculate odds ratios and confidence intervals to evaluate changes pre- and post- intervention. Results: All 72 schools implemented FUTP60 during the 2009–2010 school year. Action strategies most frequently chosen by the schools included increasing breakfast participation and new activities before and after school. Positive and significant changes in students’ behaviors (n = 32,482 at pretest and 29,839 at post-test) were noted for dairy, whole grains, fruit, and vegetable consumption and PA levels pre- and post-intervention (OR 1.05 to 1.27). Students aware of the program at post-test were significantly more likely to report healthier eating and PA behaviors than students unaware of the program (OR 1.1 to 1.34). Conclusions: FUTP60 pilot findings indicate that a low intensity program focused on wellness policy implementation is associated with small positive changes in student behaviors, especially when students were aware of the program. Although these initial results are promising, a more rigorous controlled study is warranted as a next step. (PsycINFO Database Record (c) 2016 APA, all rights reserved)","author":[{"dropping-particle":"","family":"Hoelscher","given":"Deanna M","non-dropping-particle":"","parse-names":false,"suffix":""},{"dropping-particle":"","family":"Moag-Stahlberg","given":"Alicia","non-dropping-particle":"","parse-names":false,"suffix":""},{"dropping-particle":"","family":"Ellis","given":"Karen","non-dropping-particle":"","parse-names":false,"suffix":""},{"dropping-particle":"","family":"Vandewater","given":"Elizabeth A","non-dropping-particle":"","parse-names":false,"suffix":""},{"dropping-particle":"","family":"Malkani","given":"Raja","non-dropping-particle":"","parse-names":false,"suffix":""}],"container-title":"The International Journal of Behavioral Nutrition and Physical Activity","id":"ITEM-3","issued":{"date-parts":[["2016","12"]]},"note":"Accession Number: 2016-24260-001. PMID: 27178056 Partial author list: First Author &amp;amp; Affiliation: Hoelscher, Deanna M.; University of Texas, School of Public Health, Michael &amp;amp; Susan Dell Center for Healthy Living, Austin, TX, US. Release Date: 20160602. Publication Type: Journal (0100), Peer Reviewed Journal (0110). Format Covered: Electronic. Document Type: Journal Article. Language: English. Major Descriptor: Diets; Health Promotion; Obesity; Physical Activity; School Based Intervention. Classification: Curriculum &amp;amp; Programs &amp;amp; Teaching Methods (3530). Population: Human (10); Male (30); Female (40). Location: US. Age Group: Childhood (birth-12 yrs) (100); School Age (6-12 yrs) (180); Adolescence (13-17 yrs) (200). Tests &amp;amp; Measures: School Physical Activity and Nutrition Questionnaire-Adapted Version. Methodology: Empirical Study; Quantitative Study. References Available: Y. ArtID: 59. Issue Publication Date: Dec, 2016. Publication History: First Posted Date: May 13, 2016; Accepted Date: Apr 28, 2016; First Submitted Date: Aug 1, 2015. Copyright Statement: Open Access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Hoelscher et al. 2016.","page":"59-68","publisher":"BioMed Central Limited","publisher-place":"Hoelscher, Deanna M., University of Texas, School of Public Health, Michael &amp; Susan Dell Center for Healthy Living, 1616 Guadalupe St., Suite 6.300, Austin, TX, US, 78701","title":"Evaluation of a student participatory, low-intensity program to improve school wellness environment and students' eating and activity behaviors.","type":"article-journal","volume":"13"},"uris":["http://www.mendeley.com/documents/?uuid=823d9b1e-16f3-4ad7-ba7d-86b6176dc2c7"]},{"id":"ITEM-4","itemData":{"ISSN":"1054-139X","abstract":"Purpose: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Health","id":"ITEM-4","issue":"2","issued":{"date-parts":[["2009","2"]]},"note":"Accession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intervention.","type":"article-journal","volume":"44"},"uris":["http://www.mendeley.com/documents/?uuid=3436d664-5481-4deb-9498-5b6cd81039b0"]},{"id":"ITEM-5","itemData":{"ISSN":"0268-1153","abstract":"Describes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Research","id":"ITEM-5","issue":"2","issued":{"date-parts":[["1987","6"]]},"note":"Accession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Life.'","type":"article-journal","volume":"2"},"uris":["http://www.mendeley.com/documents/?uuid=4ba034f3-de40-4333-9846-e6881c339756"]},{"id":"ITEM-6","itemData":{"ISBN":"2153-2168","ISSN":"2153-2168","PMID":"28448174","abstract":"Background: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Obesity","id":"ITEM-6","issue":"4","issued":{"date-parts":[["2017"]]},"page":"300-313","title":"A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Study","type":"article-journal","volume":"13"},"uris":["http://www.mendeley.com/documents/?uuid=74a21169-2cf5-4820-beb8-c5f53e15a838"]},{"id":"ITEM-7","itemData":{"ISSN":"1471-2458","abstract":"Few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Health","id":"ITEM-7","issue":"1","issued":{"date-parts":[["2017","9"]]},"page":"695","title":"Evaluation of a peer education program on student leaders' energy balance-related behaviors","type":"article-journal","volume":"17"},"uris":["http://www.mendeley.com/documents/?uuid=560d1118-94b4-43a0-8347-10a81bff7b3e"]}],"mendeley":{"formattedCitation":"(Aceves-Martins et al., 2017; Chin A Paw et al., 2008; Foley et al., 2017; Haerens et al., 2006; Hoelscher et al., 2016; Lubans et al., 2009; Perry et al., 1987)","plainTextFormattedCitation":"(Aceves-Martins et al., 2017; Chin A Paw et al., 2008; Foley et al., 2017; Haerens et al., 2006; Hoelscher et al., 2016; Lubans et al., 2009; Perry et al., 1987)","previouslyFormattedCitation":"(Aceves-Martins et al., 2017; Chin A Paw et al., 2008; Foley et al., 2017; Haerens et al., 2006; Hoelscher et al., 2016; Lubans et al., 2009; Perry et al., 1987)"},"properties":{"noteIndex":0},"schema":"https://github.com/citation-style-language/schema/raw/master/csl-citation.json"}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(Aceves-Martins et al., 2017; Chin A Paw et al., 2008; Foley et al., 2017; Haerens et al., 2006; Hoelscher et al., 2016; Lubans et al., 2009; Perry et al., 1987)</w:t>
      </w:r>
      <w:r w:rsidRPr="00B1522E">
        <w:rPr>
          <w:rFonts w:eastAsia="Calibri" w:cstheme="minorHAnsi"/>
        </w:rPr>
        <w:fldChar w:fldCharType="end"/>
      </w:r>
      <w:r w:rsidRPr="00B1522E">
        <w:rPr>
          <w:rFonts w:eastAsia="Calibri" w:cstheme="minorHAnsi"/>
        </w:rPr>
        <w:t xml:space="preserve">. For example, within one reviewed study males were reported to significantly decrease snacking behaviours whereas females increased fruit consumption </w:t>
      </w:r>
      <w:r w:rsidRPr="00B1522E">
        <w:rPr>
          <w:rFonts w:eastAsia="Calibri" w:cstheme="minorHAnsi"/>
        </w:rPr>
        <w:fldChar w:fldCharType="begin" w:fldLock="1"/>
      </w:r>
      <w:r w:rsidR="007463D4" w:rsidRPr="00B1522E">
        <w:rPr>
          <w:rFonts w:eastAsia="Calibri" w:cstheme="minorHAnsi"/>
        </w:rPr>
        <w:instrText>ADDIN CSL_CITATION {"citationItems":[{"id":"ITEM-1","itemData":{"ISSN":"1054-139X","abstract":"Purpose: The objective of this study was to evaluate the impact of a school-based intervention (Program X) incorporating pedometers and e-mail support on physical activity, sedentary behavior, and healthy eating in adolescents. Methods: A randomized control trial was used to evaluate the impact of the Program X intervention. Six schools (N = 124 participants; mean age 14.1 ± 6.8 years) were randomized to intervention or control conditions for the 6-month study period. Objectively recorded physical activity (mean steps/day), self-reported sedentary behavior, and dietary habits were measured at baseline and at 6-month followup and intervention effects were assessed using repeated-measures analysis of variance and Χ² tests. Results: Participants in the intervention group increased their step counts by 956 ± 4107 steps/day (boys) and 999 6 1999 (girls). Repeated-measures analysis of variance revealed significant group-bytime interactions for boys (F = 7.4, p = .01, d = .80) and girls (F = 29.6, p &lt;.001, d = 1.27) for mean steps/day. The intervention significantly decreased the number of energy-dense/low-nutrient snacks consumed by boys (Χ² = 4.0, p = .043) and increased the number of fruit serves among girls (Χ2 = 4.8, p = .028). The intervention did not have a statistically significant effect on sedentary behavior. Conclusion: A school-based intervention incorporating physical activity monitoring using pedometers and e-mail support was successful in promoting physical activity and selected healthy eating behaviors in adolescent boys and girls. (PsycINFO Database Record (c) 2015 APA, all rights reserved). (journal abstract)","author":[{"dropping-particle":"","family":"Lubans","given":"David R","non-dropping-particle":"","parse-names":false,"suffix":""},{"dropping-particle":"","family":"Morgan","given":"Philip J","non-dropping-particle":"","parse-names":false,"suffix":""},{"dropping-particle":"","family":"Callister","given":"Robin","non-dropping-particle":"","parse-names":false,"suffix":""},{"dropping-particle":"","family":"Collins","given":"Clare E","non-dropping-particle":"","parse-names":false,"suffix":""}],"container-title":"Journal of Adolescent Health","id":"ITEM-1","issue":"2","issued":{"date-parts":[["2009","2"]]},"note":"Accession Number: 2009-01633-014. PMID: 19167667 Other Journal Title: Journal of Adolescent Health Care. Partial author list: First Author &amp;amp; Affiliation: Lubans, David R.; School of Education, University of Newcastle, Newcastle, NSW, Australia. Release Date: 20090720. Correction Date: 20151207. Publication Type: Journal (0100), Peer Reviewed Journal (0110). Format Covered: Electronic. Document Type: Journal Article. Language: English. Major Descriptor: Eating Behavior; Parents; Physical Activity; School Based Intervention; Computer Mediated Communication. Minor Descriptor: Internet; Sports; Sedentary Behavior. Classification: Educational/Vocational Counseling &amp;amp; Student Services (3580). Population: Human (10); Male (30); Female (40). Location: Australia. Age Group: Adolescence (13-17 yrs) (200). Tests &amp;amp; Measures: Adolescent Sedentary Activity Questionnaire. Methodology: Empirical Study; Quantitative Study; Treatment Outcome/Clinical Trial. References Available: Y. Page Count: 8. Issue Publication Date: Feb, 2009.","page":"176-183","publisher":"Elsevier Science","publisher-place":"Lubans, David R., University of Newcastle, School of Education, Callaghan Campus, NSW, Australia, 2308","title":"Effects of integrating pedometers, parental materials, and e-mail support within an extracurricular school sport intervention.","type":"article-journal","volume":"44"},"uris":["http://www.mendeley.com/documents/?uuid=3436d664-5481-4deb-9498-5b6cd81039b0"]}],"mendeley":{"formattedCitation":"(Lubans et al., 2009)","plainTextFormattedCitation":"(Lubans et al., 2009)","previouslyFormattedCitation":"(Lubans et al., 2009)"},"properties":{"noteIndex":0},"schema":"https://github.com/citation-style-language/schema/raw/master/csl-citation.json"}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(Lubans et al., 2009)</w:t>
      </w:r>
      <w:r w:rsidRPr="00B1522E">
        <w:rPr>
          <w:rFonts w:eastAsia="Calibri" w:cstheme="minorHAnsi"/>
        </w:rPr>
        <w:fldChar w:fldCharType="end"/>
      </w:r>
      <w:r w:rsidRPr="00B1522E">
        <w:rPr>
          <w:rFonts w:eastAsia="Calibri" w:cstheme="minorHAnsi"/>
        </w:rPr>
        <w:t xml:space="preserve">. One study suggested that girls were more concerned about health than boys at baseline assessment; therefore, girls were more motivated to make dietary changes leading into the intervention </w:t>
      </w:r>
      <w:r w:rsidRPr="00B1522E">
        <w:rPr>
          <w:rFonts w:eastAsia="Calibri" w:cstheme="minorHAnsi"/>
        </w:rPr>
        <w:fldChar w:fldCharType="begin" w:fldLock="1"/>
      </w:r>
      <w:r w:rsidR="007463D4" w:rsidRPr="00B1522E">
        <w:rPr>
          <w:rFonts w:eastAsia="Calibri" w:cstheme="minorHAnsi"/>
        </w:rPr>
        <w:instrText>ADDIN CSL_CITATION {"citationItems":[{"id":"ITEM-1","itemData":{"ISSN":"0268-1153","abstract":"Describes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Research","id":"ITEM-1","issue":"2","issued":{"date-parts":[["1987","6"]]},"note":"Accession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Life.'","type":"article-journal","volume":"2"},"uris":["http://www.mendeley.com/documents/?uuid=4ba034f3-de40-4333-9846-e6881c339756"]}],"mendeley":{"formattedCitation":"(Perry et al., 1987)","plainTextFormattedCitation":"(Perry et al., 1987)","previouslyFormattedCitation":"(Perry et al., 1987)"},"properties":{"noteIndex":0},"schema":"https://github.com/citation-style-language/schema/raw/master/csl-citation.json"}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(Perry et al., 1987)</w:t>
      </w:r>
      <w:r w:rsidRPr="00B1522E">
        <w:rPr>
          <w:rFonts w:eastAsia="Calibri" w:cstheme="minorHAnsi"/>
        </w:rPr>
        <w:fldChar w:fldCharType="end"/>
      </w:r>
      <w:r w:rsidRPr="00B1522E">
        <w:rPr>
          <w:rFonts w:eastAsia="Calibri" w:cstheme="minorHAnsi"/>
        </w:rPr>
        <w:t xml:space="preserve">. Future interventions with this age group may need to include gender-specific interventional components (strategies) to target the same unhealthy dietary behaviours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program.","type":"article-journal","volume":"5"},"uris":["http://www.mendeley.com/documents/?uuid=0ae3b1a2-a736-4e3f-8869-95e5f4733a34"]}],"mendeley":{"formattedCitation":"(Chin A Paw et al., 2008)","plainTextFormattedCitation":"(Chin A Paw et al., 2008)","previouslyFormattedCitation":"(Chin A Paw et al., 2008)"},"properties":{"noteIndex":0},"schema":"https://github.com/citation-style-language/schema/raw/master/csl-citation.json"}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(Chin A Paw et al., 2008)</w:t>
      </w:r>
      <w:r w:rsidRPr="00B1522E">
        <w:rPr>
          <w:rFonts w:eastAsia="Calibri" w:cstheme="minorHAnsi"/>
        </w:rPr>
        <w:fldChar w:fldCharType="end"/>
      </w:r>
      <w:r w:rsidRPr="00B1522E">
        <w:rPr>
          <w:rFonts w:eastAsia="Calibri" w:cstheme="minorHAnsi"/>
        </w:rPr>
        <w:t xml:space="preserve"> as it is suggested that different genders respond to and are motivated by different components of an intervention </w:t>
      </w:r>
      <w:r w:rsidRPr="00B1522E">
        <w:rPr>
          <w:rFonts w:eastAsia="Calibri" w:cstheme="minorHAnsi"/>
        </w:rPr>
        <w:fldChar w:fldCharType="begin" w:fldLock="1"/>
      </w:r>
      <w:r w:rsidR="00DF6CCC" w:rsidRPr="00B1522E">
        <w:rPr>
          <w:rFonts w:eastAsia="Calibri" w:cstheme="minorHAnsi"/>
        </w:rPr>
        <w:instrText>ADDIN CSL_CITATION {"citationItems":[{"id":"ITEM-1","itemData":{"ISSN":"1930-739X","abstract":"Objective: This review seeks to examine the effectiveness of school-based programs for reducing childhood overweight or obesity. Methods and Procedures: A systematic review of the research literature published since 1990 was conducted to identify experimental or quasi-experimental school-based curricular or environmental preventive interventions, with evaluation ≥6 months after baseline, which reported outcomes in terms of a measure of overweight. Results: Fourteen studies were identified, including one involving a nutrition-only program, two physical activity promotion interventions and eleven studies combining nutrition and physical activity components. Most studies (n = 10) offered weak (grade 2) quality evidence. One study offered strong (grade 4) evidence reducing the odds ratio for overweight in girls only, while four grade 2 studies reported significant improvements in BMI or at-risk-for overweight or overweight prevalence in boys, girls, or both. Twelve studies reported significant improvement in at least one measure of dietary intake, physical activity, and/or sedentary behavior. Discussion: Our ability to draw strong conclusions as to the efficacy of school-based obesity prevention programs is limited by the small number of published studies and by methodological concerns. Qualitative analysis suggests programs grounded in social learning may be more appropriate for girls, while structural and environmental interventions enabling physical activity may be more effective for boys. High-quality evaluation protocols should be considered essential components of future programs.","author":[{"dropping-particle":"","family":"Kropski","given":"Jonathan A","non-dropping-particle":"","parse-names":false,"suffix":""},{"dropping-particle":"","family":"Keckley","given":"Paul H","non-dropping-particle":"","parse-names":false,"suffix":""},{"dropping-particle":"","family":"Jensen","given":"Gordon L","non-dropping-particle":"","parse-names":false,"suffix":""}],"container-title":"Obesity","id":"ITEM-1","issue":"5","issued":{"date-parts":[["2008"]]},"page":"1009-1018","publisher":"Wiley Online Library","title":"School‐based Obesity Prevention Programs: An Evidence‐based Review","type":"article-journal","volume":"16"},"uris":["http://www.mendeley.com/documents/?uuid=58c88b5f-bb45-45d5-bcf1-aa4fff3c7aa5"]}],"mendeley":{"formattedCitation":"(Kropski et al., 2008)","plainTextFormattedCitation":"(Kropski et al., 2008)","previouslyFormattedCitation":"(Kropski et al., 2008)"},"properties":{"noteIndex":0},"schema":"https://github.com/citation-style-language/schema/raw/master/csl-citation.json"}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(Kropski et al., 2008)</w:t>
      </w:r>
      <w:r w:rsidRPr="00B1522E">
        <w:rPr>
          <w:rFonts w:eastAsia="Calibri" w:cstheme="minorHAnsi"/>
        </w:rPr>
        <w:fldChar w:fldCharType="end"/>
      </w:r>
      <w:r w:rsidRPr="00B1522E">
        <w:rPr>
          <w:rFonts w:eastAsia="Calibri" w:cstheme="minorHAnsi"/>
        </w:rPr>
        <w:t xml:space="preserve">. </w:t>
      </w:r>
    </w:p>
    <w:p w14:paraId="55D5CB7D" w14:textId="77777777" w:rsidR="00987AC8" w:rsidRPr="00B1522E" w:rsidRDefault="00987AC8" w:rsidP="00734D95">
      <w:pPr>
        <w:spacing w:line="480" w:lineRule="auto"/>
        <w:jc w:val="both"/>
        <w:rPr>
          <w:rFonts w:eastAsia="Calibri" w:cstheme="minorHAnsi"/>
        </w:rPr>
      </w:pPr>
      <w:r w:rsidRPr="00B1522E">
        <w:rPr>
          <w:rFonts w:eastAsia="Calibri" w:cstheme="minorHAnsi"/>
        </w:rPr>
        <w:t xml:space="preserve"> </w:t>
      </w:r>
    </w:p>
    <w:bookmarkStart w:id="67" w:name="_Toc84678912"/>
    <w:p w14:paraId="05EC58F9" w14:textId="0C755158" w:rsidR="00987AC8" w:rsidRPr="00B1522E" w:rsidRDefault="00696701" w:rsidP="00734D95">
      <w:pPr>
        <w:spacing w:line="480" w:lineRule="auto"/>
      </w:pPr>
      <w:r w:rsidRPr="00B1522E">
        <w:fldChar w:fldCharType="begin"/>
      </w:r>
      <w:r w:rsidRPr="00B1522E">
        <w:instrText xml:space="preserve"> TC  "</w:instrText>
      </w:r>
      <w:bookmarkStart w:id="68" w:name="_Toc97310426"/>
      <w:r w:rsidRPr="00B1522E">
        <w:instrText>2.5.6 Effective intervention characer</w:instrText>
      </w:r>
      <w:r w:rsidR="00354DE4" w:rsidRPr="00B1522E">
        <w:instrText>istics</w:instrText>
      </w:r>
      <w:bookmarkEnd w:id="68"/>
      <w:r w:rsidRPr="00B1522E">
        <w:instrText xml:space="preserve"> " \f x\l 3 </w:instrText>
      </w:r>
      <w:r w:rsidRPr="00B1522E">
        <w:fldChar w:fldCharType="end"/>
      </w:r>
      <w:r w:rsidR="00FE7BC8" w:rsidRPr="00B1522E">
        <w:t xml:space="preserve">2.5.6 </w:t>
      </w:r>
      <w:r w:rsidR="00987AC8" w:rsidRPr="00B1522E">
        <w:t>Effective intervention characteristics</w:t>
      </w:r>
      <w:bookmarkEnd w:id="67"/>
      <w:r w:rsidR="00987AC8" w:rsidRPr="00B1522E">
        <w:t xml:space="preserve"> </w:t>
      </w:r>
    </w:p>
    <w:p w14:paraId="571E04C6" w14:textId="120DD0F3" w:rsidR="00987AC8" w:rsidRPr="00B1522E" w:rsidRDefault="00987AC8" w:rsidP="00734D95">
      <w:pPr>
        <w:spacing w:line="480" w:lineRule="auto"/>
        <w:jc w:val="both"/>
        <w:rPr>
          <w:rFonts w:eastAsia="Calibri" w:cstheme="minorHAnsi"/>
        </w:rPr>
      </w:pPr>
      <w:r w:rsidRPr="00B1522E">
        <w:rPr>
          <w:rFonts w:eastAsia="Calibri" w:cstheme="minorHAnsi"/>
        </w:rPr>
        <w:t xml:space="preserve">The involvement of peers in the studies seemed to be effective in producing positive changes in dietary behaviour amongst 11-16 year olds </w:t>
      </w:r>
      <w:r w:rsidRPr="00B1522E">
        <w:rPr>
          <w:rFonts w:eastAsia="Calibri" w:cstheme="minorHAnsi"/>
        </w:rPr>
        <w:fldChar w:fldCharType="begin" w:fldLock="1"/>
      </w:r>
      <w:r w:rsidR="00660052"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Research","id":"ITEM-2","issue":"4","issued":{"date-parts":[["1990","12"]]},"note":"Accession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study.","type":"article-journal","volume":"5"},"uris":["http://www.mendeley.com/documents/?uuid=9a48b06a-99b7-4f0b-b92b-862a85f3beb5"]},{"id":"ITEM-3","itemData":{"ISSN":"1879-0739","PMID":"19083401","abstract":"Certain beverages contribute energy, protein, vitamins, and minerals. North American adolescents have shifted their beverage intake from predominantly milk to predominantly sugary beverages. Intake of these sugary beverages, in sufficient quantity, may increase the risk of bone fractures, may contribute to obesity, and may lead to tooth decay. This study evaluated the effectiveness of a school-nutrition education program (Fluids Used Effectively for Living) on nutrition knowledge, attitude, and self-reported behavior of grade 9 students in Saskatchewan, Canada. Two classes of grade 9 students, 1 (n = 33) in a high school in Saskatoon (n = 33) and 1 (n = 24) in a large high school in Prince Albert, Saskatchewan, received the peer educator intervention. Two other classes in the 2 cities (n = 24 and n = 24, respectively) were controls. Six sessions of Fluids Used Effectively for Living nutrition education were delivered by using 2 peer educator models (multiple and single), and the intervention was delivered in a 45-minute weekly class session over a 6-week period. After the intervention, students in these 2 peer educator classes decreased their sugary beverage intake significantly, which was sustained for 3 months. Students in the control self-taught class increased their juice intake at the end of the year. The significant decrease of juice and sugary beverage intakes in the single model peer educator class disappeared after Bonferroni correction. Carbonated sugary beverage intake of students in the control self-taught classes declined, but it was not sustainable at the 3-month follow-up. A peer educator school-based nutrition education approach can lead to a decrease in sugary beverage intake in high school children.","author":[{"dropping-particle":"","family":"Lo","given":"Elisabeth","non-dropping-particle":"","parse-names":false,"suffix":""},{"dropping-particle":"","family":"Coles","given":"Renee","non-dropping-particle":"","parse-names":false,"suffix":""},{"dropping-particle":"","family":"Humbert","given":"M Louise","non-dropping-particle":"","parse-names":false,"suffix":""},{"dropping-particle":"","family":"Polowski","given":"Joyce","non-dropping-particle":"","parse-names":false,"suffix":""},{"dropping-particle":"","family":"Henry","given":"Carol J","non-dropping-particle":"","parse-names":false,"suffix":""},{"dropping-particle":"","family":"Whiting","given":"Susan J","non-dropping-particle":"","parse-names":false,"suffix":""}],"container-title":"Nutrition research","id":"ITEM-3","issue":"3","issued":{"date-parts":[["2008","3"]]},"page":"144-50","title":"Beverage intake improvement by high school students in Saskatchewan, Canada.","type":"article-journal","volume":"28"},"uris":["http://www.mendeley.com/documents/?uuid=fdc5051e-cbf7-4dcc-9784-097b6caadb05"]},{"id":"ITEM-4","itemData":{"ISSN":"0268-1153","abstract":"Describes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Research","id":"ITEM-4","issue":"2","issued":{"date-parts":[["1987","6"]]},"note":"Accession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Life.'","type":"article-journal","volume":"2"},"uris":["http://www.mendeley.com/documents/?uuid=4ba034f3-de40-4333-9846-e6881c339756"]},{"id":"ITEM-5","itemData":{"ISSN":"0957-4824","abstract":"To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International","id":"ITEM-5","issue":"2","issued":{"date-parts":[["2015","6"]]},"note":"Accession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China?","type":"article-journal","volume":"30"},"uris":["http://www.mendeley.com/documents/?uuid=145ecf81-8117-453e-bf69-159987f54f3c"]},{"id":"ITEM-6","itemData":{"ISSN":"0091-7435","abstract":"Objective: We implemented a theory-based randomized controlled trial (Living Free of Tobacco, Plus (LIFT+) in ten rural middle schools and assessed impact on tobacco use and fruit/vegetable (F/V) intake in 2008–2010. Data on F/V intake at baseline, immediate post intervention, and 1-year follow-up are presented. Methods: Schools were randomized to intervè groups. Goal setting, peer leaders, and class workshops with parent involvement,were intervention features; community partners were supportive. Seventh graders filled out surveys on health behaviors, psycho-social variables, and demographic characteristics. Adjusted models comparing intervention and control conditions were analyzed. Results: Sample (n = 1119) was 48.5% female, 50% White, with a mean age of 12.7 years. Mean F/V servings were significantly higher in intervention schools at immediate post (3.19 servings) and at 1-year (3.02 servings) compared to controls (2.90, 2.69 respectively). Knowledge of 5-a-day recommendation was significantly higher in intervention schools at immediate post test (75.0%) versus controls (53.8%) but not at 1-year follow-up. Conclusions: Intervention schools reported significantly higher mean F/V servings at post intervention and 1- year, and for knowledge of F/V recommendations at immediate post compared to controls. Higher levels of parent and community involvement may further increase F/V intake in future interventions. (PsycINFO Database Record (c) 2012 APA, all rights reserved). (journal abstract)","author":[{"dropping-particle":"","family":"Wilson","given":"Diane Baer","non-dropping-particle":"","parse-names":false,"suffix":""},{"dropping-particle":"","family":"Jones","given":"Resa M","non-dropping-particle":"","parse-names":false,"suffix":""},{"dropping-particle":"","family":"McClish","given":"Donna","non-dropping-particle":"","parse-names":false,"suffix":""},{"dropping-particle":"","family":"Westerberg","given":"Alice L","non-dropping-particle":"","parse-names":false,"suffix":""},{"dropping-particle":"","family":"Danish","given":"Steven","non-dropping-particle":"","parse-names":false,"suffix":""}],"container-title":"Preventive Medicine: An International Journal Devoted to Practice and Theory","id":"ITEM-6","issue":"2","issued":{"date-parts":[["2012","2","1"]]},"note":"Accession Number: 2012-03389-012. PMID: 22178819 Other Journal Title: Preventative Medicine: An International Journal Devoted to Practice &amp;amp; Theory. Partial author list: First Author &amp;amp; Affiliation: Wilson, Diane Baer; Department of Internal Medicine, VCU Massey Cancer Center, Virginia Commonwealth University, Richmond, VA, US. Release Date: 20120730. Publication Type: Journal (0100), Peer Reviewed Journal (0110). Format Covered: Electronic. Document Type: Journal Article. Language: English. Major Descriptor: Drug Usage; Food Intake; Nicotine; Rural Environments; School Based Intervention. Minor Descriptor: Middle School Students. Classification: Personality Psychology (3100). Population: Human (10); Male (30); Female (40). Location: US. Age Group: Childhood (birth-12 yrs) (100); School Age (6-12 yrs) (180); Adolescence (13-17 yrs) (200). Tests &amp;amp; Measures: Youth Risk Behavior Surveillance System. Methodology: Empirical Study; Quantitative Study; Treatment Outcome/Clinical Trial. References Available: Y. Page Count: 7. Issue Publication Date: Feb 1, 2012. Publication History: First Posted Date: Dec 3, 2011. Copyright Statement: All rights reserved. Elsevier Inc. 2011.","page":"150-156","publisher":"Elsevier Science","publisher-place":"Wilson, Diane Baer, Department of Internal Medicine and VCU Massey Cancer Center, Virginia Commonwealth University, 1200 East Broad Street, P.O. Box 980306, Richmond, VA, US, 23298","title":"Fruit and vegetable intake among rural youth following a school-based randomized controlled trial.","type":"article-journal","volume":"54"},"uris":["http://www.mendeley.com/documents/?uuid=7e4d5a33-052f-4c99-ab20-b4bf103139ae"]},{"id":"ITEM-7","itemData":{"ISSN":"1471-2458","abstract":"Few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Health","id":"ITEM-7","issue":"1","issued":{"date-parts":[["2017","9"]]},"page":"695","title":"Evaluation of a peer education program on student leaders' energy balance-related behaviors","type":"article-journal","volume":"17"},"uris":["http://www.mendeley.com/documents/?uuid=560d1118-94b4-43a0-8347-10a81bff7b3e"]},{"id":"ITEM-8","itemData":{"ISBN":"2153-2168","ISSN":"2153-2168","PMID":"28448174","abstract":"Background: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Obesity","id":"ITEM-8","issue":"4","issued":{"date-parts":[["2017"]]},"page":"300-313","title":"A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Study","type":"article-journal","volume":"13"},"uris":["http://www.mendeley.com/documents/?uuid=74a21169-2cf5-4820-beb8-c5f53e15a838"]},{"id":"ITEM-9","itemData":{"ISSN":"1545-1151","abstract":"INTRODUCTION: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Disease","id":"ITEM-9","issued":{"date-parts":[["2015","9","24"]]},"page":"1-105","publisher":"Centers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Birnbaum et al., 2002; Foley et al., 2017; Hölund, 1990; Lo et al., 2008; Maatoug et al., 2015; Perry et al., 1987; Wang et al., 2015; Wilson et al., 2012)","plainTextFormattedCitation":"(Aceves-Martins et al., 2017; Birnbaum et al., 2002; Foley et al., 2017; Hölund, 1990; Lo et al., 2008; Maatoug et al., 2015; Perry et al., 1987; Wang et al., 2015; Wilson et al., 2012)","previouslyFormattedCitation":"(Aceves-Martins et al., 2017; Birnbaum et al., 2002; Foley et al., 2017; Hölund, 1990; Lo et al., 2008; Maatoug et al., 2015; Perry et al., 1987; Wang et al., 2015; Wilson et al., 2012)"},"properties":{"noteIndex":0},"schema":"https://github.com/citation-style-language/schema/raw/master/csl-citation.json"}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Birnbaum et al., 2002; Foley et al., 2017; Hölund, 1990; Lo et al., 2008; Maatoug et al., 2015; Perry et al., 1987; Wang et al., 2015; Wilson et al., 2012)</w:t>
      </w:r>
      <w:r w:rsidRPr="00B1522E">
        <w:rPr>
          <w:rFonts w:eastAsia="Calibri" w:cstheme="minorHAnsi"/>
        </w:rPr>
        <w:fldChar w:fldCharType="end"/>
      </w:r>
      <w:r w:rsidRPr="00B1522E">
        <w:rPr>
          <w:rFonts w:eastAsia="Calibri" w:cstheme="minorHAnsi"/>
        </w:rPr>
        <w:t xml:space="preserve">. Five out of the nine studies that included peers had a quality assessment rating of moderate to strong </w:t>
      </w:r>
      <w:r w:rsidRPr="00B1522E">
        <w:rPr>
          <w:rFonts w:eastAsia="Calibri" w:cstheme="minorHAnsi"/>
        </w:rPr>
        <w:fldChar w:fldCharType="begin" w:fldLock="1"/>
      </w:r>
      <w:r w:rsidR="00D046DC"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Research","id":"ITEM-2","issue":"4","issued":{"date-parts":[["1990","12"]]},"note":"Accession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study.","type":"article-journal","volume":"5"},"uris":["http://www.mendeley.com/documents/?uuid=9a48b06a-99b7-4f0b-b92b-862a85f3beb5"]},{"id":"ITEM-3","itemData":{"ISSN":"1471-2458","abstract":"Few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Health","id":"ITEM-3","issue":"1","issued":{"date-parts":[["2017","9"]]},"page":"695","title":"Evaluation of a peer education program on student leaders' energy balance-related behaviors","type":"article-journal","volume":"17"},"uris":["http://www.mendeley.com/documents/?uuid=560d1118-94b4-43a0-8347-10a81bff7b3e"]},{"id":"ITEM-4","itemData":{"ISBN":"2153-2168","ISSN":"2153-2168","PMID":"28448174","abstract":"Background: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Obesity","id":"ITEM-4","issue":"4","issued":{"date-parts":[["2017"]]},"page":"300-313","title":"A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Study","type":"article-journal","volume":"13"},"uris":["http://www.mendeley.com/documents/?uuid=74a21169-2cf5-4820-beb8-c5f53e15a838"]},{"id":"ITEM-5","itemData":{"ISSN":"1545-1151","abstract":"INTRODUCTION: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Disease","id":"ITEM-5","issued":{"date-parts":[["2015","9","24"]]},"page":"1-105","publisher":"Centers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Birnbaum et al., 2002; Foley et al., 2017; Hölund, 1990; Maatoug et al., 2015)","plainTextFormattedCitation":"(Aceves-Martins et al., 2017; Birnbaum et al., 2002; Foley et al., 2017; Hölund, 1990; Maatoug et al., 2015)","previouslyFormattedCitation":"(Aceves-Martins et al., 2017; Birnbaum et al., 2002; Foley et al., 2017; Hölund, 1990; Maatoug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(Aceves-Martins et al., 2017; Birnbaum et al., 2002; Foley et al., 2017; Hölund, 1990; Maatoug et al., 2015)</w:t>
      </w:r>
      <w:r w:rsidRPr="00B1522E">
        <w:rPr>
          <w:rFonts w:eastAsia="Calibri" w:cstheme="minorHAnsi"/>
        </w:rPr>
        <w:fldChar w:fldCharType="end"/>
      </w:r>
      <w:r w:rsidRPr="00B1522E">
        <w:rPr>
          <w:rFonts w:eastAsia="Calibri" w:cstheme="minorHAnsi"/>
        </w:rPr>
        <w:t xml:space="preserve">. Peer involvement ranged from actively delivering the dietary behaviour intervention including group discussions and activities </w:t>
      </w:r>
      <w:r w:rsidRPr="00B1522E">
        <w:rPr>
          <w:rFonts w:eastAsia="Calibri" w:cstheme="minorHAnsi"/>
        </w:rPr>
        <w:fldChar w:fldCharType="begin" w:fldLock="1"/>
      </w:r>
      <w:r w:rsidR="007463D4" w:rsidRPr="00B1522E">
        <w:rPr>
          <w:rFonts w:eastAsia="Calibri"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adolescents?","type":"article-journal","volume":"29"},"uris":["http://www.mendeley.com/documents/?uuid=5a0fd06f-d095-4747-85c1-849d749fe87a"]}],"mendeley":{"formattedCitation":"(Birnbaum et al., 2002)","plainTextFormattedCitation":"(Birnbaum et al., 2002)","previouslyFormattedCitation":"(Birnbaum et al., 2002)"},"properties":{"noteIndex":0},"schema":"https://github.com/citation-style-language/schema/raw/master/csl-citation.json"}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(Birnbaum et al., 2002)</w:t>
      </w:r>
      <w:r w:rsidRPr="00B1522E">
        <w:rPr>
          <w:rFonts w:eastAsia="Calibri" w:cstheme="minorHAnsi"/>
        </w:rPr>
        <w:fldChar w:fldCharType="end"/>
      </w:r>
      <w:r w:rsidRPr="00B1522E">
        <w:rPr>
          <w:rFonts w:eastAsia="Calibri" w:cstheme="minorHAnsi"/>
        </w:rPr>
        <w:t xml:space="preserve">, to less intensive peer support offering monthly sessions </w:t>
      </w:r>
      <w:r w:rsidRPr="00B1522E">
        <w:rPr>
          <w:rFonts w:eastAsia="Calibri" w:cstheme="minorHAnsi"/>
        </w:rPr>
        <w:fldChar w:fldCharType="begin" w:fldLock="1"/>
      </w:r>
      <w:r w:rsidR="007463D4" w:rsidRPr="00B1522E">
        <w:rPr>
          <w:rFonts w:eastAsia="Calibri" w:cstheme="minorHAnsi"/>
        </w:rPr>
        <w:instrText>ADDIN CSL_CITATION {"citationItems":[{"id":"ITEM-1","itemData":{"ISSN":"0957-4824","abstract":"To demonstrate the effectiveness of health-promoting school framework to promoting healthy eating behaviours and nutrition knowledge among Chinese middle school students, their parents and school staff. Three schools were randomly selected from 15 rural middle schools, then were randomly assigned to either (i) school using HPS framework (HPS school), (ii) school with improved health education only (HE school) or (iii) school received no intervention (control school). Nutrition knowledge and eating behaviours were measured at baseline and 3-month after interventions, using the same instrument. Students and parents in the HPS school had the largest improvement in nutrition knowledge, from 4.92 to 8.23 and 4.84 to 7.74, followed by those in the HE school, from 4.98 to 8.09 and 4.78 to 5.80. School staff in the HE school had the largest improvement in nutrition knowledge (from 4.40 to 8.45), followed by those in the HPS school (from 5.20 to 9.15). Students in the HPS school had the largest improvement in eating behaviours (from 3.16 to 4.13), followed by those in the HE school (from 2.78 to 3.54). There was a statistical difference in the improvement of nutrition knowledge of all target population and of eating behaviours of students after interventions across three schools (p &lt; 0.05). Both HPS framework and health education can increase nutrition knowledge among Chinese middle school students, their parents and school staff. However, HPS framework was more effective than health education only. Noticeably, HPS framework had a positive impact on students’ eating behaviours, which should be in the subject of further research. (PsycINFO Database Record (c) 2015 APA, all rights reserved). (journal abstract)","author":[{"dropping-particle":"","family":"Wang","given":"Dongxu","non-dropping-particle":"","parse-names":false,"suffix":""},{"dropping-particle":"","family":"Stewart","given":"Donald","non-dropping-particle":"","parse-names":false,"suffix":""},{"dropping-particle":"","family":"Yuan","given":"Yanfei","non-dropping-particle":"","parse-names":false,"suffix":""},{"dropping-particle":"","family":"Chang","given":"Chun","non-dropping-particle":"","parse-names":false,"suffix":""}],"container-title":"Health Promotion International","id":"ITEM-1","issue":"2","issued":{"date-parts":[["2015","6"]]},"note":"Accession Number: 2015-21410-017. PMID: 23828912 Partial author list: First Author &amp;amp; Affiliation: Wang, Dongxu; School of Public Health, Griffith University, Brisbane, QLD, Australia. Release Date: 20150914. Publication Type: Journal (0100), Peer Reviewed Journal (0110). Format Covered: Electronic. Document Type: Journal Article. Language: English. Major Descriptor: Health Education; Health Promotion; Middle Schools; Nutrition; School Based Intervention. Minor Descriptor: Eating Behavior. Classification: Educational/Vocational Counseling &amp;amp; Student Services (3580). Population: Human (10); Male (30); Female (40). Location: China. Age Group: Childhood (birth-12 yrs) (100); School Age (6-12 yrs) (180); Adolescence (13-17 yrs) (200); Adulthood (18 yrs &amp;amp; older) (300); Young Adulthood (18-29 yrs) (320); Thirties (30-39 yrs) (340); Middle Age (40-64 yrs) (360). Methodology: Empirical Study; Quantitative Study. Page Count: 10. Issue Publication Date: Jun, 2015. Publication History: First Posted Date: Jul 4, 2013. Copyright Statement: Published by Oxford University Press. All rights reserved. For Permissions, please email: journals.permissions@oup.com. The Author. 2013.","page":"359-368","publisher":"Oxford University Press","publisher-place":"Wang, Dongxu, School of Public Health, Griffith University, South Bank Campus, Grey St, South Brisbane, Brisbane, QLD, Australia","title":"Do health-promoting schools improve nutrition in China?","type":"article-journal","volume":"30"},"uris":["http://www.mendeley.com/documents/?uuid=145ecf81-8117-453e-bf69-159987f54f3c"]}],"mendeley":{"formattedCitation":"(Wang et al., 2015)","plainTextFormattedCitation":"(Wang et al., 2015)","previouslyFormattedCitation":"(Wang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(Wang et al., 2015)</w:t>
      </w:r>
      <w:r w:rsidRPr="00B1522E">
        <w:rPr>
          <w:rFonts w:eastAsia="Calibri" w:cstheme="minorHAnsi"/>
        </w:rPr>
        <w:fldChar w:fldCharType="end"/>
      </w:r>
      <w:r w:rsidRPr="00B1522E">
        <w:rPr>
          <w:rFonts w:eastAsia="Calibri" w:cstheme="minorHAnsi"/>
        </w:rPr>
        <w:t xml:space="preserve">. Research has suggested that peer education methods are more effective than traditional methods of delivering interventions </w:t>
      </w:r>
      <w:r w:rsidRPr="00B1522E">
        <w:rPr>
          <w:rFonts w:eastAsia="Calibri" w:cstheme="minorHAnsi"/>
        </w:rPr>
        <w:fldChar w:fldCharType="begin" w:fldLock="1"/>
      </w:r>
      <w:r w:rsidR="00D671A4" w:rsidRPr="00B1522E">
        <w:rPr>
          <w:rFonts w:eastAsia="Calibri" w:cstheme="minorHAnsi"/>
        </w:rPr>
        <w:instrText>ADDIN CSL_CITATION {"citationItems":[{"id":"ITEM-1","itemData":{"author":[{"dropping-particle":"","family":"Nouri","given":"Maliheh","non-dropping-particle":"","parse-names":false,"suffix":""},{"dropping-particle":"","family":"Merghati khoie","given":"Effat sadat","non-dropping-particle":"","parse-names":false,"suffix":""}],"container-title":"Arak Medical University Journal","id":"ITEM-1","issue":"4","issued":{"date-parts":[["2010"]]},"page":"129-135","publisher":"Arak Medical University Journal","title":"The impact of peer-based educational approaches on girls' physical practice of pubertal health","type":"article-journal","volume":"12"},"uris":["http://www.mendeley.com/documents/?uuid=88b11791-1317-3ffe-a134-641db9dd8175"]}],"mendeley":{"formattedCitation":"(Nouri &amp; Merghati khoie, 2010)","plainTextFormattedCitation":"(Nouri &amp; Merghati khoie, 2010)","previouslyFormattedCitation":"(Nouri &amp; Merghati khoie,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 xml:space="preserve">(Nouri &amp; Merghati </w:t>
      </w:r>
      <w:r w:rsidRPr="00B1522E">
        <w:rPr>
          <w:rFonts w:eastAsia="Calibri" w:cstheme="minorHAnsi"/>
          <w:noProof/>
        </w:rPr>
        <w:lastRenderedPageBreak/>
        <w:t>khoie, 2010)</w:t>
      </w:r>
      <w:r w:rsidRPr="00B1522E">
        <w:rPr>
          <w:rFonts w:eastAsia="Calibri" w:cstheme="minorHAnsi"/>
        </w:rPr>
        <w:fldChar w:fldCharType="end"/>
      </w:r>
      <w:r w:rsidRPr="00B1522E">
        <w:rPr>
          <w:rFonts w:eastAsia="Calibri" w:cstheme="minorHAnsi"/>
        </w:rPr>
        <w:t xml:space="preserve">. Peer education is seen to be useful in promoting healthy behaviours and positive behaviour change </w:t>
      </w:r>
      <w:r w:rsidRPr="00B1522E">
        <w:rPr>
          <w:rFonts w:eastAsia="Calibri" w:cstheme="minorHAnsi"/>
        </w:rPr>
        <w:fldChar w:fldCharType="begin" w:fldLock="1"/>
      </w:r>
      <w:r w:rsidR="00DF6CCC" w:rsidRPr="00B1522E">
        <w:rPr>
          <w:rFonts w:eastAsia="Calibri" w:cstheme="minorHAnsi"/>
        </w:rPr>
        <w:instrText>ADDIN CSL_CITATION {"citationItems":[{"id":"ITEM-1","itemData":{"ISBN":"9821224024","ISSN":"03044556","PMID":"23113055","abstract":"BACKGROUND: The purpose of this study was to evaluate the effectiveness of peer education among university students for reproductive health promotion based on researchers' experiences.\\n\\nMETHODS: This interventional study was conducted in Qazvin University of Medical Science during 2002 to 2004 through stakeholders' partnership and selection of 24 volunteer students according to their knowledge, interest, communication skills. Capacity building was performed through holding an interactive reproductive health coarse contained marital health, illegal abortion, family planning, STI/AIDS, communication and counseling skills. Trained peer educators have introduced to other student and present education and counseling formally and informally. A post interventional study was conducted after 9 months in order to find its effectiveness.\\n\\nRESULTS: In our experience Stakeholders' partnership in community interventional programs led to the best expected availability of better health through ownership and adopting policies. In present study, the proper determined criteria for selection of peer educators and clear understood expectations of the peer educators' role were very important in health promotional program. Although peer education was acceptable program for university students, more support and supervising for peer groups are needed. The students believed that the power point of peer education and counseling related to same age groups sympathy, confident, well behaved, cheerful, and kind-hearted and peer educators awareness.\\n\\nCONCLUSION: Universities are appropriate real world for experience a friendly youth program and then disseminate it to other young communities. There seems peer education is effective strategy for reproductive health promotion and reinforce positive behaviors in youth.","author":[{"dropping-particle":"","family":"Peykari","given":"N.","non-dropping-particle":"","parse-names":false,"suffix":""},{"dropping-particle":"","family":"Ramezani Tehrani","given":"F.","non-dropping-particle":"","parse-names":false,"suffix":""},{"dropping-particle":"","family":"Malekafzali","given":"H.","non-dropping-particle":"","parse-names":false,"suffix":""},{"dropping-particle":"","family":"Hashemi","given":"Z.","non-dropping-particle":"","parse-names":false,"suffix":""},{"dropping-particle":"","family":"Djalalinia","given":"Sh","non-dropping-particle":"","parse-names":false,"suffix":""}],"container-title":"Iranian Journal of Public Health","id":"ITEM-1","issue":"1","issued":{"date-parts":[["2011"]]},"page":"57-62","title":"An experience of peer education model among medical science university students in Iran","type":"article-journal","volume":"40"},"uris":["http://www.mendeley.com/documents/?uuid=63f55e8d-7b5a-4822-b555-c587ce6915bb"]}],"mendeley":{"formattedCitation":"(Peykari et al., 2011)","plainTextFormattedCitation":"(Peykari et al., 2011)","previouslyFormattedCitation":"(Peykari et al., 2011)"},"properties":{"noteIndex":0},"schema":"https://github.com/citation-style-language/schema/raw/master/csl-citation.json"}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(Peykari et al., 2011)</w:t>
      </w:r>
      <w:r w:rsidRPr="00B1522E">
        <w:rPr>
          <w:rFonts w:eastAsia="Calibri" w:cstheme="minorHAnsi"/>
        </w:rPr>
        <w:fldChar w:fldCharType="end"/>
      </w:r>
      <w:r w:rsidRPr="00B1522E">
        <w:rPr>
          <w:rFonts w:eastAsia="Calibri" w:cstheme="minorHAnsi"/>
        </w:rPr>
        <w:t xml:space="preserve">, as it provides opportunities for social learning (peer modelling) and social support </w:t>
      </w:r>
      <w:r w:rsidRPr="00B1522E">
        <w:rPr>
          <w:rFonts w:eastAsia="Calibri" w:cstheme="minorHAnsi"/>
        </w:rPr>
        <w:fldChar w:fldCharType="begin" w:fldLock="1"/>
      </w:r>
      <w:r w:rsidR="004B7FAF" w:rsidRPr="00B1522E">
        <w:rPr>
          <w:rFonts w:eastAsia="Calibri" w:cstheme="minorHAnsi"/>
        </w:rPr>
        <w:instrText>ADDIN CSL_CITATION {"citationItems":[{"id":"ITEM-1","itemData":{"ISSN":"2251-6085","abstract":"Adolescence is an important stage of human life span, which crucial developmental processes occur. Since peers play a critical role in the psychosocial development of most adolescents, peer education is currently considered as a health promotion strategy in adolescents. Peer education is defined as a system of delivering knowledge that improves social learning and provides psychosocial support. As identifying the outcomes of different educational approaches will be beneficial in choosing the most effective programs for training adolescents, the present article reviewed the impact of the peer education approach on adolescents. In this review, databases such as PubMed, EMBASE, ISI, and Iranian databases, from 1999 to 2013, were searched using a number of keywords. Peer education is an effective tool for promoting healthy behaviors among adolescents. The development of this social process depends on the settings, context, and the values and expectations of the participants. Therefore, designing such programs requires proper preparation, training, supervision, and evaluation.","author":[{"dropping-particle":"","family":"Abdi","given":"Fatemeh","non-dropping-particle":"","parse-names":false,"suffix":""},{"dropping-particle":"","family":"Simbar","given":"Masoumeh","non-dropping-particle":"","parse-names":false,"suffix":""}],"container-title":"Iranian Journal of Public Health","id":"ITEM-1","issue":"11","issued":{"date-parts":[["2013","11","25"]]},"page":"1200-1206","title":"The Peer Education Approach in Adolescents-Narrative Review Article","type":"article-journal","volume":"42"},"uris":["http://www.mendeley.com/documents/?uuid=a4114b28-0eba-48be-a744-aa514ba5be85"]},{"id":"ITEM-2","itemData":{"author":[{"dropping-particle":"","family":"Bandura","given":"Albert","non-dropping-particle":"","parse-names":false,"suffix":""}],"id":"ITEM-2","issued":{"date-parts":[["1977"]]},"publisher":"Prentice-Hall","publisher-place":"Englewood Cliffs;London;","title":"Social learning theory","type":"book"},"uris":["http://www.mendeley.com/documents/?uuid=20eca6c0-3b01-4ce3-abc5-1eb77664a3d8"]}],"mendeley":{"formattedCitation":"(Abdi &amp; Simbar, 2013; Bandura, 1977)","plainTextFormattedCitation":"(Abdi &amp; Simbar, 2013; Bandura, 1977)","previouslyFormattedCitation":"(Abdi &amp; Simbar, 2013; Bandura, 1977)"},"properties":{"noteIndex":0},"schema":"https://github.com/citation-style-language/schema/raw/master/csl-citation.json"}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(Abdi &amp; Simbar, 2013; Bandura, 1977)</w:t>
      </w:r>
      <w:r w:rsidRPr="00B1522E">
        <w:rPr>
          <w:rFonts w:eastAsia="Calibri" w:cstheme="minorHAnsi"/>
        </w:rPr>
        <w:fldChar w:fldCharType="end"/>
      </w:r>
      <w:r w:rsidRPr="00B1522E">
        <w:rPr>
          <w:rFonts w:eastAsia="Calibri" w:cstheme="minorHAnsi"/>
        </w:rPr>
        <w:t>. It has been suggested that peer relationships offer the opportunity to develop personal relationships, help define social behaviours, and create a sense of belonging within a social group</w:t>
      </w:r>
      <w:r w:rsidR="00B4534F" w:rsidRPr="00B1522E">
        <w:rPr>
          <w:rFonts w:eastAsia="Calibri" w:cstheme="minorHAnsi"/>
        </w:rPr>
        <w:t xml:space="preserve"> </w:t>
      </w:r>
      <w:r w:rsidR="00B4534F" w:rsidRPr="00B1522E">
        <w:rPr>
          <w:rFonts w:eastAsia="Calibri" w:cstheme="minorHAnsi"/>
        </w:rPr>
        <w:fldChar w:fldCharType="begin" w:fldLock="1"/>
      </w:r>
      <w:r w:rsidR="004B7FAF" w:rsidRPr="00B1522E">
        <w:rPr>
          <w:rFonts w:eastAsia="Calibri" w:cstheme="minorHAnsi"/>
        </w:rPr>
        <w:instrText>ADDIN CSL_CITATION {"citationItems":[{"id":"ITEM-1","itemData":{"ISSN":"2251-6085","abstract":"Adolescence is an important stage of human life span, which crucial developmental processes occur. Since peers play a critical role in the psychosocial development of most adolescents, peer education is currently considered as a health promotion strategy in adolescents. Peer education is defined as a system of delivering knowledge that improves social learning and provides psychosocial support. As identifying the outcomes of different educational approaches will be beneficial in choosing the most effective programs for training adolescents, the present article reviewed the impact of the peer education approach on adolescents. In this review, databases such as PubMed, EMBASE, ISI, and Iranian databases, from 1999 to 2013, were searched using a number of keywords. Peer education is an effective tool for promoting healthy behaviors among adolescents. The development of this social process depends on the settings, context, and the values and expectations of the participants. Therefore, designing such programs requires proper preparation, training, supervision, and evaluation.","author":[{"dropping-particle":"","family":"Abdi","given":"Fatemeh","non-dropping-particle":"","parse-names":false,"suffix":""},{"dropping-particle":"","family":"Simbar","given":"Masoumeh","non-dropping-particle":"","parse-names":false,"suffix":""}],"container-title":"Iranian Journal of Public Health","id":"ITEM-1","issue":"11","issued":{"date-parts":[["2013","11","25"]]},"page":"1200-1206","title":"The Peer Education Approach in Adolescents-Narrative Review Article","type":"article-journal","volume":"42"},"uris":["http://www.mendeley.com/documents/?uuid=a4114b28-0eba-48be-a744-aa514ba5be85"]}],"mendeley":{"formattedCitation":"(Abdi &amp; Simbar, 2013)","plainTextFormattedCitation":"(Abdi &amp; Simbar, 2013)","previouslyFormattedCitation":"(Abdi &amp; Simbar, 2013)"},"properties":{"noteIndex":0},"schema":"https://github.com/citation-style-language/schema/raw/master/csl-citation.json"}</w:instrText>
      </w:r>
      <w:r w:rsidR="00B4534F" w:rsidRPr="00B1522E">
        <w:rPr>
          <w:rFonts w:eastAsia="Calibri" w:cstheme="minorHAnsi"/>
        </w:rPr>
        <w:fldChar w:fldCharType="separate"/>
      </w:r>
      <w:r w:rsidR="00B4534F" w:rsidRPr="00B1522E">
        <w:rPr>
          <w:rFonts w:eastAsia="Calibri" w:cstheme="minorHAnsi"/>
          <w:noProof/>
        </w:rPr>
        <w:t>(Abdi &amp; Simbar, 2013)</w:t>
      </w:r>
      <w:r w:rsidR="00B4534F" w:rsidRPr="00B1522E">
        <w:rPr>
          <w:rFonts w:eastAsia="Calibri" w:cstheme="minorHAnsi"/>
        </w:rPr>
        <w:fldChar w:fldCharType="end"/>
      </w:r>
      <w:r w:rsidRPr="00B1522E">
        <w:rPr>
          <w:rFonts w:cstheme="minorHAnsi"/>
        </w:rPr>
        <w:t>,</w:t>
      </w:r>
      <w:r w:rsidRPr="00B1522E">
        <w:rPr>
          <w:rFonts w:eastAsia="Calibri" w:cstheme="minorHAnsi"/>
        </w:rPr>
        <w:t xml:space="preserve"> with peer involvement increasing the effectiveness of health promotion interventions </w:t>
      </w:r>
      <w:r w:rsidRPr="00B1522E">
        <w:rPr>
          <w:rFonts w:cstheme="minorHAnsi"/>
        </w:rPr>
        <w:fldChar w:fldCharType="begin" w:fldLock="1"/>
      </w:r>
      <w:r w:rsidR="00DF6CCC" w:rsidRPr="00B1522E">
        <w:rPr>
          <w:rFonts w:eastAsia="Calibri" w:cstheme="minorHAnsi"/>
        </w:rPr>
        <w:instrText>ADDIN CSL_CITATION {"citationItems":[{"id":"ITEM-1","itemData":{"ISSN":"1746-1561","abstract":"Peer-led drug prevention programs for middle school youth are reviewed as to whether or not they are a vital resource in an overall effort to minimize the use of alcohol, tobacco, and other drugs (ATOD). The paper focuses on the following: a) results of a 120-study meta-analysis of school-based drug prevention programs and positive program features; b) considerations for falsely concluding that peer programs are ineffective; c) features of two model or stellar programs that compared interactive (peer leadership) to teacher/researcher-led (non-interactive) programs that followed National Peer Helpers Association (NPHA) Programmatic Standards; and d) suggestions for designing and implementing high-quality, peer-led programs. The authors conclude that interactive peer interventions for middle school students are statistically superior to non-interactive didactic, lecture programs led by teachers/researchers. Programs implemented according to NPHA Programmatic Standards may eliminate Type II (false negative) and III (“implementation failure” or ineffectively designed and implemented program) errors. Opportunities for prudent application of well-designed peer programs appropriately implemented and evaluated must remain a salient priority.","author":[{"dropping-particle":"","family":"Black","given":"David R","non-dropping-particle":"","parse-names":false,"suffix":""},{"dropping-particle":"","family":"Tobler","given":"Nancy S","non-dropping-particle":"","parse-names":false,"suffix":""},{"dropping-particle":"","family":"Sciacca","given":"John P","non-dropping-particle":"","parse-names":false,"suffix":""}],"container-title":"Journal of School Health","id":"ITEM-1","issue":"3","issued":{"date-parts":[["1998"]]},"page":"87-93","publisher":"Wiley Online Library","title":"Peer Helping/Involvement: An Efficacious Way to Meet the Challenge of Reducing Alcohol, Tobacco, and Other Drug Use Among Youth","type":"article-journal","volume":"68"},"uris":["http://www.mendeley.com/documents/?uuid=7eceb065-e565-4983-b939-b48cc6b504f8"]}],"mendeley":{"formattedCitation":"(Black et al., 1998)","plainTextFormattedCitation":"(Black et al., 1998)","previouslyFormattedCitation":"(Black et al., 1998)"},"properties":{"noteIndex":0},"schema":"https://github.com/citation-style-language/schema/raw/master/csl-citation.json"}</w:instrText>
      </w:r>
      <w:r w:rsidRPr="00B1522E">
        <w:rPr>
          <w:rFonts w:cstheme="minorHAnsi"/>
        </w:rPr>
        <w:fldChar w:fldCharType="separate"/>
      </w:r>
      <w:r w:rsidR="004B7FAF" w:rsidRPr="00B1522E">
        <w:rPr>
          <w:rFonts w:eastAsia="Calibri" w:cstheme="minorHAnsi"/>
          <w:noProof/>
        </w:rPr>
        <w:t>(Black et al., 1998)</w:t>
      </w:r>
      <w:r w:rsidRPr="00B1522E">
        <w:rPr>
          <w:rFonts w:cstheme="minorHAnsi"/>
        </w:rPr>
        <w:fldChar w:fldCharType="end"/>
      </w:r>
      <w:r w:rsidRPr="00B1522E">
        <w:rPr>
          <w:rFonts w:eastAsia="Calibri" w:cstheme="minorHAnsi"/>
        </w:rPr>
        <w:t xml:space="preserve">. The inclusion of peer-led activities within an intervention may be beneficial in helping to improve adolescents’ dietary behaviours, as individuals in this age group may model their behaviours according to those of their peers, and to what is perceived to be socially acceptable. </w:t>
      </w:r>
    </w:p>
    <w:p w14:paraId="35AA023D" w14:textId="083CED69" w:rsidR="00987AC8" w:rsidRPr="00B1522E" w:rsidRDefault="00987AC8" w:rsidP="00734D95">
      <w:pPr>
        <w:spacing w:line="480" w:lineRule="auto"/>
        <w:ind w:firstLine="720"/>
        <w:jc w:val="both"/>
        <w:rPr>
          <w:rFonts w:cstheme="minorHAnsi"/>
        </w:rPr>
      </w:pPr>
      <w:r w:rsidRPr="00B1522E">
        <w:rPr>
          <w:rFonts w:cstheme="minorHAnsi"/>
        </w:rPr>
        <w:t xml:space="preserve">Media campaigns have been previously used to disseminate health-promoting messages to a wide community </w:t>
      </w:r>
      <w:r w:rsidRPr="00B1522E">
        <w:rPr>
          <w:rFonts w:cstheme="minorHAnsi"/>
        </w:rPr>
        <w:fldChar w:fldCharType="begin" w:fldLock="1"/>
      </w:r>
      <w:r w:rsidR="00DF6CCC" w:rsidRPr="00B1522E">
        <w:rPr>
          <w:rFonts w:cstheme="minorHAnsi"/>
        </w:rPr>
        <w:instrText>ADDIN CSL_CITATION {"citationItems":[{"id":"ITEM-1","itemData":{"author":[{"dropping-particle":"","family":"Jepson","given":"Ruth","non-dropping-particle":"","parse-names":false,"suffix":""},{"dropping-particle":"","family":"Platt","given":"Steve","non-dropping-particle":"","parse-names":false,"suffix":""},{"dropping-particle":"","family":"Cox","given":"Jennifer","non-dropping-particle":"","parse-names":false,"suffix":""}],"id":"ITEM-1","issue":"May","issued":{"date-parts":[["2006"]]},"number-of-pages":"1-214","title":"A review of the effectiveness of interventions, approaches and models at individual, community and population level that are aimed at changing health outcomes through changing knowledge, attitudes and behaviour","type":"report"},"uris":["http://www.mendeley.com/documents/?uuid=31ef3152-4e86-4f98-beb4-76eeef81419a"]}],"mendeley":{"formattedCitation":"(Jepson et al., 2006)","plainTextFormattedCitation":"(Jepson et al., 2006)","previouslyFormattedCitation":"(Jepson et al., 2006)"},"properties":{"noteIndex":0},"schema":"https://github.com/citation-style-language/schema/raw/master/csl-citation.json"}</w:instrText>
      </w:r>
      <w:r w:rsidRPr="00B1522E">
        <w:rPr>
          <w:rFonts w:cstheme="minorHAnsi"/>
        </w:rPr>
        <w:fldChar w:fldCharType="separate"/>
      </w:r>
      <w:r w:rsidR="004B7FAF" w:rsidRPr="00B1522E">
        <w:rPr>
          <w:rFonts w:cstheme="minorHAnsi"/>
          <w:noProof/>
        </w:rPr>
        <w:t>(Jepson et al., 2006)</w:t>
      </w:r>
      <w:r w:rsidRPr="00B1522E">
        <w:rPr>
          <w:rFonts w:cstheme="minorHAnsi"/>
        </w:rPr>
        <w:fldChar w:fldCharType="end"/>
      </w:r>
      <w:r w:rsidRPr="00B1522E">
        <w:rPr>
          <w:rFonts w:cstheme="minorHAnsi"/>
        </w:rPr>
        <w:t xml:space="preserve">. Raising awareness has been suggested as a mechanism to improve behaviour </w:t>
      </w:r>
      <w:r w:rsidRPr="00B1522E">
        <w:rPr>
          <w:rFonts w:cstheme="minorHAnsi"/>
        </w:rPr>
        <w:fldChar w:fldCharType="begin" w:fldLock="1"/>
      </w:r>
      <w:r w:rsidR="007463D4" w:rsidRPr="00B1522E">
        <w:rPr>
          <w:rFonts w:cstheme="minorHAnsi"/>
        </w:rPr>
        <w:instrText>ADDIN CSL_CITATION {"citationItems":[{"id":"ITEM-1","itemData":{"ISSN":"0033-3506","abstract":"OBJECTIVE To demonstrate that six common errors made in attempts to change behaviour have prevented the implementation of the scientific evidence base derived from psychology and sociology; to suggest a new approach which incorporates recent developments in the behavioural sciences. STUDY DESIGN The role of health behaviours in the origin of the current epidemic of non-communicable disease is observed to have driven attempts to change behaviour. It is noted that most efforts to change health behaviours have had limited success. This paper suggests that in policy-making, discussions about behaviour change are subject to six common errors and that these errors have made the business of health-related behaviour change much more difficult than it needs to be. METHODS Overview of policy and practice attempts to change health-related behaviour. RESULTS The reasons why knowledge and learning about behaviour have made so little progress in alcohol, dietary and physical inactivity-related disease prevention are considered, and an alternative way of thinking about the behaviours involved is suggested. This model harnesses recent developments in the behavioural sciences. CONCLUSION It is important to understand the conditions preceding behaviour psychologically and sociologically and to combine psychological ideas about the automatic and reflective systems with sociological ideas about social practice.","author":[{"dropping-particle":"","family":"Kelly","given":"Michael P.","non-dropping-particle":"","parse-names":false,"suffix":""},{"dropping-particle":"","family":"Barker","given":"Mary","non-dropping-particle":"","parse-names":false,"suffix":""}],"container-title":"Public Health","id":"ITEM-1","issued":{"date-parts":[["2016","7","1"]]},"page":"109-116","publisher":"W.B. Saunders","title":"Why is changing health-related behaviour so difficult?","type":"article-journal","volume":"136"},"uris":["http://www.mendeley.com/documents/?uuid=7b1f018b-052b-4904-a713-d600db7f72bf"]}],"mendeley":{"formattedCitation":"(Kelly &amp; Barker, 2016)","plainTextFormattedCitation":"(Kelly &amp; Barker, 2016)","previouslyFormattedCitation":"(Kelly &amp; Barker, 2016)"},"properties":{"noteIndex":0},"schema":"https://github.com/citation-style-language/schema/raw/master/csl-citation.json"}</w:instrText>
      </w:r>
      <w:r w:rsidRPr="00B1522E">
        <w:rPr>
          <w:rFonts w:cstheme="minorHAnsi"/>
        </w:rPr>
        <w:fldChar w:fldCharType="separate"/>
      </w:r>
      <w:r w:rsidRPr="00B1522E">
        <w:rPr>
          <w:rFonts w:cstheme="minorHAnsi"/>
          <w:noProof/>
        </w:rPr>
        <w:t>(Kelly &amp; Barker, 2016)</w:t>
      </w:r>
      <w:r w:rsidRPr="00B1522E">
        <w:rPr>
          <w:rFonts w:cstheme="minorHAnsi"/>
        </w:rPr>
        <w:fldChar w:fldCharType="end"/>
      </w:r>
      <w:r w:rsidRPr="00B1522E">
        <w:rPr>
          <w:rFonts w:cstheme="minorHAnsi"/>
        </w:rPr>
        <w:t xml:space="preserve">; however, improving individuals’ knowledge alone has been suggested to be insufficient to change health behaviours including dietary change </w:t>
      </w:r>
      <w:r w:rsidRPr="00B1522E">
        <w:rPr>
          <w:rFonts w:cstheme="minorHAnsi"/>
        </w:rPr>
        <w:fldChar w:fldCharType="begin" w:fldLock="1"/>
      </w:r>
      <w:r w:rsidR="00D046DC" w:rsidRPr="00B1522E">
        <w:rPr>
          <w:rFonts w:cstheme="minorHAnsi"/>
        </w:rPr>
        <w:instrText>ADDIN CSL_CITATION {"citationItems":[{"id":"ITEM-1","itemData":{"abstract":"This programme explores both the theory and practice of behaviour change interventions and tries to answer the questions: n what interventions are effective in encouraging healthy behaviour? n how can the NHS help people become healthier?","author":[{"dropping-particle":"","family":"Robertson","given":"Ruth","non-dropping-particle":"","parse-names":false,"suffix":""}],"container-title":"Kicking Bad Habits Report, King's Fund, London","id":"ITEM-1","issued":{"date-parts":[["2008"]]},"number-of-pages":"1-15","title":"Using information to promote healthy behaviours","type":"report"},"uris":["http://www.mendeley.com/documents/?uuid=23fb7c18-61ec-448a-a5ee-a7437347e436"]},{"id":"ITEM-2","itemData":{"ISSN":"0033-3506","abstract":"OBJECTIVE To demonstrate that six common errors made in attempts to change behaviour have prevented the implementation of the scientific evidence base derived from psychology and sociology; to suggest a new approach which incorporates recent developments in the behavioural sciences. STUDY DESIGN The role of health behaviours in the origin of the current epidemic of non-communicable disease is observed to have driven attempts to change behaviour. It is noted that most efforts to change health behaviours have had limited success. This paper suggests that in policy-making, discussions about behaviour change are subject to six common errors and that these errors have made the business of health-related behaviour change much more difficult than it needs to be. METHODS Overview of policy and practice attempts to change health-related behaviour. RESULTS The reasons why knowledge and learning about behaviour have made so little progress in alcohol, dietary and physical inactivity-related disease prevention are considered, and an alternative way of thinking about the behaviours involved is suggested. This model harnesses recent developments in the behavioural sciences. CONCLUSION It is important to understand the conditions preceding behaviour psychologically and sociologically and to combine psychological ideas about the automatic and reflective systems with sociological ideas about social practice.","author":[{"dropping-particle":"","family":"Kelly","given":"Michael P.","non-dropping-particle":"","parse-names":false,"suffix":""},{"dropping-particle":"","family":"Barker","given":"Mary","non-dropping-particle":"","parse-names":false,"suffix":""}],"container-title":"Public Health","id":"ITEM-2","issued":{"date-parts":[["2016","7","1"]]},"page":"109-116","publisher":"W.B. Saunders","title":"Why is changing health-related behaviour so difficult?","type":"article-journal","volume":"136"},"uris":["http://www.mendeley.com/documents/?uuid=7b1f018b-052b-4904-a713-d600db7f72bf"]},{"id":"ITEM-3","itemData":{"ISSN":"0263-2136","abstract":"Background. In order to promote healthful nutrition, insight is needed in the behavioural determinants of nutrition behaviours. Most research on behavioural determinants has been restricted to individual-level motivational factors. However, health behaviour is influenced by individual motivation and abilities, as well as environmental opportunities.Objective. To provide an overview of motivation, ability and opportunity-related potential determinants of nutrition behaviours and of the evidence for associations of potential environmental determinants with nutrition behaviour.Method. A narrative review informed by a series of six systematic reviews including more than 400 original studies and recent original studies on associations of environmental factors with nutrition behaviours.Results. Although the number of studies on potential environmental determinants of nutrition as well as physical activity behaviour has increased steeply over the last decades, these include only few well-designed studies with validated measures. Preliminary evidence from the available systematic reviews indicates that social support and modelling, availability and accessibility of healthy and less healthy foods as well as socio-economic status are important for nutrition behaviours; schools and worksites offer good settings for improving healthful nutrition opportunities.Conclusion. Although the evidence to date is inconclusive due to lack of well-designed studies, specific social–cultural, physical and economical environmental factors appear of importance for healthful nutrition.","author":[{"dropping-particle":"","family":"Brug","given":"Johannes","non-dropping-particle":"","parse-names":false,"suffix":""}],"container-title":"Family Practice","id":"ITEM-3","issued":{"date-parts":[["2008","12","1"]]},"note":"From Duplicate 2 (Determinants of healthy eating: motivation, abilities and environmental opportunities - Brug, Johannes)\n\n10.1093/fampra/cmn063","page":"50-55","title":"Determinants of healthy eating: motivation, abilities and environmental opportunities","type":"article-journal","volume":"25"},"uris":["http://www.mendeley.com/documents/?uuid=6f3c3aed-adf1-4b07-b31a-ee4b0db0da0c"]}],"mendeley":{"formattedCitation":"(Brug, 2008; Kelly &amp; Barker, 2016; Robertson, 2008)","plainTextFormattedCitation":"(Brug, 2008; Kelly &amp; Barker, 2016; Robertson, 2008)","previouslyFormattedCitation":"(Brug, 2008; Kelly &amp; Barker, 2016; Robertson, 2008)"},"properties":{"noteIndex":0},"schema":"https://github.com/citation-style-language/schema/raw/master/csl-citation.json"}</w:instrText>
      </w:r>
      <w:r w:rsidRPr="00B1522E">
        <w:rPr>
          <w:rFonts w:cstheme="minorHAnsi"/>
        </w:rPr>
        <w:fldChar w:fldCharType="separate"/>
      </w:r>
      <w:r w:rsidRPr="00B1522E">
        <w:rPr>
          <w:rFonts w:cstheme="minorHAnsi"/>
          <w:noProof/>
        </w:rPr>
        <w:t>(Brug, 2008; Kelly &amp; Barker, 2016; Robertson, 2008)</w:t>
      </w:r>
      <w:r w:rsidRPr="00B1522E">
        <w:rPr>
          <w:rFonts w:cstheme="minorHAnsi"/>
        </w:rPr>
        <w:fldChar w:fldCharType="end"/>
      </w:r>
      <w:r w:rsidRPr="00B1522E">
        <w:rPr>
          <w:rFonts w:cstheme="minorHAnsi"/>
        </w:rPr>
        <w:t xml:space="preserve">. Studies within the review which included educational media (media that assist in conveying educational information for example, via videos) within the intervention appeared to be successful in changing dietary behaviours </w:t>
      </w:r>
      <w:r w:rsidRPr="00B1522E">
        <w:rPr>
          <w:rFonts w:cstheme="minorHAnsi"/>
        </w:rPr>
        <w:fldChar w:fldCharType="begin" w:fldLock="1"/>
      </w:r>
      <w:r w:rsidR="00971CA4" w:rsidRPr="00B1522E">
        <w:rPr>
          <w:rFonts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Activity","id":"ITEM-2","issue":"41","issued":{"date-parts":[["2008","8","11"]]},"note":"Accession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program.","type":"article-journal","volume":"5"},"uris":["http://www.mendeley.com/documents/?uuid=0ae3b1a2-a736-4e3f-8869-95e5f4733a34"]},{"id":"ITEM-3","itemData":{"ISSN":"0268-1153","abstract":"Conducted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Research","id":"ITEM-3","issue":"4","issued":{"date-parts":[["1990","12"]]},"note":"Accession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study.","type":"article-journal","volume":"5"},"uris":["http://www.mendeley.com/documents/?uuid=9a48b06a-99b7-4f0b-b92b-862a85f3beb5"]},{"id":"ITEM-4","itemData":{"ISSN":"0268-1153","abstract":"Describes a 10-session high school curriculum designed to promote healthy eating and physical activity patterns with adolescents. The curriculum was based on a social learning model, suggesting that changes in specific environmental, personality, and behavioral attributes are likely to influence changes in eating and physical activity patterns. Results from a pilot test with 173 9th graders and 97 controls show significant improvement in knowledge, eating habits, and exercise among females only. (PsycINFO Database Record (c) 2013 APA, all rights reserved)","author":[{"dropping-particle":"","family":"Perry","given":"C L","non-dropping-particle":"","parse-names":false,"suffix":""},{"dropping-particle":"","family":"Klepp","given":"K.-I.","non-dropping-particle":"","parse-names":false,"suffix":""},{"dropping-particle":"","family":"Halper","given":"A","non-dropping-particle":"","parse-names":false,"suffix":""},{"dropping-particle":"","family":"Dudovitz","given":"B","non-dropping-particle":"","parse-names":false,"suffix":""},{"dropping-particle":"","family":"Golden","given":"D","non-dropping-particle":"","parse-names":false,"suffix":""},{"dropping-particle":"","family":"Griffin","given":"G","non-dropping-particle":"","parse-names":false,"suffix":""},{"dropping-particle":"","family":"Smyth","given":"M","non-dropping-particle":"","parse-names":false,"suffix":""}],"container-title":"Health Education Research","id":"ITEM-4","issue":"2","issued":{"date-parts":[["1987","6"]]},"note":"Accession Number: 1988-24762-001. Partial author list: First Author &amp;amp; Affiliation: Perry, C. L.; U Minnesota, School of Public Health, Minneapolis, US. Release Date: 19880801. Correction Date: 20130909. Publication Type: Journal (0100), Peer Reviewed Journal (0110). Format Covered: Print. Document Type: Journal Article. Language: English. Major Descriptor: Educational Programs; Health Behavior; Health Education; High School Students; Physical Activity. Minor Descriptor: Exercise; Nutrition. Classification: Curriculum &amp;amp; Programs &amp;amp; Teaching Methods (3530). Population: Human (10). Age Group: Adolescence (13-17 yrs) (200). Methodology: Empirical Study. Page Count: 11. Issue Publication Date: Jun, 1987.","page":"93-103","publisher":"Oxford University Press","publisher-place":"United Kingdom","title":"Promoting healthy eating and physical activity patterns among adolescents: A pilot study of 'Slice of Life.'","type":"article-journal","volume":"2"},"uris":["http://www.mendeley.com/documents/?uuid=4ba034f3-de40-4333-9846-e6881c339756"]},{"id":"ITEM-5","itemData":{"ISSN":"0360-1315","abstract":"Nutrition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Education","id":"ITEM-5","issued":{"date-parts":[["2015","10"]]},"note":"Accession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elements.","type":"article-journal","volume":"88"},"uris":["http://www.mendeley.com/documents/?uuid=d0bc6350-9c55-462b-82b0-80648f3f942f"]},{"id":"ITEM-6","itemData":{"ISBN":"2153-2168","ISSN":"2153-2168","PMID":"28448174","abstract":"Background: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Obesity","id":"ITEM-6","issue":"4","issued":{"date-parts":[["2017"]]},"page":"300-313","title":"A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Study","type":"article-journal","volume":"13"},"uris":["http://www.mendeley.com/documents/?uuid=74a21169-2cf5-4820-beb8-c5f53e15a838"]},{"id":"ITEM-7","itemData":{"ISSN":"1545-1151","abstract":"INTRODUCTION: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Disease","id":"ITEM-7","issued":{"date-parts":[["2015","9","24"]]},"page":"1-105","publisher":"Centers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2009–2014","type":"article-journal","volume":"12"},"uris":["http://www.mendeley.com/documents/?uuid=7a939433-5065-4b4f-8418-9bf888206d98"]}],"mendeley":{"formattedCitation":"(Aceves-Martins et al., 2017; Birnbaum et al., 2002; Chin A Paw et al., 2008; Hölund, 1990; Maatoug et al., 2015; Perry et al., 1987; Yang et al., 2015)","plainTextFormattedCitation":"(Aceves-Martins et al., 2017; Birnbaum et al., 2002; Chin A Paw et al., 2008; Hölund, 1990; Maatoug et al., 2015; Perry et al., 1987; Yang et al., 2015)","previouslyFormattedCitation":"(Aceves-Martins et al., 2017; Birnbaum et al., 2002; Chin A Paw et al., 2008; Hölund, 1990; Maatoug et al., 2015; Perry et al., 1987; Yang et al., 2015)"},"properties":{"noteIndex":0},"schema":"https://github.com/citation-style-language/schema/raw/master/csl-citation.json"}</w:instrText>
      </w:r>
      <w:r w:rsidRPr="00B1522E">
        <w:rPr>
          <w:rFonts w:cstheme="minorHAnsi"/>
        </w:rPr>
        <w:fldChar w:fldCharType="separate"/>
      </w:r>
      <w:r w:rsidR="00CD7616" w:rsidRPr="00B1522E">
        <w:rPr>
          <w:rFonts w:cstheme="minorHAnsi"/>
          <w:noProof/>
        </w:rPr>
        <w:t>(Aceves-Martins et al., 2017; Birnbaum et al., 2002; Chin A Paw et al., 2008; Hölund, 1990; Maatoug et al., 2015; Perry et al., 1987; Yang et al., 2015)</w:t>
      </w:r>
      <w:r w:rsidRPr="00B1522E">
        <w:rPr>
          <w:rFonts w:cstheme="minorHAnsi"/>
        </w:rPr>
        <w:fldChar w:fldCharType="end"/>
      </w:r>
      <w:r w:rsidRPr="00B1522E">
        <w:rPr>
          <w:rFonts w:cstheme="minorHAnsi"/>
        </w:rPr>
        <w:t xml:space="preserve">; however, it was unclear in the study descriptions what specific content was featured in these media-based information-focused interventions. Most of the studies that included media to promote health related messages were rated as being of moderate to strong quality </w:t>
      </w:r>
      <w:r w:rsidRPr="00B1522E">
        <w:rPr>
          <w:rFonts w:cstheme="minorHAnsi"/>
        </w:rPr>
        <w:fldChar w:fldCharType="begin" w:fldLock="1"/>
      </w:r>
      <w:r w:rsidR="00971CA4" w:rsidRPr="00B1522E">
        <w:rPr>
          <w:rFonts w:cstheme="minorHAnsi"/>
        </w:rPr>
        <w:instrText>ADDIN CSL_CITATION {"citationItems":[{"id":"ITEM-1","itemData":{"ISBN":"2153-2168","ISSN":"2153-2168","PMID":"28448174","abstract":"Background: Encouraging adolescents to adopt healthy lifestyles can be challenging. The aim of the ‘‘Som la Pera’’ study was to engage adolescents by applying new strategies to increase both their fruit and vegetable consumption and their physical activity (PA) while reducing their sedentary behavior. Methods: In disadvantaged neighborhoods of Reus (Spain), two high schools were randomly assigned to the intervention (n =170 adolescents 13- to 16-year-olds) and two were assigned to the control group (n=223 adolescents 13- to 16-year-olds). The inter- vention, which lasted 12 months and spanned 2 academic years (2013–2015), used social marketing (SM) to improve healthy choices. The peer-led strategy involved 5 adolescents who designed and implemented 10 activities as challenges for their 165 school-aged peers. The control group received no intervention. To assess self-reported lifestyles in both groups, the Health Behavior in School- Aged Children Survey was used at baseline and end of study. Results: After 12 months, intervention adolescents showed an increase of 28.9% in ‡1 fruit/day ( p &lt;0.01) and of 18.5% in ‡6 hours/week of PA ( p &lt;0.01) compared with controls. Additionally, intervention group males had an increase of 28.8% in ‡1 vegetable/day ( p &lt;0.01) and of 15.6% in £2 hours/day of sedentary activity ( p = 0.01) compared with controls. Conclusions: A school-based, peer-led, SM intervention developed by adolescents attending high schools in low-income neighborhoods effectively improved the healthy choices of their school-aged peers, leading to increased fruit consumption and PA in adolescents of both genders. Furthermore, adolescent males were more sensitive to improvements in healthy choices, showing increased vegetable consumption and decreased sedentary behavior.","author":[{"dropping-particle":"","family":"Aceves-Martins","given":"Magaly","non-dropping-particle":"","parse-names":false,"suffix":""},{"dropping-particle":"","family":"Llauradó","given":"Elisabet","non-dropping-particle":"","parse-names":false,"suffix":""},{"dropping-particle":"","family":"Tarro","given":"Lucia","non-dropping-particle":"","parse-names":false,"suffix":""},{"dropping-particle":"","family":"Moriña","given":"David","non-dropping-particle":"","parse-names":false,"suffix":""},{"dropping-particle":"","family":"Papell-Garcia","given":"Ignasi","non-dropping-particle":"","parse-names":false,"suffix":""},{"dropping-particle":"","family":"Prades-Tena","given":"Jordi","non-dropping-particle":"","parse-names":false,"suffix":""},{"dropping-particle":"","family":"Kettner-Høeberg","given":"Helle","non-dropping-particle":"","parse-names":false,"suffix":""},{"dropping-particle":"","family":"Puiggròs","given":"Francesc","non-dropping-particle":"","parse-names":false,"suffix":""},{"dropping-particle":"","family":"Arola","given":"Lluís","non-dropping-particle":"","parse-names":false,"suffix":""},{"dropping-particle":"","family":"Davies","given":"Amy","non-dropping-particle":"","parse-names":false,"suffix":""},{"dropping-particle":"","family":"Giralt","given":"Montse","non-dropping-particle":"","parse-names":false,"suffix":""},{"dropping-particle":"","family":"Solà","given":"Rosa","non-dropping-particle":"","parse-names":false,"suffix":""}],"container-title":"Childhood Obesity","id":"ITEM-1","issue":"4","issued":{"date-parts":[["2017"]]},"page":"300-313","title":"A School-Based, Peer-Led, Social Marketing Intervention To Engage Spanish Adolescents in a Healthy Lifestyle (“We Are Cool”—Som la Pera Study): A Parallel-Cluster Randomized Controlled Study","type":"article-journal","volume":"13"},"uris":["http://www.mendeley.com/documents/?uuid=74a21169-2cf5-4820-beb8-c5f53e15a838"]},{"id":"ITEM-2","itemData":{"ISSN":"1090-1981","abstract":"Examined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program.","type":"article-journal","volume":"5"},"uris":["http://www.mendeley.com/documents/?uuid=0ae3b1a2-a736-4e3f-8869-95e5f4733a34"]},{"id":"ITEM-4","itemData":{"ISSN":"1471-2458","abstract":"Few studies have reported energy balance-related behavior (EBRB) change for peer leaders delivering health promotion programs to younger students in secondary schools. Our study assessed the impact of the Students As LifeStyle Activists (SALSA) program on SALSA peer leaders' EBRBs, and their intentions regarding these behaviors.","author":[{"dropping-particle":"","family":"Foley","given":"B C","non-dropping-particle":"","parse-names":false,"suffix":""},{"dropping-particle":"","family":"Shrewsbury","given":"V A","non-dropping-particle":"","parse-names":false,"suffix":""},{"dropping-particle":"","family":"Hardy","given":"L L","non-dropping-particle":"","parse-names":false,"suffix":""},{"dropping-particle":"","family":"Flood","given":"V M","non-dropping-particle":"","parse-names":false,"suffix":""},{"dropping-particle":"","family":"Byth","given":"K","non-dropping-particle":"","parse-names":false,"suffix":""},{"dropping-particle":"","family":"Shah","given":"S","non-dropping-particle":"","parse-names":false,"suffix":""}],"container-title":"BMC Public Health","id":"ITEM-4","issue":"1","issued":{"date-parts":[["2017","9"]]},"page":"695","title":"Evaluation of a peer education program on student leaders' energy balance-related behaviors","type":"article-journal","volume":"17"},"uris":["http://www.mendeley.com/documents/?uuid=560d1118-94b4-43a0-8347-10a81bff7b3e"]},{"id":"ITEM-5","itemData":{"ISSN":"0268-1153","abstract":"Conducted a study to determine whether 14-yr-olds (59 in an experimental group and 55 in a reference group) would learn about nutrition and health by teaching 10-yr-olds the topic. A nonequivalent pretest/posttest control group design was used. Analysis of covariance (ANCOVA) with pretest measures as covariates showed a significant reduction in frequency of overall and between-meal sugar consumption in the experimental group; this reduction was maintained 2 mo after the program. Results show that adolescents' sugar consumption can be changed by group discussion and role playing. Findings suggest ways in which school-based programs can be effective in promoting dietary changes in a group normally resistant to health messages. (PsycINFO Database Record (c) 2013 APA, all rights reserved)","author":[{"dropping-particle":"","family":"Hölund","given":"Ulla","non-dropping-particle":"","parse-names":false,"suffix":""}],"collection-title":"Nutrition education","container-title":"Health Education Research","id":"ITEM-5","issue":"4","issued":{"date-parts":[["1990","12"]]},"note":"Accession Number: 1991-19372-001. Partial author list: First Author &amp;amp; Affiliation: Hölund, Ulla; Royal Dental Coll, Aarhus, Denmark. Release Date: 19910701. Correction Date: 20130909. Publication Type: Journal (0100), Peer Reviewed Journal (0110). Format Covered: Print. Document Type: Journal Article. Language: English. Major Descriptor: Behavior Change; Diets; Health Education; Nutrition. Minor Descriptor: Lipids; Sugars. Classification: Promotion &amp;amp; Maintenance of Health &amp;amp; Wellness (3365). Population: Human (10). Age Group: Childhood (birth-12 yrs) (100); School Age (6-12 yrs) (180); Adolescence (13-17 yrs) (200). Methodology: Empirical Study. Page Count: 8. Issue Publication Date: Dec, 1990.","page":"451-458","publisher":"Oxford University Press","publisher-place":"United Kingdom","title":"Promoting change of adolescents' sugar consumption: The 'learning by teaching' study.","type":"article-journal","volume":"5"},"uris":["http://www.mendeley.com/documents/?uuid=9a48b06a-99b7-4f0b-b92b-862a85f3beb5"]}],"mendeley":{"formattedCitation":"(Aceves-Martins et al., 2017; Birnbaum et al., 2002; Chin A Paw et al., 2008; Foley et al., 2017; Hölund, 1990)","plainTextFormattedCitation":"(Aceves-Martins et al., 2017; Birnbaum et al., 2002; Chin A Paw et al., 2008; Foley et al., 2017; Hölund, 1990)","previouslyFormattedCitation":"(Aceves-Martins et al., 2017; Birnbaum et al., 2002; Chin A Paw et al., 2008; Foley et al., 2017; Hölund, 1990)"},"properties":{"noteIndex":0},"schema":"https://github.com/citation-style-language/schema/raw/master/csl-citation.json"}</w:instrText>
      </w:r>
      <w:r w:rsidRPr="00B1522E">
        <w:rPr>
          <w:rFonts w:cstheme="minorHAnsi"/>
        </w:rPr>
        <w:fldChar w:fldCharType="separate"/>
      </w:r>
      <w:r w:rsidR="00CD7616" w:rsidRPr="00B1522E">
        <w:rPr>
          <w:rFonts w:cstheme="minorHAnsi"/>
          <w:noProof/>
        </w:rPr>
        <w:t>(Aceves-Martins et al., 2017; Birnbaum et al., 2002; Chin A Paw et al., 2008; Foley et al., 2017; Hölund, 1990)</w:t>
      </w:r>
      <w:r w:rsidRPr="00B1522E">
        <w:rPr>
          <w:rFonts w:cstheme="minorHAnsi"/>
        </w:rPr>
        <w:fldChar w:fldCharType="end"/>
      </w:r>
      <w:r w:rsidRPr="00B1522E">
        <w:rPr>
          <w:rFonts w:cstheme="minorHAnsi"/>
        </w:rPr>
        <w:t xml:space="preserve">. Use of educational media within these studies was not the only method of delivering diet-promoting messages; rather, it was part of a multifaceted approach, for example, alongside activity sheets or as part of a healthy eating lesson </w:t>
      </w:r>
      <w:r w:rsidRPr="00B1522E">
        <w:rPr>
          <w:rFonts w:cstheme="minorHAnsi"/>
        </w:rPr>
        <w:fldChar w:fldCharType="begin" w:fldLock="1"/>
      </w:r>
      <w:r w:rsidR="00971CA4" w:rsidRPr="00B1522E">
        <w:rPr>
          <w:rFonts w:cstheme="minorHAnsi"/>
        </w:rPr>
        <w:instrText>ADDIN CSL_CITATION {"citationItems":[{"id":"ITEM-1","itemData":{"ISSN":"1090-1981","abstract":"Examined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Behavior","id":"ITEM-1","issue":"4","issued":{"date-parts":[["2002","8"]]},"note":"Accession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adolescents?","type":"article-journal","volume":"29"},"uris":["http://www.mendeley.com/documents/?uuid=5a0fd06f-d095-4747-85c1-849d749fe87a"]},{"id":"ITEM-2","itemData":{"ISSN":"1479-5868","abstract":"Objectives: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Activity","id":"ITEM-2","issue":"41","issued":{"date-parts":[["2008","8","11"]]},"note":"Accession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program.","type":"article-journal","volume":"5"},"uris":["http://www.mendeley.com/documents/?uuid=0ae3b1a2-a736-4e3f-8869-95e5f4733a34"]}],"mendeley":{"formattedCitation":"(Birnbaum et al., 2002; Chin A Paw et al., 2008)","plainTextFormattedCitation":"(Birnbaum et al., 2002; Chin A Paw et al., 2008)","previouslyFormattedCitation":"(Birnbaum et al., 2002; Chin A Paw et al., 2008)"},"properties":{"noteIndex":0},"schema":"https://github.com/citation-style-language/schema/raw/master/csl-citation.json"}</w:instrText>
      </w:r>
      <w:r w:rsidRPr="00B1522E">
        <w:rPr>
          <w:rFonts w:cstheme="minorHAnsi"/>
        </w:rPr>
        <w:fldChar w:fldCharType="separate"/>
      </w:r>
      <w:r w:rsidR="00CD7616" w:rsidRPr="00B1522E">
        <w:rPr>
          <w:rFonts w:cstheme="minorHAnsi"/>
          <w:noProof/>
        </w:rPr>
        <w:t>(Birnbaum et al., 2002; Chin A Paw et al., 2008)</w:t>
      </w:r>
      <w:r w:rsidRPr="00B1522E">
        <w:rPr>
          <w:rFonts w:cstheme="minorHAnsi"/>
        </w:rPr>
        <w:fldChar w:fldCharType="end"/>
      </w:r>
      <w:r w:rsidRPr="00B1522E">
        <w:rPr>
          <w:rFonts w:cstheme="minorHAnsi"/>
        </w:rPr>
        <w:t xml:space="preserve">. It has been argued that the same messages delivered by multiple methods can have greater impact on behaviour than messages delivered by media alone </w:t>
      </w:r>
      <w:r w:rsidRPr="00B1522E">
        <w:rPr>
          <w:rFonts w:cstheme="minorHAnsi"/>
        </w:rPr>
        <w:fldChar w:fldCharType="begin" w:fldLock="1"/>
      </w:r>
      <w:r w:rsidR="00DF6CCC" w:rsidRPr="00B1522E">
        <w:rPr>
          <w:rFonts w:cstheme="minorHAnsi"/>
        </w:rPr>
        <w:instrText>ADDIN CSL_CITATION {"citationItems":[{"id":"ITEM-1","itemData":{"author":[{"dropping-particle":"","family":"Tones","given":"B K","non-dropping-particle":"","parse-names":false,"suffix":""},{"dropping-particle":"","family":"Tilford","given":"S","non-dropping-particle":"","parse-names":false,"suffix":""},{"dropping-particle":"","family":"Robinson","given":"Y","non-dropping-particle":"","parse-names":false,"suffix":""}],"id":"ITEM-1","issued":{"date-parts":[["1990"]]},"publisher":"London: Chapman &amp; Hall","title":"Health Education: Effectiveness and Efﬁciency","type":"article"},"uris":["http://www.mendeley.com/documents/?uuid=5733c3c2-9a3f-4b12-8eca-87783226fc75"]}],"mendeley":{"formattedCitation":"(Tones et al., 1990)","plainTextFormattedCitation":"(Tones et al., 1990)","previouslyFormattedCitation":"(Tones et al., 1990)"},"properties":{"noteIndex":0},"schema":"https://github.com/citation-style-language/schema/raw/master/csl-citation.json"}</w:instrText>
      </w:r>
      <w:r w:rsidRPr="00B1522E">
        <w:rPr>
          <w:rFonts w:cstheme="minorHAnsi"/>
        </w:rPr>
        <w:fldChar w:fldCharType="separate"/>
      </w:r>
      <w:r w:rsidR="004B7FAF" w:rsidRPr="00B1522E">
        <w:rPr>
          <w:rFonts w:cstheme="minorHAnsi"/>
          <w:noProof/>
        </w:rPr>
        <w:t>(Tones et al., 1990)</w:t>
      </w:r>
      <w:r w:rsidRPr="00B1522E">
        <w:rPr>
          <w:rFonts w:cstheme="minorHAnsi"/>
        </w:rPr>
        <w:fldChar w:fldCharType="end"/>
      </w:r>
      <w:r w:rsidRPr="00B1522E">
        <w:rPr>
          <w:rFonts w:cstheme="minorHAnsi"/>
        </w:rPr>
        <w:t xml:space="preserve">. Therefore, it is recommended that </w:t>
      </w:r>
      <w:r w:rsidRPr="00B1522E">
        <w:rPr>
          <w:rFonts w:cstheme="minorHAnsi"/>
        </w:rPr>
        <w:lastRenderedPageBreak/>
        <w:t xml:space="preserve">interventions should employ multiple strategies to deliver the same interventional messages to produce the greatest impact on dietary behaviour outcomes. </w:t>
      </w:r>
    </w:p>
    <w:p w14:paraId="56249DA0" w14:textId="4C81192F" w:rsidR="00987AC8" w:rsidRPr="00B1522E" w:rsidRDefault="00987AC8" w:rsidP="00734D95">
      <w:pPr>
        <w:spacing w:line="480" w:lineRule="auto"/>
        <w:ind w:firstLine="720"/>
        <w:jc w:val="both"/>
        <w:rPr>
          <w:rFonts w:eastAsia="Calibri" w:cstheme="minorHAnsi"/>
        </w:rPr>
      </w:pPr>
      <w:r w:rsidRPr="00B1522E">
        <w:rPr>
          <w:rFonts w:eastAsia="Calibri" w:cstheme="minorHAnsi"/>
        </w:rPr>
        <w:t xml:space="preserve">Increasing the availability or affordability of healthy food was a feature of six interventions associated with improving dietary behaviour </w:t>
      </w:r>
      <w:r w:rsidRPr="00B1522E">
        <w:rPr>
          <w:rFonts w:eastAsia="Calibri" w:cstheme="minorHAnsi"/>
        </w:rPr>
        <w:fldChar w:fldCharType="begin" w:fldLock="1"/>
      </w:r>
      <w:r w:rsidR="00971CA4" w:rsidRPr="00B1522E">
        <w:rPr>
          <w:rFonts w:eastAsia="Calibri" w:cstheme="minorHAnsi"/>
        </w:rPr>
        <w:instrText>ADDIN CSL_CITATION {"citationItems":[{"id":"ITEM-1","itemData":{"ISSN":"1479-5868","abstract":"Norwegian children consume less fruit and vegetables (FV) than recommended. In order to increase the intake, a School Fruit subscription programme is now offered to all Norwegian elementary and junior high schools. This programme has limited effect due to low participation by schools and pupils. However, recent evaluations of the programme offered for free have reported good effects in increasing FV intake. The purpose of the present study is to evaluate the long term effects of the Norwegian School Fruit programme, provided at no-cost to the pupils, three years after it was provided for free.","author":[{"dropping-particle":"","family":"Bere","given":"E","non-dropping-particle":"","parse-names":false,"suffix":""},{"dropping-particle":"","family":"Veierød","given":"M","non-dropping-particle":"","parse-names":false,"suffix":""},{"dropping-particle":"","family":"Skare","given":"Ø","non-dropping-particle":"","parse-names":false,"suffix":""},{"dropping-particle":"","family":"Klepp","given":"K","non-dropping-particle":"","parse-names":false,"suffix":""}],"container-title":"International Journal of Behavioral Nutrition and Physical Activity","id":"ITEM-1","issue":"1","issued":{"date-parts":[["2007","2"]]},"page":"5-11","title":"Free school fruit -- sustained effect three years later","type":"article-journal","volume":"4"},"uris":["http://www.mendeley.com/documents/?uuid=c57324e0-7849-4506-9783-9bf0eec726c9"]},{"id":"ITEM-2","itemData":{"ISSN":"1090-1981","abstract":"Examined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Behavior","id":"ITEM-2","issue":"4","issued":{"date-parts":[["2002","8"]]},"note":"Accession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adolescents?","type":"article-journal","volume":"29"},"uris":["http://www.mendeley.com/documents/?uuid=5a0fd06f-d095-4747-85c1-849d749fe87a"]},{"id":"ITEM-3","itemData":{"ISSN":"1479-5868","abstract":"Objectives: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Activity","id":"ITEM-3","issue":"41","issued":{"date-parts":[["2008","8","11"]]},"note":"Accession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program.","type":"article-journal","volume":"5"},"uris":["http://www.mendeley.com/documents/?uuid=0ae3b1a2-a736-4e3f-8869-95e5f4733a34"]},{"id":"ITEM-4","itemData":{"ISSN":"0268-1153","abstract":"The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Research","id":"ITEM-4","issue":"6","issued":{"date-parts":[["2006","12"]]},"note":"Accession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children.","type":"article-journal","volume":"21"},"uris":["http://www.mendeley.com/documents/?uuid=bbef8914-979d-4764-8405-477314275444"]},{"id":"ITEM-5","itemData":{"ISSN":"1087-3244","abstract":"Objective: The purpose of this study was to evaluate the effectiveness of environmental activities in a school-based health program among 6th grade students (N = 2315). Methods: Students enrolled in Project Healthy Schools, a school-based health program designed to reduce childhood obesity and improve cardiovascular health, completed a health questionnaire on recent lifestyle choices including diet, physical activity, and sedentary behaviors. Baseline and follow-up data were compared between students who received educational lessons and students who received educational lessons and additional activities in the schools’ environment. We calculated descriptive and one-way ANOVA statistics. Results: Students at schools with educational lessons and environmental activities reported more fruit intake (p = .046), fewer sugary beverages (p = .054) and servings of fatty/sugary foods (p = .002), and more moderate physical activity (p = .009) compared to students with educational lessons only. No beneficial effect was observed in decreasing TV viewing time. Mobile device time increased in both groups. Conclusions: The present study suggests school-based health programs combining educational lessons and additional environmental activities may improve diet and physical activity in middle school children to a greater degree than educational lessons alone. (PsycINFO Database Record (c) 2017 APA, all rights reserved)","author":[{"dropping-particle":"","family":"Visser","given":"Rosa","non-dropping-particle":"de","parse-names":false,"suffix":""},{"dropping-particle":"","family":"Sylvester","given":"Rachel","non-dropping-particle":"","parse-names":false,"suffix":""},{"dropping-particle":"","family":"Rogers","given":"Robert","non-dropping-particle":"","parse-names":false,"suffix":""},{"dropping-particle":"","family":"Kline-Rogers","given":"Eva","non-dropping-particle":"","parse-names":false,"suffix":""},{"dropping-particle":"","family":"DuRussel-Weston","given":"Jean","non-dropping-particle":"","parse-names":false,"suffix":""},{"dropping-particle":"","family":"Eagle","given":"Kim A","non-dropping-particle":"","parse-names":false,"suffix":""},{"dropping-particle":"","family":"Jackson","given":"Elizabeth A","non-dropping-particle":"","parse-names":false,"suffix":""}],"container-title":"American Journal of Health Behavior","id":"ITEM-5","issue":"5","issued":{"date-parts":[["2016","9"]]},"note":"Accession Number: 2016-58439-003. Other Journal Title: Health Values: Health Behavior, Education &amp;amp; Promotion; Health Values: The Journal of Health Behavior, Education &amp;amp; Promotion. Partial author list: First Author &amp;amp; Affiliation: de Visser, Rosa; Vrije University, Amsterdam, Netherlands. Release Date: 20170320. Publication Type: Journal (0100), Peer Reviewed Journal (0110). Format Covered: Electronic. Document Type: Journal Article. Language: English. Major Descriptor: Environment; Health Behavior; Risk Factors. Minor Descriptor: Middle School Students. Classification: Health Psychology &amp;amp; Medicine (3360). Population: Human (10); Male (30); Female (40). Location: US. Age Group: Childhood (birth-12 yrs) (100); School Age (6-12 yrs) (180). Methodology: Empirical Study; Quantitative Study. Page Count: 10. Issue Publication Date: Sep, 2016. Copyright Statement: All rights reserved. PNG Publications","page":"568-577","publisher":"American Journal of Health Behavior","publisher-place":"de Visser, Rosa","title":"Changes in school health program improve middle school students’ behaviors.","type":"article-journal","volume":"40"},"uris":["http://www.mendeley.com/documents/?uuid=d63aebec-2716-44e4-bcb3-02defb99b8f6"]},{"id":"ITEM-6","itemData":{"ISSN":"1545-1151","abstract":"INTRODUCTION: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Disease","id":"ITEM-6","issued":{"date-parts":[["2015","9","24"]]},"page":"1-105","publisher":"Centers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2009–2014","type":"article-journal","volume":"12"},"uris":["http://www.mendeley.com/documents/?uuid=7a939433-5065-4b4f-8418-9bf888206d98"]}],"mendeley":{"formattedCitation":"(Bere et al., 2007; Birnbaum et al., 2002; Chin A Paw et al., 2008; de Visser et al., 2016; Haerens et al., 2006; Maatoug et al., 2015)","manualFormatting":"(Bere et al., 2007; Birnbaum et al., 2002; Chin A Paw et al., 2008; de Visser et al., 2016; Haerens et al., 2006; Maatoug et al., 2015)","plainTextFormattedCitation":"(Bere et al., 2007; Birnbaum et al., 2002; Chin A Paw et al., 2008; de Visser et al., 2016; Haerens et al., 2006; Maatoug et al., 2015)","previouslyFormattedCitation":"(Bere et al., 2007; Birnbaum et al., 2002; Chin A Paw et al., 2008; de Visser et al., 2016; Haerens et al., 2006; Maatoug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(Bere et al., 2007; Birnbaum et al., 2002; Chin A Paw et al., 2008; de Visser et al., 2016; Haerens et al., 2006; Maatoug et al., 2015)</w:t>
      </w:r>
      <w:r w:rsidRPr="00B1522E">
        <w:rPr>
          <w:rFonts w:eastAsia="Calibri" w:cstheme="minorHAnsi"/>
        </w:rPr>
        <w:fldChar w:fldCharType="end"/>
      </w:r>
      <w:r w:rsidRPr="00B1522E">
        <w:rPr>
          <w:rFonts w:eastAsia="Calibri" w:cstheme="minorHAnsi"/>
        </w:rPr>
        <w:t xml:space="preserve">. Half of the studies that increased availability or affordability of healthy food had a moderate to strong quality rating </w:t>
      </w:r>
      <w:r w:rsidRPr="00B1522E">
        <w:rPr>
          <w:rFonts w:eastAsia="Calibri" w:cstheme="minorHAnsi"/>
        </w:rPr>
        <w:fldChar w:fldCharType="begin" w:fldLock="1"/>
      </w:r>
      <w:r w:rsidR="00971CA4" w:rsidRPr="00B1522E">
        <w:rPr>
          <w:rFonts w:eastAsia="Calibri" w:cstheme="minorHAnsi"/>
        </w:rPr>
        <w:instrText>ADDIN CSL_CITATION {"citationItems":[{"id":"ITEM-1","itemData":{"ISSN":"1545-1151","abstract":"INTRODUCTION: Combating obesity at an early age, by improving physical activity and nutrition-related behaviors, is vital to the prevention of more critical health concerns in adulthood. This intervention study evaluated the effectiveness of a school-based component of a community behavioral intervention on overweight and obesity rates of adolescents in Sousse, Tunisia. METHODS: A quasi-experimental school-based intervention was conducted with an intervention group (in Sousse Jawhara and Sousse Riadh) and a control group (in Sousse Msaken). The intervention (which was a physical activity and nutrition program) lasted 3 years, with data at preintervention collected during the 2009–2010 school year and at postintervention collected during the 2013–2014 school year. Descriptive statistics and multivariate analysis were used to determine the effect of the intervention on risk of excess weight. RESULTS: Results showed a significant increase in fruit and vegetable intake by the intervention group (P = .04). The intervention group had an increase in students in the normal weight category (P = .03) and a decrease in students in the overweight category (P = .03).The intervention effect was a protective factor against excess weight for the participating schoolchildren (OR, 0.84; P = .02). CONCLUSION: This study showed that a school-based intervention is successful in increasing healthy dietary habits and in reducing risk of excess weight. It also showed the importance of a multisectoral approach to provide an environment conducive to healthy behaviors for adolescents.","author":[{"dropping-particle":"","family":"Maatoug","given":"Jihene","non-dropping-particle":"","parse-names":false,"suffix":""},{"dropping-particle":"","family":"Msakni","given":"Zineb","non-dropping-particle":"","parse-names":false,"suffix":""},{"dropping-particle":"","family":"Zammit","given":"Nawel","non-dropping-particle":"","parse-names":false,"suffix":""},{"dropping-particle":"","family":"Bhiri","given":"Sana","non-dropping-particle":"","parse-names":false,"suffix":""},{"dropping-particle":"","family":"Harrabi","given":"Imed","non-dropping-particle":"","parse-names":false,"suffix":""},{"dropping-particle":"","family":"Boughammoura","given":"Lamia","non-dropping-particle":"","parse-names":false,"suffix":""},{"dropping-particle":"","family":"Slama","given":"Slim","non-dropping-particle":"","parse-names":false,"suffix":""},{"dropping-particle":"","family":"Larbi","given":"Chaieb","non-dropping-particle":"","parse-names":false,"suffix":""},{"dropping-particle":"","family":"Ghannem","given":"Hassen","non-dropping-particle":"","parse-names":false,"suffix":""}],"container-title":"Preventing Chronic Disease","id":"ITEM-1","issued":{"date-parts":[["2015","9","24"]]},"page":"1-105","publisher":"Centers for Disease Control and Prevention","title":"School-Based Intervention as a Component of a Comprehensive Community Program for Overweight and Obesity Prevention, Sousse, Tunisia, 2009–2014","type":"article-journal","volume":"12"},"uris":["http://www.mendeley.com/documents/?uuid=7a939433-5065-4b4f-8418-9bf888206d98"]},{"id":"ITEM-2","itemData":{"ISSN":"1479-5868","abstract":"Objectives: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Activity","id":"ITEM-2","issue":"41","issued":{"date-parts":[["2008","8","11"]]},"note":"Accession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program.","type":"article-journal","volume":"5"},"uris":["http://www.mendeley.com/documents/?uuid=0ae3b1a2-a736-4e3f-8869-95e5f4733a34"]},{"id":"ITEM-3","itemData":{"ISSN":"1090-1981","abstract":"Examined students' eating patterns after varying levels of exposure to the Teens Eating for Energy and Nutrition at School (TEENS) school-based nutrition intervention. Four incremental exposures were possible: (1) control group, (2) school environment interventions only, (3) classroom curriculum plus environment interventions, and (4) peer leaders plus classroom plus environment interventions. 3,878 7th-grade students completed a baseline survey in fall 1998 and 3,503 students completed a survey at the end of the intervention in spring 1999. Subjects (Ss) completed questionnaires concerning food choices, eating behavior, and frequency of consuming fruit juices, fruit, green salad, potatoes, carrots, and vegetables. Results show that Ss exposed to classroom and environment interventions improved. Ss exposed only to school environment interventions showed trends toward choosing lower fat foods and declining fruit intake, with no change in vegetable intake. (PsycINFO Database Record (c) 2012 APA, all rights reserved)","author":[{"dropping-particle":"","family":"Birnbaum","given":"Amanda S","non-dropping-particle":"","parse-names":false,"suffix":""},{"dropping-particle":"","family":"Lytle","given":"Leslie A","non-dropping-particle":"","parse-names":false,"suffix":""},{"dropping-particle":"","family":"Story","given":"Mary","non-dropping-particle":"","parse-names":false,"suffix":""},{"dropping-particle":"","family":"Perry","given":"Cheryl L","non-dropping-particle":"","parse-names":false,"suffix":""},{"dropping-particle":"","family":"Murray","given":"David M","non-dropping-particle":"","parse-names":false,"suffix":""}],"container-title":"Health Education &amp; Behavior","id":"ITEM-3","issue":"4","issued":{"date-parts":[["2002","8"]]},"note":"Accession Number: 2002-17417-003. Other Journal Title: Health Education Monographs; Health Education Quarterly. Partial author list: First Author &amp;amp; Affiliation: Birnbaum, Amanda S.; U Minnesota, Div of Epidemiology, Minneapolis, MN, US. Release Date: 20021009. Correction Date: 20110725. Publication Type: Journal (0100), Peer Reviewed Journal (0110). Format Covered: Print. Document Type: Journal Article. Language: English. Major Descriptor: Behavior Change; Food; Health Education; Ingestion; Nutrition. Minor Descriptor: Choice Behavior; Classrooms; Curriculum; Diets; Junior High School Students; Peers; School Environment. Classification: Promotion &amp;amp; Maintenance of Health &amp;amp; Wellness (3365); Curriculum &amp;amp; Programs &amp;amp; Teaching Methods (3530). Population: Human (10); Male (30); Female (40). Location: US. Age Group: Childhood (birth-12 yrs) (100); School Age (6-12 yrs) (180); Adolescence (13-17 yrs) (200). Methodology: Empirical Study. References Available: Y. Page Count: 17. Issue Publication Date: Aug, 2002.","page":"427-443","publisher":"Sage Publications","publisher-place":"Birnbaum, Amanda S., U Minnesota, Div of Epidemiology, 1300 South Second Street, Suite 300, Minneapolis, MN, US, 55454","title":"Are differences in exposure to a multicomponent school-based intervention associated with varying dietary outcomes in adolescents?","type":"article-journal","volume":"29"},"uris":["http://www.mendeley.com/documents/?uuid=5a0fd06f-d095-4747-85c1-849d749fe87a"]}],"mendeley":{"formattedCitation":"(Birnbaum et al., 2002; Chin A Paw et al., 2008; Maatoug et al., 2015)","plainTextFormattedCitation":"(Birnbaum et al., 2002; Chin A Paw et al., 2008; Maatoug et al., 2015)","previouslyFormattedCitation":"(Birnbaum et al., 2002; Chin A Paw et al., 2008; Maatoug et al., 2015)"},"properties":{"noteIndex":0},"schema":"https://github.com/citation-style-language/schema/raw/master/csl-citation.json"}</w:instrText>
      </w:r>
      <w:r w:rsidRPr="00B1522E">
        <w:rPr>
          <w:rFonts w:eastAsia="Calibri" w:cstheme="minorHAnsi"/>
        </w:rPr>
        <w:fldChar w:fldCharType="separate"/>
      </w:r>
      <w:r w:rsidR="00CD7616" w:rsidRPr="00B1522E">
        <w:rPr>
          <w:rFonts w:eastAsia="Calibri" w:cstheme="minorHAnsi"/>
          <w:noProof/>
        </w:rPr>
        <w:t>(Birnbaum et al., 2002; Chin A Paw et al., 2008; Maatoug et al., 2015)</w:t>
      </w:r>
      <w:r w:rsidRPr="00B1522E">
        <w:rPr>
          <w:rFonts w:eastAsia="Calibri" w:cstheme="minorHAnsi"/>
        </w:rPr>
        <w:fldChar w:fldCharType="end"/>
      </w:r>
      <w:r w:rsidRPr="00B1522E">
        <w:rPr>
          <w:rFonts w:eastAsia="Calibri" w:cstheme="minorHAnsi"/>
        </w:rPr>
        <w:t xml:space="preserve">. Adolescents’ eating behaviours are ultimately influenced by what is available and accessible to them </w:t>
      </w:r>
      <w:r w:rsidRPr="00B1522E">
        <w:rPr>
          <w:rFonts w:eastAsia="Calibri" w:cstheme="minorHAnsi"/>
        </w:rPr>
        <w:fldChar w:fldCharType="begin" w:fldLock="1"/>
      </w:r>
      <w:r w:rsidR="00DB273B" w:rsidRPr="00B1522E">
        <w:rPr>
          <w:rFonts w:eastAsia="Calibri" w:cstheme="minorHAnsi"/>
        </w:rPr>
        <w:instrText>ADDIN CSL_CITATION {"citationItems":[{"id":"ITEM-1","itemData":{"author":[{"dropping-particle":"","family":"Rasmussen","given":"M","non-dropping-particle":"","parse-names":false,"suffix":""},{"dropping-particle":"","family":"Krølner","given":"R","non-dropping-particle":"","parse-names":false,"suffix":""},{"dropping-particle":"","family":"Klepp","given":"K -. I","non-dropping-particle":"","parse-names":false,"suffix":""},{"dropping-particle":"","family":"Lytle","given":"L","non-dropping-particle":"","parse-names":false,"suffix":""},{"dropping-particle":"","family":"Brug","given":"J","non-dropping-particle":"","parse-names":false,"suffix":""},{"dropping-particle":"","family":"Bere","given":"E","non-dropping-particle":"","parse-names":false,"suffix":""},{"dropping-particle":"","family":"Due","given":"P","non-dropping-particle":"","parse-names":false,"suffix":""}],"container-title":"International Journal of Behaviour Nutrition and Physical Activity","id":"ITEM-1","issued":{"date-parts":[["2006"]]},"page":"22-41","title":"Determinants of fruit and vegetable consumption among children and adolescents: a review of the literature. Part I: quantitative studies","type":"article-journal","volume":"3"},"uris":["http://www.mendeley.com/documents/?uuid=cb5455ae-badd-444d-81fd-d469c893803a"]}],"mendeley":{"formattedCitation":"(Rasmussen et al., 2006)","plainTextFormattedCitation":"(Rasmussen et al., 2006)","previouslyFormattedCitation":"(Rasmussen et al., 2006)"},"properties":{"noteIndex":0},"schema":"https://github.com/citation-style-language/schema/raw/master/csl-citation.json"}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(Rasmussen et al., 2006)</w:t>
      </w:r>
      <w:r w:rsidRPr="00B1522E">
        <w:rPr>
          <w:rFonts w:eastAsia="Calibri" w:cstheme="minorHAnsi"/>
        </w:rPr>
        <w:fldChar w:fldCharType="end"/>
      </w:r>
      <w:r w:rsidRPr="00B1522E">
        <w:rPr>
          <w:rFonts w:eastAsia="Calibri" w:cstheme="minorHAnsi"/>
        </w:rPr>
        <w:t xml:space="preserve">, this is important as accessibility to healthy foods is suggested to be effective in improving their long term consumption </w:t>
      </w:r>
      <w:r w:rsidRPr="00B1522E">
        <w:rPr>
          <w:rFonts w:eastAsia="Calibri" w:cstheme="minorHAnsi"/>
        </w:rPr>
        <w:fldChar w:fldCharType="begin" w:fldLock="1"/>
      </w:r>
      <w:r w:rsidR="00DF6CCC" w:rsidRPr="00B1522E">
        <w:rPr>
          <w:rFonts w:eastAsia="Calibri" w:cstheme="minorHAnsi"/>
        </w:rPr>
        <w:instrText>ADDIN CSL_CITATION {"citationItems":[{"id":"ITEM-1","itemData":{"ISSN":"0195-6663","author":[{"dropping-particle":"","family":"DeCosta","given":"Patricia","non-dropping-particle":"","parse-names":false,"suffix":""},{"dropping-particle":"","family":"Møller","given":"Per","non-dropping-particle":"","parse-names":false,"suffix":""},{"dropping-particle":"","family":"Frøst","given":"Michael Bom","non-dropping-particle":"","parse-names":false,"suffix":""},{"dropping-particle":"","family":"Olsen","given":"Annemarie","non-dropping-particle":"","parse-names":false,"suffix":""}],"container-title":"Appetite","id":"ITEM-1","issued":{"date-parts":[["2017"]]},"page":"327-357","title":"Changing children's eating behaviour - A review of experimental research","type":"article-journal","volume":"113"},"uris":["http://www.mendeley.com/documents/?uuid=921256d8-661c-4ced-98fb-4229f33df8f1"]}],"mendeley":{"formattedCitation":"(DeCosta et al., 2017)","plainTextFormattedCitation":"(DeCosta et al., 2017)","previouslyFormattedCitation":"(DeCosta et al., 2017)"},"properties":{"noteIndex":0},"schema":"https://github.com/citation-style-language/schema/raw/master/csl-citation.json"}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(DeCosta et al., 2017)</w:t>
      </w:r>
      <w:r w:rsidRPr="00B1522E">
        <w:rPr>
          <w:rFonts w:eastAsia="Calibri" w:cstheme="minorHAnsi"/>
        </w:rPr>
        <w:fldChar w:fldCharType="end"/>
      </w:r>
      <w:r w:rsidRPr="00B1522E">
        <w:rPr>
          <w:rFonts w:eastAsia="Calibri" w:cstheme="minorHAnsi"/>
        </w:rPr>
        <w:t xml:space="preserve">. Research shows that improved dietary behaviours following increased food availability continues even when the free food provided in the original interventions is no longer available </w:t>
      </w:r>
      <w:r w:rsidRPr="00B1522E">
        <w:rPr>
          <w:rFonts w:eastAsia="Calibri" w:cstheme="minorHAnsi"/>
        </w:rPr>
        <w:fldChar w:fldCharType="begin" w:fldLock="1"/>
      </w:r>
      <w:r w:rsidR="00DF6CCC" w:rsidRPr="00B1522E">
        <w:rPr>
          <w:rFonts w:eastAsia="Calibri" w:cstheme="minorHAnsi"/>
        </w:rPr>
        <w:instrText>ADDIN CSL_CITATION {"citationItems":[{"id":"ITEM-1","itemData":{"ISSN":"0268-1153","abstract":"The aim of this study was to evaluate and compare the effectiveness of two primary school-based interventions on children’s fruit and vegetable (F&amp;amp;V) consumption on the long term (2 years after the start of the interventions). Six primary schools were recruited and randomly assigned to (i) a daily free distribution program for the whole school or (ii) a multicomponent program consisting of a classroom curriculum and parental involvement (without free F&amp;amp;V), and six schools served as controls. Follow-up measurements were conducted at the end of the intervention (Follow-up I) and 1 year later (Follow-up II). Random coefficient analyses for longitudinal data showed that the effects of both interventions did not differ between the two follow-up measurements. The results showed similar effects for the free distribution program and the multicomponent program in increasing children’s fruit consumption over time (respectively, 7.2 and 15.2 g day−1). The distribution program also increased children’s vegetable consumption over time (3.25 g day−1), even after repeating the analyses using a pessimistic scenario. Despite the large dropout and its consequences for generalizability of our results, the distribution program is considered as the preferred intervention of the two, and implementation on a larger scale should be investigated.","author":[{"dropping-particle":"","family":"Reinaerts","given":"E","non-dropping-particle":"","parse-names":false,"suffix":""},{"dropping-particle":"","family":"Crutzen","given":"R","non-dropping-particle":"","parse-names":false,"suffix":""},{"dropping-particle":"","family":"Candel","given":"M","non-dropping-particle":"","parse-names":false,"suffix":""},{"dropping-particle":"","family":"Vries","given":"N K","non-dropping-particle":"De","parse-names":false,"suffix":""},{"dropping-particle":"","family":"Nooijer","given":"J","non-dropping-particle":"De","parse-names":false,"suffix":""}],"container-title":"Health Education Research","id":"ITEM-1","issue":"6","issued":{"date-parts":[["2008","12","1"]]},"note":"10.1093/her/cyn027","page":"987-996","title":"Increasing fruit and vegetable intake among children: comparing long-term effects of a free distribution and a multicomponent program","type":"article-journal","volume":"23"},"uris":["http://www.mendeley.com/documents/?uuid=4f0b3580-8815-4ad4-813f-f6ee30245409"]},{"id":"ITEM-2","itemData":{"ISSN":"0195-6663","author":[{"dropping-particle":"","family":"Swanson","given":"Mark","non-dropping-particle":"","parse-names":false,"suffix":""},{"dropping-particle":"","family":"Branscum","given":"Adam","non-dropping-particle":"","parse-names":false,"suffix":""},{"dropping-particle":"","family":"Nakayima","given":"Peace Julie","non-dropping-particle":"","parse-names":false,"suffix":""}],"container-title":"Appetite","id":"ITEM-2","issue":"2","issued":{"date-parts":[["2009"]]},"page":"264-267","title":"Promoting consumption of fruit in elementary school cafeterias. The effects of slicing apples and oranges","type":"article-journal","volume":"53"},"uris":["http://www.mendeley.com/documents/?uuid=47e14886-208f-4d6a-9930-f03e0c57717c"]}],"mendeley":{"formattedCitation":"(Reinaerts et al., 2008; Swanson et al., 2009)","plainTextFormattedCitation":"(Reinaerts et al., 2008; Swanson et al., 2009)","previouslyFormattedCitation":"(Reinaerts et al., 2008; Swanson et al., 2009)"},"properties":{"noteIndex":0},"schema":"https://github.com/citation-style-language/schema/raw/master/csl-citation.json"}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(Reinaerts et al., 2008; Swanson et al., 2009)</w:t>
      </w:r>
      <w:r w:rsidRPr="00B1522E">
        <w:rPr>
          <w:rFonts w:eastAsia="Calibri" w:cstheme="minorHAnsi"/>
        </w:rPr>
        <w:fldChar w:fldCharType="end"/>
      </w:r>
      <w:r w:rsidRPr="00B1522E">
        <w:rPr>
          <w:rFonts w:eastAsia="Calibri" w:cstheme="minorHAnsi"/>
        </w:rPr>
        <w:t xml:space="preserve">. Changing adolescents’ immediate food environments to provide healthy options may encourage healthy behaviours </w:t>
      </w:r>
      <w:r w:rsidRPr="00B1522E">
        <w:rPr>
          <w:rFonts w:eastAsia="Calibri" w:cstheme="minorHAnsi"/>
        </w:rPr>
        <w:fldChar w:fldCharType="begin" w:fldLock="1"/>
      </w:r>
      <w:r w:rsidR="00D046DC" w:rsidRPr="00B1522E">
        <w:rPr>
          <w:rFonts w:eastAsia="Calibri" w:cstheme="minorHAnsi"/>
        </w:rPr>
        <w:instrText>ADDIN CSL_CITATION {"citationItems":[{"id":"ITEM-1","itemData":{"ISSN":"0195-6663","author":[{"dropping-particle":"","family":"DeCosta","given":"Patricia","non-dropping-particle":"","parse-names":false,"suffix":""},{"dropping-particle":"","family":"Møller","given":"Per","non-dropping-particle":"","parse-names":false,"suffix":""},{"dropping-particle":"","family":"Frøst","given":"Michael Bom","non-dropping-particle":"","parse-names":false,"suffix":""},{"dropping-particle":"","family":"Olsen","given":"Annemarie","non-dropping-particle":"","parse-names":false,"suffix":""}],"container-title":"Appetite","id":"ITEM-1","issued":{"date-parts":[["2017"]]},"page":"327-357","title":"Changing children's eating behaviour - A review of experimental research","type":"article-journal","volume":"113"},"uris":["http://www.mendeley.com/documents/?uuid=921256d8-661c-4ced-98fb-4229f33df8f1"]}],"mendeley":{"formattedCitation":"(DeCosta et al., 2017)","plainTextFormattedCitation":"(DeCosta et al., 2017)","previouslyFormattedCitation":"(DeCosta et al., 2017)"},"properties":{"noteIndex":0},"schema":"https://github.com/citation-style-language/schema/raw/master/csl-citation.json"}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(DeCosta et al., 2017)</w:t>
      </w:r>
      <w:r w:rsidRPr="00B1522E">
        <w:rPr>
          <w:rFonts w:eastAsia="Calibri" w:cstheme="minorHAnsi"/>
        </w:rPr>
        <w:fldChar w:fldCharType="end"/>
      </w:r>
      <w:r w:rsidRPr="00B1522E">
        <w:rPr>
          <w:rFonts w:eastAsia="Calibri" w:cstheme="minorHAnsi"/>
        </w:rPr>
        <w:t xml:space="preserve">; however, further research needs to consider types of exposure and the amount of time spent in the environment and what effect this has on dietary behaviours. </w:t>
      </w:r>
    </w:p>
    <w:p w14:paraId="55BFD732" w14:textId="476EA746" w:rsidR="00987AC8" w:rsidRPr="00B1522E" w:rsidRDefault="00987AC8" w:rsidP="00734D95">
      <w:pPr>
        <w:spacing w:line="480" w:lineRule="auto"/>
        <w:ind w:firstLine="720"/>
        <w:jc w:val="both"/>
        <w:rPr>
          <w:rFonts w:cstheme="minorHAnsi"/>
        </w:rPr>
      </w:pPr>
      <w:r w:rsidRPr="00B1522E">
        <w:rPr>
          <w:rFonts w:cstheme="minorHAnsi"/>
        </w:rPr>
        <w:t xml:space="preserve">Lastly, the incorporation of </w:t>
      </w:r>
      <w:bookmarkStart w:id="69" w:name="OLE_LINK5"/>
      <w:bookmarkStart w:id="70" w:name="OLE_LINK6"/>
      <w:r w:rsidRPr="00B1522E">
        <w:rPr>
          <w:rFonts w:cstheme="minorHAnsi"/>
        </w:rPr>
        <w:t xml:space="preserve">tailored or personalised computer-based feedback </w:t>
      </w:r>
      <w:bookmarkEnd w:id="69"/>
      <w:bookmarkEnd w:id="70"/>
      <w:r w:rsidRPr="00B1522E">
        <w:rPr>
          <w:rFonts w:cstheme="minorHAnsi"/>
        </w:rPr>
        <w:t xml:space="preserve">was indicated as being successful in changing dietary behaviours in four of the five studies that employed it </w:t>
      </w:r>
      <w:r w:rsidRPr="00B1522E">
        <w:rPr>
          <w:rFonts w:cstheme="minorHAnsi"/>
        </w:rPr>
        <w:fldChar w:fldCharType="begin" w:fldLock="1"/>
      </w:r>
      <w:r w:rsidR="00971CA4" w:rsidRPr="00B1522E">
        <w:rPr>
          <w:rFonts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Research","id":"ITEM-2","issue":"6","issued":{"date-parts":[["2006","12"]]},"note":"Accession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children.","type":"article-journal","volume":"21"},"uris":["http://www.mendeley.com/documents/?uuid=bbef8914-979d-4764-8405-477314275444"]},{"id":"ITEM-3","itemData":{"ISSN":"0091-7435","abstract":"Background: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Theory","id":"ITEM-3","issue":"6","issued":{"date-parts":[["2010","12"]]},"note":"Accession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adolescents.","type":"article-journal","volume":"51"},"uris":["http://www.mendeley.com/documents/?uuid=74acfc22-4c53-4fd1-8464-3f7cdd79586e"]},{"id":"ITEM-4","itemData":{"ISSN":"0360-1315","abstract":"Nutrition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Education","id":"ITEM-4","issued":{"date-parts":[["2015","10"]]},"note":"Accession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elements.","type":"article-journal","volume":"88"},"uris":["http://www.mendeley.com/documents/?uuid=d0bc6350-9c55-462b-82b0-80648f3f942f"]}],"mendeley":{"formattedCitation":"(Chin A Paw et al., 2008; Haerens et al., 2006; Mauriello et al., 2010; Yang et al., 2015)","plainTextFormattedCitation":"(Chin A Paw et al., 2008; Haerens et al., 2006; Mauriello et al., 2010; Yang et al., 2015)","previouslyFormattedCitation":"(Chin A Paw et al., 2008; Haerens et al., 2006; Mauriello et al., 2010; Yang et al., 2015)"},"properties":{"noteIndex":0},"schema":"https://github.com/citation-style-language/schema/raw/master/csl-citation.json"}</w:instrText>
      </w:r>
      <w:r w:rsidRPr="00B1522E">
        <w:rPr>
          <w:rFonts w:cstheme="minorHAnsi"/>
        </w:rPr>
        <w:fldChar w:fldCharType="separate"/>
      </w:r>
      <w:r w:rsidR="00CD7616" w:rsidRPr="00B1522E">
        <w:rPr>
          <w:rFonts w:cstheme="minorHAnsi"/>
          <w:noProof/>
        </w:rPr>
        <w:t>(Chin A Paw et al., 2008; Haerens et al., 2006; Mauriello et al., 2010; Yang et al., 2015)</w:t>
      </w:r>
      <w:r w:rsidRPr="00B1522E">
        <w:rPr>
          <w:rFonts w:cstheme="minorHAnsi"/>
        </w:rPr>
        <w:fldChar w:fldCharType="end"/>
      </w:r>
      <w:r w:rsidRPr="00B1522E">
        <w:rPr>
          <w:rFonts w:cstheme="minorHAnsi"/>
        </w:rPr>
        <w:t xml:space="preserve">. Tailored computer-based feedback has been suggested to be an effective tool in improving dietary behaviour, as individuals often lack an awareness of recommended healthy behaviours compared to their own behaviour </w:t>
      </w:r>
      <w:r w:rsidRPr="00B1522E">
        <w:rPr>
          <w:rFonts w:cstheme="minorHAnsi"/>
        </w:rPr>
        <w:fldChar w:fldCharType="begin" w:fldLock="1"/>
      </w:r>
      <w:r w:rsidR="00DF6CCC" w:rsidRPr="00B1522E">
        <w:rPr>
          <w:rFonts w:cstheme="minorHAnsi"/>
        </w:rPr>
        <w:instrText>ADDIN CSL_CITATION {"citationItems":[{"id":"ITEM-1","itemData":{"ISSN":"0957-4824 (Print)","PMID":"11733449","abstract":"The purpose of this study was to investigate physical activity levels, stages of  change, awareness, and differences in psychological factors relating to physical activity in an adult Dutch population, in order to identify specific objectives for physical activity promotion. Physical activity levels, self-rated physical activity, stages of change, awareness, attitudes, social influences and self-efficacy relating to physical activity were assessed among a random sample of 2608 adults using structured questionnaires. Almost 60% of the respondents did not meet the recommended target for physical activity to promote health. Half of these respondents were in the pre-contemplation stage, and &gt;60% were overestimating their physical activity level. Furthermore, respondents who were not aware of their inadequate physical activity level had a less positive intention to increase their level of physical activity than those who rated their own physical activity level as low. Respondents in the pre-contemplation and maintenance stages had a less positive attitude, perceived less social support and had lower self-efficacy expectations towards increasing physical activity than those in the contemplation, preparation and action stages. The results suggest that interventions aimed at increasing physical activity in the studied population should be aimed at increasing awareness of personal activity levels and should be stage-matched.","author":[{"dropping-particle":"","family":"Ronda","given":"G","non-dropping-particle":"","parse-names":false,"suffix":""},{"dropping-particle":"","family":"Assema","given":"P","non-dropping-particle":"Van","parse-names":false,"suffix":""},{"dropping-particle":"","family":"Brug","given":"J","non-dropping-particle":"","parse-names":false,"suffix":""}],"container-title":"Health promotion international","id":"ITEM-1","issue":"4","issued":{"date-parts":[["2001","12"]]},"language":"eng","page":"305-314","publisher-place":"England","title":"Stages of change, psychological factors and awareness of physical activity levels in The Netherlands.","type":"article-journal","volume":"16"},"uris":["http://www.mendeley.com/documents/?uuid=e99665c2-54fd-4103-8197-f6f05d856f62"]}],"mendeley":{"formattedCitation":"(Ronda et al., 2001)","plainTextFormattedCitation":"(Ronda et al., 2001)","previouslyFormattedCitation":"(Ronda et al., 2001)"},"properties":{"noteIndex":0},"schema":"https://github.com/citation-style-language/schema/raw/master/csl-citation.json"}</w:instrText>
      </w:r>
      <w:r w:rsidRPr="00B1522E">
        <w:rPr>
          <w:rFonts w:cstheme="minorHAnsi"/>
        </w:rPr>
        <w:fldChar w:fldCharType="separate"/>
      </w:r>
      <w:r w:rsidR="004B7FAF" w:rsidRPr="00B1522E">
        <w:rPr>
          <w:rFonts w:cstheme="minorHAnsi"/>
          <w:noProof/>
        </w:rPr>
        <w:t>(Ronda et al., 2001)</w:t>
      </w:r>
      <w:r w:rsidRPr="00B1522E">
        <w:rPr>
          <w:rFonts w:cstheme="minorHAnsi"/>
        </w:rPr>
        <w:fldChar w:fldCharType="end"/>
      </w:r>
      <w:r w:rsidRPr="00B1522E">
        <w:rPr>
          <w:rFonts w:cstheme="minorHAnsi"/>
        </w:rPr>
        <w:t xml:space="preserve">. Research has suggested that by tailoring feedback, it provides individuals with guidance on their own dietary behaviours, as well as identifying personal goals and individual motivations to change health-related behaviour </w:t>
      </w:r>
      <w:r w:rsidRPr="00B1522E">
        <w:rPr>
          <w:rFonts w:cstheme="minorHAnsi"/>
        </w:rPr>
        <w:fldChar w:fldCharType="begin" w:fldLock="1"/>
      </w:r>
      <w:r w:rsidR="00DF6CCC" w:rsidRPr="00B1522E">
        <w:rPr>
          <w:rFonts w:cstheme="minorHAnsi"/>
        </w:rPr>
        <w:instrText>ADDIN CSL_CITATION {"citationItems":[{"id":"ITEM-1","itemData":{"ISBN":"1135462429","author":[{"dropping-particle":"","family":"Kreuter","given":"Matthew W","non-dropping-particle":"","parse-names":false,"suffix":""},{"dropping-particle":"","family":"Farrell","given":"David W","non-dropping-particle":"","parse-names":false,"suffix":""},{"dropping-particle":"","family":"Olevitch","given":"Laura R","non-dropping-particle":"","parse-names":false,"suffix":""},{"dropping-particle":"","family":"Brennan","given":"Laura K","non-dropping-particle":"","parse-names":false,"suffix":""}],"id":"ITEM-1","issued":{"date-parts":[["2013"]]},"publisher":"Routledge","title":"Tailoring health messages: Customizing communication with computer technology","type":"book"},"uris":["http://www.mendeley.com/documents/?uuid=41e4317b-ccaf-4b6c-a765-68692c877f56"]}],"mendeley":{"formattedCitation":"(Kreuter et al., 2013)","plainTextFormattedCitation":"(Kreuter et al., 2013)","previouslyFormattedCitation":"(Kreuter et al., 2013)"},"properties":{"noteIndex":0},"schema":"https://github.com/citation-style-language/schema/raw/master/csl-citation.json"}</w:instrText>
      </w:r>
      <w:r w:rsidRPr="00B1522E">
        <w:rPr>
          <w:rFonts w:cstheme="minorHAnsi"/>
        </w:rPr>
        <w:fldChar w:fldCharType="separate"/>
      </w:r>
      <w:r w:rsidR="004B7FAF" w:rsidRPr="00B1522E">
        <w:rPr>
          <w:rFonts w:cstheme="minorHAnsi"/>
          <w:noProof/>
        </w:rPr>
        <w:t>(Kreuter et al., 2013)</w:t>
      </w:r>
      <w:r w:rsidRPr="00B1522E">
        <w:rPr>
          <w:rFonts w:cstheme="minorHAnsi"/>
        </w:rPr>
        <w:fldChar w:fldCharType="end"/>
      </w:r>
      <w:r w:rsidRPr="00B1522E">
        <w:rPr>
          <w:rFonts w:cstheme="minorHAnsi"/>
        </w:rPr>
        <w:t xml:space="preserve">. Four studies within the review that utilised tailored computer-based feedback, which included a comparison with normative behaviour, reported successful changes in dietary behaviours </w:t>
      </w:r>
      <w:r w:rsidRPr="00B1522E">
        <w:rPr>
          <w:rFonts w:cstheme="minorHAnsi"/>
        </w:rPr>
        <w:fldChar w:fldCharType="begin" w:fldLock="1"/>
      </w:r>
      <w:r w:rsidR="00971CA4" w:rsidRPr="00B1522E">
        <w:rPr>
          <w:rFonts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Research","id":"ITEM-2","issue":"6","issued":{"date-parts":[["2006","12"]]},"note":"Accession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children.","type":"article-journal","volume":"21"},"uris":["http://www.mendeley.com/documents/?uuid=bbef8914-979d-4764-8405-477314275444"]},{"id":"ITEM-3","itemData":{"ISSN":"0091-7435","abstract":"Background: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Theory","id":"ITEM-3","issue":"6","issued":{"date-parts":[["2010","12"]]},"note":"Accession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adolescents.","type":"article-journal","volume":"51"},"uris":["http://www.mendeley.com/documents/?uuid=74acfc22-4c53-4fd1-8464-3f7cdd79586e"]},{"id":"ITEM-4","itemData":{"ISSN":"0360-1315","abstract":"Nutrition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Education","id":"ITEM-4","issued":{"date-parts":[["2015","10"]]},"note":"Accession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elements.","type":"article-journal","volume":"88"},"uris":["http://www.mendeley.com/documents/?uuid=d0bc6350-9c55-462b-82b0-80648f3f942f"]}],"mendeley":{"formattedCitation":"(Chin A Paw et al., 2008; Haerens et al., 2006; Mauriello et al., 2010; Yang et al., 2015)","plainTextFormattedCitation":"(Chin A Paw et al., 2008; Haerens et al., 2006; Mauriello et al., 2010; Yang et al., 2015)","previouslyFormattedCitation":"(Chin A Paw et al., 2008; Haerens et al., 2006; Mauriello et al., 2010; Yang et al., 2015)"},"properties":{"noteIndex":0},"schema":"https://github.com/citation-style-language/schema/raw/master/csl-citation.json"}</w:instrText>
      </w:r>
      <w:r w:rsidRPr="00B1522E">
        <w:rPr>
          <w:rFonts w:cstheme="minorHAnsi"/>
        </w:rPr>
        <w:fldChar w:fldCharType="separate"/>
      </w:r>
      <w:r w:rsidR="00CD7616" w:rsidRPr="00B1522E">
        <w:rPr>
          <w:rFonts w:cstheme="minorHAnsi"/>
          <w:noProof/>
        </w:rPr>
        <w:t xml:space="preserve">(Chin A Paw et al., 2008; </w:t>
      </w:r>
      <w:r w:rsidR="00CD7616" w:rsidRPr="00B1522E">
        <w:rPr>
          <w:rFonts w:cstheme="minorHAnsi"/>
          <w:noProof/>
        </w:rPr>
        <w:lastRenderedPageBreak/>
        <w:t>Haerens et al., 2006; Mauriello et al., 2010; Yang et al., 2015)</w:t>
      </w:r>
      <w:r w:rsidRPr="00B1522E">
        <w:rPr>
          <w:rFonts w:cstheme="minorHAnsi"/>
        </w:rPr>
        <w:fldChar w:fldCharType="end"/>
      </w:r>
      <w:r w:rsidRPr="00B1522E">
        <w:rPr>
          <w:rFonts w:cstheme="minorHAnsi"/>
        </w:rPr>
        <w:t xml:space="preserve">, including reducing sugar-sweetened beverages </w:t>
      </w:r>
      <w:r w:rsidRPr="00B1522E">
        <w:rPr>
          <w:rFonts w:cstheme="minorHAnsi"/>
        </w:rPr>
        <w:fldChar w:fldCharType="begin" w:fldLock="1"/>
      </w:r>
      <w:r w:rsidR="00971CA4" w:rsidRPr="00B1522E">
        <w:rPr>
          <w:rFonts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program.","type":"article-journal","volume":"5"},"uris":["http://www.mendeley.com/documents/?uuid=0ae3b1a2-a736-4e3f-8869-95e5f4733a34"]}],"mendeley":{"formattedCitation":"(Chin A Paw et al., 2008)","plainTextFormattedCitation":"(Chin A Paw et al., 2008)","previouslyFormattedCitation":"(Chin A Paw et al., 2008)"},"properties":{"noteIndex":0},"schema":"https://github.com/citation-style-language/schema/raw/master/csl-citation.json"}</w:instrText>
      </w:r>
      <w:r w:rsidRPr="00B1522E">
        <w:rPr>
          <w:rFonts w:cstheme="minorHAnsi"/>
        </w:rPr>
        <w:fldChar w:fldCharType="separate"/>
      </w:r>
      <w:r w:rsidR="00CD7616" w:rsidRPr="00B1522E">
        <w:rPr>
          <w:rFonts w:cstheme="minorHAnsi"/>
          <w:noProof/>
        </w:rPr>
        <w:t>(Chin A Paw et al., 2008)</w:t>
      </w:r>
      <w:r w:rsidRPr="00B1522E">
        <w:rPr>
          <w:rFonts w:cstheme="minorHAnsi"/>
        </w:rPr>
        <w:fldChar w:fldCharType="end"/>
      </w:r>
      <w:r w:rsidRPr="00B1522E">
        <w:rPr>
          <w:rFonts w:cstheme="minorHAnsi"/>
        </w:rPr>
        <w:t xml:space="preserve"> and unhealthy food intake </w:t>
      </w:r>
      <w:r w:rsidRPr="00B1522E">
        <w:rPr>
          <w:rFonts w:cstheme="minorHAnsi"/>
        </w:rPr>
        <w:fldChar w:fldCharType="begin" w:fldLock="1"/>
      </w:r>
      <w:r w:rsidR="007463D4" w:rsidRPr="00B1522E">
        <w:rPr>
          <w:rFonts w:cstheme="minorHAnsi"/>
        </w:rPr>
        <w:instrText>ADDIN CSL_CITATION {"citationItems":[{"id":"ITEM-1","itemData":{"ISSN":"0268-1153","abstract":"The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Research","id":"ITEM-1","issue":"6","issued":{"date-parts":[["2006","12"]]},"note":"Accession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children.","type":"article-journal","volume":"21"},"uris":["http://www.mendeley.com/documents/?uuid=bbef8914-979d-4764-8405-477314275444"]}],"mendeley":{"formattedCitation":"(Haerens et al., 2006)","plainTextFormattedCitation":"(Haerens et al., 2006)","previouslyFormattedCitation":"(Haerens et al., 2006)"},"properties":{"noteIndex":0},"schema":"https://github.com/citation-style-language/schema/raw/master/csl-citation.json"}</w:instrText>
      </w:r>
      <w:r w:rsidRPr="00B1522E">
        <w:rPr>
          <w:rFonts w:cstheme="minorHAnsi"/>
        </w:rPr>
        <w:fldChar w:fldCharType="separate"/>
      </w:r>
      <w:r w:rsidRPr="00B1522E">
        <w:rPr>
          <w:rFonts w:cstheme="minorHAnsi"/>
          <w:noProof/>
        </w:rPr>
        <w:t>(Haerens et al., 2006)</w:t>
      </w:r>
      <w:r w:rsidRPr="00B1522E">
        <w:rPr>
          <w:rFonts w:cstheme="minorHAnsi"/>
        </w:rPr>
        <w:fldChar w:fldCharType="end"/>
      </w:r>
      <w:r w:rsidRPr="00B1522E">
        <w:rPr>
          <w:rFonts w:cstheme="minorHAnsi"/>
        </w:rPr>
        <w:t xml:space="preserve">, and increasing fruit and vegetables </w:t>
      </w:r>
      <w:r w:rsidRPr="00B1522E">
        <w:rPr>
          <w:rFonts w:cstheme="minorHAnsi"/>
        </w:rPr>
        <w:fldChar w:fldCharType="begin" w:fldLock="1"/>
      </w:r>
      <w:r w:rsidR="00D046DC" w:rsidRPr="00B1522E">
        <w:rPr>
          <w:rFonts w:cstheme="minorHAnsi"/>
        </w:rPr>
        <w:instrText>ADDIN CSL_CITATION {"citationItems":[{"id":"ITEM-1","itemData":{"ISSN":"0091-7435","abstract":"Background: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adolescents.","type":"article-journal","volume":"51"},"uris":["http://www.mendeley.com/documents/?uuid=74acfc22-4c53-4fd1-8464-3f7cdd79586e"]}],"mendeley":{"formattedCitation":"(Mauriello et al., 2010)","plainTextFormattedCitation":"(Mauriello et al., 2010)","previouslyFormattedCitation":"(Mauriello et al., 2010)"},"properties":{"noteIndex":0},"schema":"https://github.com/citation-style-language/schema/raw/master/csl-citation.json"}</w:instrText>
      </w:r>
      <w:r w:rsidRPr="00B1522E">
        <w:rPr>
          <w:rFonts w:cstheme="minorHAnsi"/>
        </w:rPr>
        <w:fldChar w:fldCharType="separate"/>
      </w:r>
      <w:r w:rsidRPr="00B1522E">
        <w:rPr>
          <w:rFonts w:cstheme="minorHAnsi"/>
          <w:noProof/>
        </w:rPr>
        <w:t>(Mauriello et al., 2010)</w:t>
      </w:r>
      <w:r w:rsidRPr="00B1522E">
        <w:rPr>
          <w:rFonts w:cstheme="minorHAnsi"/>
        </w:rPr>
        <w:fldChar w:fldCharType="end"/>
      </w:r>
      <w:r w:rsidRPr="00B1522E">
        <w:rPr>
          <w:rFonts w:cstheme="minorHAnsi"/>
        </w:rPr>
        <w:t xml:space="preserve"> and dairy, protein and fruit intake </w:t>
      </w:r>
      <w:r w:rsidRPr="00B1522E">
        <w:rPr>
          <w:rFonts w:cstheme="minorHAnsi"/>
        </w:rPr>
        <w:fldChar w:fldCharType="begin" w:fldLock="1"/>
      </w:r>
      <w:r w:rsidR="007463D4" w:rsidRPr="00B1522E">
        <w:rPr>
          <w:rFonts w:cstheme="minorHAnsi"/>
        </w:rPr>
        <w:instrText>ADDIN CSL_CITATION {"citationItems":[{"id":"ITEM-1","itemData":{"ISSN":"0360-1315","abstract":"Nutrition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Education","id":"ITEM-1","issued":{"date-parts":[["2015","10"]]},"note":"Accession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elements.","type":"article-journal","volume":"88"},"uris":["http://www.mendeley.com/documents/?uuid=d0bc6350-9c55-462b-82b0-80648f3f942f"]}],"mendeley":{"formattedCitation":"(Yang et al., 2015)","plainTextFormattedCitation":"(Yang et al., 2015)","previouslyFormattedCitation":"(Yang et al., 2015)"},"properties":{"noteIndex":0},"schema":"https://github.com/citation-style-language/schema/raw/master/csl-citation.json"}</w:instrText>
      </w:r>
      <w:r w:rsidRPr="00B1522E">
        <w:rPr>
          <w:rFonts w:cstheme="minorHAnsi"/>
        </w:rPr>
        <w:fldChar w:fldCharType="separate"/>
      </w:r>
      <w:r w:rsidRPr="00B1522E">
        <w:rPr>
          <w:rFonts w:cstheme="minorHAnsi"/>
          <w:noProof/>
        </w:rPr>
        <w:t>(Yang et al., 2015)</w:t>
      </w:r>
      <w:r w:rsidRPr="00B1522E">
        <w:rPr>
          <w:rFonts w:cstheme="minorHAnsi"/>
        </w:rPr>
        <w:fldChar w:fldCharType="end"/>
      </w:r>
      <w:r w:rsidRPr="00B1522E">
        <w:rPr>
          <w:rFonts w:cstheme="minorHAnsi"/>
        </w:rPr>
        <w:t xml:space="preserve">. However, studies which only gave information about recommended intake of foods, without a comparison to the individuals’ own behaviours, appeared to be less effective </w:t>
      </w:r>
      <w:r w:rsidRPr="00B1522E">
        <w:rPr>
          <w:rFonts w:cstheme="minorHAnsi"/>
        </w:rPr>
        <w:fldChar w:fldCharType="begin" w:fldLock="1"/>
      </w:r>
      <w:r w:rsidR="00D046DC" w:rsidRPr="00B1522E">
        <w:rPr>
          <w:rFonts w:cstheme="minorHAnsi"/>
        </w:rPr>
        <w:instrText>ADDIN CSL_CITATION {"citationItems":[{"id":"ITEM-1","itemData":{"ISSN":"1090-1981","abstract":"The Healthy Youth Places (HYP) intervention targeted increased fruit and vegetable consumption (FV) and physical activity (PA) through building the environmental change skills and efficacy of adults and youth. HYP included group training for adult school site leaders, environmental change skill curriculum, and youth-led FV and PA environment change teams. Sixteen schools were randomized to either implement the HYP program or not. Participants (N = 1,582) were assessed on FV and PA and hypothesized HYP program mediators (e.g., proxy efficacy) at the end of sixth grade (baseline), seventh grade (Postintervention Year 1), and eighth grade (Postintervention Year 2). After intervention, HYP schools did not change in FV but did significantly change in PA compared to control schools. Proxy efficacy to influence school PA environments mediated the program effects. Building the skills and efficacy of adults and youth to lead school environmental change may be an effective method to promote youth PA. (PsycINFO Database Record (c) 2012 APA, all rights reserved). (journal abstract)","author":[{"dropping-particle":"","family":"Dzewaltowski","given":"David A","non-dropping-particle":"","parse-names":false,"suffix":""},{"dropping-particle":"","family":"Estabrooks","given":"Paul A","non-dropping-particle":"","parse-names":false,"suffix":""},{"dropping-particle":"","family":"Welk","given":"Greg","non-dropping-particle":"","parse-names":false,"suffix":""},{"dropping-particle":"","family":"Hill","given":"Jennie","non-dropping-particle":"","parse-names":false,"suffix":""},{"dropping-particle":"","family":"Milliken","given":"George","non-dropping-particle":"","parse-names":false,"suffix":""},{"dropping-particle":"","family":"Karteroliotis","given":"Kostas","non-dropping-particle":"","parse-names":false,"suffix":""},{"dropping-particle":"","family":"Johnston","given":"Judy A","non-dropping-particle":"","parse-names":false,"suffix":""}],"container-title":"Health Education &amp; Behavior","id":"ITEM-1","issue":"3","issued":{"date-parts":[["2009","6"]]},"note":"Accession Number: 2009-09109-014. PMID: 18469366 Other Journal Title: Health Education Monographs; Health Education Quarterly. Partial author list: First Author &amp;amp; Affiliation: Dzewaltowski, David A.; Kansas State University, Manhattan, KS, US. Release Date: 20090831. Correction Date: 20120827. Publication Type: Journal (0100), Peer Reviewed Journal (0110). Format Covered: Electronic. Document Type: Journal Article. Language: English. Grant Information: Dzewaltowski, David A. Major Descriptor: Food Intake; Intervention; Leadership; Middle Schools; Physical Activity. Classification: Educational/Vocational Counseling &amp;amp; Student Services (3580). Population: Human (10); Male (30); Female (40). Location: US. Age Group: Childhood (birth-12 yrs) (100); School Age (6-12 yrs) (180); Adolescence (13-17 yrs) (200). Tests &amp;amp; Measures: Youth Psychosocial Survey; Youth/Adolescent Food Frequency Questionnaire; Previous Day Physical Activity Recall DOI: 10.1037/t05620-000. Methodology: Empirical Study; Quantitative Study. References Available: Y. Page Count: 18. Issue Publication Date: Jun, 2009.","page":"583-600","publisher":"Sage Publications","publisher-place":"Dzewaltowski, David A., Kansas State University, Natatorium 8, Manhattan, KS, US, 66502","title":"Healthy youth places: A randomized controlled trial to determine the effectiveness of facilitating adult and youth leaders to promote physical activity and fruit and vegetable consumption in middle schools.","type":"article-journal","volume":"36"},"uris":["http://www.mendeley.com/documents/?uuid=74f4efaf-f648-40ee-a537-6d3097cacbbf"]},{"id":"ITEM-2","itemData":{"ISSN":"08901171","abstract":"Purpose. Assess whether family environmental factors affected changes in fruit and snack consumption among 12- to 14-year-old adolescents participating in a Dutch healthy diet promotion program. Design. Data were derived from pretest and posttest questionnaires completed by adolescents in 10 schools in the intervention arm of the program trial and questionnaires completed by their parents during program implementation. Setting. Lower vocational schools in the southern and central parts of The Netherlands. Subjects. Questionnaire answers of 502 parents were matched with those of their children. Intervention. Eight school lessons using various theory-based materials and strategies. Measures. Dietary intake, ethnicity, education level, employment status, parenting style, food purchase considerations, family food rules, and food availability and accessibility at home. Analysis. Regression analyses. Results. No significant family environmental predictors of program-induced changes in either fruit or snack intake were found. Conclusion. A limitation of the study was that all data were self-reported. No evidence was found that there were subgroups of adolescents who profited less from the program because of family environmental factors. [ABSTRACT FROM AUTHOR]","author":[{"dropping-particle":"","family":"Martens","given":"M","non-dropping-particle":"","parse-names":false,"suffix":""},{"dropping-particle":"","family":"Assema","given":"P","non-dropping-particle":"van","parse-names":false,"suffix":""},{"dropping-particle":"","family":"Knibbe","given":"R","non-dropping-particle":"","parse-names":false,"suffix":""},{"dropping-particle":"","family":"Engels","given":"R","non-dropping-particle":"","parse-names":false,"suffix":""},{"dropping-particle":"","family":"Brug","given":"J","non-dropping-particle":"","parse-names":false,"suffix":""}],"container-title":"American Journal of Health Promotion","id":"ITEM-2","issue":"3","issued":{"date-parts":[["2010","1"]]},"note":"Accession Number: 47591753; Martens, Marloes 1; van Assema, Patricia 2; Email Address: p.vanassema@gvo.unimaas.nl; Knibbe, Ronald 2; Engels, Rutger C. M. E. 3; Brug, Johannes 4; Affiliations: 1 : Rescon, Amsterdam, The Netherlands.; 2 : Maastricht University, Maastricht, The Netherlands.; 3 : The Behavioral Science Institute, Radboud University Nijmegen, Nzjmegen, The Netherlands.; 4 : The VU Medical Centre, Amsterdam, The Netherlands.; Source Info: Jan/Feb2010, Vol. 24 Issue 3, p182; Thesaurus Term: TEENAGERS; Thesaurus Term: FOOD habits; Thesaurus Term: HEALTH promotion; Subject Term: HEALTH; Subject Term: DUTCH people; Subject Term: SOCIOECONOMIC factors; Subject Term: SOCIOCULTURAL factors; Subject Term: NUTRITION research; Subject: NETHERLANDS; Author-Supplied Keyword: Adolescents; Author-Supplied Keyword: Dietary Habits; Author-Supplied Keyword: ethnicity; Author-Supplied Keyword: Family Characteristics; Author-Supplied Keyword: Health focus: nutrition; Author-Supplied Keyword: Outcome measure: behavioral; Author-Supplied Keyword: Prevention Research. Manuscript format: research; Author-Supplied Keyword: Program Effects; Author-Supplied Keyword: Research purpose: modeling/ relationship testing; Author-Supplied Keyword: school; Author-Supplied Keyword: Setting: family; Author-Supplied Keyword: Strategy: skill building/behavior change; Author-Supplied Keyword: Study design: nonexperimental; Author-Supplied Keyword: Target population age: youth; Author-Supplied Keyword: Target population circumstances: education/ income level; Number of Pages: 4p; Document Type: Article","page":"182-185","title":"Family Environmental Factors Do Not Explain Differences in the Behavioral Effect of a Healthy Diet Promotion Program in Lower Vocational Schools Among 12- to 14-Year-Old Adolescents.","type":"article-journal","volume":"24"},"uris":["http://www.mendeley.com/documents/?uuid=dcce02ba-d07b-4b8a-9d22-177816d0f2ff"]},{"id":"ITEM-3","itemData":{"ISSN":"1087-3244","abstract":"Objectives: To examine potential mediators of adolescent girls’ dietary behavior change in the Nutrition and Enjoyable Activity for Teen Girls (NEAT Girls) intervention for obesity prevention. Methods: Participants were 294 adolescent girls attending 12 secondary schools located in low-income communities of New South Wales, Australia. Hypothesized social cognitive mediators of dietary behavior change were assessed using valid and reliable scales. Results: The intervention effects on dietary outcomes and hypothesized mediators were not statistically significant. However, changes in hypothesized mediators were associated with changes in key dietary behaviors. Conclusions: Continued research is needed to examine effective strategies for improving dietary outcomes in youth, and to explore alternative theoretical mechanisms of dietary behavior change. (PsycINFO Database Record (c) 2015 APA, all rights reserved). (journal abstract)","author":[{"dropping-particle":"","family":"McCabe","given":"Brianne E","non-dropping-particle":"","parse-names":false,"suffix":""},{"dropping-particle":"","family":"Plotnikoff","given":"Ronald C","non-dropping-particle":"","parse-names":false,"suffix":""},{"dropping-particle":"","family":"Dewar","given":"Deborah L","non-dropping-particle":"","parse-names":false,"suffix":""},{"dropping-particle":"","family":"Collins","given":"Clare E","non-dropping-particle":"","parse-names":false,"suffix":""},{"dropping-particle":"","family":"Lubans","given":"David R","non-dropping-particle":"","parse-names":false,"suffix":""}],"container-title":"American Journal of Health Behavior","id":"ITEM-3","issue":"1","issued":{"date-parts":[["2015","1"]]},"note":"Accession Number: 2015-09088-006. PMID: 25290597 Other Journal Title: Health Values: Health Behavior, Education &amp;amp; Promotion; Health Values: The Journal of Health Behavior, Education &amp;amp; Promotion. Partial author list: First Author &amp;amp; Affiliation: McCabe, Brianne E.; Priority Research Centre for Physical Activity and Nutrition, University of Newcastle, Callaghan, NSW, Australia. Release Date: 20150413. Correction Date: 20151214. Publication Type: Journal (0100), Peer Reviewed Journal (0110). Format Covered: Electronic. Document Type: Journal Article. Language: English. Grant Information: Plotnikoff, Ronald C. Major Descriptor: Human Females; Nutrition; Prevention; School Based Intervention; Social Cognition. Minor Descriptor: Adolescent Development; Diets; High School Students; Obesity. Classification: Educational/Vocational Counseling &amp;amp; Student Services (3580). Population: Human (10); Female (40). Location: Australia. Age Group: Adolescence (13-17 yrs) (200). Tests &amp;amp; Measures: Australian Eating Survey; Outcome Expectations and Expectancies Scale; Home Dietary Environment Scale; Self-Efficacy Scale; Food Frequency Questionnaire. Methodology: Empirical Study; Quantitative Study. References Available: Y. Page Count: 11. Issue Publication Date: Jan, 2015.","page":"51-61","publisher":"American Journal of Health Behavior","publisher-place":"Plotnikoff, Ronald C.","title":"Social cognitive mediators of dietary behavior change in adolescent girls.","type":"article-journal","volume":"39"},"uris":["http://www.mendeley.com/documents/?uuid=7b8ee571-076a-4b5d-8ae8-9e0a03d039ae"]},{"id":"ITEM-4","itemData":{"author":[{"dropping-particle":"","family":"Revill","given":"S. A.","non-dropping-particle":"","parse-names":false,"suffix":""}],"id":"ITEM-4","issued":{"date-parts":[["2004"]]},"publisher":"Newcastle-upon-tyme","title":"Evaluation of a school-based nutrition and food delivered intervention to schoolchildren preparation skills from deprived social backgrounds","type":"thesis"},"uris":["http://www.mendeley.com/documents/?uuid=44c9923f-702d-4966-8c0c-73345f576954"]}],"mendeley":{"formattedCitation":"(Dzewaltowski et al., 2009; M. Martens et al., 2010; McCabe et al., 2015; Revill, 2004)","manualFormatting":"(Dzewaltowski et al., 2009; Martens et al., 2010; McCabe et al., 2015; Revill, 2004)","plainTextFormattedCitation":"(Dzewaltowski et al., 2009; M. Martens et al., 2010; McCabe et al., 2015; Revill, 2004)","previouslyFormattedCitation":"(Dzewaltowski et al., 2009; M. Martens et al., 2010; McCabe et al., 2015; Revill, 2004)"},"properties":{"noteIndex":0},"schema":"https://github.com/citation-style-language/schema/raw/master/csl-citation.json"}</w:instrText>
      </w:r>
      <w:r w:rsidRPr="00B1522E">
        <w:rPr>
          <w:rFonts w:cstheme="minorHAnsi"/>
        </w:rPr>
        <w:fldChar w:fldCharType="separate"/>
      </w:r>
      <w:r w:rsidR="00795693" w:rsidRPr="00B1522E">
        <w:rPr>
          <w:rFonts w:cstheme="minorHAnsi"/>
          <w:noProof/>
        </w:rPr>
        <w:t>(Dzewaltowski et al., 2009; Martens et al., 2010; McCabe et al., 2015; Revill, 2004)</w:t>
      </w:r>
      <w:r w:rsidRPr="00B1522E">
        <w:rPr>
          <w:rFonts w:cstheme="minorHAnsi"/>
        </w:rPr>
        <w:fldChar w:fldCharType="end"/>
      </w:r>
      <w:r w:rsidRPr="00B1522E">
        <w:rPr>
          <w:rFonts w:cstheme="minorHAnsi"/>
        </w:rPr>
        <w:t xml:space="preserve">. Three of the computer-based studies which used tailored computer-based feedback included comparisons to recommended consumption (government guidelines) and peers’ behaviours (social norms) </w:t>
      </w:r>
      <w:r w:rsidRPr="00B1522E">
        <w:rPr>
          <w:rFonts w:cstheme="minorHAnsi"/>
        </w:rPr>
        <w:fldChar w:fldCharType="begin" w:fldLock="1"/>
      </w:r>
      <w:r w:rsidR="00971CA4" w:rsidRPr="00B1522E">
        <w:rPr>
          <w:rFonts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Theory","id":"ITEM-2","issue":"6","issued":{"date-parts":[["2010","12"]]},"note":"Accession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adolescents.","type":"article-journal","volume":"51"},"uris":["http://www.mendeley.com/documents/?uuid=74acfc22-4c53-4fd1-8464-3f7cdd79586e"]},{"id":"ITEM-3","itemData":{"ISSN":"0360-1315","abstract":"Nutrition is a critical issue for educators, particularly given the unhealthy eating behaviors of many adolescents. While knowledge and self-reflection are important, learners must also be motivated and held accountable for their health behaviors. In order to foster healthy eating, a technology-enhanced approach, game-based team learning (GBTL), is proposed, based on social-interdependence theory. A cloud diet assessment system (CDAS) was designed for automatically providing feedback on the nutritional intake of learners through a meal analysis algorithm. Furthermore, a cloud server hosted a social competitive game which, in addition to in-class team learning activities, allowed teams to compete against each other on the basis of each group's dietary habits. A pre-test post-test quasi-experimental design evaluated the effectiveness of the GBTL group (E1) as compared to a group which received only metacognitive feedback from the CDAS (E2) and a comparison group (C). Female high school participants from three classes were randomly assigned to the three groups (C, n = 31; E1, n = 20; E2, n = 37). Results demonstrate significant improvement for E2 in terms of most food groups (including Dairy, Meats and Protein, Vegetables, and Fruit), as well as for macronutrients, such as calories and dietary fiber, and micronutrients, including Calcium and Vitamin C and B2. Within- and between-group comparisons confirmed the advantage of the E2 group, suggesting that technology-supported GBTL can foster healthy eating habits among adolescents, improving most nutritional elements to nearly 100% the recommended daily intake. (PsycINFO Database Record (c) 2015 APA, all rights reserved). (journal abstract)","author":[{"dropping-particle":"","family":"Yang","given":"Ya-Ting Carolyn","non-dropping-particle":"","parse-names":false,"suffix":""},{"dropping-particle":"","family":"Wang","given":"Chi-Jane","non-dropping-particle":"","parse-names":false,"suffix":""},{"dropping-particle":"","family":"Tsai","given":"Meng-Fang","non-dropping-particle":"","parse-names":false,"suffix":""},{"dropping-particle":"","family":"Wang","given":"Jeen-Shing","non-dropping-particle":"","parse-names":false,"suffix":""}],"container-title":"Computers &amp; Education","id":"ITEM-3","issued":{"date-parts":[["2015","10"]]},"note":"Accession Number: 2015-47869-014. Partial author list: First Author &amp;amp; Affiliation: Yang, Ya-Ting Carolyn; Institute of Education, National Cheng Kung University, Tainan City, Taiwan. Release Date: 20151102. Publication Type: Journal (0100), Peer Reviewed Journal (0110). Format Covered: Electronic. Document Type: Journal Article. Language: English. Major Descriptor: Eating Behavior; Health; Learning; Nutrition; School Based Intervention. Minor Descriptor: Games; High Schools; Technology. Classification: Curriculum &amp;amp; Programs &amp;amp; Teaching Methods (3530). Population: Human (10); Female (40). Location: Taiwan. Age Group: Adolescence (13-17 yrs) (200). Methodology: Empirical Study; Quantitative Study. Page Count: 17. Issue Publication Date: Oct, 2015. Publication History: First Posted Date: May 14, 2015; Accepted Date: Apr 13, 2015; Revised Date: Apr 10, 2015; First Submitted Date: Dec 31, 2014. Copyright Statement: All rights reserved. Elsevier Ltd. 2015.","page":"143-159","publisher":"Elsevier Science","publisher-place":"Wang, Jeen-Shing, Department of Electrical Engineering, National Cheng Kung University, No.1, University Road, Tainan City, Taiwan, 701","title":"Technology-enhanced game-based team learning for improving intake of food groups and nutritional elements.","type":"article-journal","volume":"88"},"uris":["http://www.mendeley.com/documents/?uuid=d0bc6350-9c55-462b-82b0-80648f3f942f"]}],"mendeley":{"formattedCitation":"(Chin A Paw et al., 2008; Mauriello et al., 2010; Yang et al., 2015)","plainTextFormattedCitation":"(Chin A Paw et al., 2008; Mauriello et al., 2010; Yang et al., 2015)","previouslyFormattedCitation":"(Chin A Paw et al., 2008; Mauriello et al., 2010; Yang et al., 2015)"},"properties":{"noteIndex":0},"schema":"https://github.com/citation-style-language/schema/raw/master/csl-citation.json"}</w:instrText>
      </w:r>
      <w:r w:rsidRPr="00B1522E">
        <w:rPr>
          <w:rFonts w:cstheme="minorHAnsi"/>
        </w:rPr>
        <w:fldChar w:fldCharType="separate"/>
      </w:r>
      <w:r w:rsidR="00CD7616" w:rsidRPr="00B1522E">
        <w:rPr>
          <w:rFonts w:cstheme="minorHAnsi"/>
          <w:noProof/>
        </w:rPr>
        <w:t>(Chin A Paw et al., 2008; Mauriello et al., 2010; Yang et al., 2015)</w:t>
      </w:r>
      <w:r w:rsidRPr="00B1522E">
        <w:rPr>
          <w:rFonts w:cstheme="minorHAnsi"/>
        </w:rPr>
        <w:fldChar w:fldCharType="end"/>
      </w:r>
      <w:r w:rsidRPr="00B1522E">
        <w:rPr>
          <w:rFonts w:cstheme="minorHAnsi"/>
        </w:rPr>
        <w:t xml:space="preserve">, the other provided individualized-computer feedback about individuals’ behaviours compared to recommended consumption but also asked individuals to discuss their feedback with a parent </w:t>
      </w:r>
      <w:r w:rsidRPr="00B1522E">
        <w:rPr>
          <w:rFonts w:cstheme="minorHAnsi"/>
        </w:rPr>
        <w:fldChar w:fldCharType="begin" w:fldLock="1"/>
      </w:r>
      <w:r w:rsidR="007463D4" w:rsidRPr="00B1522E">
        <w:rPr>
          <w:rFonts w:cstheme="minorHAnsi"/>
        </w:rPr>
        <w:instrText>ADDIN CSL_CITATION {"citationItems":[{"id":"ITEM-1","itemData":{"ISSN":"0268-1153","abstract":"The aim of the present study was to evaluate the effects of a middle school physical activity and healthy eating intervention, including an environmental and computer-tailored component, and to investigate the effects of parental involvement. A random sample of 15 schools with seventh and eight graders was randomly assigned to one of three conditions: (i) intervention with parental involvement, (ii) intervention alone and (iii) control group. In 10 schools, an intervention, combining environmental changes with computer-tailored feedback, was implemented over 2 school years. In five intervention schools, increased parental support was added. Physical activity was measured with questionnaires in the total sample and with accelerometers in a sub-sample of children. Fat intake, fruit, water and soft drink consumption were measured using food-frequency questionnaires. Results showed significant positive intervention effects on physical activity in both genders and on fat intake in girls. Parental involvement did not increase intervention effects. It can be concluded that physical activity and eating behaviours of middle school children can be improved by school-based strategies combining environmental and personal interventions. The use of personalized computer-tailored interventions seems to be a promising tool for targeting adolescents but needs to be further explored. (PsycINFO Database Record (c) 2015 APA, all rights reserved). (journal abstract)","author":[{"dropping-particle":"","family":"Haerens","given":"Leen","non-dropping-particle":"","parse-names":false,"suffix":""},{"dropping-particle":"","family":"Deforche","given":"Benedicte","non-dropping-particle":"","parse-names":false,"suffix":""},{"dropping-particle":"","family":"Maes","given":"Lea","non-dropping-particle":"","parse-names":false,"suffix":""},{"dropping-particle":"","family":"Cardon","given":"Greet","non-dropping-particle":"","parse-names":false,"suffix":""},{"dropping-particle":"","family":"Stevens","given":"Veerle","non-dropping-particle":"","parse-names":false,"suffix":""},{"dropping-particle":"","family":"Bourdeaudhuij","given":"Ilse","non-dropping-particle":"De","parse-names":false,"suffix":""}],"container-title":"Health Education Research","id":"ITEM-1","issue":"6","issued":{"date-parts":[["2006","12"]]},"note":"Accession Number: 2006-23127-016. PMID: 17032704 Partial author list: First Author &amp;amp; Affiliation: Haerens, Leen; Department of Movement and Sports Sciences, Ghent University, Ghent, Belgium. Release Date: 20070108. Correction Date: 20151116. Publication Type: Journal (0100), Peer Reviewed Journal (0110). Format Covered: Print. Document Type: Journal Article. Language: English. Major Descriptor: Eating Behavior; Exercise; Health Behavior; Program Evaluation; School Based Intervention. Classification: Curriculum &amp;amp; Programs &amp;amp; Teaching Methods (3530); Promotion &amp;amp; Maintenance of Health &amp;amp; Wellness (3365). Population: Human (10); Male (30); Female (40). Location: Belgium. Age Group: Adolescence (13-17 yrs) (200). Tests &amp;amp; Measures: Physical Activity Questionnaire DOI: 10.1037/t27348-000. Methodology: Empirical Study; Longitudinal Study; Quantitative Study. References Available: Y. Page Count: 11. Issue Publication Date: Dec, 2006.","page":"911-921","publisher":"Oxford University Press","publisher-place":"Haerens, Leen, Department of Movement and Sports Sciences, Ghent University, Watersportlaan 2, 9000, Ghent, Belgium","title":"Evaluation of a 2-year physical activity and healthy eating intervention in middle school children.","type":"article-journal","volume":"21"},"uris":["http://www.mendeley.com/documents/?uuid=bbef8914-979d-4764-8405-477314275444"]}],"mendeley":{"formattedCitation":"(Haerens et al., 2006)","plainTextFormattedCitation":"(Haerens et al., 2006)","previouslyFormattedCitation":"(Haerens et al., 2006)"},"properties":{"noteIndex":0},"schema":"https://github.com/citation-style-language/schema/raw/master/csl-citation.json"}</w:instrText>
      </w:r>
      <w:r w:rsidRPr="00B1522E">
        <w:rPr>
          <w:rFonts w:cstheme="minorHAnsi"/>
        </w:rPr>
        <w:fldChar w:fldCharType="separate"/>
      </w:r>
      <w:r w:rsidRPr="00B1522E">
        <w:rPr>
          <w:rFonts w:cstheme="minorHAnsi"/>
          <w:noProof/>
        </w:rPr>
        <w:t>(Haerens et al., 2006)</w:t>
      </w:r>
      <w:r w:rsidRPr="00B1522E">
        <w:rPr>
          <w:rFonts w:cstheme="minorHAnsi"/>
        </w:rPr>
        <w:fldChar w:fldCharType="end"/>
      </w:r>
      <w:r w:rsidRPr="00B1522E">
        <w:rPr>
          <w:rFonts w:cstheme="minorHAnsi"/>
        </w:rPr>
        <w:t xml:space="preserve">: two out of these three studies had strong quality ratings </w:t>
      </w:r>
      <w:r w:rsidRPr="00B1522E">
        <w:rPr>
          <w:rFonts w:cstheme="minorHAnsi"/>
        </w:rPr>
        <w:fldChar w:fldCharType="begin" w:fldLock="1"/>
      </w:r>
      <w:r w:rsidR="00971CA4" w:rsidRPr="00B1522E">
        <w:rPr>
          <w:rFonts w:cstheme="minorHAnsi"/>
        </w:rPr>
        <w:instrText>ADDIN CSL_CITATION {"citationItems":[{"id":"ITEM-1","itemData":{"ISSN":"1479-5868","abstract":"Objectives: This paper aims to identify the mediating mechanisms of a school-based obesity prevention program (DOiT). Methods: The DOiT-program was implemented in Dutch prevocational secondary schools and evaluated using a controlled, cluster-randomised trial (September 2003 to May 2004). We examined mediators of effects regarding (1) consumption of sugar containing beverages (SCB); (2) consumption of high caloric snacks; (3) screen-viewing behaviour; and (4) active commuting to school. To improve these behaviours the DOiT-program tried to influence the following potentially mediating variables: attitude, subjective norm, perceived behavioural control, and habit-strength. Results: Both in boys (n = 418) and girls (n = 436) the DOiT-intervention reduced SCB consumption (between group difference in boys = -303.5 ml/day, 95% CI: -502.4;-104.5, between group difference in girls = -222.3 ml/day, 95% CI: -371.3;-73.2). The intervention did not affect the other examined behaviours. In girls, no intervention effect on hypothetical mediators was found nor evidence of any mediating mechanisms. Boys in intervention schools improved their attitude towards decreasing SCB consumption, while this behaviour became less of a habit. Indeed, attitude and habit strength were significant mediators of the DOiT-intervention's effect (4.5 and 3.8%, respectively) on SCB consumption among boys. Conclusion: Our findings imply that interventions aimed at EBRB-change should be gender-specific. Future studies aimed at reducing SCB consumption among boys should target attitude and habit strength as mediating mechanisms. Our study did not resolve the mediating mechanisms in girls.Trial registration: International Standard Randomised Controlled Trial Number Register ISRCTN87127361 (PsycINFO Database Record (c) 2015 APA, all rights reserved). (journal abstract)","author":[{"dropping-particle":"","family":"Chin A Paw","given":"Marijke J M","non-dropping-particle":"","parse-names":false,"suffix":""},{"dropping-particle":"","family":"Singh","given":"Amika S","non-dropping-particle":"","parse-names":false,"suffix":""},{"dropping-particle":"","family":"Brug","given":"Johannes","non-dropping-particle":"","parse-names":false,"suffix":""},{"dropping-particle":"","family":"Mechelen","given":"Willem","non-dropping-particle":"van","parse-names":false,"suffix":""}],"container-title":"The International Journal of Behavioral Nutrition and Physical Activity","id":"ITEM-1","issue":"41","issued":{"date-parts":[["2008","8","11"]]},"note":"Accession Number: 2014-47904-001. PMID: 18694483 Partial author list: First Author &amp;amp; Affiliation: Chin A Paw, Marijke J. M.; EMGO-Institute and Department of Public and Occupational Health, VU University Medical Center, Amsterdam, Netherlands. Release Date: 20141208. Correction Date: 20151207. Publication Type: Journal (0100), Peer Reviewed Journal (0110). Format Covered: Electronic. Document Type: Journal Article. Language: English. Major Descriptor: Health Behavior; Obesity; Prevention; School Based Intervention. Minor Descriptor: Beverages (Nonalcoholic); Human Sex Differences; Screen Time. Classification: Educational/Vocational Counseling &amp;amp; Student Services (3580). Population: Human (10); Male (30); Female (40). Location: Netherlands. Age Group: Childhood (birth-12 yrs) (100); School Age (6-12 yrs) (180); Adolescence (13-17 yrs) (200). Tests &amp;amp; Measures: Dutch Obesity Intervention in Teenagers Questionnaire. Methodology: Empirical Study; Quantitative Study. ArtID: 41. Issue Publication Date: Aug 11, 2008. Publication History: First Posted Date: Aug 11, 2008; Accepted Date: Aug 11, 2008; First Submitted Date: Jan 10, 2008. Copyright Statement: Paw et al. 2008.","page":"1-11","publisher":"BioMed Central Limited","publisher-place":"Chin A Paw, Marijke J. M., EMGO-Institute and Department of Public and Occupational Health, VU University Medical Center, Amsterdam, Netherlands","title":"Why did soft drink consumption decrease but screen time not? Mediating mechanisms in a school-based obesity prevention program.","type":"article-journal","volume":"5"},"uris":["http://www.mendeley.com/documents/?uuid=0ae3b1a2-a736-4e3f-8869-95e5f4733a34"]},{"id":"ITEM-2","itemData":{"ISSN":"0091-7435","abstract":"Background: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Theory","id":"ITEM-2","issue":"6","issued":{"date-parts":[["2010","12"]]},"note":"Accession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adolescents.","type":"article-journal","volume":"51"},"uris":["http://www.mendeley.com/documents/?uuid=74acfc22-4c53-4fd1-8464-3f7cdd79586e"]}],"mendeley":{"formattedCitation":"(Chin A Paw et al., 2008; Mauriello et al., 2010)","plainTextFormattedCitation":"(Chin A Paw et al., 2008; Mauriello et al., 2010)","previouslyFormattedCitation":"(Chin A Paw et al., 2008; Mauriello et al., 2010)"},"properties":{"noteIndex":0},"schema":"https://github.com/citation-style-language/schema/raw/master/csl-citation.json"}</w:instrText>
      </w:r>
      <w:r w:rsidRPr="00B1522E">
        <w:rPr>
          <w:rFonts w:cstheme="minorHAnsi"/>
        </w:rPr>
        <w:fldChar w:fldCharType="separate"/>
      </w:r>
      <w:r w:rsidR="00CD7616" w:rsidRPr="00B1522E">
        <w:rPr>
          <w:rFonts w:cstheme="minorHAnsi"/>
          <w:noProof/>
        </w:rPr>
        <w:t>(Chin A Paw et al., 2008; Mauriello et al., 2010)</w:t>
      </w:r>
      <w:r w:rsidRPr="00B1522E">
        <w:rPr>
          <w:rFonts w:cstheme="minorHAnsi"/>
        </w:rPr>
        <w:fldChar w:fldCharType="end"/>
      </w:r>
      <w:r w:rsidRPr="00B1522E">
        <w:rPr>
          <w:rFonts w:cstheme="minorHAnsi"/>
        </w:rPr>
        <w:t xml:space="preserve">. The one study that was </w:t>
      </w:r>
      <w:r w:rsidRPr="00B1522E">
        <w:rPr>
          <w:rFonts w:cstheme="minorHAnsi"/>
          <w:i/>
        </w:rPr>
        <w:t>not</w:t>
      </w:r>
      <w:r w:rsidRPr="00B1522E">
        <w:rPr>
          <w:rFonts w:cstheme="minorHAnsi"/>
        </w:rPr>
        <w:t xml:space="preserve"> successful at changing behaviour gave normative feedback compared to recommended consumption only </w:t>
      </w:r>
      <w:r w:rsidRPr="00B1522E">
        <w:rPr>
          <w:rFonts w:cstheme="minorHAnsi"/>
        </w:rPr>
        <w:fldChar w:fldCharType="begin" w:fldLock="1"/>
      </w:r>
      <w:r w:rsidR="00660052" w:rsidRPr="00B1522E">
        <w:rPr>
          <w:rFonts w:cstheme="minorHAnsi"/>
        </w:rPr>
        <w:instrText>ADDIN CSL_CITATION {"citationItems":[{"id":"ITEM-1","itemData":{"ISSN":"1403-4948","abstract":"Background and purpose: The lack of effective school-based interventions for preventing obesity in children has caused a call for longer duration of interventions and better reporting on design and evaluation methodology. The purpose of this paper is to present the development of the intervention, the design of the effectiveness study, and the test-retest reliability of the main outcome measures in the HEalth In Adolescents (HEIA) study. Methods/design: The HEIA intervention programme was developed based on literature reviews, a social ecological framework, and focus groups. The intervention aimed to increase total physical activity (PA) and consumption of fruit and vegetables and to decrease screen time and consumption of sugar-sweetened beverages. The intervention programme consisted of a classroom component, including dietary behaviour lessons, computer tailoring, fruit/vegetable and PA breaks, and posters, and an environmental component including active transport campaigns, equipment, suggestions for easy improvements of schoolyards, inspirational courses for teachers (all with regards to PA), and fact sheets to parents. The effect of the intervention programme is evaluated in a cluster randomised controlled trial design (intervention = 12 schools, control = 25 schools) including process evaluation. Main outcomes include anthropometry, PA, screen time, and consumption of fruit, vegetables, and sugar-sweetened beverages. A 2-week test– retest study was conducted among 114 pupils. Determinants of the behaviours were assessed. Similar data were collected from parents. Children’s PA was measured objectively by accelerometers. Conclusions: The HEIA study represents a theoretically informed randomised trial comprising a comprehensive set of multilevel intervention components with a thorough evaluation using reliable outcome measures. The study will contribute to a better understanding of determinants of healthy weight development among young people and how such determinants can be modified. (PsycINFO Database Record (c) 2012 APA, all rights reserved). (journal abstract)","author":[{"dropping-particle":"","family":"Lien","given":"N","non-dropping-particle":"","parse-names":false,"suffix":""},{"dropping-particle":"","family":"Bjelland","given":"M","non-dropping-particle":"","parse-names":false,"suffix":""},{"dropping-particle":"","family":"Bergh","given":"I H","non-dropping-particle":"","parse-names":false,"suffix":""},{"dropping-particle":"","family":"Grydeland","given":"M","non-dropping-particle":"","parse-names":false,"suffix":""},{"dropping-particle":"","family":"Anderssen","given":"S A","non-dropping-particle":"","parse-names":false,"suffix":""},{"dropping-particle":"","family":"Ommundsen","given":"Y","non-dropping-particle":"","parse-names":false,"suffix":""},{"dropping-particle":"","family":"Andersen","given":"L F","non-dropping-particle":"","parse-names":false,"suffix":""},{"dropping-particle":"","family":"Henriksen","given":"H B","non-dropping-particle":"","parse-names":false,"suffix":""},{"dropping-particle":"","family":"Randby","given":"J S","non-dropping-particle":"","parse-names":false,"suffix":""},{"dropping-particle":"","family":"Klepp","given":"K.-I.","non-dropping-particle":"","parse-names":false,"suffix":""}],"container-title":"Scandinavian Journal of Public Health","id":"ITEM-1","issue":"5","issued":{"date-parts":[["2010","11"]]},"note":"Accession Number: 2010-26686-007. Partial author list: First Author &amp;amp; Affiliation: Lien, N.; Department of Nutrition, Faculty of Medicine, University of Oslo, Oslo, Norway. Other Publishers: Taylor &amp;amp; Francis. Release Date: 20110214. Publication Type: Journal (0100), Peer Reviewed Journal (0110). Format Covered: Electronic. Document Type: Journal Article. Language: English. Major Descriptor: Body Weight; Health Promotion; Obesity; School Based Intervention. Minor Descriptor: Clinical Trials. Classification: Curriculum &amp;amp; Programs &amp;amp; Teaching Methods (3530). Population: Human (10); Male (30); Female (40). Location: Norway. Age Group: Childhood (birth-12 yrs) (100); School Age (6-12 yrs) (180); Adolescence (13-17 yrs) (200); Adulthood (18 yrs &amp;amp; older) (300). Tests &amp;amp; Measures: School Nurse Questionnaire; School Headmaster Questionnaire. Methodology: Empirical Study; Interview; Focus Group; Quantitative Study. References Available: Y. Page Count: 14. Issue Publication Date: Nov, 2010. Publication History: Accepted Date: Jul 4, 2010. Copyright Statement: The Nordic Societies of Public Health. 2010.","page":"38-51","publisher":"Sage Publications","title":"Design of a 20-month comprehensive, multicomponent school-based randomised trial to promote healthy weight development among 11-13 year olds: The HEalth In Adolescents study.","type":"article-journal","volume":"38"},"uris":["http://www.mendeley.com/documents/?uuid=78beb7d0-a0fa-4834-9f1b-52f489a9a220"]}],"mendeley":{"formattedCitation":"(Lien et al., 2010)","plainTextFormattedCitation":"(Lien et al., 2010)","previouslyFormattedCitation":"(Lien et al., 2010)"},"properties":{"noteIndex":0},"schema":"https://github.com/citation-style-language/schema/raw/master/csl-citation.json"}</w:instrText>
      </w:r>
      <w:r w:rsidRPr="00B1522E">
        <w:rPr>
          <w:rFonts w:cstheme="minorHAnsi"/>
        </w:rPr>
        <w:fldChar w:fldCharType="separate"/>
      </w:r>
      <w:r w:rsidRPr="00B1522E">
        <w:rPr>
          <w:rFonts w:cstheme="minorHAnsi"/>
          <w:noProof/>
        </w:rPr>
        <w:t>(Lien et al., 2010)</w:t>
      </w:r>
      <w:r w:rsidRPr="00B1522E">
        <w:rPr>
          <w:rFonts w:cstheme="minorHAnsi"/>
        </w:rPr>
        <w:fldChar w:fldCharType="end"/>
      </w:r>
      <w:r w:rsidRPr="00B1522E">
        <w:rPr>
          <w:rFonts w:cstheme="minorHAnsi"/>
        </w:rPr>
        <w:t xml:space="preserve">. It has been suggested that providing a person with normative feedback can help improve behaviour as individuals will adjust their behaviour accordingly (i.e. to match the perceived appropriate norm) </w:t>
      </w:r>
      <w:r w:rsidRPr="00B1522E">
        <w:rPr>
          <w:rFonts w:cstheme="minorHAnsi"/>
        </w:rPr>
        <w:fldChar w:fldCharType="begin" w:fldLock="1"/>
      </w:r>
      <w:r w:rsidR="00DF6CCC" w:rsidRPr="00B1522E">
        <w:rPr>
          <w:rFonts w:cstheme="minorHAnsi"/>
        </w:rPr>
        <w:instrText>ADDIN CSL_CITATION {"citationItems":[{"id":"ITEM-1","itemData":{"abstract":"It is often assumed that social models influence people’s eating behavior by providing a norm of appropriate food intake, but this hypothesis has not been directly tested. In three experiments, female participants were exposed to a low-intake model, a high-intake model, or no model (control condition). Experiments 1 and 2 used a remote-confederate manipulation and were conducted in the context of a cookie taste test. Experiment 3 used a live confederate and was conducted in the context of a task during which participants were given incidental access to food. Participants also rated the extent to which their food intake was influenced by a variety of factors (e.g., hunger, taste, how much others ate). In all three experiments, participants in the low-intake conditions ate less than did participants in the high-intake conditions, and also reported a lower perceived norm of appropriate intake. Furthermore, perceived norms of appropriate intake mediated the effects of the social model on participants’ food intake. Despite the observed effects of the social models, participants were much more likely to indicate that their food intake was influenced by taste and hunger than by the behavior of the social models. Thus, social models appear to influence food intake by providing a norm of appropriate eating behavior, but people may be unaware of the influence of a social model on their behavior.","author":[{"dropping-particle":"","family":"Vartanian","given":"Lenny R","non-dropping-particle":"","parse-names":false,"suffix":""},{"dropping-particle":"","family":"Sokol","given":"Nicole","non-dropping-particle":"","parse-names":false,"suffix":""},{"dropping-particle":"","family":"Herman","given":"C Peter","non-dropping-particle":"","parse-names":false,"suffix":""},{"dropping-particle":"","family":"Polivy","given":"Janet","non-dropping-particle":"","parse-names":false,"suffix":""}],"container-title":"PLOS ONE","id":"ITEM-1","issue":"11","issued":{"date-parts":[["2013","11","13"]]},"page":"e79268","publisher":"Public Library of Science","title":"Social Models Provide a Norm of Appropriate Food Intake for Young Women","type":"article-journal","volume":"8"},"uris":["http://www.mendeley.com/documents/?uuid=da247382-7c9a-41db-acc2-c4c679e339cf"]}],"mendeley":{"formattedCitation":"(Vartanian et al., 2013)","plainTextFormattedCitation":"(Vartanian et al., 2013)","previouslyFormattedCitation":"(Vartanian et al., 2013)"},"properties":{"noteIndex":0},"schema":"https://github.com/citation-style-language/schema/raw/master/csl-citation.json"}</w:instrText>
      </w:r>
      <w:r w:rsidRPr="00B1522E">
        <w:rPr>
          <w:rFonts w:cstheme="minorHAnsi"/>
        </w:rPr>
        <w:fldChar w:fldCharType="separate"/>
      </w:r>
      <w:r w:rsidR="004B7FAF" w:rsidRPr="00B1522E">
        <w:rPr>
          <w:rFonts w:cstheme="minorHAnsi"/>
          <w:noProof/>
        </w:rPr>
        <w:t>(Vartanian et al., 2013)</w:t>
      </w:r>
      <w:r w:rsidRPr="00B1522E">
        <w:rPr>
          <w:rFonts w:cstheme="minorHAnsi"/>
        </w:rPr>
        <w:fldChar w:fldCharType="end"/>
      </w:r>
      <w:r w:rsidRPr="00B1522E">
        <w:rPr>
          <w:rFonts w:cstheme="minorHAnsi"/>
        </w:rPr>
        <w:t xml:space="preserve">.  Furthermore, the advantages of tailored feedback are that it can be self-directed, target school-specific behaviours and norms, and it can address multiple behaviours within a short session </w:t>
      </w:r>
      <w:r w:rsidRPr="00B1522E">
        <w:rPr>
          <w:rFonts w:cstheme="minorHAnsi"/>
        </w:rPr>
        <w:fldChar w:fldCharType="begin" w:fldLock="1"/>
      </w:r>
      <w:r w:rsidR="00D046DC" w:rsidRPr="00B1522E">
        <w:rPr>
          <w:rFonts w:cstheme="minorHAnsi"/>
        </w:rPr>
        <w:instrText>ADDIN CSL_CITATION {"citationItems":[{"id":"ITEM-1","itemData":{"ISSN":"0091-7435","abstract":"Background: This study reports on effectiveness trial outcomes of Health in Motion, a computer tailored multiple behavior intervention for adolescents. Methods: Using school as level of assignment, students (n = 1800) from eight high schools in four states (RI, TN, MA, and NY) were stratified and randomly assigned to no treatment or a multi-media intervention for physical activity, fruit and vegetable consumption, and limited TV viewing between 2006 and 2007. Results: Intervention effects on continuous outcomes, on movement to action and maintenance stages, and on stability within action and maintenance stages were evaluated using random effects modeling. Effects were most pronounced for fruit and vegetable consumption and for total risks across all time points and for each behavior immediately post intervention. Co-variation of behavior change occurred within the treatment group, where individuals progressing to action or maintenance for one behavior were 1.4–4.2 times more likely to make similar progress on another behavior. Conclusion: Health in Motion is an innovative, multiple behavior obesity prevention intervention relevant for all adolescents that relies solely on interactive technology to deliver tailored feedback. The outcomes of the effectiveness trial demonstrate both an ability to initiate behavior change across multiple energy balance behaviors simultaneously and feasibility for ease of dissemination. (PsycINFO Database Record (c) 2012 APA, all rights reserved). (journal abstract)","author":[{"dropping-particle":"","family":"Mauriello","given":"Leanne M","non-dropping-particle":"","parse-names":false,"suffix":""},{"dropping-particle":"","family":"Ciavatta","given":"Mary Margaret H","non-dropping-particle":"","parse-names":false,"suffix":""},{"dropping-particle":"","family":"Paiva","given":"Andrea L","non-dropping-particle":"","parse-names":false,"suffix":""},{"dropping-particle":"","family":"Sherman","given":"Karen J","non-dropping-particle":"","parse-names":false,"suffix":""},{"dropping-particle":"","family":"Castle","given":"Patricia H","non-dropping-particle":"","parse-names":false,"suffix":""},{"dropping-particle":"","family":"Johnson","given":"Janet L","non-dropping-particle":"","parse-names":false,"suffix":""},{"dropping-particle":"","family":"Prochaska","given":"Janice M","non-dropping-particle":"","parse-names":false,"suffix":""}],"container-title":"Preventive Medicine: An International Journal Devoted to Practice and Theory","id":"ITEM-1","issue":"6","issued":{"date-parts":[["2010","12"]]},"note":"Accession Number: 2010-25178-004. Other Journal Title: Preventative Medicine: An International Journal Devoted to Practice &amp;amp; Theory. Partial author list: First Author &amp;amp; Affiliation: Mauriello, Leanne M.; Pro-Change Behaviors Systems, Inc., West Kingston, RI, US. Release Date: 20110228. Publication Type: Journal (0100), Peer Reviewed Journal (0110). Format Covered: Electronic. Document Type: Journal Article. Language: English. Major Descriptor: Intervention; Nutrition; Obesity; Prevention; Multimedia. Classification: Eating Disorders (3260); Health &amp;amp; Mental Health Treatment &amp;amp; Prevention (3300). Population: Human (10); Male (30); Female (40). Location: US. Age Group: Adolescence (13-17 yrs) (200). Tests &amp;amp; Measures: The Robinson and Killen (1995) TV time measure. Methodology: Empirical Study; Quantitative Study. References Available: Y. Page Count: 6. Issue Publication Date: Dec, 2010. Publication History: First Posted Date: Aug 25, 2010. Copyright Statement: All rights reserved. Elsevier Inc. 2010.","page":"451-456","publisher":"Elsevier Science","publisher-place":"Mauriello, Leanne M., Pro-Change Behaviors Systems, Inc., P. O. Box 755, West Kingston, RI, US, 02892","title":"Results of a multi-media multiple behavior obesity prevention program for adolescents.","type":"article-journal","volume":"51"},"uris":["http://www.mendeley.com/documents/?uuid=74acfc22-4c53-4fd1-8464-3f7cdd79586e"]}],"mendeley":{"formattedCitation":"(Mauriello et al., 2010)","plainTextFormattedCitation":"(Mauriello et al., 2010)","previouslyFormattedCitation":"(Mauriello et al., 2010)"},"properties":{"noteIndex":0},"schema":"https://github.com/citation-style-language/schema/raw/master/csl-citation.json"}</w:instrText>
      </w:r>
      <w:r w:rsidRPr="00B1522E">
        <w:rPr>
          <w:rFonts w:cstheme="minorHAnsi"/>
        </w:rPr>
        <w:fldChar w:fldCharType="separate"/>
      </w:r>
      <w:r w:rsidRPr="00B1522E">
        <w:rPr>
          <w:rFonts w:cstheme="minorHAnsi"/>
          <w:noProof/>
        </w:rPr>
        <w:t>(Mauriello et al., 2010)</w:t>
      </w:r>
      <w:r w:rsidRPr="00B1522E">
        <w:rPr>
          <w:rFonts w:cstheme="minorHAnsi"/>
        </w:rPr>
        <w:fldChar w:fldCharType="end"/>
      </w:r>
      <w:r w:rsidRPr="00B1522E">
        <w:rPr>
          <w:rFonts w:eastAsia="Calibri" w:cstheme="minorHAnsi"/>
        </w:rPr>
        <w:t xml:space="preserve">. </w:t>
      </w:r>
    </w:p>
    <w:p w14:paraId="3BAF6B5C" w14:textId="77777777" w:rsidR="00987AC8" w:rsidRPr="00B1522E" w:rsidRDefault="00987AC8" w:rsidP="00734D95">
      <w:pPr>
        <w:spacing w:line="480" w:lineRule="auto"/>
      </w:pPr>
    </w:p>
    <w:bookmarkStart w:id="71" w:name="_Toc84678913"/>
    <w:p w14:paraId="53B68C3A" w14:textId="62DC8CDE" w:rsidR="00987AC8" w:rsidRPr="00B1522E" w:rsidRDefault="004249FE" w:rsidP="00734D95">
      <w:pPr>
        <w:spacing w:line="480" w:lineRule="auto"/>
      </w:pPr>
      <w:r w:rsidRPr="00B1522E">
        <w:fldChar w:fldCharType="begin"/>
      </w:r>
      <w:r w:rsidRPr="00B1522E">
        <w:instrText xml:space="preserve"> TC  "</w:instrText>
      </w:r>
      <w:bookmarkStart w:id="72" w:name="_Toc97310427"/>
      <w:r w:rsidRPr="00B1522E">
        <w:instrText>2.5.7 Strengths and Limitations</w:instrText>
      </w:r>
      <w:bookmarkEnd w:id="72"/>
      <w:r w:rsidRPr="00B1522E">
        <w:instrText xml:space="preserve"> " \f x\l 3 </w:instrText>
      </w:r>
      <w:r w:rsidRPr="00B1522E">
        <w:fldChar w:fldCharType="end"/>
      </w:r>
      <w:r w:rsidR="00FE7BC8" w:rsidRPr="00B1522E">
        <w:t xml:space="preserve">2.5.7 </w:t>
      </w:r>
      <w:r w:rsidR="00987AC8" w:rsidRPr="00B1522E">
        <w:t xml:space="preserve">Strengths and </w:t>
      </w:r>
      <w:r w:rsidR="00340CA7" w:rsidRPr="00B1522E">
        <w:t>L</w:t>
      </w:r>
      <w:r w:rsidR="00987AC8" w:rsidRPr="00B1522E">
        <w:t>imitations</w:t>
      </w:r>
      <w:bookmarkEnd w:id="71"/>
      <w:r w:rsidR="00987AC8" w:rsidRPr="00B1522E">
        <w:t xml:space="preserve"> </w:t>
      </w:r>
    </w:p>
    <w:p w14:paraId="17DE4DF1" w14:textId="7494E5E8" w:rsidR="00987AC8" w:rsidRPr="00B1522E" w:rsidRDefault="00987AC8" w:rsidP="00734D95">
      <w:pPr>
        <w:spacing w:line="480" w:lineRule="auto"/>
        <w:jc w:val="both"/>
        <w:rPr>
          <w:rFonts w:eastAsia="Calibri" w:cstheme="minorHAnsi"/>
        </w:rPr>
      </w:pPr>
      <w:r w:rsidRPr="00B1522E">
        <w:rPr>
          <w:rFonts w:cstheme="minorHAnsi"/>
        </w:rPr>
        <w:t xml:space="preserve">A strength of the present review is the comparison of different intervention components that are employed to change dietary behaviours amongst 11- to 16-year-olds in a school setting. To our knowledge, there is no existing review </w:t>
      </w:r>
      <w:r w:rsidR="00174F8C" w:rsidRPr="00B1522E">
        <w:rPr>
          <w:rFonts w:cstheme="minorHAnsi"/>
        </w:rPr>
        <w:t xml:space="preserve">of </w:t>
      </w:r>
      <w:r w:rsidRPr="00B1522E">
        <w:rPr>
          <w:rFonts w:cstheme="minorHAnsi"/>
        </w:rPr>
        <w:t xml:space="preserve">in-school dietary behaviour change interventions </w:t>
      </w:r>
      <w:r w:rsidR="00174F8C" w:rsidRPr="00B1522E">
        <w:rPr>
          <w:rFonts w:cstheme="minorHAnsi"/>
        </w:rPr>
        <w:t xml:space="preserve">used </w:t>
      </w:r>
      <w:r w:rsidRPr="00B1522E">
        <w:rPr>
          <w:rFonts w:cstheme="minorHAnsi"/>
        </w:rPr>
        <w:t xml:space="preserve">with this age group. A further strength of this review is that the searches were comprehensive, resulting in a substantial number of studies, which used different types of interventions, targeted a number of </w:t>
      </w:r>
      <w:r w:rsidRPr="00B1522E">
        <w:rPr>
          <w:rFonts w:cstheme="minorHAnsi"/>
        </w:rPr>
        <w:lastRenderedPageBreak/>
        <w:t xml:space="preserve">dietary behaviours from a variety of countries, and utilised different study designs. This has helped to identify recommendations for future interventional research, within this age range, in a school setting and has decreased the possibility of excluding relevant studies. </w:t>
      </w:r>
      <w:r w:rsidRPr="00B1522E">
        <w:rPr>
          <w:rFonts w:eastAsia="Calibri" w:cstheme="minorHAnsi"/>
        </w:rPr>
        <w:t xml:space="preserve">Although the review has several strengths, some limitations should be noted before concluding the review. </w:t>
      </w:r>
      <w:r w:rsidRPr="00B1522E">
        <w:rPr>
          <w:rFonts w:cstheme="minorHAnsi"/>
        </w:rPr>
        <w:t xml:space="preserve">One limitation, that is not just limited to this individual review but has been documented in other reviews </w:t>
      </w:r>
      <w:r w:rsidRPr="00B1522E">
        <w:rPr>
          <w:rFonts w:cstheme="minorHAnsi"/>
        </w:rPr>
        <w:fldChar w:fldCharType="begin" w:fldLock="1"/>
      </w:r>
      <w:r w:rsidR="007463D4" w:rsidRPr="00B1522E">
        <w:rPr>
          <w:rFonts w:cstheme="minorHAnsi"/>
        </w:rPr>
        <w:instrText>ADDIN CSL_CITATION {"citationItems":[{"id":"ITEM-1","itemData":{"ISBN":"1471-2458","ISSN":"1471-2458","PMID":"21333011","abstract":"Background: To develop more efficient programmes for promoting dietary and/or physical activity change (in order to prevent type 2 diabetes) it is critical to ensure that the intervention components and characteristics most strongly associated with effectiveness are included. The aim of this systematic review of reviews was to identify intervention components that are associated with increased change in diet and/or physical activity in individuals at risk of type 2 diabetes. Methods: MEDLINE, EMBASE, CINAHL, PsycInfo, and the Cochrane Library were searched for systematic reviews of interventions targeting diet and/or physical activity in adults at risk of developing type 2 diabetes from 1998 to 2008. Two reviewers independently selected reviews and rated methodological quality. Individual analyses from reviews relating effectiveness to intervention components were extracted, graded for evidence quality and summarised. Results: Of 3856 identified articles, 30 met the inclusion criteria and 129 analyses related intervention components to effectiveness. These included causal analyses (based on randomisation of participants to different intervention conditions) and associative analyses (e.g. meta-regression). Overall, interventions produced clinically meaningful weight loss (3-5 kg at 12 months; 2-3 kg at 36 months) and increased physical activity (30-60 mins/week of moderate activity at 12-18 months). Based on causal analyses, intervention effectiveness was increased by engaging social support, targeting both diet and physical activity, and using well-defined/established behaviour change techniques. Increased effectiveness was also associated with increased contact frequency and using a specific cluster of \" self-regulatory \" behaviour change techniques (e.g. goal-setting, self-monitoring). No clear relationships were found between effectiveness and intervention setting, delivery mode, study population or delivery provider. Evidence on long-term effectiveness suggested the need for greater consideration of behaviour maintenance strategies. Conclusions: This comprehensive review of reviews identifies specific components which are associated with increased effectiveness in interventions to promote change in diet and/or physical activity. To maximise the efficiency of programmes for diabetes prevention, practitioners and commissioning organisations should consider including these components. Background","author":[{"dropping-particle":"","family":"Greaves","given":"Colin J","non-dropping-particle":"","parse-names":false,"suffix":""},{"dropping-particle":"","family":"Sheppard","given":"Kate E","non-dropping-particle":"","parse-names":false,"suffix":""},{"dropping-particle":"","family":"Abraham","given":"Charles","non-dropping-particle":"","parse-names":false,"suffix":""},{"dropping-particle":"","family":"Hardeman","given":"Wendy","non-dropping-particle":"","parse-names":false,"suffix":""},{"dropping-particle":"","family":"Roden","given":"Michael","non-dropping-particle":"","parse-names":false,"suffix":""},{"dropping-particle":"","family":"Evans","given":"Philip H","non-dropping-particle":"","parse-names":false,"suffix":""},{"dropping-particle":"","family":"Schwarz","given":"Peter","non-dropping-particle":"","parse-names":false,"suffix":""}],"container-title":"BMC Public Health","id":"ITEM-1","issue":"1","issued":{"date-parts":[["2011"]]},"page":"119","publisher":"BioMed Central Ltd","title":"Systematic review of reviews of intervention components associated with increased effectiveness in dietary and physical activity interventions","type":"article-journal","volume":"11"},"uris":["http://www.mendeley.com/documents/?uuid=deaa4384-ddbc-4569-b36a-749db5e6cd48"]},{"id":"ITEM-2","itemData":{"ISSN":"1664-1078","author":[{"dropping-particle":"","family":"Dempsey","given":"Robert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psychology","id":"ITEM-2","issued":{"date-parts":[["2018"]]},"page":"2180","publisher":"Frontiers","title":"A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 Greaves et al., 2011)","plainTextFormattedCitation":"(Dempsey et al., 2018; Greaves et al., 2011)","previouslyFormattedCitation":"(Dempsey et al., 2018; Greaves et al., 2011)"},"properties":{"noteIndex":0},"schema":"https://github.com/citation-style-language/schema/raw/master/csl-citation.json"}</w:instrText>
      </w:r>
      <w:r w:rsidRPr="00B1522E">
        <w:rPr>
          <w:rFonts w:cstheme="minorHAnsi"/>
        </w:rPr>
        <w:fldChar w:fldCharType="separate"/>
      </w:r>
      <w:r w:rsidR="002908AE" w:rsidRPr="00B1522E">
        <w:rPr>
          <w:rFonts w:cstheme="minorHAnsi"/>
          <w:noProof/>
        </w:rPr>
        <w:t>(Dempsey et al., 2018; Greaves et al., 2011)</w:t>
      </w:r>
      <w:r w:rsidRPr="00B1522E">
        <w:rPr>
          <w:rFonts w:cstheme="minorHAnsi"/>
        </w:rPr>
        <w:fldChar w:fldCharType="end"/>
      </w:r>
      <w:r w:rsidR="008D66FA" w:rsidRPr="00B1522E">
        <w:rPr>
          <w:rFonts w:cstheme="minorHAnsi"/>
        </w:rPr>
        <w:t>,</w:t>
      </w:r>
      <w:r w:rsidRPr="00B1522E">
        <w:rPr>
          <w:rFonts w:cstheme="minorHAnsi"/>
        </w:rPr>
        <w:t xml:space="preserve"> is the lack of description or selective reporting in the original studies of the implemented intervention; this includes, but is not restricted to, the inadequate description of some intervention components (e.g. the specific feedback messages incorporated in the intervention), the intervention and study design, and levels of exposure of the intervention to participants. This makes it difficult to draw conclusions from some studies because of the lack of specific detail in the descriptions of interventional components, as well as difficulty in identifying what was successful at changing dietary behaviours, and how and why this was effective. </w:t>
      </w:r>
      <w:r w:rsidRPr="00B1522E">
        <w:rPr>
          <w:rFonts w:eastAsia="Calibri" w:cstheme="minorHAnsi"/>
        </w:rPr>
        <w:t xml:space="preserve">A further potential limitation was the non-feasibility of conducting a meta-analysis owing to the heterogeneity of the behaviour measurements used, behaviour targeted, and results reported; however, to try to reduce the bias, a grey literature database was also searched. The review also was limited to studies published in ‘English language only’, which potentially could have limited the studies retrieved and the generalisability; however, the current review did include studies from a wide variety of countries. </w:t>
      </w:r>
    </w:p>
    <w:p w14:paraId="4DF30D2F" w14:textId="77777777" w:rsidR="00734D95" w:rsidRPr="00B1522E" w:rsidRDefault="00734D95" w:rsidP="00734D95">
      <w:pPr>
        <w:spacing w:line="480" w:lineRule="auto"/>
        <w:jc w:val="both"/>
        <w:rPr>
          <w:rFonts w:eastAsia="Calibri" w:cstheme="minorHAnsi"/>
        </w:rPr>
      </w:pPr>
    </w:p>
    <w:bookmarkStart w:id="73" w:name="_Toc84678914"/>
    <w:p w14:paraId="20CDA737" w14:textId="6CF281AC" w:rsidR="008E6DA0" w:rsidRPr="00B1522E" w:rsidRDefault="00D93C7D" w:rsidP="00734D95">
      <w:pPr>
        <w:spacing w:line="480" w:lineRule="auto"/>
      </w:pPr>
      <w:r w:rsidRPr="00B1522E">
        <w:fldChar w:fldCharType="begin"/>
      </w:r>
      <w:r w:rsidRPr="00B1522E">
        <w:instrText xml:space="preserve"> TC  "</w:instrText>
      </w:r>
      <w:bookmarkStart w:id="74" w:name="_Toc97310428"/>
      <w:r w:rsidRPr="00B1522E">
        <w:instrText>2.5.</w:instrText>
      </w:r>
      <w:r w:rsidR="001516C3" w:rsidRPr="00B1522E">
        <w:instrText>8</w:instrText>
      </w:r>
      <w:r w:rsidRPr="00B1522E">
        <w:instrText xml:space="preserve"> Conclusion</w:instrText>
      </w:r>
      <w:bookmarkEnd w:id="74"/>
      <w:r w:rsidRPr="00B1522E">
        <w:instrText xml:space="preserve"> " \f x\l 3 </w:instrText>
      </w:r>
      <w:r w:rsidRPr="00B1522E">
        <w:fldChar w:fldCharType="end"/>
      </w:r>
      <w:r w:rsidR="00FE7BC8" w:rsidRPr="00B1522E">
        <w:t>2.5.</w:t>
      </w:r>
      <w:r w:rsidR="001516C3" w:rsidRPr="00B1522E">
        <w:t>8</w:t>
      </w:r>
      <w:r w:rsidR="00FE7BC8" w:rsidRPr="00B1522E">
        <w:t xml:space="preserve"> </w:t>
      </w:r>
      <w:r w:rsidR="00987AC8" w:rsidRPr="00B1522E">
        <w:t>Conclusion</w:t>
      </w:r>
      <w:bookmarkEnd w:id="73"/>
    </w:p>
    <w:p w14:paraId="0A2D807A" w14:textId="77777777" w:rsidR="00987AC8" w:rsidRPr="00B1522E" w:rsidRDefault="00987AC8" w:rsidP="00734D95">
      <w:pPr>
        <w:spacing w:line="480" w:lineRule="auto"/>
        <w:jc w:val="both"/>
        <w:rPr>
          <w:rFonts w:eastAsia="Calibri" w:cstheme="minorHAnsi"/>
        </w:rPr>
      </w:pPr>
      <w:r w:rsidRPr="00B1522E">
        <w:rPr>
          <w:rFonts w:eastAsia="Calibri" w:cstheme="minorHAnsi"/>
        </w:rPr>
        <w:t xml:space="preserve">School-based interventions which aim to improve dietary behaviours amongst 11- to 16-year-olds are important, given that this is a key time for the formation of dietary habits. School settings represent a controlled environmental setting suitable for interventions, and positive behaviour change can be encouraged before unhealthy behaviours become habitual and more resistant to change with age. The findings of this systematic review suggest that interventions that aim to improve dietary behaviours in 11- to 16-year-olds within a school setting should potentially consider the following </w:t>
      </w:r>
      <w:r w:rsidRPr="00B1522E">
        <w:rPr>
          <w:rFonts w:eastAsia="Calibri" w:cstheme="minorHAnsi"/>
        </w:rPr>
        <w:lastRenderedPageBreak/>
        <w:t xml:space="preserve">components: involve peers in the delivery of the intervention; include educational media to deliver intervention messages; increase the availability of healthy foods in the school environment; and incorporate computerised tailored feedback that includes normative behaviours. More research is needed to evaluate these individual intervention components and their effects on dietary behaviours. The findings also suggest that there is also a need for interventional studies to include both short- and long-term follow-ups to better model and identify possible changes in dietary behaviour, especially as some behaviour changes may not be apparent immediately post-intervention. Given that there appear to be some gender differences in dietary behaviours in this age group, future interventions should also consider the use of tailored gender-specific feedback to increase the personal relevance and possible effectiveness of interventions for girls and boys respectively.   </w:t>
      </w:r>
    </w:p>
    <w:p w14:paraId="5F1C600E" w14:textId="71504FBA" w:rsidR="00340CA7" w:rsidRPr="00B1522E" w:rsidRDefault="00340CA7" w:rsidP="00340CA7">
      <w:pPr>
        <w:autoSpaceDE w:val="0"/>
        <w:autoSpaceDN w:val="0"/>
        <w:adjustRightInd w:val="0"/>
        <w:spacing w:after="0" w:line="240" w:lineRule="auto"/>
        <w:rPr>
          <w:rFonts w:eastAsia="Calibri" w:cstheme="minorHAnsi"/>
        </w:rPr>
      </w:pPr>
      <w:bookmarkStart w:id="75" w:name="OLE_LINK3"/>
      <w:bookmarkStart w:id="76" w:name="OLE_LINK4"/>
    </w:p>
    <w:p w14:paraId="310F9180" w14:textId="5F459D46" w:rsidR="002D57EA" w:rsidRPr="00646E6A" w:rsidRDefault="00BF79BF" w:rsidP="00340CA7">
      <w:pPr>
        <w:autoSpaceDE w:val="0"/>
        <w:autoSpaceDN w:val="0"/>
        <w:adjustRightInd w:val="0"/>
        <w:spacing w:after="0" w:line="240" w:lineRule="auto"/>
        <w:rPr>
          <w:rFonts w:eastAsia="Calibri" w:cstheme="minorHAnsi"/>
        </w:rPr>
      </w:pPr>
      <w:r w:rsidRPr="00646E6A">
        <w:fldChar w:fldCharType="begin"/>
      </w:r>
      <w:r w:rsidRPr="00646E6A">
        <w:instrText xml:space="preserve"> TC  "</w:instrText>
      </w:r>
      <w:bookmarkStart w:id="77" w:name="_Toc97310429"/>
      <w:r w:rsidRPr="00646E6A">
        <w:instrText>2.6 Top-up search</w:instrText>
      </w:r>
      <w:bookmarkEnd w:id="77"/>
      <w:r w:rsidRPr="00646E6A">
        <w:instrText xml:space="preserve"> " \f x\l </w:instrText>
      </w:r>
      <w:r w:rsidR="00A62913" w:rsidRPr="00646E6A">
        <w:instrText>2</w:instrText>
      </w:r>
      <w:r w:rsidRPr="00646E6A">
        <w:instrText xml:space="preserve"> </w:instrText>
      </w:r>
      <w:r w:rsidRPr="00646E6A">
        <w:fldChar w:fldCharType="end"/>
      </w:r>
      <w:r w:rsidR="002D23A2" w:rsidRPr="00646E6A">
        <w:rPr>
          <w:rFonts w:eastAsia="Calibri" w:cstheme="minorHAnsi"/>
        </w:rPr>
        <w:t>2</w:t>
      </w:r>
      <w:r w:rsidR="00E159EF" w:rsidRPr="00646E6A">
        <w:rPr>
          <w:rFonts w:eastAsia="Calibri" w:cstheme="minorHAnsi"/>
        </w:rPr>
        <w:t>.</w:t>
      </w:r>
      <w:r w:rsidR="002D23A2" w:rsidRPr="00646E6A">
        <w:rPr>
          <w:rFonts w:eastAsia="Calibri" w:cstheme="minorHAnsi"/>
        </w:rPr>
        <w:t xml:space="preserve">6 </w:t>
      </w:r>
      <w:r w:rsidR="002D57EA" w:rsidRPr="00646E6A">
        <w:rPr>
          <w:rFonts w:eastAsia="Calibri" w:cstheme="minorHAnsi"/>
        </w:rPr>
        <w:t xml:space="preserve">Top-up search </w:t>
      </w:r>
    </w:p>
    <w:p w14:paraId="284CDEF5" w14:textId="77777777" w:rsidR="002D57EA" w:rsidRPr="00646E6A" w:rsidRDefault="002D57EA" w:rsidP="00340CA7">
      <w:pPr>
        <w:autoSpaceDE w:val="0"/>
        <w:autoSpaceDN w:val="0"/>
        <w:adjustRightInd w:val="0"/>
        <w:spacing w:after="0" w:line="240" w:lineRule="auto"/>
        <w:rPr>
          <w:rFonts w:eastAsia="Calibri" w:cstheme="minorHAnsi"/>
        </w:rPr>
      </w:pPr>
    </w:p>
    <w:bookmarkEnd w:id="75"/>
    <w:bookmarkEnd w:id="76"/>
    <w:p w14:paraId="02A69A76" w14:textId="0B4035A4" w:rsidR="002D57EA" w:rsidRPr="00646E6A" w:rsidRDefault="002D57EA" w:rsidP="002D57EA">
      <w:pPr>
        <w:spacing w:line="480" w:lineRule="auto"/>
        <w:jc w:val="both"/>
        <w:rPr>
          <w:rFonts w:eastAsia="Times New Roman"/>
          <w:lang w:eastAsia="en-GB"/>
        </w:rPr>
      </w:pPr>
      <w:r w:rsidRPr="00646E6A">
        <w:t xml:space="preserve">The published systematic review </w:t>
      </w:r>
      <w:r w:rsidR="00F8514E" w:rsidRPr="00646E6A">
        <w:t>presented in this chapter</w:t>
      </w:r>
      <w:r w:rsidRPr="00646E6A">
        <w:t xml:space="preserve"> provided key insight into previous research studies that have aimed to improve dietary behaviours of adolescents by implementing school-based interventions </w:t>
      </w:r>
      <w:r w:rsidRPr="00646E6A">
        <w:fldChar w:fldCharType="begin" w:fldLock="1"/>
      </w:r>
      <w:r w:rsidRPr="00646E6A">
        <w:instrText>ADDIN CSL_CITATION {"citationItems":[{"id":"ITEM-1","itemData":{"ISSN":"1467-789X (Electronic)","PMID":"30550629","abstract":"Childhood obesity is a global health concern, which has both short- and long-term health consequences for the individual, and is a potential burden on health care services and the wider economy. The school environment is a setting where changes can be applied to dietary behaviours, as schools have direct and intensive contact with children. This systematic review evaluated school-based interventions designed to improve dietary behaviours among adolescents (11- to 16-year-olds). The aims were to review types of interventions delivered, dietary behaviours targeted, and interventions' effectiveness in improving dietary behaviour and associated intervention components. Twenty-nine school-based interventional studies with this population were identified for review. The data were synthesized by identifying and comparing individual studies' results, intervention components, and characteristics. Interventions appeared more effective when they involved peers, used educational media to deliver health messages, increased availability of healthy foods in school, and incorporated computer-based individualized feedback with normative information on eating behaviours. A limitation of the review was the lack of description in certain reviewed studies and the nonfeasibility of conducting a meta-analysis owing to study heterogeneity. Future interventions with this population could consider including the aforementioned components, gender-specific feedback, and both short- and long-term follow-ups as change may not be apparent immediately and to determine if changes are sustained.","author":[{"dropping-particle":"","family":"Calvert","given":"Sian","non-dropping-particle":"","parse-names":false,"suffix":""},{"dropping-particle":"","family":"Dempsey","given":"Robert C","non-dropping-particle":"","parse-names":false,"suffix":""},{"dropping-particle":"","family":"Povey","given":"Rachel","non-dropping-particle":"","parse-names":false,"suffix":""}],"container-title":"Obesity Reviews","id":"ITEM-1","issue":"4","issued":{"date-parts":[["2019","4"]]},"language":"eng","page":"543-553","publisher-place":"England","title":"Delivering in-school interventions to improve dietary behaviours amongst 11- to 16-year-olds: A systematic review.","type":"article-journal","volume":"20"},"uris":["http://www.mendeley.com/documents/?uuid=2a47b1c0-b7a8-4533-b072-390e15ff8b1f"]}],"mendeley":{"formattedCitation":"(Calvert et al., 2019)","plainTextFormattedCitation":"(Calvert et al., 2019)","previouslyFormattedCitation":"(Calvert et al., 2019)"},"properties":{"noteIndex":0},"schema":"https://github.com/citation-style-language/schema/raw/master/csl-citation.json"}</w:instrText>
      </w:r>
      <w:r w:rsidRPr="00646E6A">
        <w:fldChar w:fldCharType="separate"/>
      </w:r>
      <w:r w:rsidRPr="00646E6A">
        <w:rPr>
          <w:noProof/>
        </w:rPr>
        <w:t>(Calvert et al., 2019)</w:t>
      </w:r>
      <w:r w:rsidRPr="00646E6A">
        <w:fldChar w:fldCharType="end"/>
      </w:r>
      <w:r w:rsidRPr="00646E6A">
        <w:t>. The systematic review provides a discussion of literature published up till May 2018, at the time of intervention development</w:t>
      </w:r>
      <w:r w:rsidR="004954DC" w:rsidRPr="00646E6A">
        <w:t xml:space="preserve"> (which will be presented in Chapter 6)</w:t>
      </w:r>
      <w:r w:rsidRPr="00646E6A">
        <w:t xml:space="preserve"> the systematic review was considered up-to-date and informative</w:t>
      </w:r>
      <w:r w:rsidR="004954DC" w:rsidRPr="00646E6A">
        <w:t>.</w:t>
      </w:r>
      <w:r w:rsidRPr="00646E6A">
        <w:t xml:space="preserve"> The findings of the systematic review indicated that school-based interventions that aim to improve the unhealthy dietary behaviours of adolescents (11- to 16-year-olds) should consider: </w:t>
      </w:r>
      <w:r w:rsidRPr="00646E6A">
        <w:rPr>
          <w:rFonts w:eastAsia="Calibri"/>
        </w:rPr>
        <w:t>involving peers in delivering intervention activities; use educational media to deliver health messages; increase the availability of healthy foods in school; and incorporate computer-based individualised feedback with normative information on eating behaviours.</w:t>
      </w:r>
      <w:r w:rsidRPr="00646E6A">
        <w:rPr>
          <w:rFonts w:ascii="Times New Roman" w:eastAsia="Calibri" w:hAnsi="Times New Roman" w:cs="Times New Roman"/>
        </w:rPr>
        <w:t xml:space="preserve"> </w:t>
      </w:r>
      <w:r w:rsidRPr="00646E6A">
        <w:rPr>
          <w:rFonts w:eastAsia="Times New Roman"/>
          <w:lang w:eastAsia="en-GB"/>
        </w:rPr>
        <w:t>A recent top-up search</w:t>
      </w:r>
      <w:r w:rsidRPr="00646E6A">
        <w:rPr>
          <w:rFonts w:eastAsia="Calibri"/>
        </w:rPr>
        <w:t xml:space="preserve"> conducted using the same search terms and databases as the initial search</w:t>
      </w:r>
      <w:r w:rsidRPr="00646E6A">
        <w:rPr>
          <w:rFonts w:eastAsia="Times New Roman"/>
          <w:lang w:eastAsia="en-GB"/>
        </w:rPr>
        <w:t xml:space="preserve"> (articles published between June 2018 and September 2021) identified two further articles that meet the inclusion criteria </w:t>
      </w:r>
      <w:r w:rsidRPr="00646E6A">
        <w:rPr>
          <w:rFonts w:eastAsia="Times New Roman"/>
          <w:lang w:eastAsia="en-GB"/>
        </w:rPr>
        <w:fldChar w:fldCharType="begin" w:fldLock="1"/>
      </w:r>
      <w:r w:rsidRPr="00646E6A">
        <w:rPr>
          <w:rFonts w:eastAsia="Times New Roman"/>
          <w:lang w:eastAsia="en-GB"/>
        </w:rPr>
        <w:instrText>ADDIN CSL_CITATION {"citationItems":[{"id":"ITEM-1","itemData":{"ISSN":"0890-1171","abstract":"Purpose: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Promotion","id":"ITEM-1","issue":"6","issued":{"date-parts":[["2018","7"]]},"note":"Accession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Appalachia","type":"article-journal","volume":"32"},"uris":["http://www.mendeley.com/documents/?uuid=482d1312-94a8-4f85-8daa-2d37f83feb29"]},{"id":"ITEM-2","itemData":{"ISSN":"1054-139X","abstract":"Purpose: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Health","id":"ITEM-2","issue":"4","issued":{"date-parts":[["2019","4"]]},"note":"Accession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adolescents","type":"article-journal","volume":"64"},"uris":["http://www.mendeley.com/documents/?uuid=48e352ff-d995-49e6-8e04-a1043ec4e2b9"]}],"mendeley":{"formattedCitation":"(Lane et al., 2018; Sevil et al., 2019)","plainTextFormattedCitation":"(Lane et al., 2018; Sevil et al., 2019)","previouslyFormattedCitation":"(Lane et al., 2018; Sevil et al., 2019)"},"properties":{"noteIndex":0},"schema":"https://github.com/citation-style-language/schema/raw/master/csl-citation.json"}</w:instrText>
      </w:r>
      <w:r w:rsidRPr="00646E6A">
        <w:rPr>
          <w:rFonts w:eastAsia="Times New Roman"/>
          <w:lang w:eastAsia="en-GB"/>
        </w:rPr>
        <w:fldChar w:fldCharType="separate"/>
      </w:r>
      <w:r w:rsidRPr="00646E6A">
        <w:rPr>
          <w:rFonts w:eastAsia="Times New Roman"/>
          <w:noProof/>
          <w:lang w:eastAsia="en-GB"/>
        </w:rPr>
        <w:t>(Lane et al., 2018; Sevil et al., 2019)</w:t>
      </w:r>
      <w:r w:rsidRPr="00646E6A">
        <w:rPr>
          <w:rFonts w:eastAsia="Times New Roman"/>
          <w:lang w:eastAsia="en-GB"/>
        </w:rPr>
        <w:fldChar w:fldCharType="end"/>
      </w:r>
      <w:r w:rsidRPr="00646E6A">
        <w:rPr>
          <w:rFonts w:eastAsia="Times New Roman"/>
          <w:lang w:eastAsia="en-GB"/>
        </w:rPr>
        <w:t xml:space="preserve"> (Appendix </w:t>
      </w:r>
      <w:r w:rsidR="00F23C3E" w:rsidRPr="00646E6A">
        <w:rPr>
          <w:rFonts w:eastAsia="Times New Roman"/>
          <w:lang w:eastAsia="en-GB"/>
        </w:rPr>
        <w:t>1</w:t>
      </w:r>
      <w:r w:rsidRPr="00646E6A">
        <w:rPr>
          <w:rFonts w:eastAsia="Times New Roman"/>
          <w:lang w:eastAsia="en-GB"/>
        </w:rPr>
        <w:t xml:space="preserve"> – Table </w:t>
      </w:r>
      <w:r w:rsidR="00C27DCB" w:rsidRPr="00646E6A">
        <w:rPr>
          <w:rFonts w:eastAsia="Times New Roman"/>
          <w:lang w:eastAsia="en-GB"/>
        </w:rPr>
        <w:t>23</w:t>
      </w:r>
      <w:r w:rsidRPr="00646E6A">
        <w:rPr>
          <w:rFonts w:eastAsia="Times New Roman"/>
          <w:lang w:eastAsia="en-GB"/>
        </w:rPr>
        <w:t xml:space="preserve">. Overview table). </w:t>
      </w:r>
    </w:p>
    <w:p w14:paraId="55C1F317" w14:textId="1D411249" w:rsidR="00987AC8" w:rsidRPr="00B1522E" w:rsidRDefault="002D57EA" w:rsidP="000E49FC">
      <w:pPr>
        <w:widowControl w:val="0"/>
        <w:autoSpaceDE w:val="0"/>
        <w:autoSpaceDN w:val="0"/>
        <w:adjustRightInd w:val="0"/>
        <w:spacing w:line="480" w:lineRule="auto"/>
        <w:ind w:firstLine="720"/>
        <w:jc w:val="both"/>
        <w:rPr>
          <w:rFonts w:cstheme="minorHAnsi"/>
        </w:rPr>
      </w:pPr>
      <w:r w:rsidRPr="00646E6A">
        <w:rPr>
          <w:rFonts w:eastAsia="Times New Roman"/>
          <w:lang w:eastAsia="en-GB"/>
        </w:rPr>
        <w:t xml:space="preserve">The two studies targeted unhealthy dietary habits </w:t>
      </w:r>
      <w:r w:rsidRPr="00646E6A">
        <w:rPr>
          <w:rFonts w:eastAsia="Times New Roman"/>
          <w:lang w:eastAsia="en-GB"/>
        </w:rPr>
        <w:fldChar w:fldCharType="begin" w:fldLock="1"/>
      </w:r>
      <w:r w:rsidRPr="00646E6A">
        <w:rPr>
          <w:rFonts w:eastAsia="Times New Roman"/>
          <w:lang w:eastAsia="en-GB"/>
        </w:rPr>
        <w:instrText>ADDIN CSL_CITATION {"citationItems":[{"id":"ITEM-1","itemData":{"ISSN":"0890-1171","abstract":"Purpose: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Promotion","id":"ITEM-1","issue":"6","issued":{"date-parts":[["2018","7"]]},"note":"Accession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Appalachia","type":"article-journal","volume":"32"},"uris":["http://www.mendeley.com/documents/?uuid=482d1312-94a8-4f85-8daa-2d37f83feb29"]}],"mendeley":{"formattedCitation":"(Lane et al., 2018)","plainTextFormattedCitation":"(Lane et al., 2018)","previouslyFormattedCitation":"(Lane et al., 2018)"},"properties":{"noteIndex":0},"schema":"https://github.com/citation-style-language/schema/raw/master/csl-citation.json"}</w:instrText>
      </w:r>
      <w:r w:rsidRPr="00646E6A">
        <w:rPr>
          <w:rFonts w:eastAsia="Times New Roman"/>
          <w:lang w:eastAsia="en-GB"/>
        </w:rPr>
        <w:fldChar w:fldCharType="separate"/>
      </w:r>
      <w:r w:rsidRPr="00646E6A">
        <w:rPr>
          <w:rFonts w:eastAsia="Times New Roman"/>
          <w:noProof/>
          <w:lang w:eastAsia="en-GB"/>
        </w:rPr>
        <w:t>(Lane et al., 2018)</w:t>
      </w:r>
      <w:r w:rsidRPr="00646E6A">
        <w:rPr>
          <w:rFonts w:eastAsia="Times New Roman"/>
          <w:lang w:eastAsia="en-GB"/>
        </w:rPr>
        <w:fldChar w:fldCharType="end"/>
      </w:r>
      <w:r w:rsidRPr="00646E6A">
        <w:rPr>
          <w:rFonts w:eastAsia="Times New Roman"/>
          <w:lang w:eastAsia="en-GB"/>
        </w:rPr>
        <w:t xml:space="preserve"> and </w:t>
      </w:r>
      <w:r w:rsidRPr="00646E6A">
        <w:rPr>
          <w:rFonts w:eastAsia="Calibri"/>
        </w:rPr>
        <w:t xml:space="preserve">sugar-sweetened </w:t>
      </w:r>
      <w:r w:rsidRPr="00646E6A">
        <w:rPr>
          <w:rFonts w:eastAsia="Calibri"/>
        </w:rPr>
        <w:lastRenderedPageBreak/>
        <w:t xml:space="preserve">beverage consumption </w:t>
      </w:r>
      <w:r w:rsidRPr="00646E6A">
        <w:rPr>
          <w:rFonts w:eastAsia="Calibri"/>
        </w:rPr>
        <w:fldChar w:fldCharType="begin" w:fldLock="1"/>
      </w:r>
      <w:r w:rsidRPr="00646E6A">
        <w:rPr>
          <w:rFonts w:eastAsia="Calibri"/>
        </w:rPr>
        <w:instrText>ADDIN CSL_CITATION {"citationItems":[{"id":"ITEM-1","itemData":{"ISSN":"1054-139X","abstract":"Purpose: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Health","id":"ITEM-1","issue":"4","issued":{"date-parts":[["2019","4"]]},"note":"Accession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adolescents","type":"article-journal","volume":"64"},"uris":["http://www.mendeley.com/documents/?uuid=48e352ff-d995-49e6-8e04-a1043ec4e2b9"]}],"mendeley":{"formattedCitation":"(Sevil et al., 2019)","plainTextFormattedCitation":"(Sevil et al., 2019)","previouslyFormattedCitation":"(Sevil et al., 2019)"},"properties":{"noteIndex":0},"schema":"https://github.com/citation-style-language/schema/raw/master/csl-citation.json"}</w:instrText>
      </w:r>
      <w:r w:rsidRPr="00646E6A">
        <w:rPr>
          <w:rFonts w:eastAsia="Calibri"/>
        </w:rPr>
        <w:fldChar w:fldCharType="separate"/>
      </w:r>
      <w:r w:rsidRPr="00646E6A">
        <w:rPr>
          <w:rFonts w:eastAsia="Calibri"/>
          <w:noProof/>
        </w:rPr>
        <w:t>(Sevil et al., 2019)</w:t>
      </w:r>
      <w:r w:rsidRPr="00646E6A">
        <w:rPr>
          <w:rFonts w:eastAsia="Calibri"/>
        </w:rPr>
        <w:fldChar w:fldCharType="end"/>
      </w:r>
      <w:r w:rsidRPr="00646E6A">
        <w:rPr>
          <w:rFonts w:eastAsia="Calibri"/>
        </w:rPr>
        <w:t xml:space="preserve">, and both studies reported a significant positive change in </w:t>
      </w:r>
      <w:r w:rsidR="00232772" w:rsidRPr="00646E6A">
        <w:rPr>
          <w:rFonts w:eastAsia="Calibri"/>
        </w:rPr>
        <w:t>t</w:t>
      </w:r>
      <w:r w:rsidRPr="00646E6A">
        <w:rPr>
          <w:rFonts w:eastAsia="Calibri"/>
        </w:rPr>
        <w:t>he target dietary behaviour following the intervention</w:t>
      </w:r>
      <w:r w:rsidRPr="00646E6A">
        <w:rPr>
          <w:rFonts w:eastAsia="Times New Roman"/>
          <w:lang w:eastAsia="en-GB"/>
        </w:rPr>
        <w:t xml:space="preserve"> (Appendix </w:t>
      </w:r>
      <w:r w:rsidR="00BE2976" w:rsidRPr="00646E6A">
        <w:rPr>
          <w:rFonts w:eastAsia="Times New Roman"/>
          <w:lang w:eastAsia="en-GB"/>
        </w:rPr>
        <w:t>1</w:t>
      </w:r>
      <w:r w:rsidRPr="00646E6A">
        <w:rPr>
          <w:rFonts w:eastAsia="Times New Roman"/>
          <w:lang w:eastAsia="en-GB"/>
        </w:rPr>
        <w:t xml:space="preserve"> – Table </w:t>
      </w:r>
      <w:r w:rsidR="00041F2D" w:rsidRPr="00646E6A">
        <w:rPr>
          <w:rFonts w:eastAsia="Times New Roman"/>
          <w:lang w:eastAsia="en-GB"/>
        </w:rPr>
        <w:t>23.</w:t>
      </w:r>
      <w:r w:rsidRPr="00646E6A">
        <w:rPr>
          <w:rFonts w:eastAsia="Times New Roman"/>
          <w:lang w:eastAsia="en-GB"/>
        </w:rPr>
        <w:t xml:space="preserve"> Overview table)</w:t>
      </w:r>
      <w:r w:rsidRPr="00646E6A">
        <w:rPr>
          <w:rFonts w:eastAsia="Calibri"/>
        </w:rPr>
        <w:t xml:space="preserve">. The interventions presented in these two studies ranged in duration from 6 weeks </w:t>
      </w:r>
      <w:r w:rsidRPr="00646E6A">
        <w:rPr>
          <w:rFonts w:eastAsia="Calibri"/>
        </w:rPr>
        <w:fldChar w:fldCharType="begin" w:fldLock="1"/>
      </w:r>
      <w:r w:rsidRPr="00646E6A">
        <w:rPr>
          <w:rFonts w:eastAsia="Calibri"/>
        </w:rPr>
        <w:instrText>ADDIN CSL_CITATION {"citationItems":[{"id":"ITEM-1","itemData":{"ISSN":"0890-1171","abstract":"Purpose: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Promotion","id":"ITEM-1","issue":"6","issued":{"date-parts":[["2018","7"]]},"note":"Accession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Appalachia","type":"article-journal","volume":"32"},"uris":["http://www.mendeley.com/documents/?uuid=482d1312-94a8-4f85-8daa-2d37f83feb29"]}],"mendeley":{"formattedCitation":"(Lane et al., 2018)","plainTextFormattedCitation":"(Lane et al., 2018)","previouslyFormattedCitation":"(Lane et al., 2018)"},"properties":{"noteIndex":0},"schema":"https://github.com/citation-style-language/schema/raw/master/csl-citation.json"}</w:instrText>
      </w:r>
      <w:r w:rsidRPr="00646E6A">
        <w:rPr>
          <w:rFonts w:eastAsia="Calibri"/>
        </w:rPr>
        <w:fldChar w:fldCharType="separate"/>
      </w:r>
      <w:r w:rsidRPr="00646E6A">
        <w:rPr>
          <w:rFonts w:eastAsia="Calibri"/>
          <w:noProof/>
        </w:rPr>
        <w:t>(Lane et al., 2018)</w:t>
      </w:r>
      <w:r w:rsidRPr="00646E6A">
        <w:rPr>
          <w:rFonts w:eastAsia="Calibri"/>
        </w:rPr>
        <w:fldChar w:fldCharType="end"/>
      </w:r>
      <w:r w:rsidRPr="00646E6A">
        <w:rPr>
          <w:rFonts w:eastAsia="Calibri"/>
        </w:rPr>
        <w:t xml:space="preserve"> to one school year </w:t>
      </w:r>
      <w:r w:rsidRPr="00646E6A">
        <w:rPr>
          <w:rFonts w:eastAsia="Calibri"/>
        </w:rPr>
        <w:fldChar w:fldCharType="begin" w:fldLock="1"/>
      </w:r>
      <w:r w:rsidRPr="00646E6A">
        <w:rPr>
          <w:rFonts w:eastAsia="Calibri"/>
        </w:rPr>
        <w:instrText>ADDIN CSL_CITATION {"citationItems":[{"id":"ITEM-1","itemData":{"ISSN":"1054-139X","abstract":"Purpose: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Health","id":"ITEM-1","issue":"4","issued":{"date-parts":[["2019","4"]]},"note":"Accession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adolescents","type":"article-journal","volume":"64"},"uris":["http://www.mendeley.com/documents/?uuid=48e352ff-d995-49e6-8e04-a1043ec4e2b9"]}],"mendeley":{"formattedCitation":"(Sevil et al., 2019)","plainTextFormattedCitation":"(Sevil et al., 2019)","previouslyFormattedCitation":"(Sevil et al., 2019)"},"properties":{"noteIndex":0},"schema":"https://github.com/citation-style-language/schema/raw/master/csl-citation.json"}</w:instrText>
      </w:r>
      <w:r w:rsidRPr="00646E6A">
        <w:rPr>
          <w:rFonts w:eastAsia="Calibri"/>
        </w:rPr>
        <w:fldChar w:fldCharType="separate"/>
      </w:r>
      <w:r w:rsidRPr="00646E6A">
        <w:rPr>
          <w:rFonts w:eastAsia="Calibri"/>
          <w:noProof/>
        </w:rPr>
        <w:t>(Sevil et al., 2019)</w:t>
      </w:r>
      <w:r w:rsidRPr="00646E6A">
        <w:rPr>
          <w:rFonts w:eastAsia="Calibri"/>
        </w:rPr>
        <w:fldChar w:fldCharType="end"/>
      </w:r>
      <w:r w:rsidRPr="00646E6A">
        <w:rPr>
          <w:rFonts w:eastAsia="Calibri"/>
        </w:rPr>
        <w:t>. In line with the most commonly included intervention components identified in the original systematic review (Table 4), both interventions (</w:t>
      </w:r>
      <w:r w:rsidRPr="00646E6A">
        <w:rPr>
          <w:rFonts w:eastAsia="Calibri"/>
        </w:rPr>
        <w:fldChar w:fldCharType="begin" w:fldLock="1"/>
      </w:r>
      <w:r w:rsidRPr="00646E6A">
        <w:rPr>
          <w:rFonts w:eastAsia="Calibri"/>
        </w:rPr>
        <w:instrText>ADDIN CSL_CITATION {"citationItems":[{"id":"ITEM-1","itemData":{"ISSN":"0890-1171","abstract":"Purpose: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Promotion","id":"ITEM-1","issue":"6","issued":{"date-parts":[["2018","7"]]},"note":"Accession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Appalachia","type":"article-journal","volume":"32"},"uris":["http://www.mendeley.com/documents/?uuid=482d1312-94a8-4f85-8daa-2d37f83feb29"]},{"id":"ITEM-2","itemData":{"ISSN":"1054-139X","abstract":"Purpose: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Health","id":"ITEM-2","issue":"4","issued":{"date-parts":[["2019","4"]]},"note":"Accession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adolescents","type":"article-journal","volume":"64"},"uris":["http://www.mendeley.com/documents/?uuid=48e352ff-d995-49e6-8e04-a1043ec4e2b9"]}],"mendeley":{"formattedCitation":"(Lane et al., 2018; Sevil et al., 2019)","manualFormatting":"Lane et al., 2018; Sevil et al., 2019)","plainTextFormattedCitation":"(Lane et al., 2018; Sevil et al., 2019)","previouslyFormattedCitation":"(Lane et al., 2018; Sevil et al., 2019)"},"properties":{"noteIndex":0},"schema":"https://github.com/citation-style-language/schema/raw/master/csl-citation.json"}</w:instrText>
      </w:r>
      <w:r w:rsidRPr="00646E6A">
        <w:rPr>
          <w:rFonts w:eastAsia="Calibri"/>
        </w:rPr>
        <w:fldChar w:fldCharType="separate"/>
      </w:r>
      <w:r w:rsidRPr="00646E6A">
        <w:rPr>
          <w:rFonts w:eastAsia="Calibri"/>
          <w:noProof/>
        </w:rPr>
        <w:t>Lane et al., 2018; Sevil et al., 2019)</w:t>
      </w:r>
      <w:r w:rsidRPr="00646E6A">
        <w:rPr>
          <w:rFonts w:eastAsia="Calibri"/>
        </w:rPr>
        <w:fldChar w:fldCharType="end"/>
      </w:r>
      <w:r w:rsidRPr="00646E6A">
        <w:rPr>
          <w:rFonts w:eastAsia="Calibri"/>
        </w:rPr>
        <w:t xml:space="preserve"> featured educational lessons and practical activities, and also involved parents in the interventions </w:t>
      </w:r>
      <w:r w:rsidRPr="00646E6A">
        <w:rPr>
          <w:rFonts w:eastAsia="Times New Roman"/>
          <w:lang w:eastAsia="en-GB"/>
        </w:rPr>
        <w:t xml:space="preserve">(Appendix </w:t>
      </w:r>
      <w:r w:rsidR="00F23C3E" w:rsidRPr="00646E6A">
        <w:rPr>
          <w:rFonts w:eastAsia="Times New Roman"/>
          <w:lang w:eastAsia="en-GB"/>
        </w:rPr>
        <w:t>1</w:t>
      </w:r>
      <w:r w:rsidRPr="00646E6A">
        <w:rPr>
          <w:rFonts w:eastAsia="Times New Roman"/>
          <w:lang w:eastAsia="en-GB"/>
        </w:rPr>
        <w:t xml:space="preserve"> – Table </w:t>
      </w:r>
      <w:r w:rsidR="00041F2D" w:rsidRPr="00646E6A">
        <w:rPr>
          <w:rFonts w:eastAsia="Times New Roman"/>
          <w:lang w:eastAsia="en-GB"/>
        </w:rPr>
        <w:t>23</w:t>
      </w:r>
      <w:r w:rsidRPr="00646E6A">
        <w:rPr>
          <w:rFonts w:eastAsia="Times New Roman"/>
          <w:lang w:eastAsia="en-GB"/>
        </w:rPr>
        <w:t>. Overview table)</w:t>
      </w:r>
      <w:r w:rsidRPr="00646E6A">
        <w:rPr>
          <w:rFonts w:eastAsia="Calibri"/>
        </w:rPr>
        <w:t xml:space="preserve"> </w:t>
      </w:r>
      <w:r w:rsidRPr="00646E6A">
        <w:rPr>
          <w:rFonts w:eastAsia="Calibri"/>
        </w:rPr>
        <w:fldChar w:fldCharType="begin" w:fldLock="1"/>
      </w:r>
      <w:r w:rsidRPr="00646E6A">
        <w:rPr>
          <w:rFonts w:eastAsia="Calibri"/>
        </w:rPr>
        <w:instrText>ADDIN CSL_CITATION {"citationItems":[{"id":"ITEM-1","itemData":{"ISSN":"0890-1171","abstract":"Purpose: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Promotion","id":"ITEM-1","issue":"6","issued":{"date-parts":[["2018","7"]]},"note":"Accession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Appalachia","type":"article-journal","volume":"32"},"uris":["http://www.mendeley.com/documents/?uuid=482d1312-94a8-4f85-8daa-2d37f83feb29"]},{"id":"ITEM-2","itemData":{"ISSN":"1054-139X","abstract":"Purpose: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Health","id":"ITEM-2","issue":"4","issued":{"date-parts":[["2019","4"]]},"note":"Accession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adolescents","type":"article-journal","volume":"64"},"uris":["http://www.mendeley.com/documents/?uuid=48e352ff-d995-49e6-8e04-a1043ec4e2b9"]}],"mendeley":{"formattedCitation":"(Lane et al., 2018; Sevil et al., 2019)","plainTextFormattedCitation":"(Lane et al., 2018; Sevil et al., 2019)","previouslyFormattedCitation":"(Lane et al., 2018; Sevil et al., 2019)"},"properties":{"noteIndex":0},"schema":"https://github.com/citation-style-language/schema/raw/master/csl-citation.json"}</w:instrText>
      </w:r>
      <w:r w:rsidRPr="00646E6A">
        <w:rPr>
          <w:rFonts w:eastAsia="Calibri"/>
        </w:rPr>
        <w:fldChar w:fldCharType="separate"/>
      </w:r>
      <w:r w:rsidRPr="00646E6A">
        <w:rPr>
          <w:rFonts w:eastAsia="Calibri"/>
          <w:noProof/>
        </w:rPr>
        <w:t>(Lane et al., 2018; Sevil et al., 2019)</w:t>
      </w:r>
      <w:r w:rsidRPr="00646E6A">
        <w:rPr>
          <w:rFonts w:eastAsia="Calibri"/>
        </w:rPr>
        <w:fldChar w:fldCharType="end"/>
      </w:r>
      <w:r w:rsidRPr="00646E6A">
        <w:rPr>
          <w:rFonts w:eastAsia="Calibri"/>
        </w:rPr>
        <w:t xml:space="preserve">. The two newer studies </w:t>
      </w:r>
      <w:r w:rsidRPr="00646E6A">
        <w:rPr>
          <w:rFonts w:eastAsia="Calibri"/>
        </w:rPr>
        <w:fldChar w:fldCharType="begin" w:fldLock="1"/>
      </w:r>
      <w:r w:rsidRPr="00646E6A">
        <w:rPr>
          <w:rFonts w:eastAsia="Calibri"/>
        </w:rPr>
        <w:instrText>ADDIN CSL_CITATION {"citationItems":[{"id":"ITEM-1","itemData":{"ISSN":"1054-139X","abstract":"Purpose: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Health","id":"ITEM-1","issue":"4","issued":{"date-parts":[["2019","4"]]},"note":"Accession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adolescents","type":"article-journal","volume":"64"},"uris":["http://www.mendeley.com/documents/?uuid=48e352ff-d995-49e6-8e04-a1043ec4e2b9"]},{"id":"ITEM-2","itemData":{"ISSN":"0890-1171","abstract":"Purpose: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Promotion","id":"ITEM-2","issue":"6","issued":{"date-parts":[["2018","7"]]},"note":"Accession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Appalachia","type":"article-journal","volume":"32"},"uris":["http://www.mendeley.com/documents/?uuid=482d1312-94a8-4f85-8daa-2d37f83feb29"]}],"mendeley":{"formattedCitation":"(Lane et al., 2018; Sevil et al., 2019)","plainTextFormattedCitation":"(Lane et al., 2018; Sevil et al., 2019)","previouslyFormattedCitation":"(Lane et al., 2018; Sevil et al., 2019)"},"properties":{"noteIndex":0},"schema":"https://github.com/citation-style-language/schema/raw/master/csl-citation.json"}</w:instrText>
      </w:r>
      <w:r w:rsidRPr="00646E6A">
        <w:rPr>
          <w:rFonts w:eastAsia="Calibri"/>
        </w:rPr>
        <w:fldChar w:fldCharType="separate"/>
      </w:r>
      <w:r w:rsidRPr="00646E6A">
        <w:rPr>
          <w:rFonts w:eastAsia="Calibri"/>
          <w:noProof/>
        </w:rPr>
        <w:t>(Lane et al., 2018; Sevil et al., 2019)</w:t>
      </w:r>
      <w:r w:rsidRPr="00646E6A">
        <w:rPr>
          <w:rFonts w:eastAsia="Calibri"/>
        </w:rPr>
        <w:fldChar w:fldCharType="end"/>
      </w:r>
      <w:r w:rsidRPr="00646E6A">
        <w:rPr>
          <w:rFonts w:eastAsia="Calibri"/>
        </w:rPr>
        <w:t xml:space="preserve"> support the conclusions drawn in </w:t>
      </w:r>
      <w:r w:rsidR="000E49FC" w:rsidRPr="00646E6A">
        <w:rPr>
          <w:rFonts w:eastAsia="Calibri"/>
        </w:rPr>
        <w:t xml:space="preserve">this chapter </w:t>
      </w:r>
      <w:r w:rsidRPr="00646E6A">
        <w:rPr>
          <w:rFonts w:eastAsia="Calibri"/>
        </w:rPr>
        <w:t>that the unhealthy dietary behaviours of adolescents can be improved using school-based interventions</w:t>
      </w:r>
      <w:r w:rsidR="00E159EF" w:rsidRPr="00646E6A">
        <w:rPr>
          <w:rFonts w:eastAsia="Calibri"/>
        </w:rPr>
        <w:t>.</w:t>
      </w:r>
    </w:p>
    <w:p w14:paraId="115556D6" w14:textId="11F115E1" w:rsidR="0006775C" w:rsidRPr="00B1522E" w:rsidRDefault="0006775C" w:rsidP="00DD5BC7">
      <w:pPr>
        <w:rPr>
          <w:b/>
          <w:bCs/>
        </w:rPr>
      </w:pPr>
    </w:p>
    <w:p w14:paraId="68E10CD0" w14:textId="1CB56A9F" w:rsidR="0006775C" w:rsidRPr="00B1522E" w:rsidRDefault="0006775C" w:rsidP="00DD5BC7">
      <w:pPr>
        <w:rPr>
          <w:b/>
          <w:bCs/>
        </w:rPr>
      </w:pPr>
    </w:p>
    <w:p w14:paraId="76C80E2E" w14:textId="73D4F24B" w:rsidR="0006775C" w:rsidRPr="00B1522E" w:rsidRDefault="0006775C" w:rsidP="00DD5BC7">
      <w:pPr>
        <w:rPr>
          <w:b/>
          <w:bCs/>
        </w:rPr>
      </w:pPr>
    </w:p>
    <w:p w14:paraId="4B60238D" w14:textId="4240BF40" w:rsidR="0006775C" w:rsidRPr="00B1522E" w:rsidRDefault="0006775C" w:rsidP="00DD5BC7">
      <w:pPr>
        <w:rPr>
          <w:b/>
          <w:bCs/>
        </w:rPr>
      </w:pPr>
    </w:p>
    <w:p w14:paraId="48F5CAB9" w14:textId="186EF832" w:rsidR="0006775C" w:rsidRPr="00B1522E" w:rsidRDefault="0006775C" w:rsidP="00DD5BC7">
      <w:pPr>
        <w:rPr>
          <w:b/>
          <w:bCs/>
        </w:rPr>
      </w:pPr>
    </w:p>
    <w:p w14:paraId="3AEFF781" w14:textId="22F6D83F" w:rsidR="0006775C" w:rsidRPr="00B1522E" w:rsidRDefault="0006775C" w:rsidP="00DD5BC7">
      <w:pPr>
        <w:rPr>
          <w:b/>
          <w:bCs/>
        </w:rPr>
      </w:pPr>
    </w:p>
    <w:p w14:paraId="72D2AE31" w14:textId="17718EAE" w:rsidR="0006775C" w:rsidRPr="00B1522E" w:rsidRDefault="0006775C" w:rsidP="00DD5BC7">
      <w:pPr>
        <w:rPr>
          <w:b/>
          <w:bCs/>
        </w:rPr>
      </w:pPr>
    </w:p>
    <w:p w14:paraId="268DC284" w14:textId="0C94AAEC" w:rsidR="00795693" w:rsidRPr="00B1522E" w:rsidRDefault="00795693" w:rsidP="00795693">
      <w:pPr>
        <w:jc w:val="center"/>
        <w:rPr>
          <w:b/>
          <w:bCs/>
          <w:sz w:val="44"/>
          <w:szCs w:val="44"/>
          <w:u w:val="single"/>
        </w:rPr>
      </w:pPr>
      <w:bookmarkStart w:id="78" w:name="_Hlk84852689"/>
    </w:p>
    <w:p w14:paraId="3E6DCD37" w14:textId="15669AA3" w:rsidR="008E6DA0" w:rsidRPr="00B1522E" w:rsidRDefault="008E6DA0" w:rsidP="00795693">
      <w:pPr>
        <w:jc w:val="center"/>
        <w:rPr>
          <w:b/>
          <w:bCs/>
          <w:sz w:val="44"/>
          <w:szCs w:val="44"/>
          <w:u w:val="single"/>
        </w:rPr>
      </w:pPr>
    </w:p>
    <w:p w14:paraId="1C472906" w14:textId="70FD7B6E" w:rsidR="008E6DA0" w:rsidRPr="00B1522E" w:rsidRDefault="008E6DA0" w:rsidP="00795693">
      <w:pPr>
        <w:jc w:val="center"/>
        <w:rPr>
          <w:b/>
          <w:bCs/>
          <w:sz w:val="44"/>
          <w:szCs w:val="44"/>
          <w:u w:val="single"/>
        </w:rPr>
      </w:pPr>
    </w:p>
    <w:p w14:paraId="47752A44" w14:textId="74E33D8E" w:rsidR="008E6DA0" w:rsidRPr="00B1522E" w:rsidRDefault="008E6DA0" w:rsidP="00795693">
      <w:pPr>
        <w:jc w:val="center"/>
        <w:rPr>
          <w:b/>
          <w:bCs/>
          <w:sz w:val="44"/>
          <w:szCs w:val="44"/>
          <w:u w:val="single"/>
        </w:rPr>
      </w:pPr>
    </w:p>
    <w:p w14:paraId="4CBD5C08" w14:textId="77777777" w:rsidR="008E6DA0" w:rsidRPr="00B1522E" w:rsidRDefault="008E6DA0" w:rsidP="008E6DA0">
      <w:pPr>
        <w:jc w:val="center"/>
        <w:rPr>
          <w:b/>
          <w:bCs/>
          <w:sz w:val="44"/>
          <w:szCs w:val="44"/>
          <w:u w:val="single"/>
        </w:rPr>
      </w:pPr>
    </w:p>
    <w:p w14:paraId="276C0B76" w14:textId="77777777" w:rsidR="00795693" w:rsidRPr="00B1522E" w:rsidRDefault="00795693" w:rsidP="00795693">
      <w:pPr>
        <w:jc w:val="center"/>
        <w:rPr>
          <w:sz w:val="44"/>
          <w:szCs w:val="44"/>
        </w:rPr>
      </w:pPr>
    </w:p>
    <w:p w14:paraId="789A8CF6" w14:textId="192936ED" w:rsidR="00AF5F8F" w:rsidRPr="00B1522E" w:rsidRDefault="00AF5F8F" w:rsidP="00795693">
      <w:pPr>
        <w:jc w:val="center"/>
      </w:pPr>
    </w:p>
    <w:p w14:paraId="5D2CCED4" w14:textId="1B0785B7" w:rsidR="00466811" w:rsidRPr="00B1522E" w:rsidRDefault="00466811" w:rsidP="00795693">
      <w:pPr>
        <w:jc w:val="center"/>
      </w:pPr>
    </w:p>
    <w:p w14:paraId="0AA18A23" w14:textId="723D0D38" w:rsidR="00466811" w:rsidRPr="00B1522E" w:rsidRDefault="00466811" w:rsidP="00795693">
      <w:pPr>
        <w:jc w:val="center"/>
      </w:pPr>
    </w:p>
    <w:p w14:paraId="2B311980" w14:textId="031FC4DF" w:rsidR="00466811" w:rsidRPr="00B1522E" w:rsidRDefault="00466811" w:rsidP="00795693">
      <w:pPr>
        <w:jc w:val="center"/>
      </w:pPr>
    </w:p>
    <w:p w14:paraId="74D05961" w14:textId="7801CB2F" w:rsidR="00046114" w:rsidRPr="00B1522E" w:rsidRDefault="00046114" w:rsidP="00795693">
      <w:pPr>
        <w:jc w:val="center"/>
      </w:pPr>
    </w:p>
    <w:p w14:paraId="77DCBF09" w14:textId="6A99AAF0" w:rsidR="00046114" w:rsidRPr="00B1522E" w:rsidRDefault="00046114" w:rsidP="00795693">
      <w:pPr>
        <w:jc w:val="center"/>
      </w:pPr>
    </w:p>
    <w:p w14:paraId="243F9DF8" w14:textId="77777777" w:rsidR="00046114" w:rsidRPr="00B1522E" w:rsidRDefault="00046114" w:rsidP="00795693">
      <w:pPr>
        <w:jc w:val="center"/>
      </w:pPr>
    </w:p>
    <w:p w14:paraId="06D1A593" w14:textId="08E147FB" w:rsidR="00466811" w:rsidRPr="00B1522E" w:rsidRDefault="00AC29C0" w:rsidP="00795693">
      <w:pPr>
        <w:jc w:val="center"/>
      </w:pPr>
      <w:r w:rsidRPr="00B1522E">
        <w:rPr>
          <w:noProof/>
          <w:sz w:val="44"/>
          <w:szCs w:val="44"/>
        </w:rPr>
        <mc:AlternateContent>
          <mc:Choice Requires="wps">
            <w:drawing>
              <wp:anchor distT="91440" distB="91440" distL="114300" distR="114300" simplePos="0" relativeHeight="251595776" behindDoc="0" locked="0" layoutInCell="1" allowOverlap="1" wp14:anchorId="2866FC3D" wp14:editId="37933453">
                <wp:simplePos x="0" y="0"/>
                <wp:positionH relativeFrom="page">
                  <wp:posOffset>858520</wp:posOffset>
                </wp:positionH>
                <wp:positionV relativeFrom="paragraph">
                  <wp:posOffset>132080</wp:posOffset>
                </wp:positionV>
                <wp:extent cx="5908675" cy="1403985"/>
                <wp:effectExtent l="0" t="0" r="15875" b="2667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664BD4E7" w14:textId="4FD9A387" w:rsidR="000D7781" w:rsidRPr="00466811" w:rsidRDefault="000D7781" w:rsidP="000D7781">
                            <w:pPr>
                              <w:pBdr>
                                <w:top w:val="single" w:sz="24" w:space="8" w:color="auto"/>
                                <w:bottom w:val="single" w:sz="24" w:space="8" w:color="auto"/>
                              </w:pBdr>
                              <w:spacing w:after="0"/>
                              <w:jc w:val="center"/>
                              <w:rPr>
                                <w:b/>
                                <w:bCs/>
                              </w:rPr>
                            </w:pPr>
                            <w:r w:rsidRPr="00466811">
                              <w:fldChar w:fldCharType="begin"/>
                            </w:r>
                            <w:r w:rsidRPr="00466811">
                              <w:instrText xml:space="preserve"> </w:instrText>
                            </w:r>
                            <w:r w:rsidRPr="00466811">
                              <w:rPr>
                                <w:b/>
                                <w:bCs/>
                              </w:rPr>
                              <w:instrText xml:space="preserve">TC  " </w:instrText>
                            </w:r>
                            <w:bookmarkStart w:id="79" w:name="_Toc97310430"/>
                            <w:r w:rsidRPr="00466811">
                              <w:rPr>
                                <w:b/>
                                <w:bCs/>
                              </w:rPr>
                              <w:instrText>Chapter 3</w:instrText>
                            </w:r>
                            <w:r w:rsidR="00D508ED">
                              <w:rPr>
                                <w:b/>
                                <w:bCs/>
                              </w:rPr>
                              <w:instrText>.</w:instrText>
                            </w:r>
                          </w:p>
                          <w:p w14:paraId="4B5D6340" w14:textId="316BA61E" w:rsidR="00795693" w:rsidRPr="000D7781" w:rsidRDefault="000D7781" w:rsidP="000D7781">
                            <w:pPr>
                              <w:pBdr>
                                <w:top w:val="single" w:sz="24" w:space="8" w:color="auto"/>
                                <w:bottom w:val="single" w:sz="24" w:space="8" w:color="auto"/>
                              </w:pBdr>
                              <w:spacing w:after="0"/>
                              <w:jc w:val="center"/>
                              <w:rPr>
                                <w:b/>
                                <w:bCs/>
                                <w:color w:val="00B0F0"/>
                              </w:rPr>
                            </w:pPr>
                            <w:r w:rsidRPr="00466811">
                              <w:rPr>
                                <w:b/>
                                <w:bCs/>
                              </w:rPr>
                              <w:instrText>A review of the Social Norms Approach as a strategy to reduce unhealthy dietary behaviours of adolescents</w:instrText>
                            </w:r>
                            <w:bookmarkEnd w:id="79"/>
                            <w:r w:rsidRPr="00466811">
                              <w:instrText xml:space="preserve">" \f x\l 1 </w:instrText>
                            </w:r>
                            <w:r w:rsidRPr="00466811">
                              <w:fldChar w:fldCharType="end"/>
                            </w:r>
                            <w:r w:rsidR="00795693" w:rsidRPr="006652F6">
                              <w:rPr>
                                <w:sz w:val="48"/>
                                <w:szCs w:val="48"/>
                              </w:rPr>
                              <w:t xml:space="preserve">Chapter </w:t>
                            </w:r>
                            <w:r w:rsidR="00795693">
                              <w:rPr>
                                <w:sz w:val="48"/>
                                <w:szCs w:val="48"/>
                              </w:rPr>
                              <w:t>3</w:t>
                            </w:r>
                          </w:p>
                          <w:p w14:paraId="58B57101" w14:textId="77777777" w:rsidR="00795693" w:rsidRPr="00466811" w:rsidRDefault="00795693" w:rsidP="00795693">
                            <w:pPr>
                              <w:pBdr>
                                <w:top w:val="single" w:sz="24" w:space="8" w:color="auto"/>
                                <w:bottom w:val="single" w:sz="24" w:space="8" w:color="auto"/>
                              </w:pBdr>
                              <w:spacing w:after="0"/>
                              <w:jc w:val="center"/>
                              <w:rPr>
                                <w:sz w:val="32"/>
                                <w:szCs w:val="32"/>
                              </w:rPr>
                            </w:pPr>
                            <w:r w:rsidRPr="00466811">
                              <w:rPr>
                                <w:sz w:val="32"/>
                                <w:szCs w:val="32"/>
                              </w:rPr>
                              <w:t>A review of the Social Norms Approach as a strategy to reduce unhealthy dietary behaviours of adolescents</w:t>
                            </w:r>
                          </w:p>
                          <w:p w14:paraId="5325BA6B" w14:textId="6A972E2D" w:rsidR="00795693" w:rsidRPr="00E7438E" w:rsidRDefault="00795693" w:rsidP="00795693">
                            <w:pPr>
                              <w:pBdr>
                                <w:top w:val="single" w:sz="24" w:space="8" w:color="auto"/>
                                <w:bottom w:val="single" w:sz="24" w:space="8" w:color="auto"/>
                              </w:pBdr>
                              <w:spacing w:after="0"/>
                              <w:jc w:val="center"/>
                              <w:rPr>
                                <w:color w:val="00B0F0"/>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6FC3D" id="_x0000_s1029" type="#_x0000_t202" style="position:absolute;left:0;text-align:left;margin-left:67.6pt;margin-top:10.4pt;width:465.25pt;height:110.55pt;z-index:251595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" filled="f" strokecolor="white [3212]">
                <v:textbox style="mso-fit-shape-to-text:t">
                  <w:txbxContent>
                    <w:p w14:paraId="664BD4E7" w14:textId="4FD9A387" w:rsidR="000D7781" w:rsidRPr="00466811" w:rsidRDefault="000D7781" w:rsidP="000D7781">
                      <w:pPr>
                        <w:pBdr>
                          <w:top w:val="single" w:sz="24" w:space="8" w:color="auto"/>
                          <w:bottom w:val="single" w:sz="24" w:space="8" w:color="auto"/>
                        </w:pBdr>
                        <w:spacing w:after="0"/>
                        <w:jc w:val="center"/>
                        <w:rPr>
                          <w:b/>
                          <w:bCs/>
                        </w:rPr>
                      </w:pPr>
                      <w:r w:rsidRPr="00466811">
                        <w:fldChar w:fldCharType="begin"/>
                      </w:r>
                      <w:r w:rsidRPr="00466811">
                        <w:instrText xml:space="preserve"> </w:instrText>
                      </w:r>
                      <w:r w:rsidRPr="00466811">
                        <w:rPr>
                          <w:b/>
                          <w:bCs/>
                        </w:rPr>
                        <w:instrText xml:space="preserve">TC  " </w:instrText>
                      </w:r>
                      <w:bookmarkStart w:id="80" w:name="_Toc97310430"/>
                      <w:r w:rsidRPr="00466811">
                        <w:rPr>
                          <w:b/>
                          <w:bCs/>
                        </w:rPr>
                        <w:instrText>Chapter 3</w:instrText>
                      </w:r>
                      <w:r w:rsidR="00D508ED">
                        <w:rPr>
                          <w:b/>
                          <w:bCs/>
                        </w:rPr>
                        <w:instrText>.</w:instrText>
                      </w:r>
                    </w:p>
                    <w:p w14:paraId="4B5D6340" w14:textId="316BA61E" w:rsidR="00795693" w:rsidRPr="000D7781" w:rsidRDefault="000D7781" w:rsidP="000D7781">
                      <w:pPr>
                        <w:pBdr>
                          <w:top w:val="single" w:sz="24" w:space="8" w:color="auto"/>
                          <w:bottom w:val="single" w:sz="24" w:space="8" w:color="auto"/>
                        </w:pBdr>
                        <w:spacing w:after="0"/>
                        <w:jc w:val="center"/>
                        <w:rPr>
                          <w:b/>
                          <w:bCs/>
                          <w:color w:val="00B0F0"/>
                        </w:rPr>
                      </w:pPr>
                      <w:r w:rsidRPr="00466811">
                        <w:rPr>
                          <w:b/>
                          <w:bCs/>
                        </w:rPr>
                        <w:instrText>A review of the Social Norms Approach as a strategy to reduce unhealthy dietary behaviours of adolescents</w:instrText>
                      </w:r>
                      <w:bookmarkEnd w:id="80"/>
                      <w:r w:rsidRPr="00466811">
                        <w:instrText xml:space="preserve">" \f x\l 1 </w:instrText>
                      </w:r>
                      <w:r w:rsidRPr="00466811">
                        <w:fldChar w:fldCharType="end"/>
                      </w:r>
                      <w:r w:rsidR="00795693" w:rsidRPr="006652F6">
                        <w:rPr>
                          <w:sz w:val="48"/>
                          <w:szCs w:val="48"/>
                        </w:rPr>
                        <w:t xml:space="preserve">Chapter </w:t>
                      </w:r>
                      <w:r w:rsidR="00795693">
                        <w:rPr>
                          <w:sz w:val="48"/>
                          <w:szCs w:val="48"/>
                        </w:rPr>
                        <w:t>3</w:t>
                      </w:r>
                    </w:p>
                    <w:p w14:paraId="58B57101" w14:textId="77777777" w:rsidR="00795693" w:rsidRPr="00466811" w:rsidRDefault="00795693" w:rsidP="00795693">
                      <w:pPr>
                        <w:pBdr>
                          <w:top w:val="single" w:sz="24" w:space="8" w:color="auto"/>
                          <w:bottom w:val="single" w:sz="24" w:space="8" w:color="auto"/>
                        </w:pBdr>
                        <w:spacing w:after="0"/>
                        <w:jc w:val="center"/>
                        <w:rPr>
                          <w:sz w:val="32"/>
                          <w:szCs w:val="32"/>
                        </w:rPr>
                      </w:pPr>
                      <w:r w:rsidRPr="00466811">
                        <w:rPr>
                          <w:sz w:val="32"/>
                          <w:szCs w:val="32"/>
                        </w:rPr>
                        <w:t>A review of the Social Norms Approach as a strategy to reduce unhealthy dietary behaviours of adolescents</w:t>
                      </w:r>
                    </w:p>
                    <w:p w14:paraId="5325BA6B" w14:textId="6A972E2D" w:rsidR="00795693" w:rsidRPr="00E7438E" w:rsidRDefault="00795693" w:rsidP="00795693">
                      <w:pPr>
                        <w:pBdr>
                          <w:top w:val="single" w:sz="24" w:space="8" w:color="auto"/>
                          <w:bottom w:val="single" w:sz="24" w:space="8" w:color="auto"/>
                        </w:pBdr>
                        <w:spacing w:after="0"/>
                        <w:jc w:val="center"/>
                        <w:rPr>
                          <w:color w:val="00B0F0"/>
                          <w:sz w:val="28"/>
                          <w:szCs w:val="28"/>
                        </w:rPr>
                      </w:pPr>
                    </w:p>
                  </w:txbxContent>
                </v:textbox>
                <w10:wrap type="topAndBottom" anchorx="page"/>
              </v:shape>
            </w:pict>
          </mc:Fallback>
        </mc:AlternateContent>
      </w:r>
    </w:p>
    <w:p w14:paraId="7700689C" w14:textId="57AC5261" w:rsidR="00795693" w:rsidRPr="00B1522E" w:rsidRDefault="00795693" w:rsidP="00795693">
      <w:pPr>
        <w:jc w:val="center"/>
      </w:pPr>
    </w:p>
    <w:p w14:paraId="65BA1218" w14:textId="77777777" w:rsidR="00795693" w:rsidRPr="00B1522E" w:rsidRDefault="00795693" w:rsidP="00795693">
      <w:pPr>
        <w:jc w:val="center"/>
      </w:pPr>
    </w:p>
    <w:p w14:paraId="2E551270" w14:textId="77777777" w:rsidR="00795693" w:rsidRPr="00B1522E" w:rsidRDefault="00795693" w:rsidP="00795693">
      <w:pPr>
        <w:jc w:val="center"/>
      </w:pPr>
    </w:p>
    <w:p w14:paraId="10B125DC" w14:textId="77777777" w:rsidR="00795693" w:rsidRPr="00B1522E" w:rsidRDefault="00795693" w:rsidP="00795693">
      <w:pPr>
        <w:jc w:val="center"/>
      </w:pPr>
    </w:p>
    <w:p w14:paraId="77063439" w14:textId="77777777" w:rsidR="00795693" w:rsidRPr="00B1522E" w:rsidRDefault="00795693" w:rsidP="00795693">
      <w:pPr>
        <w:jc w:val="center"/>
      </w:pPr>
    </w:p>
    <w:p w14:paraId="440E5D9A" w14:textId="77777777" w:rsidR="00795693" w:rsidRPr="00B1522E" w:rsidRDefault="00795693" w:rsidP="00795693"/>
    <w:p w14:paraId="7629B030" w14:textId="77777777" w:rsidR="00795693" w:rsidRPr="00B1522E" w:rsidRDefault="00795693" w:rsidP="00795693"/>
    <w:p w14:paraId="38591A13" w14:textId="77777777" w:rsidR="00795693" w:rsidRPr="00B1522E" w:rsidRDefault="00795693" w:rsidP="00795693"/>
    <w:p w14:paraId="4D4A0F76" w14:textId="77777777" w:rsidR="00795693" w:rsidRPr="00B1522E" w:rsidRDefault="00795693" w:rsidP="00795693"/>
    <w:p w14:paraId="2D40036D" w14:textId="77777777" w:rsidR="00795693" w:rsidRPr="00B1522E" w:rsidRDefault="00795693" w:rsidP="00795693"/>
    <w:p w14:paraId="0BD0331C" w14:textId="5C1E9F6B" w:rsidR="00795693" w:rsidRPr="00B1522E" w:rsidRDefault="00795693" w:rsidP="00795693"/>
    <w:p w14:paraId="1DD6B4FF" w14:textId="50EA6E68" w:rsidR="00AF5F8F" w:rsidRPr="00B1522E" w:rsidRDefault="00AF5F8F" w:rsidP="00795693"/>
    <w:p w14:paraId="4C9A6878" w14:textId="5AA69185" w:rsidR="00AF5F8F" w:rsidRPr="00B1522E" w:rsidRDefault="00AF5F8F" w:rsidP="00795693"/>
    <w:p w14:paraId="4329718F" w14:textId="27F6576A" w:rsidR="00AF5F8F" w:rsidRPr="00B1522E" w:rsidRDefault="00AF5F8F" w:rsidP="00795693"/>
    <w:p w14:paraId="30843688" w14:textId="5B2CBBA6" w:rsidR="00AF5F8F" w:rsidRPr="00B1522E" w:rsidRDefault="00AF5F8F" w:rsidP="00795693"/>
    <w:p w14:paraId="5E27AAA4" w14:textId="32CA3F87" w:rsidR="00AF5F8F" w:rsidRPr="00B1522E" w:rsidRDefault="00AF5F8F" w:rsidP="00795693"/>
    <w:p w14:paraId="13F3F1BE" w14:textId="108DB562" w:rsidR="00AF5F8F" w:rsidRPr="00B1522E" w:rsidRDefault="00AF5F8F" w:rsidP="00795693"/>
    <w:p w14:paraId="27741C49" w14:textId="2C6DF264" w:rsidR="00AF5F8F" w:rsidRPr="00B1522E" w:rsidRDefault="00AF5F8F" w:rsidP="00795693"/>
    <w:p w14:paraId="1170BE23" w14:textId="2D3B0F0C" w:rsidR="00AF5F8F" w:rsidRPr="00B1522E" w:rsidRDefault="00AF5F8F" w:rsidP="00795693"/>
    <w:p w14:paraId="54BBAC85" w14:textId="7554A339" w:rsidR="00795693" w:rsidRPr="00B1522E" w:rsidRDefault="0062494E" w:rsidP="00795693">
      <w:pPr>
        <w:spacing w:line="480" w:lineRule="auto"/>
        <w:jc w:val="both"/>
        <w:rPr>
          <w:b/>
          <w:bCs/>
        </w:rPr>
      </w:pPr>
      <w:r w:rsidRPr="00B1522E">
        <w:lastRenderedPageBreak/>
        <w:fldChar w:fldCharType="begin"/>
      </w:r>
      <w:r w:rsidRPr="00B1522E">
        <w:instrText xml:space="preserve"> TC  "</w:instrText>
      </w:r>
      <w:bookmarkStart w:id="81" w:name="_Toc97310431"/>
      <w:r w:rsidRPr="00B1522E">
        <w:instrText>3.1 Chapter overview</w:instrText>
      </w:r>
      <w:bookmarkEnd w:id="81"/>
      <w:r w:rsidRPr="00B1522E">
        <w:instrText xml:space="preserve"> " \f x\l 2 </w:instrText>
      </w:r>
      <w:r w:rsidRPr="00B1522E">
        <w:fldChar w:fldCharType="end"/>
      </w:r>
      <w:r w:rsidR="00795693" w:rsidRPr="00B1522E">
        <w:rPr>
          <w:b/>
          <w:bCs/>
        </w:rPr>
        <w:t>3.1 Chapter overview</w:t>
      </w:r>
    </w:p>
    <w:p w14:paraId="2F00272A" w14:textId="77777777" w:rsidR="00E8551C" w:rsidRPr="00B1522E" w:rsidRDefault="00E8551C" w:rsidP="00E8551C">
      <w:pPr>
        <w:spacing w:line="480" w:lineRule="auto"/>
        <w:jc w:val="both"/>
      </w:pPr>
      <w:r w:rsidRPr="00B1522E">
        <w:rPr>
          <w:rFonts w:cstheme="minorHAnsi"/>
          <w:shd w:val="clear" w:color="auto" w:fill="FFFFFF"/>
        </w:rPr>
        <w:t>The main aim of this thesis is t</w:t>
      </w:r>
      <w:r w:rsidRPr="00B1522E">
        <w:t>o examine whether an in-school Social Norms Approach (SNA) intervention can be applied to reduce the unhealthy dietary behaviours of secondary school students</w:t>
      </w:r>
      <w:r w:rsidRPr="00B1522E">
        <w:rPr>
          <w:rFonts w:cstheme="minorHAnsi"/>
          <w:shd w:val="clear" w:color="auto" w:fill="FFFFFF"/>
        </w:rPr>
        <w:t xml:space="preserve">. </w:t>
      </w:r>
      <w:r w:rsidRPr="00B1522E">
        <w:t>The systematic review (Chapter 2) provides an understanding of school-based interventions that have previously been used to address unhealthy dietary behaviours. The aim of the present chapter is to provide a comprehensive overview of the theoretical underpinning of this research through discussing the background of the SNA.  In particular, this chapter will explore how the approach has been used as a behaviour change strategy and will outline the appropriateness of the SNA as an interventional strategy to reduce unhealthy dietary behaviours of adolescents.</w:t>
      </w:r>
    </w:p>
    <w:p w14:paraId="3E1B3788" w14:textId="77777777" w:rsidR="00795693" w:rsidRPr="00B1522E" w:rsidRDefault="00795693" w:rsidP="00795693">
      <w:pPr>
        <w:pStyle w:val="ListParagraph"/>
        <w:spacing w:after="0" w:line="480" w:lineRule="auto"/>
        <w:ind w:left="0"/>
        <w:jc w:val="both"/>
      </w:pPr>
    </w:p>
    <w:p w14:paraId="352E2191" w14:textId="0E558187" w:rsidR="00795693" w:rsidRPr="00B1522E" w:rsidRDefault="0062494E" w:rsidP="00795693">
      <w:pPr>
        <w:spacing w:line="480" w:lineRule="auto"/>
        <w:jc w:val="both"/>
        <w:rPr>
          <w:b/>
          <w:bCs/>
        </w:rPr>
      </w:pPr>
      <w:r w:rsidRPr="00B1522E">
        <w:fldChar w:fldCharType="begin"/>
      </w:r>
      <w:r w:rsidRPr="00B1522E">
        <w:instrText xml:space="preserve"> TC  "</w:instrText>
      </w:r>
      <w:bookmarkStart w:id="82" w:name="_Toc97310432"/>
      <w:r w:rsidRPr="00B1522E">
        <w:instrText>3.2 Introduction</w:instrText>
      </w:r>
      <w:bookmarkEnd w:id="82"/>
      <w:r w:rsidRPr="00B1522E">
        <w:instrText xml:space="preserve"> " \f x\l 2 </w:instrText>
      </w:r>
      <w:r w:rsidRPr="00B1522E">
        <w:fldChar w:fldCharType="end"/>
      </w:r>
      <w:r w:rsidR="00795693" w:rsidRPr="00B1522E">
        <w:rPr>
          <w:b/>
          <w:bCs/>
        </w:rPr>
        <w:t xml:space="preserve">3.2 Introduction </w:t>
      </w:r>
    </w:p>
    <w:p w14:paraId="56E6D2B8" w14:textId="3ACA0062" w:rsidR="00832233" w:rsidRPr="00B1522E" w:rsidRDefault="00832233" w:rsidP="00832233">
      <w:pPr>
        <w:spacing w:line="480" w:lineRule="auto"/>
        <w:jc w:val="both"/>
      </w:pPr>
      <w:r w:rsidRPr="00646E6A">
        <w:t>Social norms are described as a set of unwritten rules that exist within a social group (a group that interacts with one another and shares a common identify) that provide a guide for socially acceptable</w:t>
      </w:r>
      <w:r w:rsidRPr="00B1522E">
        <w:t xml:space="preserve"> behaviours </w:t>
      </w:r>
      <w:r w:rsidRPr="00B1522E">
        <w:fldChar w:fldCharType="begin" w:fldLock="1"/>
      </w:r>
      <w:r w:rsidRPr="00B1522E">
        <w:instrText>ADDIN CSL_CITATION {"citationItems":[{"id":"ITEM-1","itemData":{"ISSN":"2255-4165","author":[{"dropping-particle":"","family":"Chung","given":"Adrienne","non-dropping-particle":"","parse-names":false,"suffix":""},{"dropping-particle":"","family":"Rimal","given":"Rajiv N","non-dropping-particle":"","parse-names":false,"suffix":""}],"container-title":"Review of Communication Research","id":"ITEM-1","issued":{"date-parts":[["2016"]]},"page":"1-28","publisher":"ESP","title":"Social norms: A review","type":"article-journal","volume":"4"},"uris":["http://www.mendeley.com/documents/?uuid=af29501e-cbbe-4de5-bcae-8b493ac2384c"]},{"id":"ITEM-2","itemData":{"ISSN":"1751-9004","author":[{"dropping-particle":"","family":"Anderson","given":"Joanna E","non-dropping-particle":"","parse-names":false,"suffix":""},{"dropping-particle":"","family":"Dunning","given":"David","non-dropping-particle":"","parse-names":false,"suffix":""}],"container-title":"Social and Personality Psychology Compass","id":"ITEM-2","issue":"12","issued":{"date-parts":[["2014"]]},"page":"721-738","publisher":"Wiley Online Library","title":"Behavioral norms: Variants and their identification","type":"article-journal","volume":"8"},"uris":["http://www.mendeley.com/documents/?uuid=e420b8ea-2223-454b-8988-995c0dde567b"]}],"mendeley":{"formattedCitation":"(Anderson &amp; Dunning, 2014; Chung &amp; Rimal, 2016)","plainTextFormattedCitation":"(Anderson &amp; Dunning, 2014; Chung &amp; Rimal, 2016)","previouslyFormattedCitation":"(Anderson &amp; Dunning, 2014; Chung &amp; Rimal, 2016)"},"properties":{"noteIndex":0},"schema":"https://github.com/citation-style-language/schema/raw/master/csl-citation.json"}</w:instrText>
      </w:r>
      <w:r w:rsidRPr="00B1522E">
        <w:fldChar w:fldCharType="separate"/>
      </w:r>
      <w:r w:rsidRPr="00B1522E">
        <w:rPr>
          <w:noProof/>
        </w:rPr>
        <w:t>(Anderson &amp; Dunning, 2014; Chung &amp; Rimal, 2016)</w:t>
      </w:r>
      <w:r w:rsidRPr="00B1522E">
        <w:fldChar w:fldCharType="end"/>
      </w:r>
      <w:r w:rsidRPr="00B1522E">
        <w:t xml:space="preserve">. Norms exert social influence by prescribing what are, and are not, appropriate behaviours, and engagement in behaviour is often related to perceived social pressures </w:t>
      </w:r>
      <w:r w:rsidRPr="00B1522E">
        <w:fldChar w:fldCharType="begin" w:fldLock="1"/>
      </w:r>
      <w:r w:rsidR="00680BF6">
        <w:instrText>ADDIN CSL_CITATION {"citationItems":[{"id":"ITEM-1","itemData":{"ISSN":"0195213769","author":[{"dropping-particle":"","family":"Cialdini","given":"Robert B","non-dropping-particle":"","parse-names":false,"suffix":""},{"dropping-particle":"","family":"Trost","given":"Melanie R","non-dropping-particle":"","parse-names":false,"suffix":""}],"container-title":"The handbook of social psychology","editor":[{"dropping-particle":"","family":"Gilbert","given":"D.T","non-dropping-particle":"","parse-names":false,"suffix":""},{"dropping-particle":"","family":"Fiske","given":"S.T","non-dropping-particle":"","parse-names":false,"suffix":""},{"dropping-particle":"","family":"Lindzey","given":"G","non-dropping-particle":"","parse-names":false,"suffix":""}],"id":"ITEM-1","issued":{"date-parts":[["1998"]]},"page":"151-192","publisher":"McGraw-Hill","title":"Social influence: Social norms, conformity and compliance.","type":"chapter"},"uris":["http://www.mendeley.com/documents/?uuid=cdb87913-3bb5-4c2c-a97e-2c0d8b36ffc8"]}],"mendeley":{"formattedCitation":"(Cialdini &amp; Trost, 1998)","plainTextFormattedCitation":"(Cialdini &amp; Trost, 1998)","previouslyFormattedCitation":"(Cialdini &amp; Trost, 1998)"},"properties":{"noteIndex":0},"schema":"https://github.com/citation-style-language/schema/raw/master/csl-citation.json"}</w:instrText>
      </w:r>
      <w:r w:rsidRPr="00B1522E">
        <w:fldChar w:fldCharType="separate"/>
      </w:r>
      <w:r w:rsidRPr="00B1522E">
        <w:rPr>
          <w:noProof/>
        </w:rPr>
        <w:t>(Cialdini &amp; Trost, 1998)</w:t>
      </w:r>
      <w:r w:rsidRPr="00B1522E">
        <w:fldChar w:fldCharType="end"/>
      </w:r>
      <w:r w:rsidRPr="00B1522E">
        <w:t xml:space="preserve">. </w:t>
      </w:r>
      <w:r w:rsidRPr="00B1522E">
        <w:rPr>
          <w:rFonts w:cstheme="minorHAnsi"/>
        </w:rPr>
        <w:t xml:space="preserve">Social norms, it is suggested, emerge </w:t>
      </w:r>
      <w:r w:rsidRPr="00B1522E">
        <w:t xml:space="preserve">through the interaction with other group members (Sherif, 1936; Yamin et al., 2019), both indirectly (surmising the norm from other group members’ behaviour) or directly (conversing about what constitutes normative behaviour) (Hogg &amp; Reid, 2006). </w:t>
      </w:r>
    </w:p>
    <w:p w14:paraId="702EC85D" w14:textId="75A1BD87" w:rsidR="00832233" w:rsidRPr="00B1522E" w:rsidRDefault="00832233" w:rsidP="00832233">
      <w:pPr>
        <w:spacing w:line="480" w:lineRule="auto"/>
        <w:jc w:val="both"/>
      </w:pPr>
      <w:r w:rsidRPr="00B1522E">
        <w:tab/>
        <w:t xml:space="preserve">Social norms are cited as an important influence on health-related behaviours and have been integrated into a variety of health behaviour models (e.g. Theory of Planned Behaviour and Theory of Normative Social Behaviour) </w:t>
      </w:r>
      <w:r w:rsidRPr="00B1522E">
        <w:fldChar w:fldCharType="begin" w:fldLock="1"/>
      </w:r>
      <w:r w:rsidRPr="00B1522E">
        <w:instrText>ADDIN CSL_CITATION {"citationItems":[{"id":"ITEM-1","itemData":{"ISSN":"0749-5978","author":[{"dropping-particle":"","family":"Ajzen","given":"Icek","non-dropping-particle":"","parse-names":false,"suffix":""}],"container-title":"Organizational behavior and human decision processes","id":"ITEM-1","issue":"2","issued":{"date-parts":[["1991"]]},"page":"179-211","publisher":"San Diego","title":"The theory of planned behavior","type":"article-journal","volume":"50"},"uris":["http://www.mendeley.com/documents/?uuid=746475a6-a37d-4237-afae-ec806f921d98"]},{"id":"ITEM-2","itemData":{"ISSN":"0093-6502","author":[{"dropping-particle":"","family":"Rimal","given":"Rajiv N","non-dropping-particle":"","parse-names":false,"suffix":""},{"dropping-particle":"","family":"Real","given":"Kevin","non-dropping-particle":"","parse-names":false,"suffix":""}],"container-title":"Communication research","id":"ITEM-2","issue":"3","issued":{"date-parts":[["2005"]]},"page":"389-414","publisher":"Sage Publications Sage CA: Thousand Oaks, CA","title":"How behaviors are influenced by perceived norms: A test of the theory of normative social behavior","type":"article-journal","volume":"32"},"uris":["http://www.mendeley.com/documents/?uuid=69051f30-00fc-4ca2-8cf1-d1747679addd"]}],"mendeley":{"formattedCitation":"(Ajzen, 1991; Rimal &amp; Real, 2005)","plainTextFormattedCitation":"(Ajzen, 1991; Rimal &amp; Real, 2005)","previouslyFormattedCitation":"(Ajzen, 1991; Rimal &amp; Real, 2005)"},"properties":{"noteIndex":0},"schema":"https://github.com/citation-style-language/schema/raw/master/csl-citation.json"}</w:instrText>
      </w:r>
      <w:r w:rsidRPr="00B1522E">
        <w:fldChar w:fldCharType="separate"/>
      </w:r>
      <w:r w:rsidRPr="00B1522E">
        <w:rPr>
          <w:noProof/>
        </w:rPr>
        <w:t>(Ajzen, 1991; Rimal &amp; Real, 2005)</w:t>
      </w:r>
      <w:r w:rsidRPr="00B1522E">
        <w:fldChar w:fldCharType="end"/>
      </w:r>
      <w:r w:rsidRPr="00B1522E">
        <w:t>. Individuals tend to conform to s</w:t>
      </w:r>
      <w:r w:rsidRPr="00B1522E">
        <w:rPr>
          <w:rFonts w:cstheme="minorHAnsi"/>
        </w:rPr>
        <w:t xml:space="preserve">ocial norms </w:t>
      </w:r>
      <w:r w:rsidRPr="00B1522E">
        <w:t xml:space="preserve">because of a fundamental need to be socially accepted and to avoid social disapproval </w:t>
      </w:r>
      <w:r w:rsidRPr="00B1522E">
        <w:fldChar w:fldCharType="begin" w:fldLock="1"/>
      </w:r>
      <w:r w:rsidR="0063396E" w:rsidRPr="00B1522E">
        <w:instrText>ADDIN CSL_CITATION {"citationItems":[{"id":"ITEM-1","itemData":{"ISSN":"0096-851X","author":[{"dropping-particle":"","family":"Deutsch","given":"Morton","non-dropping-particle":"","parse-names":false,"suffix":""},{"dropping-particle":"","family":"Gerard","given":"Harold B","non-dropping-particle":"","parse-names":false,"suffix":""}],"container-title":"The journal of abnormal and social psychology","id":"ITEM-1","issue":"3","issued":{"date-parts":[["1955"]]},"page":"629-631","publisher":"American Psychological Association","title":"A study of normative and informational social influences upon individual judgment.","type":"article-journal","volume":"51"},"uris":["http://www.mendeley.com/documents/?uuid=5962b903-3494-4f50-8ba8-60da5e4a8727"]},{"id":"ITEM-2","itemData":{"author":[{"dropping-particle":"","family":"Bicchieri","given":"Cristina","non-dropping-particle":"","parse-names":false,"suffix":""},{"dropping-particle":"","family":"Muldoon","given":"Ryan","non-dropping-particle":"","parse-names":false,"suffix":""}],"container-title":"Politics, Philosophy &amp; Economics","id":"ITEM-2","issue":"2","issued":{"date-parts":[["2011"]]},"page":"170-187","title":"Trustworthiness is a social norm, but trusting is not","type":"article-journal","volume":"10"},"uris":["http://www.mendeley.com/documents/?uuid=300239cf-f758-4680-91fd-0c16eb95287b"]}],"mendeley":{"formattedCitation":"(Bicchieri &amp; Muldoon, 2011; Deutsch &amp; Gerard, 1955)","plainTextFormattedCitation":"(Bicchieri &amp; Muldoon, 2011; Deutsch &amp; Gerard, 1955)","previouslyFormattedCitation":"(Bicchieri &amp; Muldoon, 2011; Deutsch &amp; Gerard, 1955)"},"properties":{"noteIndex":0},"schema":"https://github.com/citation-style-language/schema/raw/master/csl-citation.json"}</w:instrText>
      </w:r>
      <w:r w:rsidRPr="00B1522E">
        <w:fldChar w:fldCharType="separate"/>
      </w:r>
      <w:r w:rsidRPr="00B1522E">
        <w:rPr>
          <w:noProof/>
        </w:rPr>
        <w:t>(Bicchieri &amp; Muldoon, 2011; Deutsch &amp; Gerard, 1955)</w:t>
      </w:r>
      <w:r w:rsidRPr="00B1522E">
        <w:fldChar w:fldCharType="end"/>
      </w:r>
      <w:r w:rsidRPr="00B1522E">
        <w:t xml:space="preserve">. However, these </w:t>
      </w:r>
      <w:r w:rsidRPr="00B1522E">
        <w:rPr>
          <w:rFonts w:cstheme="minorHAnsi"/>
        </w:rPr>
        <w:t xml:space="preserve">normative perceptions about peers’ behaviours are not always accurate, for example, individuals tend to overestimate the unhealthy </w:t>
      </w:r>
      <w:r w:rsidRPr="00B1522E">
        <w:rPr>
          <w:rFonts w:cstheme="minorHAnsi"/>
        </w:rPr>
        <w:lastRenderedPageBreak/>
        <w:t xml:space="preserve">behaviours of peers (e.g., alcohol consumption) and believe peers to be more accepting of these behaviours than in reality </w:t>
      </w:r>
      <w:r w:rsidRPr="00B1522E">
        <w:rPr>
          <w:rFonts w:cstheme="minorHAnsi"/>
        </w:rPr>
        <w:fldChar w:fldCharType="begin" w:fldLock="1"/>
      </w:r>
      <w:r w:rsidR="004A684E" w:rsidRPr="00B1522E">
        <w:rPr>
          <w:rFonts w:cstheme="minorHAnsi"/>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rPr>
          <w:rFonts w:cstheme="minorHAnsi"/>
        </w:rPr>
        <w:fldChar w:fldCharType="separate"/>
      </w:r>
      <w:r w:rsidRPr="00B1522E">
        <w:rPr>
          <w:rFonts w:cstheme="minorHAnsi"/>
          <w:noProof/>
        </w:rPr>
        <w:t>(Perkins &amp; Berkowitz, 1986)</w:t>
      </w:r>
      <w:r w:rsidRPr="00B1522E">
        <w:rPr>
          <w:rFonts w:cstheme="minorHAnsi"/>
        </w:rPr>
        <w:fldChar w:fldCharType="end"/>
      </w:r>
      <w:r w:rsidRPr="00B1522E">
        <w:rPr>
          <w:rFonts w:cstheme="minorHAnsi"/>
        </w:rPr>
        <w:t xml:space="preserve">. </w:t>
      </w:r>
      <w:r w:rsidRPr="00B1522E">
        <w:rPr>
          <w:rFonts w:cstheme="minorHAnsi"/>
          <w:shd w:val="clear" w:color="auto" w:fill="FFFFFF"/>
        </w:rPr>
        <w:t xml:space="preserve">These normative misperceptions can lead to personal unhealthy behaviours as individuals conform to inaccurate perceived social norms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(McAlaney et al., 2010)</w:t>
      </w:r>
      <w:r w:rsidRPr="00B1522E">
        <w:rPr>
          <w:rFonts w:cstheme="minorHAnsi"/>
          <w:shd w:val="clear" w:color="auto" w:fill="FFFFFF"/>
        </w:rPr>
        <w:fldChar w:fldCharType="end"/>
      </w:r>
      <w:r w:rsidRPr="00B1522E">
        <w:rPr>
          <w:rFonts w:cstheme="minorHAnsi"/>
          <w:shd w:val="clear" w:color="auto" w:fill="FFFFFF"/>
        </w:rPr>
        <w:t xml:space="preserve">. The SNA assumes that challenging these inaccurate normative perceptions should decrease the social pressure to engage in these unhealthy behaviours, consequently leading to a reduction in the behaviour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(McAlaney et al., 2010)</w:t>
      </w:r>
      <w:r w:rsidRPr="00B1522E">
        <w:rPr>
          <w:rFonts w:cstheme="minorHAnsi"/>
          <w:shd w:val="clear" w:color="auto" w:fill="FFFFFF"/>
        </w:rPr>
        <w:fldChar w:fldCharType="end"/>
      </w:r>
      <w:r w:rsidRPr="00B1522E">
        <w:rPr>
          <w:rFonts w:cstheme="minorHAnsi"/>
          <w:shd w:val="clear" w:color="auto" w:fill="FFFFFF"/>
        </w:rPr>
        <w:t xml:space="preserve">. </w:t>
      </w:r>
      <w:r w:rsidRPr="00B1522E">
        <w:t>This chapter will now present an overview of the SNA offering an explanation of how misperceptions develop and how these misperceptions influence personal behaviour.  It will then go on to discuss how the SNA has been used as a behaviour change strategy to challenge commonly-held misperceptions to reduce unhealthy behaviours, and consider the appropriateness of applying the SNA as an interventional strategy to address unhealthy dietary behaviours of young adolescents.</w:t>
      </w:r>
    </w:p>
    <w:p w14:paraId="161C0ADF" w14:textId="77777777" w:rsidR="00795693" w:rsidRPr="00B1522E" w:rsidRDefault="00795693" w:rsidP="00795693">
      <w:pPr>
        <w:spacing w:line="480" w:lineRule="auto"/>
        <w:jc w:val="both"/>
      </w:pPr>
    </w:p>
    <w:p w14:paraId="4CD9BF4A" w14:textId="6580178C" w:rsidR="00795693" w:rsidRPr="00B1522E" w:rsidRDefault="0062494E" w:rsidP="00795693">
      <w:pPr>
        <w:spacing w:line="480" w:lineRule="auto"/>
        <w:jc w:val="both"/>
        <w:rPr>
          <w:b/>
          <w:bCs/>
        </w:rPr>
      </w:pPr>
      <w:r w:rsidRPr="00B1522E">
        <w:fldChar w:fldCharType="begin"/>
      </w:r>
      <w:r w:rsidRPr="00B1522E">
        <w:instrText xml:space="preserve"> TC  "3.3 Overview of the SNA \f x\l 2 </w:instrText>
      </w:r>
      <w:r w:rsidRPr="00B1522E">
        <w:fldChar w:fldCharType="end"/>
      </w:r>
      <w:r w:rsidR="00795693" w:rsidRPr="00B1522E">
        <w:rPr>
          <w:b/>
          <w:bCs/>
        </w:rPr>
        <w:t>3.3 Overview of the SNA</w:t>
      </w:r>
    </w:p>
    <w:p w14:paraId="23367344" w14:textId="11A21879" w:rsidR="00031A3B" w:rsidRPr="00B1522E" w:rsidRDefault="00031A3B" w:rsidP="00031A3B">
      <w:pPr>
        <w:spacing w:line="480" w:lineRule="auto"/>
        <w:jc w:val="both"/>
        <w:rPr>
          <w:rFonts w:eastAsia="Calibri" w:cstheme="minorHAnsi"/>
        </w:rPr>
      </w:pPr>
      <w:r w:rsidRPr="00B1522E">
        <w:t xml:space="preserve">The SNA operates on the premise that </w:t>
      </w:r>
      <w:r w:rsidRPr="00B1522E">
        <w:rPr>
          <w:rFonts w:cstheme="minorHAnsi"/>
          <w:shd w:val="clear" w:color="auto" w:fill="FFFFFF"/>
        </w:rPr>
        <w:t xml:space="preserve">individuals tend to misperceive peers’ normative behaviour and attitudes, that these misperceptions are associated with one’s own engagement in unhealthy behaviour, and interventions that present accurate normative information should lead to a reduction in unhealthy behaviours by reducing these misperceptions </w:t>
      </w:r>
      <w:r w:rsidRPr="00B1522E">
        <w:rPr>
          <w:rFonts w:cstheme="minorHAnsi"/>
          <w:shd w:val="clear" w:color="auto" w:fill="FFFFFF"/>
        </w:rPr>
        <w:fldChar w:fldCharType="begin" w:fldLock="1"/>
      </w:r>
      <w:r w:rsidR="000B6159" w:rsidRPr="00B1522E">
        <w:rPr>
          <w:rFonts w:cstheme="minorHAnsi"/>
          <w:shd w:val="clear" w:color="auto" w:fill="FFFFFF"/>
        </w:rPr>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approach","type":"chapter"},"uris":["http://www.mendeley.com/documents/?uuid=7e72ac3f-525d-40f4-9876-d8bb37f8a3fc"]},{"id":"ITEM-2","itemData":{"author":[{"dropping-particle":"","family":"Perkins","given":"H. Wesley","non-dropping-particle":"","parse-names":false,"suffix":""},{"dropping-particle":"","family":"Ph","given":"D","non-dropping-particle":"","parse-names":false,"suffix":""}],"container-title":"n H. W. Perkins (Ed.), The social norms approach to preventing school and college age substance abuse: A handbook for educators, counselors, and clinicians","id":"ITEM-2","issued":{"date-parts":[["1997"]]},"page":"3-18","publisher":"Jossey-Bass","title":"the emergence and evolution of social norms approach TO SUBSTANCE ABUSE PREVENTION","type":"article-journal"},"uris":["http://www.mendeley.com/documents/?uuid=951da153-075e-41ae-8611-6a2023734c1c"]}],"mendeley":{"formattedCitation":"(Berkowitz, 2005; H. Wesley Perkins &amp; Ph, 1997)","manualFormatting":"(Berkowitz, 2005; Perkins, 2003a)","plainTextFormattedCitation":"(Berkowitz, 2005; H. Wesley Perkins &amp; Ph, 1997)","previouslyFormattedCitation":"(Berkowitz, 2005; H. Wesley Perkins &amp; Ph, 1997)"},"properties":{"noteIndex":0},"schema":"https://github.com/citation-style-language/schema/raw/master/csl-citation.json"}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(Berkowitz, 2005; Perkins, 2003a)</w:t>
      </w:r>
      <w:r w:rsidRPr="00B1522E">
        <w:rPr>
          <w:rFonts w:cstheme="minorHAnsi"/>
          <w:shd w:val="clear" w:color="auto" w:fill="FFFFFF"/>
        </w:rPr>
        <w:fldChar w:fldCharType="end"/>
      </w:r>
      <w:r w:rsidRPr="00B1522E">
        <w:rPr>
          <w:rFonts w:cstheme="minorHAnsi"/>
          <w:shd w:val="clear" w:color="auto" w:fill="FFFFFF"/>
        </w:rPr>
        <w:t>.</w:t>
      </w:r>
      <w:r w:rsidRPr="00B1522E">
        <w:t xml:space="preserve"> The </w:t>
      </w:r>
      <w:r w:rsidRPr="00B1522E">
        <w:rPr>
          <w:rFonts w:cstheme="minorHAnsi"/>
        </w:rPr>
        <w:t>SNA</w:t>
      </w:r>
      <w:r w:rsidRPr="00B1522E">
        <w:t xml:space="preserve"> focuses on two different types of norms which help to explain behaviour: </w:t>
      </w:r>
      <w:r w:rsidRPr="00B1522E">
        <w:rPr>
          <w:i/>
          <w:iCs/>
        </w:rPr>
        <w:t>descriptive norms,</w:t>
      </w:r>
      <w:r w:rsidRPr="00B1522E">
        <w:t xml:space="preserve"> which relates to the perception of other people’s behaviour; and, </w:t>
      </w:r>
      <w:r w:rsidRPr="00B1522E">
        <w:rPr>
          <w:i/>
          <w:iCs/>
        </w:rPr>
        <w:t>injunctive norms,</w:t>
      </w:r>
      <w:r w:rsidRPr="00B1522E">
        <w:t xml:space="preserve"> which relates to the perceived attitudes or </w:t>
      </w:r>
      <w:r w:rsidRPr="00B1522E">
        <w:rPr>
          <w:rFonts w:cstheme="minorHAnsi"/>
        </w:rPr>
        <w:t>perceived approval of the behaviour by peers</w:t>
      </w:r>
      <w:r w:rsidRPr="00B1522E">
        <w:t xml:space="preserve"> </w:t>
      </w:r>
      <w:r w:rsidRPr="00B1522E">
        <w:fldChar w:fldCharType="begin" w:fldLock="1"/>
      </w:r>
      <w:r w:rsidR="00DF6CCC" w:rsidRPr="00B1522E">
        <w:instrText>ADDIN CSL_CITATION {"citationItems":[{"id":"ITEM-1","itemData":{"author":[{"dropping-particle":"","family":"McAlaney","given":"J","non-dropping-particle":"","parse-names":false,"suffix":""},{"dropping-particle":"","family":"Bewick","given":"B.","non-dropping-particle":"","parse-names":false,"suffix":""},{"dropping-particle":"","family":"Hughes","given":"C.","non-dropping-particle":"","parse-names":false,"suffix":""}],"container-title":"Drugs: Education, Prevention and Policy","id":"ITEM-1","issued":{"date-parts":[["2011"]]},"page":"81-89","title":"The international development of the 'Social Norms' approach to drug education and prevention","type":"article-journal","volume":"18"},"uris":["http://www.mendeley.com/documents/?uuid=039e01c9-674b-477f-88d4-868a5c818ffa"]}],"mendeley":{"formattedCitation":"(J McAlaney et al., 2011)","manualFormatting":"(McAlaney et al., 2011)","plainTextFormattedCitation":"(J McAlaney et al., 2011)","previouslyFormattedCitation":"(J McAlaney et al., 2011)"},"properties":{"noteIndex":0},"schema":"https://github.com/citation-style-language/schema/raw/master/csl-citation.json"}</w:instrText>
      </w:r>
      <w:r w:rsidRPr="00B1522E">
        <w:fldChar w:fldCharType="separate"/>
      </w:r>
      <w:r w:rsidRPr="00B1522E">
        <w:rPr>
          <w:noProof/>
        </w:rPr>
        <w:t>(McAlaney et al., 2011)</w:t>
      </w:r>
      <w:r w:rsidRPr="00B1522E">
        <w:fldChar w:fldCharType="end"/>
      </w:r>
      <w:r w:rsidRPr="00B1522E">
        <w:t xml:space="preserve">. It is suggested that both types of norms influence behaviour, but potentially in different ways </w:t>
      </w:r>
      <w:r w:rsidRPr="00B1522E">
        <w:fldChar w:fldCharType="begin" w:fldLock="1"/>
      </w:r>
      <w:r w:rsidR="0063396E" w:rsidRPr="00B1522E">
        <w:instrText>ADDIN CSL_CITATION {"citationItems":[{"id":"ITEM-1","itemData":{"ISSN":"1939-1315","author":[{"dropping-particle":"","family":"Cialdini","given":"Robert B","non-dropping-particle":"","parse-names":false,"suffix":""},{"dropping-particle":"","family":"Reno","given":"Raymond R","non-dropping-particle":"","parse-names":false,"suffix":""},{"dropping-particle":"","family":"Kallgren","given":"Carl A","non-dropping-particle":"","parse-names":false,"suffix":""}],"container-title":"Journal of personality and social psychology","id":"ITEM-1","issue":"6","issued":{"date-parts":[["1990"]]},"page":"1015-1026","publisher":"American Psychological Association","title":"A focus theory of normative conduct: Recycling the concept of norms to reduce littering in public places.","type":"article-journal","volume":"58"},"uris":["http://www.mendeley.com/documents/?uuid=37722e95-8405-4034-8d98-df2e1a8b22b3"]}],"mendeley":{"formattedCitation":"(Cialdini et al., 1990)","plainTextFormattedCitation":"(Cialdini et al., 1990)","previouslyFormattedCitation":"(Cialdini et al., 1990)"},"properties":{"noteIndex":0},"schema":"https://github.com/citation-style-language/schema/raw/master/csl-citation.json"}</w:instrText>
      </w:r>
      <w:r w:rsidRPr="00B1522E">
        <w:fldChar w:fldCharType="separate"/>
      </w:r>
      <w:r w:rsidR="004B7FAF" w:rsidRPr="00B1522E">
        <w:rPr>
          <w:noProof/>
        </w:rPr>
        <w:t>(Cialdini et al., 1990)</w:t>
      </w:r>
      <w:r w:rsidRPr="00B1522E">
        <w:fldChar w:fldCharType="end"/>
      </w:r>
      <w:r w:rsidRPr="00B1522E">
        <w:t xml:space="preserve">. Researchers suggest that descriptive norms refers to the prevalence of the behaviour(s) which infers what the normative behaviour is, while injunctive norms refer to the perceived social pressure to engage in the behaviour(s) seemingly outlining the </w:t>
      </w:r>
      <w:r w:rsidRPr="00B1522E">
        <w:rPr>
          <w:rFonts w:eastAsia="Calibri"/>
        </w:rPr>
        <w:t>social acceptability of the behaviour</w:t>
      </w:r>
      <w:r w:rsidRPr="00B1522E">
        <w:t xml:space="preserve"> </w:t>
      </w:r>
      <w:r w:rsidRPr="00B1522E">
        <w:fldChar w:fldCharType="begin" w:fldLock="1"/>
      </w:r>
      <w:r w:rsidRPr="00B1522E">
        <w:instrText>ADDIN CSL_CITATION {"citationItems":[{"id":"ITEM-1","itemData":{"ISSN":"0093-6502","author":[{"dropping-particle":"","family":"Rimal","given":"Rajiv N","non-dropping-particle":"","parse-names":false,"suffix":""},{"dropping-particle":"","family":"Real","given":"Kevin","non-dropping-particle":"","parse-names":false,"suffix":""}],"container-title":"Communication research","id":"ITEM-1","issue":"3","issued":{"date-parts":[["2005"]]},"page":"389-414","publisher":"Sage Publications Sage CA: Thousand Oaks, CA","title":"How behaviors are influenced by perceived norms: A test of the theory of normative social behavior","type":"article-journal","volume":"32"},"uris":["http://www.mendeley.com/documents/?uuid=69051f30-00fc-4ca2-8cf1-d1747679addd"]}],"mendeley":{"formattedCitation":"(Rimal &amp; Real, 2005)","plainTextFormattedCitation":"(Rimal &amp; Real, 2005)","previouslyFormattedCitation":"(Rimal &amp; Real, 2005)"},"properties":{"noteIndex":0},"schema":"https://github.com/citation-style-language/schema/raw/master/csl-citation.json"}</w:instrText>
      </w:r>
      <w:r w:rsidRPr="00B1522E">
        <w:fldChar w:fldCharType="separate"/>
      </w:r>
      <w:r w:rsidRPr="00B1522E">
        <w:rPr>
          <w:noProof/>
        </w:rPr>
        <w:t>(Rimal &amp; Real, 2005)</w:t>
      </w:r>
      <w:r w:rsidRPr="00B1522E">
        <w:fldChar w:fldCharType="end"/>
      </w:r>
      <w:r w:rsidRPr="00B1522E">
        <w:t xml:space="preserve">. </w:t>
      </w:r>
    </w:p>
    <w:p w14:paraId="7AF0BC56" w14:textId="22811789" w:rsidR="00031A3B" w:rsidRPr="00B1522E" w:rsidRDefault="00031A3B" w:rsidP="00734D95">
      <w:pPr>
        <w:spacing w:line="480" w:lineRule="auto"/>
        <w:ind w:firstLine="720"/>
        <w:jc w:val="both"/>
        <w:rPr>
          <w:rFonts w:eastAsia="Calibri" w:cstheme="minorHAnsi"/>
        </w:rPr>
      </w:pPr>
      <w:r w:rsidRPr="00B1522E">
        <w:rPr>
          <w:rFonts w:cstheme="minorHAnsi"/>
        </w:rPr>
        <w:lastRenderedPageBreak/>
        <w:t xml:space="preserve">The SNA originated from an early study by </w:t>
      </w:r>
      <w:r w:rsidRPr="00B1522E">
        <w:rPr>
          <w:rFonts w:cstheme="minorHAnsi"/>
        </w:rPr>
        <w:fldChar w:fldCharType="begin" w:fldLock="1"/>
      </w:r>
      <w:r w:rsidR="004A684E" w:rsidRPr="00B1522E">
        <w:rPr>
          <w:rFonts w:cstheme="minorHAnsi"/>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and Berkowitz (1986)","plainTextFormattedCitation":"(H. W Perkins &amp; Berkowitz, 1986)","previouslyFormattedCitation":"(H. W Perkins &amp; Berkowitz, 1986)"},"properties":{"noteIndex":0},"schema":"https://github.com/citation-style-language/schema/raw/master/csl-citation.json"}</w:instrText>
      </w:r>
      <w:r w:rsidRPr="00B1522E">
        <w:rPr>
          <w:rFonts w:cstheme="minorHAnsi"/>
        </w:rPr>
        <w:fldChar w:fldCharType="separate"/>
      </w:r>
      <w:r w:rsidRPr="00B1522E">
        <w:rPr>
          <w:rFonts w:cstheme="minorHAnsi"/>
          <w:noProof/>
        </w:rPr>
        <w:t>Perkins and Berkowitz (1986)</w:t>
      </w:r>
      <w:r w:rsidRPr="00B1522E">
        <w:rPr>
          <w:rFonts w:cstheme="minorHAnsi"/>
        </w:rPr>
        <w:fldChar w:fldCharType="end"/>
      </w:r>
      <w:r w:rsidRPr="00B1522E">
        <w:rPr>
          <w:rFonts w:cstheme="minorHAnsi"/>
        </w:rPr>
        <w:t xml:space="preserve"> which observed that university students tended to overestimate the alcohol intake of peers and to believe their peers were more accepting of these behaviours than they actually were. These normative misperceptions were</w:t>
      </w:r>
      <w:r w:rsidRPr="00B1522E">
        <w:t xml:space="preserve"> associated with students’ own reported personal alcohol consumption, with students </w:t>
      </w:r>
      <w:r w:rsidRPr="00B1522E">
        <w:rPr>
          <w:rFonts w:cstheme="minorHAnsi"/>
        </w:rPr>
        <w:t>who overestimated alcohol consumption of other students being more likely to consume a larger amount of alcohol themselves</w:t>
      </w:r>
      <w:r w:rsidRPr="00B1522E">
        <w:t xml:space="preserve">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t xml:space="preserve">. This led to the idea that correcting these exaggerated perceptions with accurate normative information could lead to a decrease in unhealthy alcohol intake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t>.</w:t>
      </w:r>
      <w:r w:rsidRPr="00B1522E">
        <w:rPr>
          <w:rFonts w:eastAsia="Calibri" w:cstheme="minorHAnsi"/>
        </w:rPr>
        <w:t xml:space="preserve"> </w:t>
      </w:r>
      <w:r w:rsidRPr="00B1522E">
        <w:rPr>
          <w:rFonts w:eastAsia="Calibri" w:cstheme="minorHAnsi"/>
        </w:rPr>
        <w:fldChar w:fldCharType="begin" w:fldLock="1"/>
      </w:r>
      <w:r w:rsidR="004A684E" w:rsidRPr="00B1522E">
        <w:rPr>
          <w:rFonts w:eastAsia="Calibri" w:cstheme="minorHAnsi"/>
        </w:rPr>
        <w:instrText>ADDIN CSL_CITATION {"citationItems":[{"id":"ITEM-1","itemData":{"author":[{"dropping-particle":"","family":"Perkins","given":"H. W","non-dropping-particle":"","parse-names":false,"suffix":""}],"container-title":"Designing alcohol and other drug prevention programs in higher education: Bringing theory into practice","id":"ITEM-1","issued":{"date-parts":[["1997"]]},"page":"177-206","title":"College student misperceptions of alcohol and other drug norms among peers: Exploring causes, consequences, and implications for prevention programs","type":"article-journal"},"uris":["http://www.mendeley.com/documents/?uuid=d579426c-5403-49db-9da7-9d90342e640b"]}],"mendeley":{"formattedCitation":"(H. W Perkins, 1997)","manualFormatting":"Perkins (1997)","plainTextFormattedCitation":"(H. W Perkins, 1997)","previouslyFormattedCitation":"(H. W Perkins, 1997)"},"properties":{"noteIndex":0},"schema":"https://github.com/citation-style-language/schema/raw/master/csl-citation.json"}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Perkins (1997)</w:t>
      </w:r>
      <w:r w:rsidRPr="00B1522E">
        <w:rPr>
          <w:rFonts w:eastAsia="Calibri" w:cstheme="minorHAnsi"/>
        </w:rPr>
        <w:fldChar w:fldCharType="end"/>
      </w:r>
      <w:r w:rsidRPr="00B1522E">
        <w:rPr>
          <w:rFonts w:eastAsia="Calibri" w:cstheme="minorHAnsi"/>
        </w:rPr>
        <w:t xml:space="preserve"> suggests that many individuals do not accurately perceive what are the actual normative behaviours and/or attitudes of their peers, so they are guided by a “reign of error”. These inaccurate perceptions can lead to engagement in problematic behaviours as individuals conform to inaccurate group norms by following “imaginary peers” because they identify with them or feel pressured to comply </w:t>
      </w:r>
      <w:r w:rsidRPr="00B1522E">
        <w:rPr>
          <w:rFonts w:eastAsia="Calibri" w:cstheme="minorHAnsi"/>
        </w:rPr>
        <w:fldChar w:fldCharType="begin" w:fldLock="1"/>
      </w:r>
      <w:r w:rsidR="004A684E" w:rsidRPr="00B1522E">
        <w:rPr>
          <w:rFonts w:eastAsia="Calibri" w:cstheme="minorHAnsi"/>
        </w:rPr>
        <w:instrText>ADDIN CSL_CITATION {"citationItems":[{"id":"ITEM-1","itemData":{"author":[{"dropping-particle":"","family":"Perkins","given":"H. W","non-dropping-particle":"","parse-names":false,"suffix":""}],"container-title":"Designing alcohol and other drug prevention programs in higher education: Bringing theory into practice","id":"ITEM-1","issued":{"date-parts":[["1997"]]},"page":"177-206","title":"College student misperceptions of alcohol and other drug norms among peers: Exploring causes, consequences, and implications for prevention programs","type":"article-journal"},"uris":["http://www.mendeley.com/documents/?uuid=d579426c-5403-49db-9da7-9d90342e640b"]},{"id":"ITEM-2","itemData":{"author":[{"dropping-particle":"","family":"Fang","given":"Wei-Ta","non-dropping-particle":"","parse-names":false,"suffix":""},{"dropping-particle":"","family":"Ng","given":"Eric","non-dropping-particle":"","parse-names":false,"suffix":""},{"dropping-particle":"","family":"Wang","given":"Ching-Ming","non-dropping-particle":"","parse-names":false,"suffix":""},{"dropping-particle":"","family":"Hsu","given":"Ming-Lin","non-dropping-particle":"","parse-names":false,"suffix":""}],"container-title":"Sustainability","id":"ITEM-2","issue":"10","issued":{"date-parts":[["2017"]]},"page":"1696-1714","publisher":"Multidisciplinary Digital Publishing Institute","title":"Normative beliefs, attitudes, and social norms: People reduce waste as an index of social relationships when spending leisure time","type":"article-journal","volume":"9"},"uris":["http://www.mendeley.com/documents/?uuid=a46417c8-743d-4351-9e89-acf813f1f878"]}],"mendeley":{"formattedCitation":"(Fang et al., 2017; H. W Perkins, 1997)","manualFormatting":"(Fang et al., 2017; Perkins, 1997)","plainTextFormattedCitation":"(Fang et al., 2017; H. W Perkins, 1997)","previouslyFormattedCitation":"(Fang et al., 2017; H. W Perkins, 1997)"},"properties":{"noteIndex":0},"schema":"https://github.com/citation-style-language/schema/raw/master/csl-citation.json"}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(Fang et al., 2017; Perkins, 1997)</w:t>
      </w:r>
      <w:r w:rsidRPr="00B1522E">
        <w:rPr>
          <w:rFonts w:eastAsia="Calibri" w:cstheme="minorHAnsi"/>
        </w:rPr>
        <w:fldChar w:fldCharType="end"/>
      </w:r>
      <w:r w:rsidRPr="00B1522E">
        <w:rPr>
          <w:rFonts w:eastAsia="Calibri" w:cstheme="minorHAnsi"/>
        </w:rPr>
        <w:t xml:space="preserve">. </w:t>
      </w:r>
    </w:p>
    <w:p w14:paraId="00762EC6" w14:textId="12514A87" w:rsidR="00031A3B" w:rsidRPr="00B1522E" w:rsidRDefault="00031A3B" w:rsidP="00734D95">
      <w:pPr>
        <w:spacing w:line="480" w:lineRule="auto"/>
        <w:ind w:firstLine="720"/>
        <w:jc w:val="both"/>
        <w:rPr>
          <w:rFonts w:eastAsia="Calibri" w:cstheme="minorHAnsi"/>
        </w:rPr>
      </w:pPr>
      <w:r w:rsidRPr="00B1522E">
        <w:t xml:space="preserve">The early findings reported by Perkins and Berkowitz (1986) are now a consistent feature in the literature with considerable evidence of normative misperceptions </w:t>
      </w:r>
      <w:r w:rsidRPr="00B1522E">
        <w:fldChar w:fldCharType="begin" w:fldLock="1"/>
      </w:r>
      <w:r w:rsidR="00D20B1B" w:rsidRPr="00B1522E">
        <w:instrText>ADDIN CSL_CITATION {"citationItems":[{"id":"ITEM-1","itemData":{"ISSN":"1475-2875","author":[{"dropping-particle":"","family":"Perkins","given":"J. M","non-dropping-particle":"","parse-names":false,"suffix":""},{"dropping-particle":"","family":"Krezanoski","given":"Paul","non-dropping-particle":"","parse-names":false,"suffix":""},{"dropping-particle":"","family":"Takada","given":"Sae","non-dropping-particle":"","parse-names":false,"suffix":""},{"dropping-particle":"","family":"Kakuhikire","given":"Bernard","non-dropping-particle":"","parse-names":false,"suffix":""},{"dropping-particle":"","family":"Batwala","given":"Vincent","non-dropping-particle":"","parse-names":false,"suffix":""},{"dropping-particle":"","family":"Tsai","given":"Alexander C","non-dropping-particle":"","parse-names":false,"suffix":""},{"dropping-particle":"","family":"Christakis","given":"Nicholas A","non-dropping-particle":"","parse-names":false,"suffix":""},{"dropping-particle":"","family":"Bangsberg","given":"David R","non-dropping-particle":"","parse-names":false,"suffix":""}],"container-title":"Malaria journal","id":"ITEM-1","issue":"1","issued":{"date-parts":[["2019"]]},"page":"1-13","publisher":"Springer","title":"Social norms, misperceptions, and mosquito net use: a population-based, cross-sectional study in rural Uganda","type":"article-journal","volume":"18"},"uris":["http://www.mendeley.com/documents/?uuid=51b86757-c665-44d3-a0a1-2805803ec543"]},{"id":"ITEM-2","itemData":{"ISSN":"1939-1501","author":[{"dropping-particle":"","family":"Neighbors","given":"Clayton","non-dropping-particle":"","parse-names":false,"suffix":""},{"dropping-particle":"","family":"LaBrie","given":"Joseph W","non-dropping-particle":"","parse-names":false,"suffix":""},{"dropping-particle":"","family":"Hummer","given":"Justin F","non-dropping-particle":"","parse-names":false,"suffix":""},{"dropping-particle":"","family":"Lewis","given":"Melissa A","non-dropping-particle":"","parse-names":false,"suffix":""},{"dropping-particle":"","family":"Lee","given":"Christine M","non-dropping-particle":"","parse-names":false,"suffix":""},{"dropping-particle":"","family":"Desai","given":"Sruti","non-dropping-particle":"","parse-names":false,"suffix":""},{"dropping-particle":"","family":"Kilmer","given":"Jason R","non-dropping-particle":"","parse-names":false,"suffix":""},{"dropping-particle":"","family":"Larimer","given":"Mary E","non-dropping-particle":"","parse-names":false,"suffix":""}],"container-title":"Psychology of Addictive Behaviors","id":"ITEM-2","issue":"3","issued":{"date-parts":[["2010"]]},"page":"522-528","publisher":"American Psychological Association","title":"Group identification as a moderator of the relationship between perceived social norms and alcohol consumption.","type":"article-journal","volume":"24"},"uris":["http://www.mendeley.com/documents/?uuid=df962f5e-f4f0-4c35-a44c-6678c05da34b"]},{"id":"ITEM-3","itemData":{"ISSN":"0306-4603","author":[{"dropping-particle":"","family":"Pischke","given":"Claudia R","non-dropping-particle":"","parse-names":false,"suffix":""},{"dropping-particle":"","family":"Helmer","given":"Stefanie M","non-dropping-particle":"","parse-names":false,"suffix":""},{"dropping-particle":"","family":"McAlaney","given":"John","non-dropping-particle":"","parse-names":false,"suffix":""},{"dropping-particle":"","family":"Bewick","given":"Bridgette M","non-dropping-particle":"","parse-names":false,"suffix":""},{"dropping-particle":"","family":"Vriesacker","given":"Bart","non-dropping-particle":"","parse-names":false,"suffix":""},{"dropping-particle":"","family":"Hal","given":"Guido","non-dropping-particle":"Van","parse-names":false,"suffix":""},{"dropping-particle":"","family":"Mikolajczyk","given":"Rafael T","non-dropping-particle":"","parse-names":false,"suffix":""},{"dropping-particle":"","family":"Akvardar","given":"Yildiz","non-dropping-particle":"","parse-names":false,"suffix":""},{"dropping-particle":"","family":"Guillen-Grima","given":"Francisco","non-dropping-particle":"","parse-names":false,"suffix":""},{"dropping-particle":"","family":"Salonna","given":"Ferdinand","non-dropping-particle":"","parse-names":false,"suffix":""},{"dropping-particle":"","family":"Orosova","given":"Olga","non-dropping-particle":"","parse-names":false,"suffix":""},{"dropping-particle":"","family":"Dohrmann","given":"Solveig","non-dropping-particle":"","parse-names":false,"suffix":""},{"dropping-particle":"","family":"Dempsey","given":"Robert C","non-dropping-particle":"","parse-names":false,"suffix":""},{"dropping-particle":"","family":"Zeeb","given":"Hajo","non-dropping-particle":"","parse-names":false,"suffix":""}],"container-title":"Addictive Behaviors","id":"ITEM-3","issued":{"date-parts":[["2015"]]},"page":"158-164","publisher":"Elsevier","title":"Normative misperceptions of tobacco use among university students in seven European countries: Baseline findings of the ‘Social Norms Intervention for the prevention of Polydrug usE’study","type":"article-journal","volume":"51"},"uris":["http://www.mendeley.com/documents/?uuid=ddeb51c9-244c-4908-b795-34633f0d893d"]},{"id":"ITEM-4","itemData":{"ISSN":"1937-1888","author":[{"dropping-particle":"","family":"Perkins","given":"J.M","non-dropping-particle":"","parse-names":false,"suffix":""},{"dropping-particle":"","family":"Perkins","given":"H. W","non-dropping-particle":"","parse-names":false,"suffix":""},{"dropping-particle":"","family":"Jurinsky","given":"J","non-dropping-particle":"","parse-names":false,"suffix":""},{"dropping-particle":"","family":"Craig","given":"D.W","non-dropping-particle":"","parse-names":false,"suffix":""}],"container-title":"Journal of Studies on Alcohol and Drugs","id":"ITEM-4","issue":"6","issued":{"date-parts":[["2019"]]},"page":"659-668","publisher":"Rutgers University","title":"Adolescent Tobacco Use and Misperceptions of Social Norms Across Schools in the United States","type":"article-journal","volume":"80"},"uris":["http://www.mendeley.com/documents/?uuid=36401d15-38e8-4f27-a26d-4e5fd7c0f718"]},{"id":"ITEM-5","itemData":{"ISSN":"0195-6663","abstract":"We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-5","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-6","itemData":{"ISSN":"1475-2727","author":[{"dropping-particle":"","family":"Lally","given":"Phillippa","non-dropping-particle":"","parse-names":false,"suffix":""},{"dropping-particle":"","family":"Cooke","given":"Lucy","non-dropping-particle":"","parse-names":false,"suffix":""},{"dropping-particle":"","family":"McGowan","given":"Laura","non-dropping-particle":"","parse-names":false,"suffix":""},{"dropping-particle":"","family":"Croker","given":"Helen","non-dropping-particle":"","parse-names":false,"suffix":""},{"dropping-particle":"","family":"Bartle","given":"Naomi","non-dropping-particle":"","parse-names":false,"suffix":""},{"dropping-particle":"","family":"Wardle","given":"Jane","non-dropping-particle":"","parse-names":false,"suffix":""}],"container-title":"Public health nutrition","id":"ITEM-6","issue":"9","issued":{"date-parts":[["2012"]]},"page":"1678-1682","publisher":"Cambridge University Press","title":"Parents’ misperceptions of social norms for pre-school children's snacking behaviour","type":"article-journal","volume":"15"},"uris":["http://www.mendeley.com/documents/?uuid=dcb2c163-d419-4f13-a2b8-b80d0f128b08"]},{"id":"ITEM-7","itemData":{"ISSN":"1939-1501","author":[{"dropping-particle":"","family":"Neighbors","given":"Clayton","non-dropping-particle":"","parse-names":false,"suffix":""},{"dropping-particle":"","family":"Geisner","given":"Irene M","non-dropping-particle":"","parse-names":false,"suffix":""},{"dropping-particle":"","family":"Lee","given":"Christine M","non-dropping-particle":"","parse-names":false,"suffix":""}],"container-title":"Psychology of addictive behaviors","id":"ITEM-7","issue":"3","issued":{"date-parts":[["2008"]]},"page":"433-438","publisher":"American Psychological Association","title":"Perceived marijuana norms and social expectancies among entering college student marijuana users.","type":"article-journal","volume":"22"},"uris":["http://www.mendeley.com/documents/?uuid=68c9f75b-8f55-4852-9d8a-5106d3e3827a"]}],"mendeley":{"formattedCitation":"(P Lally et al., 2011; Phillippa Lally et al., 2012; Neighbors et al., 2008, 2010; J. . Perkins et al., 2019; J. M. Perkins et al., 2019; Pischke et al., 2015)","manualFormatting":"(Lally et al., 2011; Lally et al., 2012; Neighbors et al., 2008; Neighbors, LaBrie, et al., 2010; Perkins, Krezanoski, et al., 2019; Perkins, Perkins, et al., 2019; Pischke et al., 2015)","plainTextFormattedCitation":"(P Lally et al., 2011; Phillippa Lally et al., 2012; Neighbors et al., 2008, 2010; J. . Perkins et al., 2019; J. M. Perkins et al., 2019; Pischke et al., 2015)","previouslyFormattedCitation":"(P Lally et al., 2011; Phillippa Lally et al., 2012; Neighbors et al., 2008, 2010; J. . Perkins et al., 2019; J. M. Perkins et al., 2019; Pischke et al., 2015)"},"properties":{"noteIndex":0},"schema":"https://github.com/citation-style-language/schema/raw/master/csl-citation.json"}</w:instrText>
      </w:r>
      <w:r w:rsidRPr="00B1522E">
        <w:fldChar w:fldCharType="separate"/>
      </w:r>
      <w:r w:rsidRPr="00B1522E">
        <w:rPr>
          <w:noProof/>
          <w:lang w:val="nl-NL"/>
        </w:rPr>
        <w:t>(Lally et al., 2011; Lally et al., 2012; Neighbors et al., 2008; Neighbors, LaBrie, et al., 2010; Perkins, Krezanoski, et al., 2019; Perkins, Perkins, et al., 2019; Pischke et al., 2015)</w:t>
      </w:r>
      <w:r w:rsidRPr="00B1522E">
        <w:fldChar w:fldCharType="end"/>
      </w:r>
      <w:r w:rsidRPr="00B1522E">
        <w:rPr>
          <w:lang w:val="nl-NL"/>
        </w:rPr>
        <w:t xml:space="preserve">. </w:t>
      </w:r>
      <w:r w:rsidRPr="00B1522E">
        <w:t xml:space="preserve">Much of the early literature focused on exploring the role of misperceptions and personal alcohol consumption of university students </w:t>
      </w:r>
      <w:r w:rsidRPr="00B1522E">
        <w:fldChar w:fldCharType="begin" w:fldLock="1"/>
      </w:r>
      <w:r w:rsidR="004A684E" w:rsidRPr="00B1522E">
        <w:instrText>ADDIN CSL_CITATION {"citationItems":[{"id":"ITEM-1","itemData":{"ISSN":"0268-1153","abstract":"Adolescents tend to overestimate peer drinking; the resulting misperception of the social norm predicts the child’s own future drinking. This study examined the misperception’s relatedness to a person’s drinking pattern in order to facilitate the segmentation of the audience for health education interventions. Adolescent Health and Lifestyle Survey (Finland) data on 14 year olds’ drinking patterns and perceptions of peer drinking were gathered using self‐administered mailed questionnaires in 1989 (N = 3105, response rate 77%), 1995 (N = 8382, 79%) and 2001 (N = 7292, 70%). The perceptions of peer drinking were significantly related to respondents’ drinking patterns. Non‐drinkers and those drinking recurrently until drunkenness held reasonably correct views of their peers’ drinking. However, the segment between these two extremes comprising around half of the cohort incorrectly thought that their peers drank more; they misperceived the normative drinking pattern to be drunkenness. From health education perspective, three different target audiences can be identified: non‐drinkers, moderate drinkers and heavy drinkers. The intermediate group, drinkers not normally getting drunk, holds the view most influenced by the social norm misperception and are likely to feel pressured to increase their drinking. The social norms marketing approach to health education should find this group the most viable target.","author":[{"dropping-particle":"","family":"Lintonen","given":"T P","non-dropping-particle":"","parse-names":false,"suffix":""},{"dropping-particle":"","family":"Konu","given":"A I","non-dropping-particle":"","parse-names":false,"suffix":""}],"container-title":"Health Education Research","id":"ITEM-1","issue":"1","issued":{"date-parts":[["2004","2","1"]]},"page":"64-70","title":"The misperceived social norm of drunkenness among early adolescents in Finland","type":"article-journal","volume":"19"},"uris":["http://www.mendeley.com/documents/?uuid=07bb30e7-494c-47b3-a908-36b32f219235"]},{"id":"ITEM-2","itemData":{"author":[{"dropping-particle":"","family":"Haines","given":"M.P.","non-dropping-particle":"","parse-names":false,"suffix":""}],"id":"ITEM-2","issued":{"date-parts":[["1996"]]},"publisher":"The Higher Education Center for Alcohol and Other Drug Prevention.","title":"A social norms approach to preventing binge drinking at colleges and universities.","type":"report"},"uris":["http://www.mendeley.com/documents/?uuid=ae5dbceb-0c06-4b17-b6f5-d60c83f9768a"]},{"id":"ITEM-3","itemData":{"ISSN":"0096-882X","abstract":"Objective: This study examined (1) the prevalence of misperceptions of college student drinking norms across campuses nationwide, (2) the importance of perceived norms in predicting high-risk drinking, (3) the association of exposure to alcohol education information with students' perceptions of campus drinking norms and (4) the differences in high-risk drinking rates between schools where exposure to alcohol information is associated with more accurately perceived norms and schools where exposure to information is unrelated to perceptions or is associated with greater misperceptions. Method: Multivariate analyses were used to analyze an aggregate database of the National College Health Assessment survey administered to 76,145 students from 130 colleges and universities nationwide from spring 2000 through spring 2003. Results: Regardless of the actual campus drinking norm, a consistently large percentage of students nationwide overestimated the quantity of alcohol consumed by their peers. Students' perception of their campus drinking norm was the strongest predictor of the amount of alcohol personally consumed in comparison with the influence of all demographic variables. Perception of the norm was also a much stronger predictor when compared with the actual campus norm. Reduced levels of high-risk drinking and negative consequences were found among students attending the relatively few schools where exposure to prevention information was associated with less exaggerated perceptions of the drinking norm compared with students attending other schools. Conclusions: Misperceived drinking norms are a pervasive problem. Schools that do not seek to reduce these misperceptions with their prevention information are neglecting a potentially powerful component of prevention.","author":[{"dropping-particle":"","family":"Perkins","given":"H W","non-dropping-particle":"","parse-names":false,"suffix":""},{"dropping-particle":"","family":"Haines","given":"M P","non-dropping-particle":"","parse-names":false,"suffix":""},{"dropping-particle":"","family":"Rice","given":"R","non-dropping-particle":"","parse-names":false,"suffix":""}],"container-title":"Journal of Studies on Alcohol","id":"ITEM-3","issue":"4","issued":{"date-parts":[["2005","7","1"]]},"note":"doi: 10.15288/jsa.2005.66.470","page":"470-478","publisher":"Alcohol Research Documentation, Inc.","title":"Misperceiving the college drinking norm and related problems: a nationwide study of exposure to prevention information, perceived norms and student alcohol misuse.","type":"article-journal","volume":"66"},"uris":["http://www.mendeley.com/documents/?uuid=7f82fc65-368a-4866-9ebc-de3ae3c792b5"]},{"id":"ITEM-4","itemData":{"author":[{"dropping-particle":"","family":"Perkins","given":"H. W","non-dropping-particle":"","parse-names":false,"suffix":""}],"container-title":"Designing alcohol and other drug prevention programs in higher education: Bringing theory into practice","id":"ITEM-4","issued":{"date-parts":[["1997"]]},"page":"177-206","title":"College student misperceptions of alcohol and other drug norms among peers: Exploring causes, consequences, and implications for prevention programs","type":"article-journal"},"uris":["http://www.mendeley.com/documents/?uuid=d579426c-5403-49db-9da7-9d90342e640b"]}],"mendeley":{"formattedCitation":"(Haines, 1996; Lintonen &amp; Konu, 2004; H. W Perkins, 1997; H W Perkins et al., 2005)","manualFormatting":"(Haines, 1996; Lintonen &amp; Konu, 2004; Perkins, 1997; Perkins et al., 2005)","plainTextFormattedCitation":"(Haines, 1996; Lintonen &amp; Konu, 2004; H. W Perkins, 1997; H W Perkins et al., 2005)","previouslyFormattedCitation":"(Haines, 1996; Lintonen &amp; Konu, 2004; H. W Perkins, 1997; H W Perkins et al., 2005)"},"properties":{"noteIndex":0},"schema":"https://github.com/citation-style-language/schema/raw/master/csl-citation.json"}</w:instrText>
      </w:r>
      <w:r w:rsidRPr="00B1522E">
        <w:fldChar w:fldCharType="separate"/>
      </w:r>
      <w:r w:rsidRPr="00B1522E">
        <w:rPr>
          <w:noProof/>
        </w:rPr>
        <w:t>(Haines, 1996; Lintonen &amp; Konu, 2004; Perkins, 1997; Perkins et al., 2005)</w:t>
      </w:r>
      <w:r w:rsidRPr="00B1522E">
        <w:fldChar w:fldCharType="end"/>
      </w:r>
      <w:r w:rsidRPr="00B1522E">
        <w:t xml:space="preserve">, but the influential role of misperceptions (both injunctive and descriptive norms) have since been observed across a range of other unhealthy behaviours.  For example, </w:t>
      </w:r>
      <w:r w:rsidRPr="00B1522E">
        <w:fldChar w:fldCharType="begin" w:fldLock="1"/>
      </w:r>
      <w:r w:rsidRPr="00B1522E">
        <w:instrText>ADDIN CSL_CITATION {"citationItems":[{"id":"ITEM-1","itemData":{"ISSN":"0306-4603","author":[{"dropping-particle":"","family":"Pischke","given":"Claudia R","non-dropping-particle":"","parse-names":false,"suffix":""},{"dropping-particle":"","family":"Helmer","given":"Stefanie M","non-dropping-particle":"","parse-names":false,"suffix":""},{"dropping-particle":"","family":"McAlaney","given":"John","non-dropping-particle":"","parse-names":false,"suffix":""},{"dropping-particle":"","family":"Bewick","given":"Bridgette M","non-dropping-particle":"","parse-names":false,"suffix":""},{"dropping-particle":"","family":"Vriesacker","given":"Bart","non-dropping-particle":"","parse-names":false,"suffix":""},{"dropping-particle":"","family":"Hal","given":"Guido","non-dropping-particle":"Van","parse-names":false,"suffix":""},{"dropping-particle":"","family":"Mikolajczyk","given":"Rafael T","non-dropping-particle":"","parse-names":false,"suffix":""},{"dropping-particle":"","family":"Akvardar","given":"Yildiz","non-dropping-particle":"","parse-names":false,"suffix":""},{"dropping-particle":"","family":"Guillen-Grima","given":"Francisco","non-dropping-particle":"","parse-names":false,"suffix":""},{"dropping-particle":"","family":"Salonna","given":"Ferdinand","non-dropping-particle":"","parse-names":false,"suffix":""},{"dropping-particle":"","family":"Orosova","given":"Olga","non-dropping-particle":"","parse-names":false,"suffix":""},{"dropping-particle":"","family":"Dohrmann","given":"Solveig","non-dropping-particle":"","parse-names":false,"suffix":""},{"dropping-particle":"","family":"Dempsey","given":"Robert C","non-dropping-particle":"","parse-names":false,"suffix":""},{"dropping-particle":"","family":"Zeeb","given":"Hajo","non-dropping-particle":"","parse-names":false,"suffix":""}],"container-title":"Addictive Behaviors","id":"ITEM-1","issued":{"date-parts":[["2015"]]},"page":"158-164","publisher":"Elsevier","title":"Normative misperceptions of tobacco use among university students in seven European countries: Baseline findings of the ‘Social Norms Intervention for the prevention of Polydrug usE’study","type":"article-journal","volume":"51"},"uris":["http://www.mendeley.com/documents/?uuid=ddeb51c9-244c-4908-b795-34633f0d893d"]}],"mendeley":{"formattedCitation":"(Pischke et al., 2015)","manualFormatting":"Pischke et al. (2015)","plainTextFormattedCitation":"(Pischke et al., 2015)","previouslyFormattedCitation":"(Pischke et al., 2015)"},"properties":{"noteIndex":0},"schema":"https://github.com/citation-style-language/schema/raw/master/csl-citation.json"}</w:instrText>
      </w:r>
      <w:r w:rsidRPr="00B1522E">
        <w:fldChar w:fldCharType="separate"/>
      </w:r>
      <w:r w:rsidRPr="00B1522E">
        <w:rPr>
          <w:noProof/>
        </w:rPr>
        <w:t>Pischke et al. (2015)</w:t>
      </w:r>
      <w:r w:rsidRPr="00B1522E">
        <w:fldChar w:fldCharType="end"/>
      </w:r>
      <w:r w:rsidRPr="00B1522E">
        <w:t xml:space="preserve"> found that university students who overestimated the tobacco use of peers and perceived others to be accepting of tobacco, were more likely to have increased personal tobacco use and be accepting of the behaviour. </w:t>
      </w:r>
      <w:bookmarkStart w:id="83" w:name="_Hlk84936741"/>
      <w:r w:rsidRPr="00B1522E">
        <w:t xml:space="preserve">There is also evidence of overestimation of descriptive norms towards illicit drug use </w:t>
      </w:r>
      <w:r w:rsidRPr="00B1522E">
        <w:fldChar w:fldCharType="begin" w:fldLock="1"/>
      </w:r>
      <w:r w:rsidR="008C386E" w:rsidRPr="00B1522E">
        <w:instrText>ADDIN CSL_CITATION {"citationItems":[{"id":"ITEM-1","itemData":{"ISSN":"0091-7435","author":[{"dropping-particle":"","family":"Helmer","given":"Stefanie M","non-dropping-particle":"","parse-names":false,"suffix":""},{"dropping-particle":"","family":"Mikolajczyk","given":"Rafael T","non-dropping-particle":"","parse-names":false,"suffix":""},{"dropping-particle":"","family":"McAlaney","given":"John","non-dropping-particle":"","parse-names":false,"suffix":""},{"dropping-particle":"","family":"Vriesacker","given":"Bart","non-dropping-particle":"","parse-names":false,"suffix":""},{"dropping-particle":"","family":"Hal","given":"Guido","non-dropping-particle":"Van","parse-names":false,"suffix":""},{"dropping-particle":"","family":"Akvardar","given":"Yildiz","non-dropping-particle":"","parse-names":false,"suffix":""},{"dropping-particle":"","family":"Guillen-Grima","given":"Farncisco","non-dropping-particle":"","parse-names":false,"suffix":""},{"dropping-particle":"","family":"Salonna","given":"Ferdinand","non-dropping-particle":"","parse-names":false,"suffix":""},{"dropping-particle":"","family":"Stock","given":"Christiane","non-dropping-particle":"","parse-names":false,"suffix":""},{"dropping-particle":"","family":"Dempsey","given":"R C","non-dropping-particle":"","parse-names":false,"suffix":""}],"container-title":"Preventive Medicine","id":"ITEM-1","issued":{"date-parts":[["2014"]]},"page":"204-209","publisher":"Elsevier","title":"Illicit substance use among university students from seven European countries: A comparison of personal and perceived peer use and attitudes towards illicit substance use","type":"article-journal","volume":"67"},"uris":["http://www.mendeley.com/documents/?uuid=a261c22b-4115-47a8-8f6d-37db1f7d014f"]},{"id":"ITEM-2","itemData":{"ISSN":"1937-1888","abstract":"Objective:Perceptions of peer behavior and attitudes exert considerable social pressure on young adults to use substances. This study investigated whether European students perceive their peers? cannabis use and approval of cannabis use to be higher than their own personal behaviors and attitudes, and whether estimations of peer use and attitudes are associated with personal use and attitudes.Method:University students (n = 4,131) from Belgium, Denmark, Germany, the Slovak Republic, Spain, Turkey, and the United Kingdom completed an online survey as part of the Social Norms Intervention for Polysubstance usE in students (SNIPE) Project, a feasibility study of a web-based normative feedback intervention for substance use. The survey assessed students? (a) personal substance use and attitudes and (b) perceptions of their peers? cannabis use (descriptive norms) and attitudes (injunctive norms).Results:Although most respondents (92%) did not personally use cannabis in the past 2 months, the majority of students thought that the majority of their peers were using cannabis and that their peers had more permissive attitudes toward cannabis than they did. When we controlled for students? age, sex, study year, and religious beliefs, perceived peer descriptive norms were associated with personal cannabis use (odds ratio [OR] = 1.42; 95% CI [1.22, 1.64]) and perceived injunctive norms were associated with personal attitudes toward cannabis use (OR = 1.46; 95% CI [1.09, 1.94]).Conclusions:European students appear to possess similar discrepancies between personal and perceived peer norms for cannabis use and attitudes as found in North American students. Interventions that address such discrepancies may be effective in reducing cannabis use.","author":[{"dropping-particle":"","family":"Dempsey","given":"Robert C","non-dropping-particle":"","parse-names":false,"suffix":""},{"dropping-particle":"","family":"McAlaney","given":"John","non-dropping-particle":"","parse-names":false,"suffix":""},{"dropping-particle":"","family":"Helmer","given":"Stefanie M","non-dropping-particle":"","parse-names":false,"suffix":""},{"dropping-particle":"","family":"Pischke","given":"Claudia R","non-dropping-particle":"","parse-names":false,"suffix":""},{"dropping-particle":"","family":"Akvardar","given":"Yildiz","non-dropping-particle":"","parse-names":false,"suffix":""},{"dropping-particle":"","family":"Bewick","given":"Bridgette M","non-dropping-particle":"","parse-names":false,"suffix":""},{"dropping-particle":"","family":"Fawkner","given":"Helen J","non-dropping-particle":"","parse-names":false,"suffix":""},{"dropping-particle":"","family":"Guillen-Grima","given":"Francisco","non-dropping-particle":"","parse-names":false,"suffix":""},{"dropping-particle":"","family":"Stock","given":"Christiane","non-dropping-particle":"","parse-names":false,"suffix":""},{"dropping-particle":"","family":"Vriesacker","given":"Bart","non-dropping-particle":"","parse-names":false,"suffix":""},{"dropping-particle":"","family":"Hal","given":"Guido","non-dropping-particle":"Van","parse-names":false,"suffix":""},{"dropping-particle":"","family":"Salonna","given":"Ferdinand","non-dropping-particle":"","parse-names":false,"suffix":""},{"dropping-particle":"","family":"Kalina","given":"Ondrej","non-dropping-particle":"","parse-names":false,"suffix":""},{"dropping-particle":"","family":"Orosova","given":"Olga","non-dropping-particle":"","parse-names":false,"suffix":""},{"dropping-particle":"","family":"Mikolajczyk","given":"Rafael T","non-dropping-particle":"","parse-names":false,"suffix":""}],"container-title":"Journal of Studies on Alcohol and Drugs","id":"ITEM-2","issue":"5","issued":{"date-parts":[["2016","9","1"]]},"note":"doi: 10.15288/jsad.2016.77.740","page":"740-748","publisher":"Alcohol Research Documentation, Inc.","title":"Normative Perceptions of Cannabis Use Among European University Students: Associations of Perceived Peer Use and Peer Attitudes With Personal Use and Attitudes","type":"article-journal","volume":"77"},"uris":["http://www.mendeley.com/documents/?uuid=195f28a7-ae78-47b2-b116-9b523bd1346d"]}],"mendeley":{"formattedCitation":"(Dempsey et al., 2016; Stefanie M Helmer et al., 2014)","manualFormatting":"(Dempsey et al., 2016; Helmer et al., 2014)","plainTextFormattedCitation":"(Dempsey et al., 2016; Stefanie M Helmer et al., 2014)","previouslyFormattedCitation":"(Dempsey et al., 2016; Stefanie M Helmer et al., 2014)"},"properties":{"noteIndex":0},"schema":"https://github.com/citation-style-language/schema/raw/master/csl-citation.json"}</w:instrText>
      </w:r>
      <w:r w:rsidRPr="00B1522E">
        <w:fldChar w:fldCharType="separate"/>
      </w:r>
      <w:r w:rsidR="00B64DC8" w:rsidRPr="00B1522E">
        <w:rPr>
          <w:noProof/>
        </w:rPr>
        <w:t>(Dempsey et al., 2016; Helmer et al., 2014)</w:t>
      </w:r>
      <w:r w:rsidRPr="00B1522E">
        <w:fldChar w:fldCharType="end"/>
      </w:r>
      <w:r w:rsidRPr="00B1522E">
        <w:t xml:space="preserve"> and towards risky sexual behaviour </w:t>
      </w:r>
      <w:r w:rsidRPr="00B1522E">
        <w:rPr>
          <w:rFonts w:cstheme="minorHAnsi"/>
        </w:rPr>
        <w:t xml:space="preserve">(e.g. </w:t>
      </w:r>
      <w:r w:rsidRPr="00B1522E">
        <w:rPr>
          <w:rFonts w:cstheme="minorHAnsi"/>
          <w:shd w:val="clear" w:color="auto" w:fill="FFFFFF"/>
        </w:rPr>
        <w:t xml:space="preserve">by overestimating the number of sexual partners for the typical male and female student </w:t>
      </w:r>
      <w:r w:rsidR="003D3021" w:rsidRPr="00B1522E">
        <w:rPr>
          <w:rFonts w:cstheme="minorHAnsi"/>
          <w:shd w:val="clear" w:color="auto" w:fill="FFFFFF"/>
        </w:rPr>
        <w:t>during</w:t>
      </w:r>
      <w:r w:rsidRPr="00B1522E">
        <w:rPr>
          <w:rFonts w:cstheme="minorHAnsi"/>
          <w:shd w:val="clear" w:color="auto" w:fill="FFFFFF"/>
        </w:rPr>
        <w:t xml:space="preserve"> the past year)</w:t>
      </w:r>
      <w:r w:rsidRPr="00B1522E">
        <w:t xml:space="preserve"> </w:t>
      </w:r>
      <w:r w:rsidRPr="00B1522E">
        <w:fldChar w:fldCharType="begin" w:fldLock="1"/>
      </w:r>
      <w:r w:rsidR="00DF6CCC" w:rsidRPr="00B1522E">
        <w:instrText>ADDIN CSL_CITATION {"citationItems":[{"id":"ITEM-1","itemData":{"ISSN":"0360-0025","author":[{"dropping-particle":"","family":"Lewis","given":"Melissa A","non-dropping-particle":"","parse-names":false,"suffix":""},{"dropping-particle":"","family":"Lee","given":"Christine M","non-dropping-particle":"","parse-names":false,"suffix":""},{"dropping-particle":"","family":"Patrick","given":"Megan E","non-dropping-particle":"","parse-names":false,"suffix":""},{"dropping-particle":"","family":"Fossos","given":"Nicole","non-dropping-particle":"","parse-names":false,"suffix":""}],"container-title":"Sex Roles","id":"ITEM-1","issue":"1-2","issued":{"date-parts":[["2007"]]},"page":"81-90","publisher":"Springer","title":"Gender-specific normative misperceptions of risky sexual behavior and alcohol-related risky sexual behavior","type":"article-journal","volume":"57"},"uris":["http://www.mendeley.com/documents/?uuid=4dfa4d2f-6cc7-4394-9bc1-c3a89340e8a3"]}],"mendeley":{"formattedCitation":"(Lewis et al., 2007)","plainTextFormattedCitation":"(Lewis et al., 2007)","previouslyFormattedCitation":"(Lewis et al., 2007)"},"properties":{"noteIndex":0},"schema":"https://github.com/citation-style-language/schema/raw/master/csl-citation.json"}</w:instrText>
      </w:r>
      <w:r w:rsidRPr="00B1522E">
        <w:fldChar w:fldCharType="separate"/>
      </w:r>
      <w:r w:rsidR="004B7FAF" w:rsidRPr="00B1522E">
        <w:rPr>
          <w:noProof/>
        </w:rPr>
        <w:t>(Lewis et al., 2007)</w:t>
      </w:r>
      <w:r w:rsidRPr="00B1522E">
        <w:fldChar w:fldCharType="end"/>
      </w:r>
      <w:r w:rsidRPr="00B1522E">
        <w:t xml:space="preserve"> and these overestimation are associated with the increased likelihood of these risk-taking behaviours amongst university </w:t>
      </w:r>
      <w:r w:rsidRPr="00B1522E">
        <w:lastRenderedPageBreak/>
        <w:t>students.</w:t>
      </w:r>
      <w:bookmarkEnd w:id="83"/>
      <w:r w:rsidRPr="00B1522E">
        <w:t xml:space="preserve"> Finally, </w:t>
      </w:r>
      <w:r w:rsidRPr="00B1522E">
        <w:fldChar w:fldCharType="begin" w:fldLock="1"/>
      </w:r>
      <w:r w:rsidR="005776BC" w:rsidRPr="00B1522E">
        <w:instrText>ADDIN CSL_CITATION {"citationItems":[{"id":"ITEM-1","itemData":{"ISBN":"0195-6663(Print)","abstract":"Perceptions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W","non-dropping-particle":"","parse-names":false,"suffix":""}],"container-title":"Appetite","id":"ITEM-1","issued":{"date-parts":[["2018"]]},"page":"82-93","publisher":"Elsevier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States.","type":"article-journal","volume":"129"},"uris":["http://www.mendeley.com/documents/?uuid=8512058f-516f-45e2-9148-9381fb740b26"]}],"mendeley":{"formattedCitation":"(J. M. Perkins et al., 2018)","manualFormatting":"Perkins et al. (2018)","plainTextFormattedCitation":"(J. M. Perkins et al., 2018)","previouslyFormattedCitation":"(J. M. Perkins et al., 2018)"},"properties":{"noteIndex":0},"schema":"https://github.com/citation-style-language/schema/raw/master/csl-citation.json"}</w:instrText>
      </w:r>
      <w:r w:rsidRPr="00B1522E">
        <w:fldChar w:fldCharType="separate"/>
      </w:r>
      <w:r w:rsidRPr="00B1522E">
        <w:rPr>
          <w:noProof/>
        </w:rPr>
        <w:t>Perkins et al. (2018)</w:t>
      </w:r>
      <w:r w:rsidRPr="00B1522E">
        <w:fldChar w:fldCharType="end"/>
      </w:r>
      <w:r w:rsidRPr="00B1522E">
        <w:t xml:space="preserve"> and </w:t>
      </w:r>
      <w:r w:rsidRPr="00B1522E">
        <w:fldChar w:fldCharType="begin" w:fldLock="1"/>
      </w:r>
      <w:r w:rsidRPr="00B1522E">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fldChar w:fldCharType="separate"/>
      </w:r>
      <w:r w:rsidRPr="00B1522E">
        <w:rPr>
          <w:noProof/>
        </w:rPr>
        <w:t>Lally et al. (2011)</w:t>
      </w:r>
      <w:r w:rsidRPr="00B1522E">
        <w:fldChar w:fldCharType="end"/>
      </w:r>
      <w:r w:rsidRPr="00B1522E">
        <w:t xml:space="preserve"> noted that adolescents and young adolescents who overestimated peers’ sugary sweetened beverage consumption was associated with increased personal intake. </w:t>
      </w:r>
      <w:r w:rsidRPr="00B1522E">
        <w:rPr>
          <w:rFonts w:eastAsia="Calibri" w:cstheme="minorHAnsi"/>
        </w:rPr>
        <w:t xml:space="preserve">These studies demonstrate that misperceptions have a strong and predictive influence on personal behaviour and attitudes across an array of unhealthy behaviours. Evidence indicates that there is a temporal relationship between normative misperceptions and the unhealthy behaviour, with </w:t>
      </w:r>
      <w:r w:rsidRPr="00B1522E">
        <w:rPr>
          <w:shd w:val="clear" w:color="auto" w:fill="FFFFFF"/>
        </w:rPr>
        <w:t xml:space="preserve">perceived norms predicting the unhealthy behaviour </w:t>
      </w:r>
      <w:r w:rsidRPr="00B1522E">
        <w:rPr>
          <w:shd w:val="clear" w:color="auto" w:fill="FFFFFF"/>
        </w:rPr>
        <w:fldChar w:fldCharType="begin" w:fldLock="1"/>
      </w:r>
      <w:r w:rsidR="00DF6CCC" w:rsidRPr="00B1522E">
        <w:rPr>
          <w:shd w:val="clear" w:color="auto" w:fill="FFFFFF"/>
        </w:rPr>
        <w:instrText>ADDIN CSL_CITATION {"citationItems":[{"id":"ITEM-1","itemData":{"ISSN":"0096-882X","abstract":"OBJECTIVE: Previous research has shown that students overestimate the drinking of their peers, and that perceived norms are strongly associated with drinking behavior. Explanations for these findings have been based largely on cross-sectional data, precluding the ability to evaluate the stability of normative misperceptions or to disentangle the direction of influence between perceived norms and drinking. The present research was designed to evaluate (1) the stability of normative misperceptions and (2) temporal precedence of perceived norms and drinking. METHOD: Participants were college students (N = 164; 94 women) who completed assessments of perceived norms and reported behavior for drinking frequency and weekly quantity. Most participants (68%) completed the same measures again two months later. RESULTS: Results indicated large and stable overestimations of peer drinking for frequency and weekly quantity. Results also showed that for weekly quantity, perceived norms predicted later drinking, but drinking also predicted later perceived norms. Results for frequency revealed perceived norms predicted later drinking, but drinking did not predict later perceived norms. CONCLUSIONS: These findings underscore the importance of longitudinal designs in evaluating normative influences on drinking. The present findings suggest that normative misperceptions are stable, at least over a relatively short time period. Findings support a mutual influence model of the relationship between perceived norms and drinking quantity but are more strongly associated with conformity explanations for the relationship between perceived norms and drinking frequency. Results are discussed in terms of implications for prevention interventions.","author":[{"dropping-particle":"","family":"Neighbors","given":"Clayton","non-dropping-particle":"","parse-names":false,"suffix":""},{"dropping-particle":"","family":"Dillard","given":"Amanda J","non-dropping-particle":"","parse-names":false,"suffix":""},{"dropping-particle":"","family":"Lewis","given":"Melissa A","non-dropping-particle":"","parse-names":false,"suffix":""},{"dropping-particle":"","family":"Bergstrom","given":"Rochelle L","non-dropping-particle":"","parse-names":false,"suffix":""},{"dropping-particle":"","family":"Neil","given":"Teryl A","non-dropping-particle":"","parse-names":false,"suffix":""}],"container-title":"Journal of studies on alcohol","id":"ITEM-1","issue":"2","issued":{"date-parts":[["2006","3"]]},"language":"eng","page":"290-299","title":"Normative misperceptions and temporal precedence of perceived norms and drinking","type":"article-journal","volume":"67"},"uris":["http://www.mendeley.com/documents/?uuid=2bb00761-7187-468a-9b3f-005a028503ff"]}],"mendeley":{"formattedCitation":"(Neighbors et al., 2006)","plainTextFormattedCitation":"(Neighbors et al., 2006)","previouslyFormattedCitation":"(Neighbors et al., 2006)"},"properties":{"noteIndex":0},"schema":"https://github.com/citation-style-language/schema/raw/master/csl-citation.json"}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(Neighbors et al., 2006)</w:t>
      </w:r>
      <w:r w:rsidRPr="00B1522E">
        <w:rPr>
          <w:shd w:val="clear" w:color="auto" w:fill="FFFFFF"/>
        </w:rPr>
        <w:fldChar w:fldCharType="end"/>
      </w:r>
      <w:r w:rsidRPr="00B1522E">
        <w:rPr>
          <w:shd w:val="clear" w:color="auto" w:fill="FFFFFF"/>
        </w:rPr>
        <w:t xml:space="preserve">. </w:t>
      </w:r>
    </w:p>
    <w:p w14:paraId="50ED1B66" w14:textId="77777777" w:rsidR="00031A3B" w:rsidRPr="00B1522E" w:rsidRDefault="00031A3B" w:rsidP="00031A3B">
      <w:pPr>
        <w:spacing w:line="480" w:lineRule="auto"/>
        <w:jc w:val="both"/>
        <w:rPr>
          <w:rFonts w:eastAsia="Calibri" w:cstheme="minorHAnsi"/>
        </w:rPr>
      </w:pPr>
    </w:p>
    <w:p w14:paraId="77E0C639" w14:textId="477348AF" w:rsidR="00795693" w:rsidRPr="00B1522E" w:rsidRDefault="0062494E" w:rsidP="00795693">
      <w:pPr>
        <w:spacing w:line="480" w:lineRule="auto"/>
        <w:jc w:val="both"/>
        <w:rPr>
          <w:b/>
          <w:bCs/>
        </w:rPr>
      </w:pPr>
      <w:r w:rsidRPr="00B1522E">
        <w:fldChar w:fldCharType="begin"/>
      </w:r>
      <w:r w:rsidRPr="00B1522E">
        <w:instrText xml:space="preserve"> TC  "</w:instrText>
      </w:r>
      <w:bookmarkStart w:id="84" w:name="_Toc97310433"/>
      <w:r w:rsidRPr="00B1522E">
        <w:instrText>3.4 Formation of misperceptions</w:instrText>
      </w:r>
      <w:bookmarkEnd w:id="84"/>
      <w:r w:rsidRPr="00B1522E">
        <w:instrText xml:space="preserve"> " \f x\l 2 </w:instrText>
      </w:r>
      <w:r w:rsidRPr="00B1522E">
        <w:fldChar w:fldCharType="end"/>
      </w:r>
      <w:r w:rsidR="00795693" w:rsidRPr="00B1522E">
        <w:rPr>
          <w:b/>
          <w:bCs/>
        </w:rPr>
        <w:t>3.4 Formation of misperceptions</w:t>
      </w:r>
    </w:p>
    <w:p w14:paraId="0367FF12" w14:textId="61B9D765" w:rsidR="00F57357" w:rsidRPr="00B1522E" w:rsidRDefault="00F57357" w:rsidP="00F57357">
      <w:pPr>
        <w:spacing w:line="480" w:lineRule="auto"/>
        <w:jc w:val="both"/>
      </w:pPr>
      <w:r w:rsidRPr="00B1522E">
        <w:rPr>
          <w:rFonts w:eastAsia="Calibri" w:cstheme="minorHAnsi"/>
        </w:rPr>
        <w:t xml:space="preserve">The word ‘misperception’ is used to describe the discrepancy between what individuals </w:t>
      </w:r>
      <w:r w:rsidRPr="00B1522E">
        <w:rPr>
          <w:rFonts w:eastAsia="Calibri" w:cstheme="minorHAnsi"/>
          <w:i/>
          <w:iCs/>
        </w:rPr>
        <w:t>think</w:t>
      </w:r>
      <w:r w:rsidRPr="00B1522E">
        <w:rPr>
          <w:rFonts w:eastAsia="Calibri" w:cstheme="minorHAnsi"/>
        </w:rPr>
        <w:t xml:space="preserve"> is the true behaviour and/or attitude of peers, and what is the </w:t>
      </w:r>
      <w:r w:rsidRPr="00B1522E">
        <w:rPr>
          <w:rFonts w:eastAsia="Calibri" w:cstheme="minorHAnsi"/>
          <w:i/>
          <w:iCs/>
        </w:rPr>
        <w:t xml:space="preserve">actual </w:t>
      </w:r>
      <w:r w:rsidRPr="00B1522E">
        <w:rPr>
          <w:rFonts w:eastAsia="Calibri" w:cstheme="minorHAnsi"/>
        </w:rPr>
        <w:t xml:space="preserve">behaviour and/or attitude of peers </w:t>
      </w:r>
      <w:r w:rsidRPr="00B1522E">
        <w:rPr>
          <w:rFonts w:eastAsia="Calibri" w:cstheme="minorHAnsi"/>
        </w:rPr>
        <w:fldChar w:fldCharType="begin" w:fldLock="1"/>
      </w:r>
      <w:r w:rsidR="00994117" w:rsidRPr="00B1522E">
        <w:rPr>
          <w:rFonts w:eastAsia="Calibri" w:cstheme="minorHAnsi"/>
        </w:rPr>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(Berkowitz, 2004)</w:t>
      </w:r>
      <w:r w:rsidRPr="00B1522E">
        <w:rPr>
          <w:rFonts w:eastAsia="Calibri" w:cstheme="minorHAnsi"/>
        </w:rPr>
        <w:fldChar w:fldCharType="end"/>
      </w:r>
      <w:r w:rsidRPr="00B1522E">
        <w:rPr>
          <w:rFonts w:eastAsia="Calibri" w:cstheme="minorHAnsi"/>
        </w:rPr>
        <w:t xml:space="preserve">. </w:t>
      </w:r>
      <w:r w:rsidRPr="00B1522E">
        <w:rPr>
          <w:rFonts w:cstheme="minorHAnsi"/>
        </w:rPr>
        <w:t xml:space="preserve">Research suggests that the greater the misperception of peers’ behaviours and/or attitudes, the greater the likelihood of an individual engaging in negative behaviours (e.g. unhealthy alcohol consumption) and the lower the instance of positive behaviours (e.g. healthy dietary behaviours) </w:t>
      </w:r>
      <w:r w:rsidRPr="00B1522E">
        <w:rPr>
          <w:rFonts w:cstheme="minorHAnsi"/>
        </w:rPr>
        <w:fldChar w:fldCharType="begin" w:fldLock="1"/>
      </w:r>
      <w:r w:rsidR="007463D4"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adolescents.","type":"article-journal","volume":"57"},"uris":["http://www.mendeley.com/documents/?uuid=18a9583d-446e-4d40-8c46-37ad5a8b65e9"]},{"id":"ITEM-2","itemData":{"ISSN":"0744-8481","author":[{"dropping-particle":"","family":"Martens","given":"Matthew P","non-dropping-particle":"","parse-names":false,"suffix":""},{"dropping-particle":"","family":"Page","given":"Jennifer C","non-dropping-particle":"","parse-names":false,"suffix":""},{"dropping-particle":"","family":"Mowry","given":"Emily S","non-dropping-particle":"","parse-names":false,"suffix":""},{"dropping-particle":"","family":"Damann","given":"Krista M","non-dropping-particle":"","parse-names":false,"suffix":""},{"dropping-particle":"","family":"Taylor","given":"Kari K","non-dropping-particle":"","parse-names":false,"suffix":""},{"dropping-particle":"","family":"Cimini","given":"M Dolores","non-dropping-particle":"","parse-names":false,"suffix":""}],"container-title":"Journal of American College Health","id":"ITEM-2","issue":"5","issued":{"date-parts":[["2006","3","1"]]},"note":"doi: 10.3200/JACH.54.5.295-300","page":"295-300","publisher":"Taylor &amp; Francis","title":"Differences Between Actual and Perceived Student Norms: An Examination of Alcohol Use, Drug Use, and Sexual Behavior","type":"article-journal","volume":"54"},"uris":["http://www.mendeley.com/documents/?uuid=a6dee8f4-231e-4626-ab7a-7de99c7c6515"]}],"mendeley":{"formattedCitation":"(P Lally et al., 2011; M. P. Martens et al., 2006)","manualFormatting":"(Lally et al., 2011; Martens et al., 2006)","plainTextFormattedCitation":"(P Lally et al., 2011; M. P. Martens et al., 2006)","previouslyFormattedCitation":"(P Lally et al., 2011; M. P. Martens et al., 2006)"},"properties":{"noteIndex":0},"schema":"https://github.com/citation-style-language/schema/raw/master/csl-citation.json"}</w:instrText>
      </w:r>
      <w:r w:rsidRPr="00B1522E">
        <w:rPr>
          <w:rFonts w:cstheme="minorHAnsi"/>
        </w:rPr>
        <w:fldChar w:fldCharType="separate"/>
      </w:r>
      <w:r w:rsidRPr="00B1522E">
        <w:rPr>
          <w:rFonts w:cstheme="minorHAnsi"/>
          <w:noProof/>
        </w:rPr>
        <w:t>(Lally et al., 2011; Martens et al., 2006)</w:t>
      </w:r>
      <w:r w:rsidRPr="00B1522E">
        <w:rPr>
          <w:rFonts w:cstheme="minorHAnsi"/>
        </w:rPr>
        <w:fldChar w:fldCharType="end"/>
      </w:r>
      <w:r w:rsidRPr="00B1522E">
        <w:rPr>
          <w:rFonts w:cstheme="minorHAnsi"/>
        </w:rPr>
        <w:t xml:space="preserve">. </w:t>
      </w:r>
      <w:r w:rsidRPr="00B1522E">
        <w:rPr>
          <w:rFonts w:eastAsia="Calibri" w:cstheme="minorHAnsi"/>
        </w:rPr>
        <w:t xml:space="preserve">There are several explanations of why normative misperceptions develop. For example, the fundamental attribution error </w:t>
      </w:r>
      <w:r w:rsidRPr="00B1522E">
        <w:rPr>
          <w:rFonts w:eastAsia="Calibri" w:cstheme="minorHAnsi"/>
        </w:rPr>
        <w:fldChar w:fldCharType="begin" w:fldLock="1"/>
      </w:r>
      <w:r w:rsidR="00DF6CCC" w:rsidRPr="00B1522E">
        <w:rPr>
          <w:rFonts w:eastAsia="Calibri" w:cstheme="minorHAnsi"/>
        </w:rPr>
        <w:instrText>ADDIN CSL_CITATION {"citationItems":[{"id":"ITEM-1","itemData":{"ISSN":"0022-1031","author":[{"dropping-particle":"","family":"Ross","given":"Lee","non-dropping-particle":"","parse-names":false,"suffix":""},{"dropping-particle":"","family":"Greene","given":"David","non-dropping-particle":"","parse-names":false,"suffix":""},{"dropping-particle":"","family":"House","given":"Pamela","non-dropping-particle":"","parse-names":false,"suffix":""}],"container-title":"Journal of experimental social psychology","id":"ITEM-1","issue":"3","issued":{"date-parts":[["1977"]]},"page":"279-301","publisher":"Elsevier","title":"The “false consensus effect”: An egocentric bias in social perception and attribution processes","type":"article-journal","volume":"13"},"uris":["http://www.mendeley.com/documents/?uuid=f7a81f15-36b6-4013-b03c-c598df69eaaa"]}],"mendeley":{"formattedCitation":"(Ross et al., 1977)","plainTextFormattedCitation":"(Ross et al., 1977)","previouslyFormattedCitation":"(Ross et al., 1977)"},"properties":{"noteIndex":0},"schema":"https://github.com/citation-style-language/schema/raw/master/csl-citation.json"}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(Ross et al., 1977)</w:t>
      </w:r>
      <w:r w:rsidRPr="00B1522E">
        <w:rPr>
          <w:rFonts w:eastAsia="Calibri" w:cstheme="minorHAnsi"/>
        </w:rPr>
        <w:fldChar w:fldCharType="end"/>
      </w:r>
      <w:r w:rsidRPr="00B1522E">
        <w:rPr>
          <w:rFonts w:eastAsia="Calibri" w:cstheme="minorHAnsi"/>
        </w:rPr>
        <w:t xml:space="preserve"> assumes that individuals tend to misunderstand others’ behaviours and assume that behaviour observed on one occasion is typical when </w:t>
      </w:r>
      <w:r w:rsidRPr="00B1522E">
        <w:t xml:space="preserve">unaware of usual behaviour </w:t>
      </w:r>
      <w:r w:rsidRPr="00B1522E">
        <w:fldChar w:fldCharType="begin" w:fldLock="1"/>
      </w:r>
      <w:r w:rsidR="00FD502B" w:rsidRPr="00B1522E">
        <w:instrText>ADDIN CSL_CITATION {"citationItems":[{"id":"ITEM-1","itemData":{"author":[{"dropping-particle":"","family":"Mackie","given":"Gerry","non-dropping-particle":"","parse-names":false,"suffix":""},{"dropping-particle":"","family":"Moneti","given":"Francesca","non-dropping-particle":"","parse-names":false,"suffix":""},{"dropping-particle":"","family":"Shakya","given":"Holly","non-dropping-particle":"","parse-names":false,"suffix":""},{"dropping-particle":"","family":"Denny","given":"Elaine","non-dropping-particle":"","parse-names":false,"suffix":""}],"container-title":"University of California at San Diego-UNICEF Working Paper, San Diego","id":"ITEM-1","issued":{"date-parts":[["2015"]]},"title":"What are social norms? How are they measured","type":"report"},"uris":["http://www.mendeley.com/documents/?uuid=82120435-155a-4307-9ecb-6b274f272c1f"]},{"id":"ITEM-2","itemData":{"author":[{"dropping-particle":"","family":"McAlaney","given":"J","non-dropping-particle":"","parse-names":false,"suffix":""},{"dropping-particle":"","family":"Bewick","given":"B.","non-dropping-particle":"","parse-names":false,"suffix":""},{"dropping-particle":"","family":"Hughes","given":"C.","non-dropping-particle":"","parse-names":false,"suffix":""}],"container-title":"Drugs: Education, Prevention and Policy","id":"ITEM-2","issued":{"date-parts":[["2011"]]},"page":"81-89","title":"The international development of the 'Social Norms' approach to drug education and prevention","type":"article-journal","volume":"18"},"uris":["http://www.mendeley.com/documents/?uuid=039e01c9-674b-477f-88d4-868a5c818ffa"]}],"mendeley":{"formattedCitation":"(Mackie et al., 2015; J McAlaney et al., 2011)","manualFormatting":"(Mackie et al., 2015; McAlaney et al., 2011)","plainTextFormattedCitation":"(Mackie et al., 2015; J McAlaney et al., 2011)","previouslyFormattedCitation":"(Mackie et al., 2015; J McAlaney et al., 2011)"},"properties":{"noteIndex":0},"schema":"https://github.com/citation-style-language/schema/raw/master/csl-citation.json"}</w:instrText>
      </w:r>
      <w:r w:rsidRPr="00B1522E">
        <w:fldChar w:fldCharType="separate"/>
      </w:r>
      <w:r w:rsidRPr="00B1522E">
        <w:rPr>
          <w:noProof/>
        </w:rPr>
        <w:t>(Mackie et al., 2015; McAlaney et al., 2011)</w:t>
      </w:r>
      <w:r w:rsidRPr="00B1522E">
        <w:fldChar w:fldCharType="end"/>
      </w:r>
      <w:r w:rsidRPr="00B1522E">
        <w:t xml:space="preserve">. For example, an individual may witness another person drinking heavily and believe that behaviour is typical of that person. </w:t>
      </w:r>
      <w:r w:rsidRPr="00B1522E">
        <w:rPr>
          <w:rFonts w:eastAsia="Calibri" w:cstheme="minorHAnsi"/>
        </w:rPr>
        <w:t xml:space="preserve">Fundamental attribution error may play a role in the inaccurate overestimation of others’ unhealthy behaviours </w:t>
      </w:r>
      <w:r w:rsidRPr="00B1522E">
        <w:rPr>
          <w:rFonts w:eastAsia="Calibri" w:cstheme="minorHAnsi"/>
        </w:rPr>
        <w:fldChar w:fldCharType="begin" w:fldLock="1"/>
      </w:r>
      <w:r w:rsidR="004A684E" w:rsidRPr="00B1522E">
        <w:rPr>
          <w:rFonts w:eastAsia="Calibri" w:cstheme="minorHAnsi"/>
        </w:rPr>
        <w:instrText>ADDIN CSL_CITATION {"citationItems":[{"id":"ITEM-1","itemData":{"author":[{"dropping-particle":"","family":"Perkins","given":"H. W","non-dropping-particle":"","parse-names":false,"suffix":""}],"container-title":"Designing alcohol and other drug prevention programs in higher education: Bringing theory into practice","id":"ITEM-1","issued":{"date-parts":[["1997"]]},"page":"177-206","title":"College student misperceptions of alcohol and other drug norms among peers: Exploring causes, consequences, and implications for prevention programs","type":"article-journal"},"uris":["http://www.mendeley.com/documents/?uuid=d579426c-5403-49db-9da7-9d90342e640b"]}],"mendeley":{"formattedCitation":"(H. W Perkins, 1997)","manualFormatting":"(Perkins, 1997)","plainTextFormattedCitation":"(H. W Perkins, 1997)","previouslyFormattedCitation":"(H. W Perkins, 1997)"},"properties":{"noteIndex":0},"schema":"https://github.com/citation-style-language/schema/raw/master/csl-citation.json"}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(Perkins, 1997)</w:t>
      </w:r>
      <w:r w:rsidRPr="00B1522E">
        <w:rPr>
          <w:rFonts w:eastAsia="Calibri" w:cstheme="minorHAnsi"/>
        </w:rPr>
        <w:fldChar w:fldCharType="end"/>
      </w:r>
      <w:r w:rsidRPr="00B1522E">
        <w:rPr>
          <w:rFonts w:eastAsia="Calibri" w:cstheme="minorHAnsi"/>
        </w:rPr>
        <w:t>.</w:t>
      </w:r>
    </w:p>
    <w:p w14:paraId="47B1020C" w14:textId="1DF0CAC2" w:rsidR="00F57357" w:rsidRPr="00B1522E" w:rsidRDefault="00F57357" w:rsidP="00734D95">
      <w:pPr>
        <w:spacing w:line="480" w:lineRule="auto"/>
        <w:ind w:firstLine="720"/>
        <w:jc w:val="both"/>
        <w:rPr>
          <w:rFonts w:eastAsia="Calibri" w:cstheme="minorHAnsi"/>
        </w:rPr>
      </w:pPr>
      <w:r w:rsidRPr="00B1522E">
        <w:rPr>
          <w:rFonts w:eastAsia="Calibri" w:cstheme="minorHAnsi"/>
        </w:rPr>
        <w:t>Other cognitive biases may also offer an explanation of why normative misperceptions develop.  For example, ‘</w:t>
      </w:r>
      <w:bookmarkStart w:id="85" w:name="_Hlk43987250"/>
      <w:r w:rsidRPr="00B1522E">
        <w:rPr>
          <w:rFonts w:eastAsia="Calibri" w:cstheme="minorHAnsi"/>
        </w:rPr>
        <w:t>False Consensus</w:t>
      </w:r>
      <w:bookmarkEnd w:id="85"/>
      <w:r w:rsidRPr="00B1522E">
        <w:rPr>
          <w:rFonts w:eastAsia="Calibri" w:cstheme="minorHAnsi"/>
        </w:rPr>
        <w:t xml:space="preserve">’, which suggests that individuals may misperceive that their own unhealthy behaviours and/or attitudes are like those of the majority when in fact they are not </w:t>
      </w:r>
      <w:r w:rsidRPr="00B1522E">
        <w:rPr>
          <w:rFonts w:eastAsia="Calibri" w:cstheme="minorHAnsi"/>
        </w:rPr>
        <w:fldChar w:fldCharType="begin" w:fldLock="1"/>
      </w:r>
      <w:r w:rsidRPr="00B1522E">
        <w:rPr>
          <w:rFonts w:eastAsia="Calibri" w:cstheme="minorHAnsi"/>
        </w:rPr>
        <w:instrText>ADDIN CSL_CITATION {"citationItems":[{"id":"ITEM-1","itemData":{"ISSN":"0022-1031","author":[{"dropping-particle":"","family":"Ross","given":"Lee","non-dropping-particle":"","parse-names":false,"suffix":""},{"dropping-particle":"","family":"Greene","given":"David","non-dropping-particle":"","parse-names":false,"suffix":""},{"dropping-particle":"","family":"House","given":"Pamela","non-dropping-particle":"","parse-names":false,"suffix":""}],"container-title":"Journal of experimental social psychology","id":"ITEM-1","issue":"3","issued":{"date-parts":[["1977"]]},"page":"279-301","publisher":"Elsevier","title":"The “false consensus effect”: An egocentric bias in social perception and attribution processes","type":"article-journal","volume":"13"},"uris":["http://www.mendeley.com/documents/?uuid=f7a81f15-36b6-4013-b03c-c598df69eaaa"]}],"mendeley":{"formattedCitation":"(Ross et al., 1977)","plainTextFormattedCitation":"(Ross et al., 1977)","previouslyFormattedCitation":"(Ross et al., 1977)"},"properties":{"noteIndex":0},"schema":"https://github.com/citation-style-language/schema/raw/master/csl-citation.json"}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(Ross et al., 1977)</w:t>
      </w:r>
      <w:r w:rsidRPr="00B1522E">
        <w:rPr>
          <w:rFonts w:eastAsia="Calibri" w:cstheme="minorHAnsi"/>
        </w:rPr>
        <w:fldChar w:fldCharType="end"/>
      </w:r>
      <w:r w:rsidRPr="00B1522E">
        <w:rPr>
          <w:rFonts w:eastAsia="Calibri" w:cstheme="minorHAnsi"/>
        </w:rPr>
        <w:t xml:space="preserve">. For example, university students who consume a large quantity of alcohol may </w:t>
      </w:r>
      <w:r w:rsidRPr="00B1522E">
        <w:rPr>
          <w:rFonts w:eastAsia="Calibri" w:cstheme="minorHAnsi"/>
        </w:rPr>
        <w:lastRenderedPageBreak/>
        <w:t xml:space="preserve">incorrectly believe all other students also consume a considerable quantity of alcohol </w:t>
      </w:r>
      <w:r w:rsidRPr="00B1522E">
        <w:rPr>
          <w:rFonts w:eastAsia="Calibri" w:cstheme="minorHAnsi"/>
        </w:rPr>
        <w:fldChar w:fldCharType="begin" w:fldLock="1"/>
      </w:r>
      <w:r w:rsidR="00994117" w:rsidRPr="00B1522E">
        <w:rPr>
          <w:rFonts w:eastAsia="Calibri" w:cstheme="minorHAnsi"/>
        </w:rPr>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(Berkowitz, 2004)</w:t>
      </w:r>
      <w:r w:rsidRPr="00B1522E">
        <w:rPr>
          <w:rFonts w:eastAsia="Calibri" w:cstheme="minorHAnsi"/>
        </w:rPr>
        <w:fldChar w:fldCharType="end"/>
      </w:r>
      <w:r w:rsidRPr="00B1522E">
        <w:rPr>
          <w:rFonts w:eastAsia="Calibri" w:cstheme="minorHAnsi"/>
        </w:rPr>
        <w:t xml:space="preserve">. It has been suggested that false consensus helps to sustain an individual’s denial that their behaviour is not problematic because their behaviour is normative and does not differ from anyone else’s </w:t>
      </w:r>
      <w:r w:rsidRPr="00B1522E">
        <w:rPr>
          <w:rFonts w:eastAsia="Calibri" w:cstheme="minorHAnsi"/>
        </w:rPr>
        <w:fldChar w:fldCharType="begin" w:fldLock="1"/>
      </w:r>
      <w:r w:rsidR="00994117" w:rsidRPr="00B1522E">
        <w:rPr>
          <w:rFonts w:eastAsia="Calibri" w:cstheme="minorHAnsi"/>
        </w:rPr>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(Berkowitz, 2004)</w:t>
      </w:r>
      <w:r w:rsidRPr="00B1522E">
        <w:rPr>
          <w:rFonts w:eastAsia="Calibri" w:cstheme="minorHAnsi"/>
        </w:rPr>
        <w:fldChar w:fldCharType="end"/>
      </w:r>
      <w:r w:rsidRPr="00B1522E">
        <w:rPr>
          <w:rFonts w:eastAsia="Calibri" w:cstheme="minorHAnsi"/>
        </w:rPr>
        <w:t xml:space="preserve">. ‘Pluralistic ignorance’ could also lead </w:t>
      </w:r>
      <w:r w:rsidRPr="00B1522E">
        <w:t xml:space="preserve">individuals to </w:t>
      </w:r>
      <w:r w:rsidRPr="00B1522E">
        <w:rPr>
          <w:rFonts w:eastAsia="Calibri" w:cstheme="minorHAnsi"/>
        </w:rPr>
        <w:t xml:space="preserve">incorrectly assume that their peers think or behave differently than they themselves, when in fact their peers’ behaviours and/or attitudes are similar </w:t>
      </w:r>
      <w:r w:rsidRPr="00B1522E">
        <w:rPr>
          <w:rFonts w:eastAsia="Calibri" w:cstheme="minorHAnsi"/>
        </w:rPr>
        <w:fldChar w:fldCharType="begin" w:fldLock="1"/>
      </w:r>
      <w:r w:rsidR="00C654DE" w:rsidRPr="00B1522E">
        <w:rPr>
          <w:rFonts w:eastAsia="Calibri" w:cstheme="minorHAnsi"/>
        </w:rPr>
        <w:instrText>ADDIN CSL_CITATION {"citationItems":[{"id":"ITEM-1","itemData":{"ISSN":"1939-1315","author":[{"dropping-particle":"","family":"Prentice","given":"Deborah A","non-dropping-particle":"","parse-names":false,"suffix":""},{"dropping-particle":"","family":"Miller","given":"Dale T","non-dropping-particle":"","parse-names":false,"suffix":""}],"container-title":"Journal of personality and social psychology","id":"ITEM-1","issue":"2","issued":{"date-parts":[["1993"]]},"page":"243-256","publisher":"American Psychological Association","title":"Pluralistic ignorance and alcohol use on campus: some consequences of misperceiving the social norm.","type":"article-journal","volume":"64"},"uris":["http://www.mendeley.com/documents/?uuid=292ff135-e0bf-4bdc-aebb-f20bda97f6e7"]}],"mendeley":{"formattedCitation":"(D. A. Prentice &amp; Miller, 1993)","manualFormatting":"(Prentice &amp; Miller, 1993)","plainTextFormattedCitation":"(D. A. Prentice &amp; Miller, 1993)","previouslyFormattedCitation":"(D. A. Prentice &amp; Miller, 1993)"},"properties":{"noteIndex":0},"schema":"https://github.com/citation-style-language/schema/raw/master/csl-citation.json"}</w:instrText>
      </w:r>
      <w:r w:rsidRPr="00B1522E">
        <w:rPr>
          <w:rFonts w:eastAsia="Calibri" w:cstheme="minorHAnsi"/>
        </w:rPr>
        <w:fldChar w:fldCharType="separate"/>
      </w:r>
      <w:r w:rsidR="00993ABF" w:rsidRPr="00B1522E">
        <w:rPr>
          <w:rFonts w:eastAsia="Calibri" w:cstheme="minorHAnsi"/>
          <w:noProof/>
        </w:rPr>
        <w:t>(Prentice &amp; Miller, 1993)</w:t>
      </w:r>
      <w:r w:rsidRPr="00B1522E">
        <w:rPr>
          <w:rFonts w:eastAsia="Calibri" w:cstheme="minorHAnsi"/>
        </w:rPr>
        <w:fldChar w:fldCharType="end"/>
      </w:r>
      <w:r w:rsidRPr="00B1522E">
        <w:rPr>
          <w:rFonts w:eastAsia="Calibri" w:cstheme="minorHAnsi"/>
        </w:rPr>
        <w:t xml:space="preserve">. For example, university students who drink a limited amount of alcohol, may incorrectly assume that peers drink more alcohol than themselves which may lead to individuals consuming more alcohol than they would normally </w:t>
      </w:r>
      <w:r w:rsidRPr="00B1522E">
        <w:rPr>
          <w:rFonts w:eastAsia="Calibri" w:cstheme="minorHAnsi"/>
        </w:rPr>
        <w:fldChar w:fldCharType="begin" w:fldLock="1"/>
      </w:r>
      <w:r w:rsidR="000B6159" w:rsidRPr="00B1522E">
        <w:rPr>
          <w:rFonts w:eastAsia="Calibri" w:cstheme="minorHAnsi"/>
        </w:rPr>
        <w:instrText>ADDIN CSL_CITATION {"citationItems":[{"id":"ITEM-1","itemData":{"ISSN":"1939-1315","author":[{"dropping-particle":"","family":"Prentice","given":"Deborah A","non-dropping-particle":"","parse-names":false,"suffix":""},{"dropping-particle":"","family":"Miller","given":"Dale T","non-dropping-particle":"","parse-names":false,"suffix":""}],"container-title":"Journal of personality and social psychology","id":"ITEM-1","issue":"2","issued":{"date-parts":[["1993"]]},"page":"243-256","publisher":"American Psychological Association","title":"Pluralistic ignorance and alcohol use on campus: some consequences of misperceiving the social norm.","type":"article-journal","volume":"64"},"uris":["http://www.mendeley.com/documents/?uuid=292ff135-e0bf-4bdc-aebb-f20bda97f6e7"]},{"id":"ITEM-2","itemData":{"author":[{"dropping-particle":"","family":"Berkowitz","given":"Alan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-2","issued":{"date-parts":[["2005"]]},"page":"193-214","title":"An overview of the social norms approach","type":"chapter"},"uris":["http://www.mendeley.com/documents/?uuid=7e72ac3f-525d-40f4-9876-d8bb37f8a3fc"]}],"mendeley":{"formattedCitation":"(Berkowitz, 2005; D. A. Prentice &amp; Miller, 1993)","manualFormatting":"(Berkowitz, 2005; Prentice &amp; Miller, 1993)","plainTextFormattedCitation":"(Berkowitz, 2005; D. A. Prentice &amp; Miller, 1993)","previouslyFormattedCitation":"(Berkowitz, 2005; D. A. Prentice &amp; Miller, 1993)"},"properties":{"noteIndex":0},"schema":"https://github.com/citation-style-language/schema/raw/master/csl-citation.json"}</w:instrText>
      </w:r>
      <w:r w:rsidRPr="00B1522E">
        <w:rPr>
          <w:rFonts w:eastAsia="Calibri" w:cstheme="minorHAnsi"/>
        </w:rPr>
        <w:fldChar w:fldCharType="separate"/>
      </w:r>
      <w:r w:rsidR="00993ABF" w:rsidRPr="00B1522E">
        <w:rPr>
          <w:rFonts w:eastAsia="Calibri" w:cstheme="minorHAnsi"/>
          <w:noProof/>
        </w:rPr>
        <w:t>(Berkowitz, 2005; Prentice &amp; Miller, 1993)</w:t>
      </w:r>
      <w:r w:rsidRPr="00B1522E">
        <w:rPr>
          <w:rFonts w:eastAsia="Calibri" w:cstheme="minorHAnsi"/>
        </w:rPr>
        <w:fldChar w:fldCharType="end"/>
      </w:r>
      <w:r w:rsidRPr="00B1522E">
        <w:rPr>
          <w:rFonts w:eastAsia="Calibri" w:cstheme="minorHAnsi"/>
        </w:rPr>
        <w:t xml:space="preserve">. An individual could witness the highly memorable behaviour of a peer drinking to excess and wrongly assumes that the majority of peers also drink to excess </w:t>
      </w:r>
      <w:r w:rsidRPr="00B1522E">
        <w:rPr>
          <w:rFonts w:eastAsia="Calibri" w:cstheme="minorHAnsi"/>
        </w:rPr>
        <w:fldChar w:fldCharType="begin" w:fldLock="1"/>
      </w:r>
      <w:r w:rsidR="00994117" w:rsidRPr="00B1522E">
        <w:rPr>
          <w:rFonts w:eastAsia="Calibri" w:cstheme="minorHAnsi"/>
        </w:rPr>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(Berkowitz, 2004)</w:t>
      </w:r>
      <w:r w:rsidRPr="00B1522E">
        <w:rPr>
          <w:rFonts w:eastAsia="Calibri" w:cstheme="minorHAnsi"/>
        </w:rPr>
        <w:fldChar w:fldCharType="end"/>
      </w:r>
      <w:r w:rsidRPr="00B1522E">
        <w:rPr>
          <w:rFonts w:eastAsia="Calibri" w:cstheme="minorHAnsi"/>
        </w:rPr>
        <w:t xml:space="preserve">. Berkowitz (2004) suggests that pluralistic ignorance supports individuals to ignore their beliefs about healthy behaviours and attitudes because they are perceived to be different to others in their social context, and instead encourages them to engage in unhealthy behaviours which are incorrectly deemed to be normative </w:t>
      </w:r>
      <w:r w:rsidRPr="00B1522E">
        <w:rPr>
          <w:rFonts w:eastAsia="Calibri" w:cstheme="minorHAnsi"/>
        </w:rPr>
        <w:fldChar w:fldCharType="begin" w:fldLock="1"/>
      </w:r>
      <w:r w:rsidR="00994117" w:rsidRPr="00B1522E">
        <w:rPr>
          <w:rFonts w:eastAsia="Calibri" w:cstheme="minorHAnsi"/>
        </w:rPr>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(Berkowitz, 2004)</w:t>
      </w:r>
      <w:r w:rsidRPr="00B1522E">
        <w:rPr>
          <w:rFonts w:eastAsia="Calibri" w:cstheme="minorHAnsi"/>
        </w:rPr>
        <w:fldChar w:fldCharType="end"/>
      </w:r>
      <w:r w:rsidRPr="00B1522E">
        <w:rPr>
          <w:rFonts w:eastAsia="Calibri" w:cstheme="minorHAnsi"/>
        </w:rPr>
        <w:t xml:space="preserve">. These cognitive biases can promote flawed decision-making and attitude formation </w:t>
      </w:r>
      <w:r w:rsidRPr="00B1522E">
        <w:t xml:space="preserve">hence why challenging these misperceptions is a potential point at which to intervene to promote healthier behaviours </w:t>
      </w:r>
      <w:r w:rsidRPr="00B1522E">
        <w:fldChar w:fldCharType="begin" w:fldLock="1"/>
      </w:r>
      <w:r w:rsidR="000B6159" w:rsidRPr="00B1522E">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approach","type":"chapter"},"uris":["http://www.mendeley.com/documents/?uuid=7e72ac3f-525d-40f4-9876-d8bb37f8a3fc"]}],"mendeley":{"formattedCitation":"(Berkowitz, 2005)","plainTextFormattedCitation":"(Berkowitz, 2005)","previouslyFormattedCitation":"(Berkowitz, 2005)"},"properties":{"noteIndex":0},"schema":"https://github.com/citation-style-language/schema/raw/master/csl-citation.json"}</w:instrText>
      </w:r>
      <w:r w:rsidRPr="00B1522E">
        <w:fldChar w:fldCharType="separate"/>
      </w:r>
      <w:r w:rsidRPr="00B1522E">
        <w:rPr>
          <w:noProof/>
        </w:rPr>
        <w:t>(Berkowitz, 2005)</w:t>
      </w:r>
      <w:r w:rsidRPr="00B1522E">
        <w:fldChar w:fldCharType="end"/>
      </w:r>
      <w:r w:rsidRPr="00B1522E">
        <w:t xml:space="preserve">. </w:t>
      </w:r>
    </w:p>
    <w:p w14:paraId="6CA85C26" w14:textId="77777777" w:rsidR="00F57357" w:rsidRPr="00B1522E" w:rsidRDefault="00F57357" w:rsidP="00F57357">
      <w:pPr>
        <w:spacing w:line="480" w:lineRule="auto"/>
        <w:jc w:val="both"/>
        <w:rPr>
          <w:rFonts w:cstheme="minorHAnsi"/>
        </w:rPr>
      </w:pPr>
    </w:p>
    <w:p w14:paraId="27642BFF" w14:textId="301C390A" w:rsidR="00795693" w:rsidRPr="00B1522E" w:rsidRDefault="0062494E" w:rsidP="00795693">
      <w:pPr>
        <w:spacing w:line="480" w:lineRule="auto"/>
        <w:jc w:val="both"/>
        <w:rPr>
          <w:b/>
          <w:bCs/>
        </w:rPr>
      </w:pPr>
      <w:r w:rsidRPr="00B1522E">
        <w:fldChar w:fldCharType="begin"/>
      </w:r>
      <w:r w:rsidRPr="00B1522E">
        <w:instrText xml:space="preserve"> TC "</w:instrText>
      </w:r>
      <w:bookmarkStart w:id="86" w:name="_Toc97310434"/>
      <w:r w:rsidRPr="00B1522E">
        <w:instrText xml:space="preserve">3.5 Challenging misperceptions using SNA </w:instrText>
      </w:r>
      <w:r w:rsidR="00AC74B4" w:rsidRPr="00B1522E">
        <w:instrText>interventions</w:instrText>
      </w:r>
      <w:bookmarkEnd w:id="86"/>
      <w:r w:rsidRPr="00B1522E">
        <w:instrText xml:space="preserve">" \f x\l 2 </w:instrText>
      </w:r>
      <w:r w:rsidRPr="00B1522E">
        <w:fldChar w:fldCharType="end"/>
      </w:r>
      <w:r w:rsidR="00795693" w:rsidRPr="00B1522E">
        <w:rPr>
          <w:b/>
          <w:bCs/>
        </w:rPr>
        <w:t>3.5 Challenging misperceptions using SNA interventions</w:t>
      </w:r>
    </w:p>
    <w:p w14:paraId="372D9AC8" w14:textId="0D1FFDA2" w:rsidR="001F1E1A" w:rsidRPr="00B1522E" w:rsidRDefault="001F1E1A" w:rsidP="001F1E1A">
      <w:pPr>
        <w:spacing w:after="0" w:line="480" w:lineRule="auto"/>
        <w:jc w:val="both"/>
      </w:pPr>
      <w:r w:rsidRPr="00B1522E">
        <w:rPr>
          <w:rFonts w:cstheme="minorHAnsi"/>
        </w:rPr>
        <w:t xml:space="preserve">There is an increasing interest in using the SNA to inform health promotion interventions by offering an approach that is specific, has clear assumptions, which can be tested, and that can provide a measurable outcome </w:t>
      </w:r>
      <w:r w:rsidRPr="00B1522E">
        <w:rPr>
          <w:rFonts w:cstheme="minorHAnsi"/>
        </w:rPr>
        <w:fldChar w:fldCharType="begin" w:fldLock="1"/>
      </w:r>
      <w:r w:rsidR="0063396E" w:rsidRPr="00B1522E">
        <w:rPr>
          <w:rFonts w:cstheme="minorHAnsi"/>
        </w:rPr>
        <w:instrText>ADDIN CSL_CITATION {"citationItems":[{"id":"ITEM-1","itemData":{"ISSN":"1744-8603","abstract":"Recently, Global Health practitioners, scholars, and donors have expressed increased interest in “changing social norms” as a strategy to promote health and well-being in low and mid-income countries (LMIC). Despite this burgeoning interest, the ability of practitioners to use social norm theory to inform health interventions varies widely.","author":[{"dropping-particle":"","family":"Cislaghi","given":"Beniamino","non-dropping-particle":"","parse-names":false,"suffix":""},{"dropping-particle":"","family":"Heise","given":"Lori","non-dropping-particle":"","parse-names":false,"suffix":""}],"container-title":"Globalization and Health","id":"ITEM-1","issue":"1","issued":{"date-parts":[["2018"]]},"page":"83-93","title":"Theory and practice of social norms interventions: eight common pitfalls","type":"article-journal","volume":"14"},"uris":["http://www.mendeley.com/documents/?uuid=dc0101b5-4015-4f0a-9f8e-6b07de8b80f3"]}],"mendeley":{"formattedCitation":"(Cislaghi &amp; Heise, 2018)","plainTextFormattedCitation":"(Cislaghi &amp; Heise, 2018)","previouslyFormattedCitation":"(Cislaghi &amp; Heise, 2018)"},"properties":{"noteIndex":0},"schema":"https://github.com/citation-style-language/schema/raw/master/csl-citation.json"}</w:instrText>
      </w:r>
      <w:r w:rsidRPr="00B1522E">
        <w:rPr>
          <w:rFonts w:cstheme="minorHAnsi"/>
        </w:rPr>
        <w:fldChar w:fldCharType="separate"/>
      </w:r>
      <w:r w:rsidRPr="00B1522E">
        <w:rPr>
          <w:rFonts w:cstheme="minorHAnsi"/>
          <w:noProof/>
        </w:rPr>
        <w:t>(Cislaghi &amp; Heise, 2018)</w:t>
      </w:r>
      <w:r w:rsidRPr="00B1522E">
        <w:rPr>
          <w:rFonts w:cstheme="minorHAnsi"/>
        </w:rPr>
        <w:fldChar w:fldCharType="end"/>
      </w:r>
      <w:r w:rsidRPr="00B1522E">
        <w:rPr>
          <w:rFonts w:cstheme="minorHAnsi"/>
        </w:rPr>
        <w:t xml:space="preserve">. The SNA differs from traditional fear-based health behaviour change approaches which include information intended to scare individuals by outlining the negative consequences of a behaviour </w:t>
      </w:r>
      <w:r w:rsidRPr="00B1522E">
        <w:rPr>
          <w:rFonts w:cstheme="minorHAnsi"/>
        </w:rPr>
        <w:fldChar w:fldCharType="begin" w:fldLock="1"/>
      </w:r>
      <w:r w:rsidR="007463D4" w:rsidRPr="00B1522E">
        <w:rPr>
          <w:rFonts w:cstheme="minorHAnsi"/>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cstheme="minorHAnsi"/>
        </w:rPr>
        <w:fldChar w:fldCharType="separate"/>
      </w:r>
      <w:r w:rsidR="002908AE" w:rsidRPr="00B1522E">
        <w:rPr>
          <w:rFonts w:cstheme="minorHAnsi"/>
          <w:noProof/>
        </w:rPr>
        <w:t>(Dempsey et al., 2018)</w:t>
      </w:r>
      <w:r w:rsidRPr="00B1522E">
        <w:rPr>
          <w:rFonts w:cstheme="minorHAnsi"/>
        </w:rPr>
        <w:fldChar w:fldCharType="end"/>
      </w:r>
      <w:r w:rsidRPr="00B1522E">
        <w:rPr>
          <w:rFonts w:cstheme="minorHAnsi"/>
        </w:rPr>
        <w:t xml:space="preserve">. These fear-based approaches have been criticised for communicating content that demonstrates the </w:t>
      </w:r>
      <w:r w:rsidRPr="00B1522E">
        <w:rPr>
          <w:rFonts w:cstheme="minorHAnsi"/>
          <w:shd w:val="clear" w:color="auto" w:fill="FFFFFF"/>
        </w:rPr>
        <w:t xml:space="preserve">extreme and unlikely outcomes of unhealthy behaviours which could be rejected as lacking realism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author":[{"dropping-particle":"","family":"McAlaney","given":"J","non-dropping-particle":"","parse-names":false,"suffix":""},{"dropping-particle":"","family":"Bewick","given":"B.","non-dropping-particle":"","parse-names":false,"suffix":""},{"dropping-particle":"","family":"Hughes","given":"C.","non-dropping-particle":"","parse-names":false,"suffix":""}],"container-title":"Drugs: Education, Prevention and Policy","id":"ITEM-1","issued":{"date-parts":[["2011"]]},"page":"81-89","title":"The international development of the 'Social Norms' approach to drug education and prevention","type":"article-journal","volume":"18"},"uris":["http://www.mendeley.com/documents/?uuid=039e01c9-674b-477f-88d4-868a5c818ffa"]}],"mendeley":{"formattedCitation":"(J McAlaney et al., 2011)","manualFormatting":"(McAlaney et al., 2011)","plainTextFormattedCitation":"(J McAlaney et al., 2011)","previouslyFormattedCitation":"(J McAlaney et al., 2011)"},"properties":{"noteIndex":0},"schema":"https://github.com/citation-style-language/schema/raw/master/csl-citation.json"}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(McAlaney et al., 2011)</w:t>
      </w:r>
      <w:r w:rsidRPr="00B1522E">
        <w:rPr>
          <w:rFonts w:cstheme="minorHAnsi"/>
          <w:shd w:val="clear" w:color="auto" w:fill="FFFFFF"/>
        </w:rPr>
        <w:fldChar w:fldCharType="end"/>
      </w:r>
      <w:r w:rsidRPr="00B1522E">
        <w:rPr>
          <w:rFonts w:cstheme="minorHAnsi"/>
          <w:shd w:val="clear" w:color="auto" w:fill="FFFFFF"/>
        </w:rPr>
        <w:t xml:space="preserve">. The SNA </w:t>
      </w:r>
      <w:r w:rsidRPr="00B1522E">
        <w:rPr>
          <w:rFonts w:cstheme="minorHAnsi"/>
          <w:shd w:val="clear" w:color="auto" w:fill="FFFFFF"/>
        </w:rPr>
        <w:lastRenderedPageBreak/>
        <w:t xml:space="preserve">intervention differs from fear-based approaches, as SNA interventions </w:t>
      </w:r>
      <w:r w:rsidRPr="00B1522E">
        <w:rPr>
          <w:rFonts w:cstheme="minorHAnsi"/>
        </w:rPr>
        <w:t>aim t</w:t>
      </w:r>
      <w:r w:rsidRPr="00B1522E">
        <w:t xml:space="preserve">o present feedback about actual reported positive health behaviours and/or attitudes that are common to most people in a particular social group, by simply presenting the healthy norms that already exist </w:t>
      </w:r>
      <w:r w:rsidRPr="00B1522E">
        <w:fldChar w:fldCharType="begin" w:fldLock="1"/>
      </w:r>
      <w:r w:rsidR="00DF6CCC" w:rsidRPr="00B1522E">
        <w:instrText>ADDIN CSL_CITATION {"citationItems":[{"id":"ITEM-1","itemData":{"author":[{"dropping-particle":"","family":"Yamin","given":"Paulius","non-dropping-particle":"","parse-names":false,"suffix":""},{"dropping-particle":"","family":"Fei","given":"Maria","non-dropping-particle":"","parse-names":false,"suffix":""},{"dropping-particle":"","family":"Lahlou","given":"Saadi","non-dropping-particle":"","parse-names":false,"suffix":""},{"dropping-particle":"","family":"Levy","given":"Sara","non-dropping-particle":"","parse-names":false,"suffix":""}],"container-title":"Sustainability","id":"ITEM-1","issue":"20","issued":{"date-parts":[["2019"]]},"page":"5847","publisher":"Multidisciplinary Digital Publishing Institute","title":"Using Social Norms to Change Behavior and Increase Sustainability in the Real World: a Systematic Review of the Literature","type":"article-journal","volume":"11"},"uris":["http://www.mendeley.com/documents/?uuid=204a1312-32fe-4935-8df3-a96c14abc109"]}],"mendeley":{"formattedCitation":"(Yamin et al., 2019)","plainTextFormattedCitation":"(Yamin et al., 2019)","previouslyFormattedCitation":"(Yamin et al., 2019)"},"properties":{"noteIndex":0},"schema":"https://github.com/citation-style-language/schema/raw/master/csl-citation.json"}</w:instrText>
      </w:r>
      <w:r w:rsidRPr="00B1522E">
        <w:fldChar w:fldCharType="separate"/>
      </w:r>
      <w:r w:rsidR="004B7FAF" w:rsidRPr="00B1522E">
        <w:rPr>
          <w:noProof/>
        </w:rPr>
        <w:t>(Yamin et al., 2019)</w:t>
      </w:r>
      <w:r w:rsidRPr="00B1522E">
        <w:fldChar w:fldCharType="end"/>
      </w:r>
      <w:r w:rsidRPr="00B1522E">
        <w:t xml:space="preserve">. </w:t>
      </w:r>
    </w:p>
    <w:p w14:paraId="6B97BE59" w14:textId="06D46EAE" w:rsidR="001F1E1A" w:rsidRPr="00B1522E" w:rsidRDefault="001F1E1A" w:rsidP="00734D95">
      <w:pPr>
        <w:spacing w:after="0" w:line="480" w:lineRule="auto"/>
        <w:jc w:val="both"/>
      </w:pPr>
      <w:r w:rsidRPr="00B1522E">
        <w:t xml:space="preserve">The SNA proposes that correcting an individual’s normative misperceptions should lead to a positive change in the individual’s personal unhealthy behaviour </w:t>
      </w:r>
      <w:r w:rsidRPr="00B1522E">
        <w:fldChar w:fldCharType="begin" w:fldLock="1"/>
      </w:r>
      <w:r w:rsidR="004A684E" w:rsidRPr="00B1522E">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UK","type":"article-journal"},"uris":["http://www.mendeley.com/documents/?uuid=cf5081f9-19e6-4ccf-aaab-a0311d1c876e"]},{"id":"ITEM-2","itemData":{"ISSN":"0020-773X","author":[{"dropping-particle":"","family":"Perkins","given":"H. W","non-dropping-particle":"","parse-names":false,"suffix":""},{"dropping-particle":"","family":"Berkowitz","given":"A D","non-dropping-particle":"","parse-names":false,"suffix":""}],"container-title":"International journal of the Addictions","id":"ITEM-2","issue":"9-10","issued":{"date-parts":[["1986"]]},"page":"961-976","publisher":"Taylor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programming","type":"article-journal","volume":"21"},"uris":["http://www.mendeley.com/documents/?uuid=c5bb1f76-719b-4b43-8537-bc1ecaff260b"]}],"mendeley":{"formattedCitation":"(J McAlaney et al., 2010; H. W Perkins &amp; Berkowitz, 1986)","manualFormatting":"(McAlaney et al., 2010; Perkins &amp; Berkowitz, 1986)","plainTextFormattedCitation":"(J McAlaney et al., 2010; H. W Perkins &amp; Berkowitz, 1986)","previouslyFormattedCitation":"(J McAlaney et al., 2010; H. W Perkins &amp; Berkowitz, 1986)"},"properties":{"noteIndex":0},"schema":"https://github.com/citation-style-language/schema/raw/master/csl-citation.json"}</w:instrText>
      </w:r>
      <w:r w:rsidRPr="00B1522E">
        <w:fldChar w:fldCharType="separate"/>
      </w:r>
      <w:r w:rsidRPr="00B1522E">
        <w:rPr>
          <w:noProof/>
        </w:rPr>
        <w:t>(McAlaney et al., 2010; Perkins &amp; Berkowitz, 1986)</w:t>
      </w:r>
      <w:r w:rsidRPr="00B1522E">
        <w:fldChar w:fldCharType="end"/>
      </w:r>
      <w:r w:rsidRPr="00B1522E">
        <w:t xml:space="preserve">. </w:t>
      </w:r>
    </w:p>
    <w:p w14:paraId="376E586A" w14:textId="07EE5315" w:rsidR="001F1E1A" w:rsidRPr="00B1522E" w:rsidRDefault="001F1E1A" w:rsidP="00734D95">
      <w:pPr>
        <w:spacing w:line="480" w:lineRule="auto"/>
        <w:jc w:val="both"/>
        <w:rPr>
          <w:rFonts w:cstheme="minorHAnsi"/>
          <w:shd w:val="clear" w:color="auto" w:fill="FFFFFF"/>
        </w:rPr>
      </w:pPr>
      <w:r w:rsidRPr="00B1522E">
        <w:tab/>
      </w:r>
      <w:r w:rsidRPr="00B1522E">
        <w:rPr>
          <w:rFonts w:cstheme="minorHAnsi"/>
          <w:shd w:val="clear" w:color="auto" w:fill="FFFFFF"/>
        </w:rPr>
        <w:t>Prior research has indicated that the r</w:t>
      </w:r>
      <w:r w:rsidRPr="00B1522E">
        <w:rPr>
          <w:rFonts w:cstheme="minorHAnsi"/>
        </w:rPr>
        <w:t xml:space="preserve">eduction in normative perceptions of the unhealthy behaviour following SNA messages, mediates the effects of the intervention </w:t>
      </w:r>
      <w:r w:rsidRPr="00B1522E">
        <w:rPr>
          <w:rFonts w:cstheme="minorHAnsi"/>
        </w:rPr>
        <w:fldChar w:fldCharType="begin" w:fldLock="1"/>
      </w:r>
      <w:r w:rsidR="00DF6CCC" w:rsidRPr="00B1522E">
        <w:rPr>
          <w:rFonts w:cstheme="minorHAnsi"/>
        </w:rPr>
        <w:instrText>ADDIN CSL_CITATION {"citationItems":[{"id":"ITEM-1","itemData":{"ISSN":"1939-2117","abstract":"This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psychology","id":"ITEM-1","issue":"1","issued":{"date-parts":[["2009","2"]]},"language":"eng","page":"51-63","title":"Internet-based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intervention","type":"article-journal","volume":"77"},"uris":["http://www.mendeley.com/documents/?uuid=e474cd44-a8a0-4e78-bf25-b8174689a8a6"]},{"id":"ITEM-2","itemData":{"ISSN":"1939-2117","abstract":"OBJECTIVE: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psychology","id":"ITEM-2","issue":"3","issued":{"date-parts":[["2015","6"]]},"language":"eng","page":"500-511","title":"Efficacy of personalized normative feedback as a brief intervention for college student gambling: a randomized controlled trial","type":"article-journal","volume":"83"},"uris":["http://www.mendeley.com/documents/?uuid=fcaceed2-d4d5-4058-b962-e7683d722ede"]}],"mendeley":{"formattedCitation":"(Neighbors et al., 2009, 2015)","plainTextFormattedCitation":"(Neighbors et al., 2009, 2015)","previouslyFormattedCitation":"(Neighbors et al., 2009, 2015)"},"properties":{"noteIndex":0},"schema":"https://github.com/citation-style-language/schema/raw/master/csl-citation.json"}</w:instrText>
      </w:r>
      <w:r w:rsidRPr="00B1522E">
        <w:rPr>
          <w:rFonts w:cstheme="minorHAnsi"/>
        </w:rPr>
        <w:fldChar w:fldCharType="separate"/>
      </w:r>
      <w:r w:rsidR="004B7FAF" w:rsidRPr="00B1522E">
        <w:rPr>
          <w:rFonts w:cstheme="minorHAnsi"/>
          <w:noProof/>
        </w:rPr>
        <w:t>(Neighbors et al., 2009, 2015)</w:t>
      </w:r>
      <w:r w:rsidRPr="00B1522E">
        <w:rPr>
          <w:rFonts w:cstheme="minorHAnsi"/>
        </w:rPr>
        <w:fldChar w:fldCharType="end"/>
      </w:r>
      <w:r w:rsidRPr="00B1522E">
        <w:rPr>
          <w:rFonts w:cstheme="minorHAnsi"/>
        </w:rPr>
        <w:t xml:space="preserve">. It is suggested that SNA feedback affects change as it weakens the social pressure to conform to the perceived unhealthy normative behaviour </w:t>
      </w:r>
      <w:r w:rsidRPr="00B1522E">
        <w:rPr>
          <w:rFonts w:cstheme="minorHAnsi"/>
        </w:rPr>
        <w:fldChar w:fldCharType="begin" w:fldLock="1"/>
      </w:r>
      <w:r w:rsidRPr="00B1522E">
        <w:rPr>
          <w:rFonts w:cstheme="minorHAnsi"/>
        </w:rPr>
        <w:instrText>ADDIN CSL_CITATION {"citationItems":[{"id":"ITEM-1","itemData":{"ISSN":"0021-9029","author":[{"dropping-particle":"","family":"Schroeder","given":"Christine M","non-dropping-particle":"","parse-names":false,"suffix":""},{"dropping-particle":"","family":"Prentice","given":"Deborah A","non-dropping-particle":"","parse-names":false,"suffix":""}],"container-title":"Journal of Applied Social Psychology","id":"ITEM-1","issue":"23","issued":{"date-parts":[["1998"]]},"page":"2150-2180","publisher":"Wiley Online Library","title":"Exposing Pluralistic Ignorance to Reduce Alcohol Use Among College Students 1","type":"article-journal","volume":"28"},"uris":["http://www.mendeley.com/documents/?uuid=cceb5df0-828e-496c-ba30-b1d53440ddb1"]}],"mendeley":{"formattedCitation":"(Schroeder &amp; Prentice, 1998)","plainTextFormattedCitation":"(Schroeder &amp; Prentice, 1998)","previouslyFormattedCitation":"(Schroeder &amp; Prentice, 1998)"},"properties":{"noteIndex":0},"schema":"https://github.com/citation-style-language/schema/raw/master/csl-citation.json"}</w:instrText>
      </w:r>
      <w:r w:rsidRPr="00B1522E">
        <w:rPr>
          <w:rFonts w:cstheme="minorHAnsi"/>
        </w:rPr>
        <w:fldChar w:fldCharType="separate"/>
      </w:r>
      <w:r w:rsidRPr="00B1522E">
        <w:rPr>
          <w:rFonts w:cstheme="minorHAnsi"/>
          <w:noProof/>
        </w:rPr>
        <w:t>(Schroeder &amp; Prentice, 1998)</w:t>
      </w:r>
      <w:r w:rsidRPr="00B1522E">
        <w:rPr>
          <w:rFonts w:cstheme="minorHAnsi"/>
        </w:rPr>
        <w:fldChar w:fldCharType="end"/>
      </w:r>
      <w:r w:rsidRPr="00B1522E">
        <w:rPr>
          <w:rFonts w:cstheme="minorHAnsi"/>
        </w:rPr>
        <w:t xml:space="preserve"> which can also lead to changes in the s</w:t>
      </w:r>
      <w:r w:rsidRPr="00B1522E">
        <w:rPr>
          <w:rFonts w:cstheme="minorHAnsi"/>
          <w:shd w:val="clear" w:color="auto" w:fill="FFFFFF"/>
        </w:rPr>
        <w:t>ocial accep</w:t>
      </w:r>
      <w:r w:rsidRPr="00B1522E">
        <w:rPr>
          <w:rStyle w:val="CommentReference"/>
        </w:rPr>
        <w:t>t</w:t>
      </w:r>
      <w:r w:rsidRPr="00B1522E">
        <w:rPr>
          <w:rFonts w:cstheme="minorHAnsi"/>
          <w:shd w:val="clear" w:color="auto" w:fill="FFFFFF"/>
        </w:rPr>
        <w:t xml:space="preserve">ability of healthier normative behaviours </w:t>
      </w:r>
      <w:r w:rsidRPr="00B1522E">
        <w:rPr>
          <w:rFonts w:cstheme="minorHAnsi"/>
          <w:shd w:val="clear" w:color="auto" w:fill="FFFFFF"/>
        </w:rPr>
        <w:fldChar w:fldCharType="begin" w:fldLock="1"/>
      </w:r>
      <w:r w:rsidR="004A684E" w:rsidRPr="00B1522E">
        <w:rPr>
          <w:rFonts w:cstheme="minorHAnsi"/>
          <w:shd w:val="clear" w:color="auto" w:fill="FFFFFF"/>
        </w:rPr>
        <w:instrText>ADDIN CSL_CITATION {"citationItems":[{"id":"ITEM-1","itemData":{"author":[{"dropping-particle":"","family":"Perkins","given":"H. W","non-dropping-particle":"","parse-names":false,"suffix":""}],"container-title":"Designing alcohol and other drug prevention programs in higher education: Bringing theory into practice","id":"ITEM-1","issued":{"date-parts":[["1997"]]},"page":"177-206","title":"College student misperceptions of alcohol and other drug norms among peers: Exploring causes, consequences, and implications for prevention programs","type":"article-journal"},"uris":["http://www.mendeley.com/documents/?uuid=d579426c-5403-49db-9da7-9d90342e640b"]}],"mendeley":{"formattedCitation":"(H. W Perkins, 1997)","manualFormatting":"(Perkins, 1997)","plainTextFormattedCitation":"(H. W Perkins, 1997)","previouslyFormattedCitation":"(H. W Perkins, 1997)"},"properties":{"noteIndex":0},"schema":"https://github.com/citation-style-language/schema/raw/master/csl-citation.json"}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(Perkins, 1997)</w:t>
      </w:r>
      <w:r w:rsidRPr="00B1522E">
        <w:rPr>
          <w:rFonts w:cstheme="minorHAnsi"/>
          <w:shd w:val="clear" w:color="auto" w:fill="FFFFFF"/>
        </w:rPr>
        <w:fldChar w:fldCharType="end"/>
      </w:r>
      <w:r w:rsidRPr="00B1522E">
        <w:rPr>
          <w:rFonts w:cstheme="minorHAnsi"/>
          <w:shd w:val="clear" w:color="auto" w:fill="FFFFFF"/>
        </w:rPr>
        <w:t>. C</w:t>
      </w:r>
      <w:r w:rsidRPr="00B1522E">
        <w:t xml:space="preserve">hallenging misperceptions about social norms is a powerful and cost-effective way of implementing collective behaviour change in a group </w:t>
      </w:r>
      <w:r w:rsidRPr="00B1522E">
        <w:fldChar w:fldCharType="begin" w:fldLock="1"/>
      </w:r>
      <w:r w:rsidRPr="00B1522E">
        <w:instrText>ADDIN CSL_CITATION {"citationItems":[{"id":"ITEM-1","itemData":{"ISSN":"0033-1538","author":[{"dropping-particle":"","family":"Mockus","given":"Antanas","non-dropping-particle":"","parse-names":false,"suffix":""}],"container-title":"Prospects","id":"ITEM-1","issue":"1","issued":{"date-parts":[["2002"]]},"page":"19-37","publisher":"Springer","title":"Co-existence as harmonization of law, morality and culture","type":"article-journal","volume":"32"},"uris":["http://www.mendeley.com/documents/?uuid=de40b14f-d92e-401c-90c9-329a1cbf37eb"]}],"mendeley":{"formattedCitation":"(Mockus, 2002)","plainTextFormattedCitation":"(Mockus, 2002)","previouslyFormattedCitation":"(Mockus, 2002)"},"properties":{"noteIndex":0},"schema":"https://github.com/citation-style-language/schema/raw/master/csl-citation.json"}</w:instrText>
      </w:r>
      <w:r w:rsidRPr="00B1522E">
        <w:fldChar w:fldCharType="separate"/>
      </w:r>
      <w:r w:rsidRPr="00B1522E">
        <w:rPr>
          <w:noProof/>
        </w:rPr>
        <w:t>(Mockus, 2002)</w:t>
      </w:r>
      <w:r w:rsidRPr="00B1522E">
        <w:fldChar w:fldCharType="end"/>
      </w:r>
      <w:r w:rsidRPr="00B1522E">
        <w:t xml:space="preserve">. </w:t>
      </w:r>
    </w:p>
    <w:p w14:paraId="4A6A9C1B" w14:textId="39DF9C83" w:rsidR="00734D95" w:rsidRPr="00B1522E" w:rsidRDefault="001F1E1A" w:rsidP="00734D95">
      <w:pPr>
        <w:spacing w:line="480" w:lineRule="auto"/>
        <w:ind w:firstLine="720"/>
        <w:jc w:val="both"/>
        <w:rPr>
          <w:rFonts w:cstheme="minorHAnsi"/>
        </w:rPr>
      </w:pPr>
      <w:r w:rsidRPr="00B1522E">
        <w:rPr>
          <w:rFonts w:cstheme="minorHAnsi"/>
          <w:shd w:val="clear" w:color="auto" w:fill="FFFFFF"/>
        </w:rPr>
        <w:t>SNA interventions begin with collecting and reviewing of credible data drawn from the target population to identify misperceptions (</w:t>
      </w:r>
      <w:r w:rsidRPr="00B1522E">
        <w:t>in terms of what the majority of the reference group actually think and do, to understand the degree of the misperception</w:t>
      </w:r>
      <w:r w:rsidRPr="00B1522E">
        <w:rPr>
          <w:rFonts w:cstheme="minorHAnsi"/>
          <w:shd w:val="clear" w:color="auto" w:fill="FFFFFF"/>
        </w:rPr>
        <w:t xml:space="preserve">) </w:t>
      </w:r>
      <w:r w:rsidRPr="00B1522E">
        <w:rPr>
          <w:rFonts w:cstheme="minorHAnsi"/>
          <w:shd w:val="clear" w:color="auto" w:fill="FFFFFF"/>
        </w:rPr>
        <w:fldChar w:fldCharType="begin" w:fldLock="1"/>
      </w:r>
      <w:r w:rsidR="004A684E" w:rsidRPr="00B1522E">
        <w:rPr>
          <w:rFonts w:cstheme="minorHAnsi"/>
          <w:shd w:val="clear" w:color="auto" w:fill="FFFFFF"/>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(Perkins &amp; Berkowitz, 1986)</w:t>
      </w:r>
      <w:r w:rsidRPr="00B1522E">
        <w:rPr>
          <w:rFonts w:cstheme="minorHAnsi"/>
          <w:shd w:val="clear" w:color="auto" w:fill="FFFFFF"/>
        </w:rPr>
        <w:fldChar w:fldCharType="end"/>
      </w:r>
      <w:r w:rsidRPr="00B1522E">
        <w:rPr>
          <w:rFonts w:cstheme="minorHAnsi"/>
          <w:shd w:val="clear" w:color="auto" w:fill="FFFFFF"/>
        </w:rPr>
        <w:t xml:space="preserve">. This latter understanding informs the data-based messages to counter the misperceptions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{"citationItems":[{"id":"ITEM-1","itemData":{"author":[{"dropping-particle":"","family":"Haines","given":"M P","non-dropping-particle":"","parse-names":false,"suffix":""},{"dropping-particle":"","family":"Perkins","given":"H W","non-dropping-particle":"","parse-names":false,"suffix":""},{"dropping-particle":"","family":"Rice","given":"R M","non-dropping-particle":"","parse-names":false,"suffix":""},{"dropping-particle":"","family":"Barker","given":"G","non-dropping-particle":"","parse-names":false,"suffix":""}],"id":"ITEM-1","issued":{"date-parts":[["2005"]]},"publisher":"National Social Norms Resource Center","title":"A guide to marketing social norms for health promotion in schools and communities","type":"report"},"uris":["http://www.mendeley.com/documents/?uuid=e808c01d-a666-46ae-93e8-f820a4c5cfac"]}],"mendeley":{"formattedCitation":"(Haines et al., 2005)","plainTextFormattedCitation":"(Haines et al., 2005)","previouslyFormattedCitation":"(Haines et al., 2005)"},"properties":{"noteIndex":0},"schema":"https://github.com/citation-style-language/schema/raw/master/csl-citation.json"}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(Haines et al., 2005)</w:t>
      </w:r>
      <w:r w:rsidRPr="00B1522E">
        <w:rPr>
          <w:rFonts w:cstheme="minorHAnsi"/>
          <w:shd w:val="clear" w:color="auto" w:fill="FFFFFF"/>
        </w:rPr>
        <w:fldChar w:fldCharType="end"/>
      </w:r>
      <w:r w:rsidRPr="00B1522E">
        <w:rPr>
          <w:rFonts w:cstheme="minorHAnsi"/>
          <w:shd w:val="clear" w:color="auto" w:fill="FFFFFF"/>
        </w:rPr>
        <w:t xml:space="preserve"> with messages outlining the discrepancy between accurate normative behaviours (descriptive norm) and/or attitudes (injunctive norm) of the target population with current perceptions, to help ensure messages are perceived as credible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{"citationItems":[{"id":"ITEM-1","itemData":{"ISSN":"2296-2565","author":[{"dropping-particle":"","family":"Vallentin-Holbech","given":"Lotte","non-dropping-particle":"","parse-names":false,"suffix":""},{"dropping-particle":"","family":"Rasmussen","given":"Birthe Marie","non-dropping-particle":"","parse-names":false,"suffix":""},{"dropping-particle":"","family":"Stock","given":"Christiane","non-dropping-particle":"","parse-names":false,"suffix":""}],"container-title":"Frontiers in public health","id":"ITEM-1","issued":{"date-parts":[["2019"]]},"page":"245","publisher":"Frontiers","title":"Does level of received intervention dose have an impact on the effectiveness of the social norms alcohol prevention program The GOOD Life?","type":"article-journal","volume":"7"},"uris":["http://www.mendeley.com/documents/?uuid=5ee77ba3-6809-4088-a2a3-b425019ebc0f"]}],"mendeley":{"formattedCitation":"(Vallentin-Holbech et al., 2019)","plainTextFormattedCitation":"(Vallentin-Holbech et al., 2019)","previouslyFormattedCitation":"(Vallentin-Holbech et al., 2019)"},"properties":{"noteIndex":0},"schema":"https://github.com/citation-style-language/schema/raw/master/csl-citation.json"}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(Vallentin-Holbech et al., 2019)</w:t>
      </w:r>
      <w:r w:rsidRPr="00B1522E">
        <w:rPr>
          <w:rFonts w:cstheme="minorHAnsi"/>
          <w:shd w:val="clear" w:color="auto" w:fill="FFFFFF"/>
        </w:rPr>
        <w:fldChar w:fldCharType="end"/>
      </w:r>
      <w:r w:rsidRPr="00B1522E">
        <w:rPr>
          <w:rFonts w:cstheme="minorHAnsi"/>
          <w:shd w:val="clear" w:color="auto" w:fill="FFFFFF"/>
        </w:rPr>
        <w:t>.</w:t>
      </w:r>
      <w:r w:rsidRPr="00B1522E">
        <w:rPr>
          <w:rFonts w:cstheme="minorHAnsi"/>
        </w:rPr>
        <w:t xml:space="preserve"> Campaigns that present feedback that is unclear, or that lacks credibility because it is not informed by data collected from the target population, could weaken the effect of the SNA </w:t>
      </w:r>
      <w:r w:rsidRPr="00B1522E">
        <w:rPr>
          <w:rFonts w:cstheme="minorHAnsi"/>
        </w:rPr>
        <w:fldChar w:fldCharType="begin" w:fldLock="1"/>
      </w:r>
      <w:r w:rsidR="00FD502B" w:rsidRPr="00B1522E">
        <w:rPr>
          <w:rFonts w:cstheme="minorHAnsi"/>
        </w:rPr>
        <w:instrText>ADDIN CSL_CITATION {"citationItems":[{"id":"ITEM-1","itemData":{"author":[{"dropping-particle":"","family":"Granfield","given":"Robert","non-dropping-particle":"","parse-names":false,"suffix":""}],"container-title":"The Report on Social Norms","id":"ITEM-1","issued":{"date-parts":[["2002"]]},"number-of-pages":"1-8","publisher":"PaperClip Communications.","title":"Can you believe it? Assessing the credibility of a social norms campaign","type":"report","volume":"2"},"uris":["http://www.mendeley.com/documents/?uuid=e474cb54-3896-46fb-ba23-b26e583f0ddd"]}],"mendeley":{"formattedCitation":"(Granfield, 2002)","plainTextFormattedCitation":"(Granfield, 2002)","previouslyFormattedCitation":"(Granfield, 2002)"},"properties":{"noteIndex":0},"schema":"https://github.com/citation-style-language/schema/raw/master/csl-citation.json"}</w:instrText>
      </w:r>
      <w:r w:rsidRPr="00B1522E">
        <w:rPr>
          <w:rFonts w:cstheme="minorHAnsi"/>
        </w:rPr>
        <w:fldChar w:fldCharType="separate"/>
      </w:r>
      <w:r w:rsidRPr="00B1522E">
        <w:rPr>
          <w:rFonts w:cstheme="minorHAnsi"/>
          <w:noProof/>
        </w:rPr>
        <w:t>(Granfield, 2002)</w:t>
      </w:r>
      <w:r w:rsidRPr="00B1522E">
        <w:rPr>
          <w:rFonts w:cstheme="minorHAnsi"/>
        </w:rPr>
        <w:fldChar w:fldCharType="end"/>
      </w:r>
      <w:r w:rsidRPr="00B1522E">
        <w:rPr>
          <w:rFonts w:cstheme="minorHAnsi"/>
        </w:rPr>
        <w:t xml:space="preserve">. For example, a study by Thombs et al. (2004) failed to change alcohol-related perception and alcohol intake in university students using a SNA intervention. A follow-up study revealed that even though a large number of students were aware of the campaign, the students did not find the messages credible (the SNA messages were not developed from students’ own baseline data but from data collected from a similar sample of </w:t>
      </w:r>
      <w:r w:rsidRPr="00B1522E">
        <w:rPr>
          <w:rFonts w:cstheme="minorHAnsi"/>
        </w:rPr>
        <w:lastRenderedPageBreak/>
        <w:t xml:space="preserve">undergraduate students) and there seemed to be a lack of understanding of message content </w:t>
      </w:r>
      <w:r w:rsidRPr="00B1522E">
        <w:rPr>
          <w:rFonts w:cstheme="minorHAnsi"/>
        </w:rPr>
        <w:fldChar w:fldCharType="begin" w:fldLock="1"/>
      </w:r>
      <w:r w:rsidR="00FD502B" w:rsidRPr="00B1522E">
        <w:rPr>
          <w:rFonts w:cstheme="minorHAnsi"/>
        </w:rPr>
        <w:instrText>ADDIN CSL_CITATION {"citationItems":[{"id":"ITEM-1","itemData":{"ISSN":"0744-8481 (Print)","PMID":"15495882","abstract":"The authors examined 3 possible explanations for the failure of a social norms campaign at a large public university. They administered an anonymous survey to 2 random samples of undergraduate classes: a baseline assessment of 616 students before the campaign's implementation and a follow-up survey of 723 students 4 academic years later. At follow-up, 66.5% of the students were aware of the campaign, yet the survey revealed no reduction in perceived drinking norms or alcohol use in this group. An analysis of the postcampaign sample revealed that (1) a majority of the students did not find the statistics used in the campaign messages credible, (2) higher levels of alcohol use predicted lower levels of perceived campaign credibility, and (3) only 38.5% of the students understood the campaign's intended purpose. If they are to influence personally relevant drinking norms, these campaigns must undergo further development to enhance message credibility and participants' understanding.","author":[{"dropping-particle":"","family":"Thombs","given":"Dennis L","non-dropping-particle":"","parse-names":false,"suffix":""},{"dropping-particle":"","family":"Dotterer","given":"Scott","non-dropping-particle":"","parse-names":false,"suffix":""},{"dropping-particle":"","family":"Olds","given":"R Scott","non-dropping-particle":"","parse-names":false,"suffix":""},{"dropping-particle":"","family":"Sharp","given":"Katherine E","non-dropping-particle":"","parse-names":false,"suffix":""},{"dropping-particle":"","family":"Raub","given":"Carrie Giovannone","non-dropping-particle":"","parse-names":false,"suffix":""}],"container-title":"Journal of American College Health","id":"ITEM-1","issue":"2","issued":{"date-parts":[["2004"]]},"language":"eng","page":"61-68","publisher-place":"United States","title":"A close look at why one social norms campaign did not reduce student drinking.","type":"article-journal","volume":"53"},"uris":["http://www.mendeley.com/documents/?uuid=fa4d9af3-124e-47d5-9e87-eeab8e35e07b"]}],"mendeley":{"formattedCitation":"(Thombs et al., 2004)","plainTextFormattedCitation":"(Thombs et al., 2004)","previouslyFormattedCitation":"(Thombs et al., 2004)"},"properties":{"noteIndex":0},"schema":"https://github.com/citation-style-language/schema/raw/master/csl-citation.json"}</w:instrText>
      </w:r>
      <w:r w:rsidRPr="00B1522E">
        <w:rPr>
          <w:rFonts w:cstheme="minorHAnsi"/>
        </w:rPr>
        <w:fldChar w:fldCharType="separate"/>
      </w:r>
      <w:r w:rsidR="004B7FAF" w:rsidRPr="00B1522E">
        <w:rPr>
          <w:rFonts w:cstheme="minorHAnsi"/>
          <w:noProof/>
        </w:rPr>
        <w:t>(Thombs et al., 2004)</w:t>
      </w:r>
      <w:r w:rsidRPr="00B1522E">
        <w:rPr>
          <w:rFonts w:cstheme="minorHAnsi"/>
        </w:rPr>
        <w:fldChar w:fldCharType="end"/>
      </w:r>
      <w:r w:rsidRPr="00B1522E">
        <w:rPr>
          <w:rFonts w:cstheme="minorHAnsi"/>
        </w:rPr>
        <w:t xml:space="preserve">. </w:t>
      </w:r>
    </w:p>
    <w:p w14:paraId="5BE29974" w14:textId="5AC4C947" w:rsidR="001F1E1A" w:rsidRPr="00B1522E" w:rsidRDefault="001F1E1A" w:rsidP="00734D95">
      <w:pPr>
        <w:spacing w:line="480" w:lineRule="auto"/>
        <w:ind w:firstLine="720"/>
        <w:jc w:val="both"/>
        <w:rPr>
          <w:rFonts w:cstheme="minorHAnsi"/>
        </w:rPr>
      </w:pPr>
      <w:r w:rsidRPr="00B1522E">
        <w:rPr>
          <w:rFonts w:cstheme="minorHAnsi"/>
          <w:shd w:val="clear" w:color="auto" w:fill="FFFFFF"/>
        </w:rPr>
        <w:t xml:space="preserve">The impact of SNA interventions is also dependent on the communication of SNA messages using the most appropriate reference group (which is the one the target population most identifies with)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{"citationItems":[{"id":"ITEM-1","itemData":{"ISSN":"0744-8481","abstract":"College students have been shown to consistently overestimate the drinking of their peers. As a result, social norms approaches are effective in correcting these misperceived norms to reduce alcohol consumption and alcohol-related problems. In this review of literature, the authors critically evaluated the effectiveness of personalized normative feedback. In addition, the authors reviewed personalized normative feedback interventions and provided suggestions for increasing the efficacy of these interventions by making better use of salient referent group data.","author":[{"dropping-particle":"","family":"Lewis","given":"Melissa A","non-dropping-particle":"","parse-names":false,"suffix":""},{"dropping-particle":"","family":"Neighbors","given":"Clayton","non-dropping-particle":"","parse-names":false,"suffix":""}],"container-title":"Journal of American college health","id":"ITEM-1","issue":"4","issued":{"date-parts":[["2006"]]},"page":"213-218","title":"Social Norms Approaches Using Descriptive Drinking Norms Education: A Review of the Research on Personalized Normative Feedback","type":"article-journal","volume":"54"},"uris":["http://www.mendeley.com/documents/?uuid=f0d13b0f-2b7f-4f7b-b784-a01b9580b927"]},{"id":"ITEM-2","itemData":{"ISSN":"1543-3382(Electronic),0897-5264(Print)","abstract":"Drinking motivations among undergraduates were examined with a 76-item questionnaire administered to 640 undergraduates. The questionnaire contained 4 sections: sociodemographic information, alcohol use and perceived drinking norms, drinking consequences, and the Gender Role Conflict Scale. Findings from the canonical correlation analysis suggest undergraduate alcohol use in both sexes was best explained by same-sex, peer drinking norms. Gender role conflict and sociodemographic variables had substantially weaker associations with drinking behavior. The findings provide further theoretical support for interventions seeking to change campus drinking norms and suggest that normative feedback should be sex specific. (PsycINFO Database Record (c) 2016 APA, all rights reserved)","author":[{"dropping-particle":"","family":"Korcuska","given":"James S","non-dropping-particle":"","parse-names":false,"suffix":""},{"dropping-particle":"","family":"Thombs","given":"Dennis L","non-dropping-particle":"","parse-names":false,"suffix":""}],"container-title":"Journal of College Student Development","id":"ITEM-2","issue":"2","issued":{"date-parts":[["2003"]]},"page":"204-216","publisher":"ACPA Executive Office","publisher-place":"Korcuska, James S.: Counseling &amp; Psychology in Education, 210 Delzell, U South Dakota, 414 East Clark Street, Vermillion, SD, US, 57069, jkorcusk@usd.edu","title":"Gender role conflict and sex-specific drinking norms: Relationships to alcohol use in undergraduate women and men.","type":"article-journal","volume":"44"},"uris":["http://www.mendeley.com/documents/?uuid=a2db55db-f291-4a67-be69-8495a541485b"]}],"mendeley":{"formattedCitation":"(Korcuska &amp; Thombs, 2003; Lewis &amp; Neighbors, 2006)","plainTextFormattedCitation":"(Korcuska &amp; Thombs, 2003; Lewis &amp; Neighbors, 2006)","previouslyFormattedCitation":"(Korcuska &amp; Thombs, 2003; Lewis &amp; Neighbors, 2006)"},"properties":{"noteIndex":0},"schema":"https://github.com/citation-style-language/schema/raw/master/csl-citation.json"}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(Korcuska &amp; Thombs, 2003; Lewis &amp; Neighbors, 2006)</w:t>
      </w:r>
      <w:r w:rsidRPr="00B1522E">
        <w:rPr>
          <w:rFonts w:cstheme="minorHAnsi"/>
          <w:shd w:val="clear" w:color="auto" w:fill="FFFFFF"/>
        </w:rPr>
        <w:fldChar w:fldCharType="end"/>
      </w:r>
      <w:r w:rsidRPr="00B1522E">
        <w:rPr>
          <w:rFonts w:cstheme="minorHAnsi"/>
          <w:shd w:val="clear" w:color="auto" w:fill="FFFFFF"/>
        </w:rPr>
        <w:t xml:space="preserve">. For example, in research that investigated university students alcohol intake, they found that students were more influenced by norms of their social network rather than of the university as a whole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{"citationItems":[{"id":"ITEM-1","itemData":{"ISSN":"0744-8481","author":[{"dropping-particle":"","family":"Carter","given":"Colleen A","non-dropping-particle":"","parse-names":false,"suffix":""},{"dropping-particle":"","family":"Kahnweiler","given":"William M","non-dropping-particle":"","parse-names":false,"suffix":""}],"container-title":"Journal of American College Health","id":"ITEM-1","issue":"2","issued":{"date-parts":[["2000"]]},"page":"66-71","publisher":"Taylor &amp; Francis","title":"The efficacy of the social norms approach to substance abuse prevention applied to fraternity men","type":"article-journal","volume":"49"},"uris":["http://www.mendeley.com/documents/?uuid=de7bf575-98fb-4b4e-b45b-f344aa2cc9c7"]}],"mendeley":{"formattedCitation":"(Carter &amp; Kahnweiler, 2000)","plainTextFormattedCitation":"(Carter &amp; Kahnweiler, 2000)","previouslyFormattedCitation":"(Carter &amp; Kahnweiler, 2000)"},"properties":{"noteIndex":0},"schema":"https://github.com/citation-style-language/schema/raw/master/csl-citation.json"}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(Carter &amp; Kahnweiler, 2000)</w:t>
      </w:r>
      <w:r w:rsidRPr="00B1522E">
        <w:rPr>
          <w:rFonts w:cstheme="minorHAnsi"/>
          <w:shd w:val="clear" w:color="auto" w:fill="FFFFFF"/>
        </w:rPr>
        <w:fldChar w:fldCharType="end"/>
      </w:r>
      <w:r w:rsidRPr="00B1522E">
        <w:rPr>
          <w:rFonts w:cstheme="minorHAnsi"/>
        </w:rPr>
        <w:t xml:space="preserve">. However, a study by </w:t>
      </w:r>
      <w:r w:rsidRPr="00B1522E">
        <w:rPr>
          <w:rFonts w:cstheme="minorHAnsi"/>
        </w:rPr>
        <w:fldChar w:fldCharType="begin" w:fldLock="1"/>
      </w:r>
      <w:r w:rsidR="00D046DC" w:rsidRPr="00B1522E">
        <w:rPr>
          <w:rFonts w:cstheme="minorHAnsi"/>
        </w:rPr>
        <w:instrText>ADDIN CSL_CITATION {"citationItems":[{"id":"ITEM-1","itemData":{"ISBN":"1939-2117(Electronic),0022-006X(Print)","abstract":"Objectives: Personalized normative feedback (PNF) interventions are generally effective at correcting normative misperceptions and reducing risky alcohol consumption among college students. However, research has yet to establish what level of reference group specificity is most efficacious in delivering PNF. This study compared the efficacy of a web-based PNF intervention using 8 increasingly specific reference groups against a Web-BASICS intervention and a repeated-assessment control in reducing risky drinking and associated consequences. Method: Participants were 1,663 heavy-drinking Caucasian and Asian undergraduates at 2 universities. The referent for web-based PNF was either the typical same-campus student or a same-campus student at 1 (either gender, race, or Greek affiliation), or a combination of 2 (e.g., gender and race), or all 3 levels of specificity (i.e., gender, race, and Greek affiliation). Hypotheses were tested using quasi-Poisson generalized linear models fit by generalized estimating equations. Results: The PNF intervention participants showed modest reductions in all 4 outcomes (average total drinks, peak drinking, drinking days, and drinking consequences) compared with control participants. No significant differences in drinking outcomes were found between the PNF group as a whole and the Web-BASICS group. Among the 8 PNF conditions, participants receiving typical student PNF demonstrated greater reductions in all 4 outcomes compared with those receiving PNF for more specific reference groups. Perceived drinking norms and discrepancies between individual behavior and actual norms mediated the efficacy of the intervention. Conclusions: Findings suggest a web-based PNF intervention using the typical student referent offers a parsimonious approach to reducing problematic alcohol use outcomes among college students. (PsycINFO Database Record (c) 2016 APA, all rights reserved)","author":[{"dropping-particle":"","family":"LaBrie","given":"Joseph W","non-dropping-particle":"","parse-names":false,"suffix":""},{"dropping-particle":"","family":"Lewis","given":"Melissa A","non-dropping-particle":"","parse-names":false,"suffix":""},{"dropping-particle":"","family":"Atkins","given":"David C","non-dropping-particle":"","parse-names":false,"suffix":""},{"dropping-particle":"","family":"Neighbors","given":"Clayton","non-dropping-particle":"","parse-names":false,"suffix":""},{"dropping-particle":"","family":"Zheng","given":"Cheng","non-dropping-particle":"","parse-names":false,"suffix":""},{"dropping-particle":"","family":"Kenney","given":"Shannon R","non-dropping-particle":"","parse-names":false,"suffix":""},{"dropping-particle":"","family":"Napper","given":"Lucy E","non-dropping-particle":"","parse-names":false,"suffix":""},{"dropping-particle":"","family":"Walter","given":"Theresa","non-dropping-particle":"","parse-names":false,"suffix":""},{"dropping-particle":"","family":"Kilmer","given":"Jason R","non-dropping-particle":"","parse-names":false,"suffix":""},{"dropping-particle":"","family":"Hummer","given":"Justin F","non-dropping-particle":"","parse-names":false,"suffix":""},{"dropping-particle":"","family":"Grossbard","given":"Joel","non-dropping-particle":"","parse-names":false,"suffix":""},{"dropping-particle":"","family":"Ghaidarov","given":"Tehniat M","non-dropping-particle":"","parse-names":false,"suffix":""},{"dropping-particle":"","family":"Desai","given":"Sruti","non-dropping-particle":"","parse-names":false,"suffix":""},{"dropping-particle":"","family":"Lee","given":"Christine M","non-dropping-particle":"","parse-names":false,"suffix":""},{"dropping-particle":"","family":"Larimer","given":"Mary E","non-dropping-particle":"","parse-names":false,"suffix":""}],"container-title":"Journal of Consulting and Clinical Psychology","id":"ITEM-1","issue":"6","issued":{"date-parts":[["2013"]]},"page":"1074-1086","title":"RCT of web-based personalized normative feedback for college drinking prevention: Are typical student norms good enough?","type":"article-journal","volume":"81"},"uris":["http://www.mendeley.com/documents/?uuid=744047d4-40fa-4ae7-98ed-eb4d13813bf1"]}],"mendeley":{"formattedCitation":"(LaBrie et al., 2013)","manualFormatting":"LaBrie et al. (2013)","plainTextFormattedCitation":"(LaBrie et al., 2013)","previouslyFormattedCitation":"(LaBrie et al., 2013)"},"properties":{"noteIndex":0},"schema":"https://github.com/citation-style-language/schema/raw/master/csl-citation.json"}</w:instrText>
      </w:r>
      <w:r w:rsidRPr="00B1522E">
        <w:rPr>
          <w:rFonts w:cstheme="minorHAnsi"/>
        </w:rPr>
        <w:fldChar w:fldCharType="separate"/>
      </w:r>
      <w:r w:rsidRPr="00B1522E">
        <w:rPr>
          <w:rFonts w:cstheme="minorHAnsi"/>
          <w:noProof/>
        </w:rPr>
        <w:t>LaBrie et al. (2013)</w:t>
      </w:r>
      <w:r w:rsidRPr="00B1522E">
        <w:rPr>
          <w:rFonts w:cstheme="minorHAnsi"/>
        </w:rPr>
        <w:fldChar w:fldCharType="end"/>
      </w:r>
      <w:r w:rsidRPr="00B1522E">
        <w:rPr>
          <w:rFonts w:cstheme="minorHAnsi"/>
        </w:rPr>
        <w:t xml:space="preserve"> found that feedback messages that included a more generic typical student (reference group e.g. other students) were more effective at influencing alcohol use than a feedback message that was more specifically tailored (to students’ sex, race and  Greek  affiliation (university society)). </w:t>
      </w:r>
      <w:r w:rsidRPr="00B1522E">
        <w:rPr>
          <w:rFonts w:cstheme="minorHAnsi"/>
        </w:rPr>
        <w:fldChar w:fldCharType="begin" w:fldLock="1"/>
      </w:r>
      <w:r w:rsidR="007463D4" w:rsidRPr="00B1522E">
        <w:rPr>
          <w:rFonts w:cstheme="minorHAnsi"/>
        </w:rPr>
        <w:instrText>ADDIN CSL_CITATION {"citationItems":[{"id":"ITEM-1","itemData":{"author":[{"dropping-particle":"","family":"McAlaney","given":"J","non-dropping-particle":"","parse-names":false,"suffix":""},{"dropping-particle":"","family":"Bewick","given":"B.","non-dropping-particle":"","parse-names":false,"suffix":""},{"dropping-particle":"","family":"Hughes","given":"C.","non-dropping-particle":"","parse-names":false,"suffix":""}],"container-title":"Drugs: Education, Prevention and Policy","id":"ITEM-1","issued":{"date-parts":[["2011"]]},"page":"81-89","title":"The international development of the 'Social Norms' approach to drug education and prevention","type":"article-journal","volume":"18"},"uris":["http://www.mendeley.com/documents/?uuid=039e01c9-674b-477f-88d4-868a5c818ffa"]}],"mendeley":{"formattedCitation":"(J McAlaney et al., 2011)","manualFormatting":"McAlaney et al. (2011)","plainTextFormattedCitation":"(J McAlaney et al., 2011)","previouslyFormattedCitation":"(J McAlaney et al., 2011)"},"properties":{"noteIndex":0},"schema":"https://github.com/citation-style-language/schema/raw/master/csl-citation.json"}</w:instrText>
      </w:r>
      <w:r w:rsidRPr="00B1522E">
        <w:rPr>
          <w:rFonts w:cstheme="minorHAnsi"/>
        </w:rPr>
        <w:fldChar w:fldCharType="separate"/>
      </w:r>
      <w:r w:rsidRPr="00B1522E">
        <w:rPr>
          <w:rFonts w:cstheme="minorHAnsi"/>
          <w:noProof/>
        </w:rPr>
        <w:t>McAlaney et al. (2011)</w:t>
      </w:r>
      <w:r w:rsidRPr="00B1522E">
        <w:rPr>
          <w:rFonts w:cstheme="minorHAnsi"/>
        </w:rPr>
        <w:fldChar w:fldCharType="end"/>
      </w:r>
      <w:r w:rsidRPr="00B1522E">
        <w:rPr>
          <w:rFonts w:cstheme="minorHAnsi"/>
        </w:rPr>
        <w:t xml:space="preserve"> suggests this may be explained by studies not identifying who participants perceived a ‘typical student’ to be and that when developing SNA campaigns, consideration should be given to which reference group (i.e., typical student) is the most salient and understandable to the target population and target behaviours. </w:t>
      </w:r>
    </w:p>
    <w:p w14:paraId="1F25D720" w14:textId="77777777" w:rsidR="001F1E1A" w:rsidRPr="00B1522E" w:rsidRDefault="001F1E1A" w:rsidP="001F1E1A">
      <w:pPr>
        <w:spacing w:after="0" w:line="480" w:lineRule="auto"/>
        <w:jc w:val="both"/>
      </w:pPr>
    </w:p>
    <w:p w14:paraId="0CA632C5" w14:textId="77777777" w:rsidR="00795693" w:rsidRPr="00B1522E" w:rsidRDefault="00795693" w:rsidP="00795693">
      <w:pPr>
        <w:spacing w:after="0" w:line="480" w:lineRule="auto"/>
        <w:jc w:val="both"/>
      </w:pPr>
    </w:p>
    <w:p w14:paraId="5EF675FF" w14:textId="694468BF" w:rsidR="00795693" w:rsidRPr="00B1522E" w:rsidRDefault="00AC74B4" w:rsidP="00A1584F">
      <w:pPr>
        <w:spacing w:line="480" w:lineRule="auto"/>
        <w:jc w:val="both"/>
      </w:pPr>
      <w:r w:rsidRPr="00B1522E">
        <w:fldChar w:fldCharType="begin"/>
      </w:r>
      <w:r w:rsidRPr="00B1522E">
        <w:instrText xml:space="preserve"> TC  "</w:instrText>
      </w:r>
      <w:bookmarkStart w:id="87" w:name="_Toc97310435"/>
      <w:r w:rsidRPr="00B1522E">
        <w:instrText>3.5.</w:instrText>
      </w:r>
      <w:r w:rsidR="00ED7B92" w:rsidRPr="00B1522E">
        <w:instrText>1</w:instrText>
      </w:r>
      <w:r w:rsidRPr="00B1522E">
        <w:instrText xml:space="preserve"> Communicating SNA feedback</w:instrText>
      </w:r>
      <w:bookmarkEnd w:id="87"/>
      <w:r w:rsidRPr="00B1522E">
        <w:instrText xml:space="preserve"> " \f x\l 3 </w:instrText>
      </w:r>
      <w:r w:rsidRPr="00B1522E">
        <w:fldChar w:fldCharType="end"/>
      </w:r>
      <w:r w:rsidR="00795693" w:rsidRPr="00B1522E">
        <w:t>3.5.1 Communicating SNA feedback</w:t>
      </w:r>
    </w:p>
    <w:p w14:paraId="6F6021E2" w14:textId="1B4A71ED" w:rsidR="00E0511D" w:rsidRPr="00B1522E" w:rsidRDefault="00E0511D" w:rsidP="00A1584F">
      <w:pPr>
        <w:pStyle w:val="CommentText"/>
        <w:spacing w:after="160" w:line="480" w:lineRule="auto"/>
        <w:jc w:val="both"/>
        <w:rPr>
          <w:rFonts w:cstheme="minorHAnsi"/>
          <w:sz w:val="22"/>
          <w:szCs w:val="22"/>
        </w:rPr>
      </w:pPr>
      <w:r w:rsidRPr="00B1522E">
        <w:rPr>
          <w:rFonts w:cstheme="minorHAnsi"/>
          <w:sz w:val="22"/>
          <w:szCs w:val="22"/>
        </w:rPr>
        <w:t xml:space="preserve">Early SNA interventions often disseminated feedback through mass media campaigns using print-based methods (e.g. posters and leaflets) </w:t>
      </w:r>
      <w:r w:rsidRPr="00B1522E">
        <w:rPr>
          <w:rFonts w:cstheme="minorHAnsi"/>
          <w:sz w:val="22"/>
          <w:szCs w:val="22"/>
        </w:rPr>
        <w:fldChar w:fldCharType="begin" w:fldLock="1"/>
      </w:r>
      <w:r w:rsidR="007463D4" w:rsidRPr="00B1522E">
        <w:rPr>
          <w:rFonts w:cstheme="minorHAnsi"/>
          <w:sz w:val="22"/>
          <w:szCs w:val="22"/>
        </w:rPr>
        <w:instrText>ADDIN CSL_CITATION {"citationItems":[{"id":"ITEM-1","itemData":{"ISSN":"0744-8481","abstract":"College students have been shown to consistently overestimate the drinking of their peers. As a result, social norms approaches are effective in correcting these misperceived norms to reduce alcohol consumption and alcohol-related problems. In this review of literature, the authors critically evaluated the effectiveness of personalized normative feedback. In addition, the authors reviewed personalized normative feedback interventions and provided suggestions for increasing the efficacy of these interventions by making better use of salient referent group data.","author":[{"dropping-particle":"","family":"Lewis","given":"Melissa A","non-dropping-particle":"","parse-names":false,"suffix":""},{"dropping-particle":"","family":"Neighbors","given":"Clayton","non-dropping-particle":"","parse-names":false,"suffix":""}],"container-title":"Journal of American college health","id":"ITEM-1","issue":"4","issued":{"date-parts":[["2006"]]},"page":"213-218","title":"Social Norms Approaches Using Descriptive Drinking Norms Education: A Review of the Research on Personalized Normative Feedback","type":"article-journal","volume":"54"},"uris":["http://www.mendeley.com/documents/?uuid=f0d13b0f-2b7f-4f7b-b784-a01b9580b927"]}],"mendeley":{"formattedCitation":"(Lewis &amp; Neighbors, 2006)","plainTextFormattedCitation":"(Lewis &amp; Neighbors, 2006)","previouslyFormattedCitation":"(Lewis &amp; Neighbors, 2006)"},"properties":{"noteIndex":0},"schema":"https://github.com/citation-style-language/schema/raw/master/csl-citation.json"}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(Lewis &amp; Neighbors, 2006)</w:t>
      </w:r>
      <w:r w:rsidRPr="00B1522E">
        <w:rPr>
          <w:rFonts w:cstheme="minorHAnsi"/>
          <w:sz w:val="22"/>
          <w:szCs w:val="22"/>
        </w:rPr>
        <w:fldChar w:fldCharType="end"/>
      </w:r>
      <w:r w:rsidRPr="00B1522E">
        <w:rPr>
          <w:rFonts w:cstheme="minorHAnsi"/>
          <w:sz w:val="22"/>
          <w:szCs w:val="22"/>
        </w:rPr>
        <w:t>. For example, Haines (1996) aimed to change perceptions of university students about binge drinking and alcohol-related problems using a campus-based social norms mass media campaign (which used current data on drinking practices of the college students for message content</w:t>
      </w:r>
      <w:r w:rsidR="00154A83" w:rsidRPr="00B1522E">
        <w:rPr>
          <w:rFonts w:cstheme="minorHAnsi"/>
          <w:sz w:val="22"/>
          <w:szCs w:val="22"/>
        </w:rPr>
        <w:t xml:space="preserve">, i.e. </w:t>
      </w:r>
      <w:r w:rsidRPr="00B1522E">
        <w:rPr>
          <w:rFonts w:cstheme="minorHAnsi"/>
          <w:sz w:val="22"/>
          <w:szCs w:val="22"/>
        </w:rPr>
        <w:t xml:space="preserve">descriptive norms). The campaign highlighted binge drinking norms to help alter normative beliefs concerning alcohol consumption across one university campus. The results showed a reduction in binge drinking and fewer alcohol-related injuries to both students themselves and to others </w:t>
      </w:r>
      <w:r w:rsidRPr="00B1522E">
        <w:rPr>
          <w:rFonts w:cstheme="minorHAnsi"/>
          <w:sz w:val="22"/>
          <w:szCs w:val="22"/>
        </w:rPr>
        <w:fldChar w:fldCharType="begin" w:fldLock="1"/>
      </w:r>
      <w:r w:rsidR="00971CA4" w:rsidRPr="00B1522E">
        <w:rPr>
          <w:rFonts w:cstheme="minorHAnsi"/>
          <w:sz w:val="22"/>
          <w:szCs w:val="22"/>
        </w:rPr>
        <w:instrText>ADDIN CSL_CITATION {"citationItems":[{"id":"ITEM-1","itemData":{"author":[{"dropping-particle":"","family":"Haines","given":"M.P.","non-dropping-particle":"","parse-names":false,"suffix":""}],"id":"ITEM-1","issued":{"date-parts":[["1996"]]},"publisher":"The Higher Education Center for Alcohol and Other Drug Prevention.","title":"A social norms approach to preventing binge drinking at colleges and universities.","type":"report"},"uris":["http://www.mendeley.com/documents/?uuid=ae5dbceb-0c06-4b17-b6f5-d60c83f9768a"]}],"mendeley":{"formattedCitation":"(Haines, 1996)","plainTextFormattedCitation":"(Haines, 1996)","previouslyFormattedCitation":"(Haines, 1996)"},"properties":{"noteIndex":0},"schema":"https://github.com/citation-style-language/schema/raw/master/csl-citation.json"}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(Haines, 1996)</w:t>
      </w:r>
      <w:r w:rsidRPr="00B1522E">
        <w:rPr>
          <w:rFonts w:cstheme="minorHAnsi"/>
          <w:sz w:val="22"/>
          <w:szCs w:val="22"/>
        </w:rPr>
        <w:fldChar w:fldCharType="end"/>
      </w:r>
      <w:r w:rsidRPr="00B1522E">
        <w:rPr>
          <w:rFonts w:cstheme="minorHAnsi"/>
          <w:sz w:val="22"/>
          <w:szCs w:val="22"/>
        </w:rPr>
        <w:t xml:space="preserve">. These types of mass media </w:t>
      </w:r>
      <w:r w:rsidRPr="00B1522E">
        <w:rPr>
          <w:rFonts w:cstheme="minorHAnsi"/>
          <w:sz w:val="22"/>
          <w:szCs w:val="22"/>
        </w:rPr>
        <w:lastRenderedPageBreak/>
        <w:t xml:space="preserve">campaigns normally target a large audience disseminating messages about group-level norms </w:t>
      </w:r>
      <w:r w:rsidRPr="00B1522E">
        <w:rPr>
          <w:rFonts w:cstheme="minorHAnsi"/>
          <w:sz w:val="22"/>
          <w:szCs w:val="22"/>
        </w:rPr>
        <w:fldChar w:fldCharType="begin" w:fldLock="1"/>
      </w:r>
      <w:r w:rsidR="005776BC" w:rsidRPr="00B1522E">
        <w:rPr>
          <w:rFonts w:cstheme="minorHAnsi"/>
          <w:sz w:val="22"/>
          <w:szCs w:val="22"/>
        </w:rPr>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(Perkins et al., 2010)</w:t>
      </w:r>
      <w:r w:rsidRPr="00B1522E">
        <w:rPr>
          <w:rFonts w:cstheme="minorHAnsi"/>
          <w:sz w:val="22"/>
          <w:szCs w:val="22"/>
        </w:rPr>
        <w:fldChar w:fldCharType="end"/>
      </w:r>
      <w:r w:rsidRPr="00B1522E">
        <w:rPr>
          <w:rFonts w:cstheme="minorHAnsi"/>
          <w:sz w:val="22"/>
          <w:szCs w:val="22"/>
        </w:rPr>
        <w:t xml:space="preserve">. However, </w:t>
      </w:r>
      <w:r w:rsidRPr="00B1522E">
        <w:rPr>
          <w:rFonts w:cstheme="minorHAnsi"/>
          <w:sz w:val="22"/>
          <w:szCs w:val="22"/>
        </w:rPr>
        <w:fldChar w:fldCharType="begin" w:fldLock="1"/>
      </w:r>
      <w:r w:rsidR="005776BC" w:rsidRPr="00B1522E">
        <w:rPr>
          <w:rFonts w:cstheme="minorHAnsi"/>
          <w:sz w:val="22"/>
          <w:szCs w:val="22"/>
        </w:rPr>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Perkins et al. (2010)</w:t>
      </w:r>
      <w:r w:rsidRPr="00B1522E">
        <w:rPr>
          <w:rFonts w:cstheme="minorHAnsi"/>
          <w:sz w:val="22"/>
          <w:szCs w:val="22"/>
        </w:rPr>
        <w:fldChar w:fldCharType="end"/>
      </w:r>
      <w:r w:rsidRPr="00B1522E">
        <w:rPr>
          <w:rFonts w:cstheme="minorHAnsi"/>
          <w:sz w:val="22"/>
          <w:szCs w:val="22"/>
        </w:rPr>
        <w:t xml:space="preserve"> propose that these types of interventions do not consider individual or small-group-level norms (e.g. a single year group) which may differ. Also it can be difficult to ascertain whether or not individuals have engaged with the interventional messages (e.g. by not viewing the messages or engaging with the content) which could affect the intended outcome </w:t>
      </w:r>
      <w:r w:rsidRPr="00B1522E">
        <w:rPr>
          <w:rFonts w:cstheme="minorHAnsi"/>
          <w:sz w:val="22"/>
          <w:szCs w:val="22"/>
        </w:rPr>
        <w:fldChar w:fldCharType="begin" w:fldLock="1"/>
      </w:r>
      <w:r w:rsidR="005776BC" w:rsidRPr="00B1522E">
        <w:rPr>
          <w:rFonts w:cstheme="minorHAnsi"/>
          <w:sz w:val="22"/>
          <w:szCs w:val="22"/>
        </w:rPr>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(Perkins et al., 2010)</w:t>
      </w:r>
      <w:r w:rsidRPr="00B1522E">
        <w:rPr>
          <w:rFonts w:cstheme="minorHAnsi"/>
          <w:sz w:val="22"/>
          <w:szCs w:val="22"/>
        </w:rPr>
        <w:fldChar w:fldCharType="end"/>
      </w:r>
      <w:r w:rsidRPr="00B1522E">
        <w:rPr>
          <w:rFonts w:cstheme="minorHAnsi"/>
          <w:sz w:val="22"/>
          <w:szCs w:val="22"/>
        </w:rPr>
        <w:t xml:space="preserve">. Some studies have reported the use of other methods to deliver social norms feedback as part of campaigns, as a way to increase engagement with interventional messages e.g. interactive workshops </w:t>
      </w:r>
      <w:r w:rsidRPr="00B1522E">
        <w:rPr>
          <w:rFonts w:cstheme="minorHAnsi"/>
          <w:sz w:val="22"/>
          <w:szCs w:val="22"/>
        </w:rPr>
        <w:fldChar w:fldCharType="begin" w:fldLock="1"/>
      </w:r>
      <w:r w:rsidR="00D046DC" w:rsidRPr="00B1522E">
        <w:rPr>
          <w:rFonts w:cstheme="minorHAnsi"/>
          <w:sz w:val="22"/>
          <w:szCs w:val="22"/>
        </w:rPr>
        <w:instrText>ADDIN CSL_CITATION {"citationItems":[{"id":"ITEM-1","itemData":{"ISSN":"0968-7637","author":[{"dropping-particle":"","family":"Bewick","given":"B M","non-dropping-particle":"","parse-names":false,"suffix":""},{"dropping-particle":"","family":"Bell","given":"D","non-dropping-particle":"","parse-names":false,"suffix":""},{"dropping-particle":"","family":"Crosby","given":"S","non-dropping-particle":"","parse-names":false,"suffix":""},{"dropping-particle":"","family":"Edlin","given":"B","non-dropping-particle":"","parse-names":false,"suffix":""},{"dropping-particle":"","family":"Keenan","given":"S","non-dropping-particle":"","parse-names":false,"suffix":""},{"dropping-particle":"","family":"Marshall","given":"K","non-dropping-particle":"","parse-names":false,"suffix":""},{"dropping-particle":"","family":"Savva","given":"G","non-dropping-particle":"","parse-names":false,"suffix":""}],"container-title":"Drugs: education, prevention and policy","id":"ITEM-1","issue":"4","issued":{"date-parts":[["2013"]]},"page":"322-330","publisher":"Taylor &amp; Francis","title":"Promoting improvements in public health: Using a Social Norms Approach to reduce use of alcohol, tobacco and other drugs","type":"article-journal","volume":"20"},"uris":["http://www.mendeley.com/documents/?uuid=c8869a1f-f38e-4360-95c3-21e7a4587b4c"]},{"id":"ITEM-2","itemData":{"ISSN":"078796459X","author":[{"dropping-particle":"","family":"Far","given":"Jeanne M","non-dropping-particle":"","parse-names":false,"suffix":""},{"dropping-particle":"","family":"Miller","given":"John A","non-dropping-particle":"","parse-names":false,"suffix":""}],"container-title":"In H. W. Perkins (Ed.),The social norms approach to preventing school and college age substance abuse: A handbook for educators, counselors, and clinicians","id":"ITEM-2","issued":{"date-parts":[["2003"]]},"page":"111-132","publisher":"Jossey-Bass/Wiley","title":"The Small Groups Norms-Challenging Model: Social norms interventions with targeted high-risk groups.","type":"chapter"},"uris":["http://www.mendeley.com/documents/?uuid=885516fd-41b3-4dd0-b0ac-fb61b261d4c2"]}],"mendeley":{"formattedCitation":"(Bewick et al., 2013; Far &amp; Miller, 2003)","manualFormatting":"(Bewick et al., 2013; Far &amp; Miller, 2003)","plainTextFormattedCitation":"(Bewick et al., 2013; Far &amp; Miller, 2003)","previouslyFormattedCitation":"(Bewick et al., 2013; Far &amp; Miller, 2003)"},"properties":{"noteIndex":0},"schema":"https://github.com/citation-style-language/schema/raw/master/csl-citation.json"}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(Bewick et al., 2013; Far &amp; Miller, 2003)</w:t>
      </w:r>
      <w:r w:rsidRPr="00B1522E">
        <w:rPr>
          <w:rFonts w:cstheme="minorHAnsi"/>
          <w:sz w:val="22"/>
          <w:szCs w:val="22"/>
        </w:rPr>
        <w:fldChar w:fldCharType="end"/>
      </w:r>
      <w:r w:rsidRPr="00B1522E">
        <w:rPr>
          <w:rFonts w:cstheme="minorHAnsi"/>
          <w:sz w:val="22"/>
          <w:szCs w:val="22"/>
        </w:rPr>
        <w:t xml:space="preserve"> and delivering messages via peer-educators </w:t>
      </w:r>
      <w:r w:rsidRPr="00B1522E">
        <w:rPr>
          <w:rFonts w:cstheme="minorHAnsi"/>
          <w:sz w:val="22"/>
          <w:szCs w:val="22"/>
        </w:rPr>
        <w:fldChar w:fldCharType="begin" w:fldLock="1"/>
      </w:r>
      <w:r w:rsidR="004A684E" w:rsidRPr="00B1522E">
        <w:rPr>
          <w:rFonts w:cstheme="minorHAnsi"/>
          <w:sz w:val="22"/>
          <w:szCs w:val="22"/>
        </w:rPr>
        <w:instrText>ADDIN CSL_CITATION {"citationItems":[{"id":"ITEM-1","itemData":{"ISSN":"0096-882X (Print)","PMID":"17061005","abstract":"OBJECTIVE: This study examines the impact of a social norms intervention to reduce alcohol misuse among student-athletes. The intervention was designed to reduce harmful misperceptions of peer norms and, in turn, reduce personal risk. METHOD: A comprehensive set of interventions communicating accurate local norms regarding alcohol use targeted student-athletes at an undergraduate college. An anonymous survey of all student-athletes was conducted annually for 3 years (2001: n = 414, 86% response; 2002: n = 373, 85% response; and 2003: n = 353, 79% response). A pre/post comparison of student-athletes was conducted separately for new and ongoing athletes at each time point to isolate any general time period effects from intervention effects. A cross-sectional analysis of student-athletes with varying degrees of program exposure was also performed. RESULTS: The intervention substantially reduced misperceptions of frequent alcohol consumption and high-quantity social drinking as the norm among student-athlete peers. During this same time period, frequent personal consumption, high-quantity consumption, high estimated peak blood alcohol concentrations during social drinking, and negative consequences all declined by 30% or more among ongoing student-athletes after program exposure. In contrast, no significant differences across time were seen for new student-athletes each year with low program exposure. Among student-athletes with the highest level of program exposure, indications of personal misuse were at least 50% less likely on each measure when compared with student-athletes with the lowest level of program exposure. CONCLUSIONS: This social norms intervention was highly effective in reducing alcohol misuse in this high-risk collegiate subpopulation by intensively delivering data-based messages about actual peer norms through multiple communication venues.","author":[{"dropping-particle":"","family":"Perkins","given":"H. W","non-dropping-particle":"","parse-names":false,"suffix":""},{"dropping-particle":"","family":"Craig","given":"D. W","non-dropping-particle":"","parse-names":false,"suffix":""}],"container-title":"Journal of studies on alcohol","id":"ITEM-1","issue":"6","issued":{"date-parts":[["2006","11"]]},"language":"eng","page":"880-889","publisher-place":"United States","title":"A successful social norms campaign to reduce alcohol misuse among college student-athletes.","type":"article-journal","volume":"67"},"uris":["http://www.mendeley.com/documents/?uuid=2396bc2f-45f4-40b2-8d32-196378d6d251"]}],"mendeley":{"formattedCitation":"(H. W Perkins &amp; Craig, 2006)","manualFormatting":"(Perkins &amp; Craig, 2006)","plainTextFormattedCitation":"(H. W Perkins &amp; Craig, 2006)","previouslyFormattedCitation":"(H. W Perkins &amp; Craig, 2006)"},"properties":{"noteIndex":0},"schema":"https://github.com/citation-style-language/schema/raw/master/csl-citation.json"}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(Perkins &amp; Craig, 2006)</w:t>
      </w:r>
      <w:r w:rsidRPr="00B1522E">
        <w:rPr>
          <w:rFonts w:cstheme="minorHAnsi"/>
          <w:sz w:val="22"/>
          <w:szCs w:val="22"/>
        </w:rPr>
        <w:fldChar w:fldCharType="end"/>
      </w:r>
      <w:r w:rsidRPr="00B1522E">
        <w:rPr>
          <w:rFonts w:cstheme="minorHAnsi"/>
          <w:sz w:val="22"/>
          <w:szCs w:val="22"/>
        </w:rPr>
        <w:t xml:space="preserve">. This may prompt self-evaluations of current perceptions in relation to the presented norm </w:t>
      </w:r>
      <w:r w:rsidRPr="00B1522E">
        <w:rPr>
          <w:rFonts w:cstheme="minorHAnsi"/>
          <w:sz w:val="22"/>
          <w:szCs w:val="22"/>
        </w:rPr>
        <w:fldChar w:fldCharType="begin" w:fldLock="1"/>
      </w:r>
      <w:r w:rsidRPr="00B1522E">
        <w:rPr>
          <w:rFonts w:cstheme="minorHAnsi"/>
          <w:sz w:val="22"/>
          <w:szCs w:val="22"/>
        </w:rPr>
        <w:instrText>ADDIN CSL_CITATION {"citationItems":[{"id":"ITEM-1","itemData":{"ISSN":"0096-882X","author":[{"dropping-particle":"","family":"Borsari","given":"Brian","non-dropping-particle":"","parse-names":false,"suffix":""},{"dropping-particle":"","family":"Carey","given":"Kate B","non-dropping-particle":"","parse-names":false,"suffix":""}],"container-title":"Journal of studies on alcohol","id":"ITEM-1","issue":"3","issued":{"date-parts":[["2003"]]},"page":"331-341","publisher":"Rutgers University Piscataway, NJ","title":"Descriptive and injunctive norms in college drinking: a meta-analytic integration.","type":"article-journal","volume":"64"},"uris":["http://www.mendeley.com/documents/?uuid=7d12abf3-7ac4-4407-9c71-f6c8724fec7e"]}],"mendeley":{"formattedCitation":"(Borsari &amp; Carey, 2003)","plainTextFormattedCitation":"(Borsari &amp; Carey, 2003)","previouslyFormattedCitation":"(Borsari &amp; Carey, 2003)"},"properties":{"noteIndex":0},"schema":"https://github.com/citation-style-language/schema/raw/master/csl-citation.json"}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(Borsari &amp; Carey, 2003)</w:t>
      </w:r>
      <w:r w:rsidRPr="00B1522E">
        <w:rPr>
          <w:rFonts w:cstheme="minorHAnsi"/>
          <w:sz w:val="22"/>
          <w:szCs w:val="22"/>
        </w:rPr>
        <w:fldChar w:fldCharType="end"/>
      </w:r>
      <w:r w:rsidRPr="00B1522E">
        <w:rPr>
          <w:rFonts w:cstheme="minorHAnsi"/>
          <w:sz w:val="22"/>
          <w:szCs w:val="22"/>
        </w:rPr>
        <w:t xml:space="preserve">, increase the credibility of the normative information being communicated </w:t>
      </w:r>
      <w:r w:rsidRPr="00B1522E">
        <w:rPr>
          <w:rFonts w:cstheme="minorHAnsi"/>
          <w:sz w:val="22"/>
          <w:szCs w:val="22"/>
        </w:rPr>
        <w:fldChar w:fldCharType="begin" w:fldLock="1"/>
      </w:r>
      <w:r w:rsidR="00D046DC" w:rsidRPr="00B1522E">
        <w:rPr>
          <w:rFonts w:cstheme="minorHAnsi"/>
          <w:sz w:val="22"/>
          <w:szCs w:val="22"/>
        </w:rPr>
        <w:instrText>ADDIN CSL_CITATION {"citationItems":[{"id":"ITEM-1","itemData":{"ISSN":"078796459X","author":[{"dropping-particle":"","family":"Far","given":"Jeanne M","non-dropping-particle":"","parse-names":false,"suffix":""},{"dropping-particle":"","family":"Miller","given":"John A","non-dropping-particle":"","parse-names":false,"suffix":""}],"container-title":"In H. W. Perkins (Ed.),The social norms approach to preventing school and college age substance abuse: A handbook for educators, counselors, and clinicians","id":"ITEM-1","issued":{"date-parts":[["2003"]]},"page":"111-132","publisher":"Jossey-Bass/Wiley","title":"The Small Groups Norms-Challenging Model: Social norms interventions with targeted high-risk groups.","type":"chapter"},"uris":["http://www.mendeley.com/documents/?uuid=885516fd-41b3-4dd0-b0ac-fb61b261d4c2"]}],"mendeley":{"formattedCitation":"(Far &amp; Miller, 2003)","plainTextFormattedCitation":"(Far &amp; Miller, 2003)","previouslyFormattedCitation":"(Far &amp; Miller, 2003)"},"properties":{"noteIndex":0},"schema":"https://github.com/citation-style-language/schema/raw/master/csl-citation.json"}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(Far &amp; Miller, 2003)</w:t>
      </w:r>
      <w:r w:rsidRPr="00B1522E">
        <w:rPr>
          <w:rFonts w:cstheme="minorHAnsi"/>
          <w:sz w:val="22"/>
          <w:szCs w:val="22"/>
        </w:rPr>
        <w:fldChar w:fldCharType="end"/>
      </w:r>
      <w:r w:rsidRPr="00B1522E">
        <w:rPr>
          <w:rFonts w:cstheme="minorHAnsi"/>
          <w:sz w:val="22"/>
          <w:szCs w:val="22"/>
        </w:rPr>
        <w:t xml:space="preserve">, and help with processing and comprehension of intervention content </w:t>
      </w:r>
      <w:r w:rsidRPr="00B1522E">
        <w:rPr>
          <w:rFonts w:cstheme="minorHAnsi"/>
          <w:sz w:val="22"/>
          <w:szCs w:val="22"/>
        </w:rPr>
        <w:fldChar w:fldCharType="begin" w:fldLock="1"/>
      </w:r>
      <w:r w:rsidRPr="00B1522E">
        <w:rPr>
          <w:rFonts w:cstheme="minorHAnsi"/>
          <w:sz w:val="22"/>
          <w:szCs w:val="22"/>
        </w:rPr>
        <w:instrText>ADDIN CSL_CITATION {"citationItems":[{"id":"ITEM-1","itemData":{"ISSN":"0066-4308","author":[{"dropping-particle":"","family":"Miller","given":"Dale","non-dropping-particle":"","parse-names":false,"suffix":""},{"dropping-particle":"","family":"Prentice","given":"Deborah","non-dropping-particle":"","parse-names":false,"suffix":""}],"container-title":"Annual Review of Psychology","id":"ITEM-1","issued":{"date-parts":[["2016"]]},"page":"339-361","title":"Changing Norms to Change Behavior","type":"article-journal","volume":"67"},"uris":["http://www.mendeley.com/documents/?uuid=3a70b626-681f-48d0-961b-4d01ef5c7dc6"]}],"mendeley":{"formattedCitation":"(Miller &amp; Prentice, 2016)","plainTextFormattedCitation":"(Miller &amp; Prentice, 2016)","previouslyFormattedCitation":"(Miller &amp; Prentice, 2016)"},"properties":{"noteIndex":0},"schema":"https://github.com/citation-style-language/schema/raw/master/csl-citation.json"}</w:instrText>
      </w:r>
      <w:r w:rsidRPr="00B1522E">
        <w:rPr>
          <w:rFonts w:cstheme="minorHAnsi"/>
          <w:sz w:val="22"/>
          <w:szCs w:val="22"/>
        </w:rPr>
        <w:fldChar w:fldCharType="separate"/>
      </w:r>
      <w:r w:rsidRPr="00B1522E">
        <w:rPr>
          <w:rFonts w:cstheme="minorHAnsi"/>
          <w:noProof/>
          <w:sz w:val="22"/>
          <w:szCs w:val="22"/>
        </w:rPr>
        <w:t>(Miller &amp; Prentice, 2016)</w:t>
      </w:r>
      <w:r w:rsidRPr="00B1522E">
        <w:rPr>
          <w:rFonts w:cstheme="minorHAnsi"/>
          <w:sz w:val="22"/>
          <w:szCs w:val="22"/>
        </w:rPr>
        <w:fldChar w:fldCharType="end"/>
      </w:r>
      <w:r w:rsidRPr="00B1522E">
        <w:rPr>
          <w:rFonts w:cstheme="minorHAnsi"/>
          <w:sz w:val="22"/>
          <w:szCs w:val="22"/>
        </w:rPr>
        <w:t xml:space="preserve">. </w:t>
      </w:r>
    </w:p>
    <w:p w14:paraId="5600D6BB" w14:textId="4A703BE4" w:rsidR="00E0511D" w:rsidRPr="00B1522E" w:rsidRDefault="00E0511D" w:rsidP="00A1584F">
      <w:pPr>
        <w:spacing w:line="480" w:lineRule="auto"/>
        <w:ind w:firstLine="720"/>
        <w:jc w:val="both"/>
      </w:pPr>
      <w:r w:rsidRPr="00B1522E">
        <w:rPr>
          <w:rFonts w:cstheme="minorHAnsi"/>
        </w:rPr>
        <w:t xml:space="preserve">The development in digital technology has seen </w:t>
      </w:r>
      <w:r w:rsidR="00E42F87" w:rsidRPr="00B1522E">
        <w:rPr>
          <w:rFonts w:cstheme="minorHAnsi"/>
        </w:rPr>
        <w:t xml:space="preserve">SNA </w:t>
      </w:r>
      <w:r w:rsidRPr="00B1522E">
        <w:rPr>
          <w:rFonts w:cstheme="minorHAnsi"/>
        </w:rPr>
        <w:t>interventions</w:t>
      </w:r>
      <w:r w:rsidR="00D256D9" w:rsidRPr="00B1522E">
        <w:rPr>
          <w:rFonts w:cstheme="minorHAnsi"/>
        </w:rPr>
        <w:t xml:space="preserve"> increasingly</w:t>
      </w:r>
      <w:r w:rsidRPr="00B1522E">
        <w:rPr>
          <w:rFonts w:cstheme="minorHAnsi"/>
        </w:rPr>
        <w:t xml:space="preserve"> disseminat</w:t>
      </w:r>
      <w:r w:rsidR="00E42F87" w:rsidRPr="00B1522E">
        <w:rPr>
          <w:rFonts w:cstheme="minorHAnsi"/>
        </w:rPr>
        <w:t>ing feedback</w:t>
      </w:r>
      <w:r w:rsidRPr="00B1522E">
        <w:rPr>
          <w:rFonts w:cstheme="minorHAnsi"/>
        </w:rPr>
        <w:t xml:space="preserve"> through computerised methods, e.g. emails and screensavers </w:t>
      </w:r>
      <w:r w:rsidRPr="00B1522E">
        <w:rPr>
          <w:rFonts w:cstheme="minorHAnsi"/>
        </w:rPr>
        <w:fldChar w:fldCharType="begin" w:fldLock="1"/>
      </w:r>
      <w:r w:rsidR="004A684E" w:rsidRPr="00B1522E">
        <w:rPr>
          <w:rFonts w:cstheme="minorHAnsi"/>
        </w:rPr>
        <w:instrText>ADDIN CSL_CITATION {"citationItems":[{"id":"ITEM-1","itemData":{"ISSN":"0096-882X (Print)","PMID":"17061005","abstract":"OBJECTIVE: This study examines the impact of a social norms intervention to reduce alcohol misuse among student-athletes. The intervention was designed to reduce harmful misperceptions of peer norms and, in turn, reduce personal risk. METHOD: A comprehensive set of interventions communicating accurate local norms regarding alcohol use targeted student-athletes at an undergraduate college. An anonymous survey of all student-athletes was conducted annually for 3 years (2001: n = 414, 86% response; 2002: n = 373, 85% response; and 2003: n = 353, 79% response). A pre/post comparison of student-athletes was conducted separately for new and ongoing athletes at each time point to isolate any general time period effects from intervention effects. A cross-sectional analysis of student-athletes with varying degrees of program exposure was also performed. RESULTS: The intervention substantially reduced misperceptions of frequent alcohol consumption and high-quantity social drinking as the norm among student-athlete peers. During this same time period, frequent personal consumption, high-quantity consumption, high estimated peak blood alcohol concentrations during social drinking, and negative consequences all declined by 30% or more among ongoing student-athletes after program exposure. In contrast, no significant differences across time were seen for new student-athletes each year with low program exposure. Among student-athletes with the highest level of program exposure, indications of personal misuse were at least 50% less likely on each measure when compared with student-athletes with the lowest level of program exposure. CONCLUSIONS: This social norms intervention was highly effective in reducing alcohol misuse in this high-risk collegiate subpopulation by intensively delivering data-based messages about actual peer norms through multiple communication venues.","author":[{"dropping-particle":"","family":"Perkins","given":"H. W","non-dropping-particle":"","parse-names":false,"suffix":""},{"dropping-particle":"","family":"Craig","given":"D. W","non-dropping-particle":"","parse-names":false,"suffix":""}],"container-title":"Journal of studies on alcohol","id":"ITEM-1","issue":"6","issued":{"date-parts":[["2006","11"]]},"language":"eng","page":"880-889","publisher-place":"United States","title":"A successful social norms campaign to reduce alcohol misuse among college student-athletes.","type":"article-journal","volume":"67"},"uris":["http://www.mendeley.com/documents/?uuid=2396bc2f-45f4-40b2-8d32-196378d6d251"]}],"mendeley":{"formattedCitation":"(H. W Perkins &amp; Craig, 2006)","manualFormatting":"(Perkins &amp; Craig, 2006)","plainTextFormattedCitation":"(H. W Perkins &amp; Craig, 2006)","previouslyFormattedCitation":"(H. W Perkins &amp; Craig, 2006)"},"properties":{"noteIndex":0},"schema":"https://github.com/citation-style-language/schema/raw/master/csl-citation.json"}</w:instrText>
      </w:r>
      <w:r w:rsidRPr="00B1522E">
        <w:rPr>
          <w:rFonts w:cstheme="minorHAnsi"/>
        </w:rPr>
        <w:fldChar w:fldCharType="separate"/>
      </w:r>
      <w:r w:rsidRPr="00B1522E">
        <w:rPr>
          <w:rFonts w:cstheme="minorHAnsi"/>
          <w:noProof/>
        </w:rPr>
        <w:t>(Perkins &amp; Craig, 2006)</w:t>
      </w:r>
      <w:r w:rsidRPr="00B1522E">
        <w:rPr>
          <w:rFonts w:cstheme="minorHAnsi"/>
        </w:rPr>
        <w:fldChar w:fldCharType="end"/>
      </w:r>
      <w:r w:rsidRPr="00B1522E">
        <w:rPr>
          <w:rFonts w:cstheme="minorHAnsi"/>
        </w:rPr>
        <w:t xml:space="preserve">, and the use of personalised computer feedback </w:t>
      </w:r>
      <w:r w:rsidRPr="00B1522E">
        <w:rPr>
          <w:rFonts w:cstheme="minorHAnsi"/>
        </w:rPr>
        <w:fldChar w:fldCharType="begin" w:fldLock="1"/>
      </w:r>
      <w:r w:rsidRPr="00B1522E">
        <w:rPr>
          <w:rFonts w:cstheme="minorHAnsi"/>
        </w:rPr>
        <w:instrText>ADDIN CSL_CITATION {"citationItems":[{"id":"ITEM-1","itemData":{"ISSN":"1368-4302","author":[{"dropping-particle":"","family":"Neighbors","given":"Clayton","non-dropping-particle":"","parse-names":false,"suffix":""},{"dropping-particle":"","family":"Jensen","given":"Megan","non-dropping-particle":"","parse-names":false,"suffix":""},{"dropping-particle":"","family":"Tidwell","given":"Judy","non-dropping-particle":"","parse-names":false,"suffix":""},{"dropping-particle":"","family":"Walter","given":"Theresa","non-dropping-particle":"","parse-names":false,"suffix":""},{"dropping-particle":"","family":"Fossos","given":"Nicole","non-dropping-particle":"","parse-names":false,"suffix":""},{"dropping-particle":"","family":"Lewis","given":"Melissa A","non-dropping-particle":"","parse-names":false,"suffix":""}],"container-title":"Group Processes &amp; Intergroup Relations","id":"ITEM-1","issue":"5","issued":{"date-parts":[["2011"]]},"page":"651-669","publisher":"Sage Publications Sage UK: London, England","title":"Social-norms interventions for light and nondrinking students","type":"article-journal","volume":"14"},"uris":["http://www.mendeley.com/documents/?uuid=a3c78c1c-7b7f-49b8-abde-ee58a91d07df"]}],"mendeley":{"formattedCitation":"(Neighbors et al., 2011)","plainTextFormattedCitation":"(Neighbors et al., 2011)","previouslyFormattedCitation":"(Neighbors et al., 2011)"},"properties":{"noteIndex":0},"schema":"https://github.com/citation-style-language/schema/raw/master/csl-citation.json"}</w:instrText>
      </w:r>
      <w:r w:rsidRPr="00B1522E">
        <w:rPr>
          <w:rFonts w:cstheme="minorHAnsi"/>
        </w:rPr>
        <w:fldChar w:fldCharType="separate"/>
      </w:r>
      <w:r w:rsidRPr="00B1522E">
        <w:rPr>
          <w:rFonts w:cstheme="minorHAnsi"/>
          <w:noProof/>
        </w:rPr>
        <w:t>(Neighbors et al., 2011)</w:t>
      </w:r>
      <w:r w:rsidRPr="00B1522E">
        <w:rPr>
          <w:rFonts w:cstheme="minorHAnsi"/>
        </w:rPr>
        <w:fldChar w:fldCharType="end"/>
      </w:r>
      <w:r w:rsidRPr="00B1522E">
        <w:rPr>
          <w:rFonts w:cstheme="minorHAnsi"/>
        </w:rPr>
        <w:t xml:space="preserve">. Personalised normative feedback (PNF) interventions usually target smaller populations (e.g. individuals or one student year group) and tailor the interventional messages to the individual’s misperceptions, with an individual’s misperceptions being directly compared to the actual norm </w:t>
      </w:r>
      <w:r w:rsidRPr="00B1522E">
        <w:rPr>
          <w:rFonts w:cstheme="minorHAnsi"/>
        </w:rPr>
        <w:fldChar w:fldCharType="begin" w:fldLock="1"/>
      </w:r>
      <w:r w:rsidR="004A684E" w:rsidRPr="00B1522E">
        <w:rPr>
          <w:rFonts w:cstheme="minorHAnsi"/>
        </w:rPr>
        <w:instrText>ADDIN CSL_CITATION {"citationItems":[{"id":"ITEM-1","itemData":{"ISSN":"0363-468X","author":[{"dropping-particle":"","family":"Perkins","given":"H W","non-dropping-particle":"","parse-names":false,"suffix":""}],"container-title":"Journal of Studies on Alcohol, supplement","id":"ITEM-1","issue":"14","issued":{"date-parts":[["2002"]]},"page":"164-172","publisher":"Rutgers University Piscataway, NJ","title":"Social norms and the prevention of alcohol misuse in collegiate contexts.","type":"article-journal"},"uris":["http://www.mendeley.com/documents/?uuid=ae99c930-73ae-4df8-801e-d5eaca2c438c"]},{"id":"ITEM-2","itemData":{"ISSN":"1368-4302","author":[{"dropping-particle":"","family":"Neighbors","given":"Clayton","non-dropping-particle":"","parse-names":false,"suffix":""},{"dropping-particle":"","family":"Jensen","given":"Megan","non-dropping-particle":"","parse-names":false,"suffix":""},{"dropping-particle":"","family":"Tidwell","given":"Judy","non-dropping-particle":"","parse-names":false,"suffix":""},{"dropping-particle":"","family":"Walter","given":"Theresa","non-dropping-particle":"","parse-names":false,"suffix":""},{"dropping-particle":"","family":"Fossos","given":"Nicole","non-dropping-particle":"","parse-names":false,"suffix":""},{"dropping-particle":"","family":"Lewis","given":"Melissa A","non-dropping-particle":"","parse-names":false,"suffix":""}],"container-title":"Group Processes &amp; Intergroup Relations","id":"ITEM-2","issue":"5","issued":{"date-parts":[["2011"]]},"page":"651-669","publisher":"Sage Publications Sage UK: London, England","title":"Social-norms interventions for light and nondrinking students","type":"article-journal","volume":"14"},"uris":["http://www.mendeley.com/documents/?uuid=a3c78c1c-7b7f-49b8-abde-ee58a91d07df"]}],"mendeley":{"formattedCitation":"(Neighbors et al., 2011; H W Perkins, 2002)","manualFormatting":"(Neighbors et al., 2011; Perkins, 2002)","plainTextFormattedCitation":"(Neighbors et al., 2011; H W Perkins, 2002)","previouslyFormattedCitation":"(Neighbors et al., 2011; H W Perkins, 2002)"},"properties":{"noteIndex":0},"schema":"https://github.com/citation-style-language/schema/raw/master/csl-citation.json"}</w:instrText>
      </w:r>
      <w:r w:rsidRPr="00B1522E">
        <w:rPr>
          <w:rFonts w:cstheme="minorHAnsi"/>
        </w:rPr>
        <w:fldChar w:fldCharType="separate"/>
      </w:r>
      <w:r w:rsidRPr="00B1522E">
        <w:rPr>
          <w:rFonts w:cstheme="minorHAnsi"/>
          <w:noProof/>
        </w:rPr>
        <w:t>(Neighbors et al., 2011; Perkins, 2002)</w:t>
      </w:r>
      <w:r w:rsidRPr="00B1522E">
        <w:rPr>
          <w:rFonts w:cstheme="minorHAnsi"/>
        </w:rPr>
        <w:fldChar w:fldCharType="end"/>
      </w:r>
      <w:r w:rsidRPr="00B1522E">
        <w:rPr>
          <w:rFonts w:cstheme="minorHAnsi"/>
        </w:rPr>
        <w:t xml:space="preserve">. </w:t>
      </w:r>
      <w:r w:rsidRPr="00B1522E">
        <w:rPr>
          <w:rFonts w:cstheme="minorHAnsi"/>
        </w:rPr>
        <w:fldChar w:fldCharType="begin" w:fldLock="1"/>
      </w:r>
      <w:r w:rsidRPr="00B1522E">
        <w:rPr>
          <w:rFonts w:cstheme="minorHAnsi"/>
        </w:rPr>
        <w:instrText>ADDIN CSL_CITATION {"citationItems":[{"id":"ITEM-1","itemData":{"ISSN":"1368-4302","author":[{"dropping-particle":"","family":"Neighbors","given":"Clayton","non-dropping-particle":"","parse-names":false,"suffix":""},{"dropping-particle":"","family":"Jensen","given":"Megan","non-dropping-particle":"","parse-names":false,"suffix":""},{"dropping-particle":"","family":"Tidwell","given":"Judy","non-dropping-particle":"","parse-names":false,"suffix":""},{"dropping-particle":"","family":"Walter","given":"Theresa","non-dropping-particle":"","parse-names":false,"suffix":""},{"dropping-particle":"","family":"Fossos","given":"Nicole","non-dropping-particle":"","parse-names":false,"suffix":""},{"dropping-particle":"","family":"Lewis","given":"Melissa A","non-dropping-particle":"","parse-names":false,"suffix":""}],"container-title":"Group Processes &amp; Intergroup Relations","id":"ITEM-1","issue":"5","issued":{"date-parts":[["2011"]]},"page":"651-669","publisher":"Sage Publications Sage UK: London, England","title":"Social-norms interventions for light and nondrinking students","type":"article-journal","volume":"14"},"uris":["http://www.mendeley.com/documents/?uuid=a3c78c1c-7b7f-49b8-abde-ee58a91d07df"]}],"mendeley":{"formattedCitation":"(Neighbors et al., 2011)","manualFormatting":"Neighbors et al. (2011)","plainTextFormattedCitation":"(Neighbors et al., 2011)","previouslyFormattedCitation":"(Neighbors et al., 2011)"},"properties":{"noteIndex":0},"schema":"https://github.com/citation-style-language/schema/raw/master/csl-citation.json"}</w:instrText>
      </w:r>
      <w:r w:rsidRPr="00B1522E">
        <w:rPr>
          <w:rFonts w:cstheme="minorHAnsi"/>
        </w:rPr>
        <w:fldChar w:fldCharType="separate"/>
      </w:r>
      <w:r w:rsidRPr="00B1522E">
        <w:rPr>
          <w:rFonts w:cstheme="minorHAnsi"/>
          <w:noProof/>
        </w:rPr>
        <w:t>Neighbors et al. (2011)</w:t>
      </w:r>
      <w:r w:rsidRPr="00B1522E">
        <w:rPr>
          <w:rFonts w:cstheme="minorHAnsi"/>
        </w:rPr>
        <w:fldChar w:fldCharType="end"/>
      </w:r>
      <w:r w:rsidRPr="00B1522E">
        <w:rPr>
          <w:rFonts w:cstheme="minorHAnsi"/>
        </w:rPr>
        <w:t xml:space="preserve"> propose that the advantage of using PNF is being able to target specific population groups or subgroups, e.g. heavy drinkers </w:t>
      </w:r>
      <w:r w:rsidRPr="00B1522E">
        <w:rPr>
          <w:rFonts w:cstheme="minorHAnsi"/>
        </w:rPr>
        <w:fldChar w:fldCharType="begin" w:fldLock="1"/>
      </w:r>
      <w:r w:rsidR="00DF6CCC" w:rsidRPr="00B1522E">
        <w:rPr>
          <w:rFonts w:cstheme="minorHAnsi"/>
        </w:rPr>
        <w:instrText>ADDIN CSL_CITATION {"citationItems":[{"id":"ITEM-1","itemData":{"ISSN":"1939-2117","author":[{"dropping-particle":"","family":"Neighbors","given":"Clayton","non-dropping-particle":"","parse-names":false,"suffix":""},{"dropping-particle":"","family":"Larimer","given":"Mary E","non-dropping-particle":"","parse-names":false,"suffix":""},{"dropping-particle":"","family":"Lewis","given":"Melissa A","non-dropping-particle":"","parse-names":false,"suffix":""}],"container-title":"Journal of consulting and clinical psychology","id":"ITEM-1","issue":"3","issued":{"date-parts":[["2004"]]},"page":"434-447","publisher":"American Psychological Association","title":"Targeting misperceptions of descriptive drinking norms: efficacy of a computer-delivered personalized normative feedback intervention.","type":"article-journal","volume":"72"},"uris":["http://www.mendeley.com/documents/?uuid=9f2d84c6-72b5-44e3-bcdf-91cb75b2185e"]}],"mendeley":{"formattedCitation":"(Neighbors et al., 2004)","plainTextFormattedCitation":"(Neighbors et al., 2004)","previouslyFormattedCitation":"(Neighbors et al., 2004)"},"properties":{"noteIndex":0},"schema":"https://github.com/citation-style-language/schema/raw/master/csl-citation.json"}</w:instrText>
      </w:r>
      <w:r w:rsidRPr="00B1522E">
        <w:rPr>
          <w:rFonts w:cstheme="minorHAnsi"/>
        </w:rPr>
        <w:fldChar w:fldCharType="separate"/>
      </w:r>
      <w:r w:rsidR="004B7FAF" w:rsidRPr="00B1522E">
        <w:rPr>
          <w:rFonts w:cstheme="minorHAnsi"/>
          <w:noProof/>
        </w:rPr>
        <w:t>(Neighbors et al., 2004)</w:t>
      </w:r>
      <w:r w:rsidRPr="00B1522E">
        <w:rPr>
          <w:rFonts w:cstheme="minorHAnsi"/>
        </w:rPr>
        <w:fldChar w:fldCharType="end"/>
      </w:r>
      <w:r w:rsidRPr="00B1522E">
        <w:rPr>
          <w:rFonts w:cstheme="minorHAnsi"/>
        </w:rPr>
        <w:t xml:space="preserve"> and student athletes </w:t>
      </w:r>
      <w:r w:rsidRPr="00B1522E">
        <w:rPr>
          <w:rFonts w:cstheme="minorHAnsi"/>
        </w:rPr>
        <w:fldChar w:fldCharType="begin" w:fldLock="1"/>
      </w:r>
      <w:r w:rsidR="004A684E" w:rsidRPr="00B1522E">
        <w:rPr>
          <w:rFonts w:cstheme="minorHAnsi"/>
        </w:rPr>
        <w:instrText>ADDIN CSL_CITATION {"citationItems":[{"id":"ITEM-1","itemData":{"ISSN":"0096-882X (Print)","PMID":"17061005","abstract":"OBJECTIVE: This study examines the impact of a social norms intervention to reduce alcohol misuse among student-athletes. The intervention was designed to reduce harmful misperceptions of peer norms and, in turn, reduce personal risk. METHOD: A comprehensive set of interventions communicating accurate local norms regarding alcohol use targeted student-athletes at an undergraduate college. An anonymous survey of all student-athletes was conducted annually for 3 years (2001: n = 414, 86% response; 2002: n = 373, 85% response; and 2003: n = 353, 79% response). A pre/post comparison of student-athletes was conducted separately for new and ongoing athletes at each time point to isolate any general time period effects from intervention effects. A cross-sectional analysis of student-athletes with varying degrees of program exposure was also performed. RESULTS: The intervention substantially reduced misperceptions of frequent alcohol consumption and high-quantity social drinking as the norm among student-athlete peers. During this same time period, frequent personal consumption, high-quantity consumption, high estimated peak blood alcohol concentrations during social drinking, and negative consequences all declined by 30% or more among ongoing student-athletes after program exposure. In contrast, no significant differences across time were seen for new student-athletes each year with low program exposure. Among student-athletes with the highest level of program exposure, indications of personal misuse were at least 50% less likely on each measure when compared with student-athletes with the lowest level of program exposure. CONCLUSIONS: This social norms intervention was highly effective in reducing alcohol misuse in this high-risk collegiate subpopulation by intensively delivering data-based messages about actual peer norms through multiple communication venues.","author":[{"dropping-particle":"","family":"Perkins","given":"H. W","non-dropping-particle":"","parse-names":false,"suffix":""},{"dropping-particle":"","family":"Craig","given":"D. W","non-dropping-particle":"","parse-names":false,"suffix":""}],"container-title":"Journal of studies on alcohol","id":"ITEM-1","issue":"6","issued":{"date-parts":[["2006","11"]]},"language":"eng","page":"880-889","publisher-place":"United States","title":"A successful social norms campaign to reduce alcohol misuse among college student-athletes.","type":"article-journal","volume":"67"},"uris":["http://www.mendeley.com/documents/?uuid=2396bc2f-45f4-40b2-8d32-196378d6d251"]}],"mendeley":{"formattedCitation":"(H. W Perkins &amp; Craig, 2006)","manualFormatting":"(Perkins &amp; Craig, 2006)","plainTextFormattedCitation":"(H. W Perkins &amp; Craig, 2006)","previouslyFormattedCitation":"(H. W Perkins &amp; Craig, 2006)"},"properties":{"noteIndex":0},"schema":"https://github.com/citation-style-language/schema/raw/master/csl-citation.json"}</w:instrText>
      </w:r>
      <w:r w:rsidRPr="00B1522E">
        <w:rPr>
          <w:rFonts w:cstheme="minorHAnsi"/>
        </w:rPr>
        <w:fldChar w:fldCharType="separate"/>
      </w:r>
      <w:r w:rsidRPr="00B1522E">
        <w:rPr>
          <w:rFonts w:cstheme="minorHAnsi"/>
          <w:noProof/>
        </w:rPr>
        <w:t>(Perkins &amp; Craig, 2006)</w:t>
      </w:r>
      <w:r w:rsidRPr="00B1522E">
        <w:rPr>
          <w:rFonts w:cstheme="minorHAnsi"/>
        </w:rPr>
        <w:fldChar w:fldCharType="end"/>
      </w:r>
      <w:r w:rsidRPr="00B1522E">
        <w:rPr>
          <w:rFonts w:cstheme="minorHAnsi"/>
        </w:rPr>
        <w:t xml:space="preserve">. For example, a study by </w:t>
      </w:r>
      <w:r w:rsidRPr="00B1522E">
        <w:rPr>
          <w:rFonts w:cstheme="minorHAnsi"/>
        </w:rPr>
        <w:fldChar w:fldCharType="begin" w:fldLock="1"/>
      </w:r>
      <w:r w:rsidR="00660052" w:rsidRPr="00B1522E">
        <w:rPr>
          <w:rFonts w:cstheme="minorHAnsi"/>
        </w:rPr>
        <w:instrText>ADDIN CSL_CITATION {"citationItems":[{"id":"ITEM-1","itemData":{"ISSN":"1939-2117","author":[{"dropping-particle":"","family":"Neighbors","given":"Clayton","non-dropping-particle":"","parse-names":false,"suffix":""},{"dropping-particle":"","family":"Larimer","given":"Mary E","non-dropping-particle":"","parse-names":false,"suffix":""},{"dropping-particle":"","family":"Lewis","given":"Melissa A","non-dropping-particle":"","parse-names":false,"suffix":""}],"container-title":"Journal of consulting and clinical psychology","id":"ITEM-1","issue":"3","issued":{"date-parts":[["2004"]]},"page":"434-447","publisher":"American Psychological Association","title":"Targeting misperceptions of descriptive drinking norms: efficacy of a computer-delivered personalized normative feedback intervention.","type":"article-journal","volume":"72"},"uris":["http://www.mendeley.com/documents/?uuid=9f2d84c6-72b5-44e3-bcdf-91cb75b2185e"]}],"mendeley":{"formattedCitation":"(Neighbors et al., 2004)","manualFormatting":"Neighbors et al. (2004)","plainTextFormattedCitation":"(Neighbors et al., 2004)","previouslyFormattedCitation":"(Neighbors et al., 2004)"},"properties":{"noteIndex":0},"schema":"https://github.com/citation-style-language/schema/raw/master/csl-citation.json"}</w:instrText>
      </w:r>
      <w:r w:rsidRPr="00B1522E">
        <w:rPr>
          <w:rFonts w:cstheme="minorHAnsi"/>
        </w:rPr>
        <w:fldChar w:fldCharType="separate"/>
      </w:r>
      <w:r w:rsidRPr="00B1522E">
        <w:rPr>
          <w:rFonts w:cstheme="minorHAnsi"/>
          <w:noProof/>
        </w:rPr>
        <w:t>Neighbors et al. (2004)</w:t>
      </w:r>
      <w:r w:rsidRPr="00B1522E">
        <w:rPr>
          <w:rFonts w:cstheme="minorHAnsi"/>
        </w:rPr>
        <w:fldChar w:fldCharType="end"/>
      </w:r>
      <w:r w:rsidRPr="00B1522E">
        <w:rPr>
          <w:rFonts w:cstheme="minorHAnsi"/>
        </w:rPr>
        <w:t xml:space="preserve"> delivered computerised PNF messages (</w:t>
      </w:r>
      <w:r w:rsidR="006D5438" w:rsidRPr="00B1522E">
        <w:rPr>
          <w:rFonts w:cstheme="minorHAnsi"/>
        </w:rPr>
        <w:t xml:space="preserve">via </w:t>
      </w:r>
      <w:r w:rsidRPr="00B1522E">
        <w:rPr>
          <w:rFonts w:cstheme="minorHAnsi"/>
        </w:rPr>
        <w:t>on</w:t>
      </w:r>
      <w:r w:rsidR="006D5438" w:rsidRPr="00B1522E">
        <w:rPr>
          <w:rFonts w:cstheme="minorHAnsi"/>
        </w:rPr>
        <w:t>-</w:t>
      </w:r>
      <w:r w:rsidRPr="00B1522E">
        <w:rPr>
          <w:rFonts w:cstheme="minorHAnsi"/>
        </w:rPr>
        <w:t xml:space="preserve">screen messages) to university students who consume large quantities of alcohol; these messages outlined their own drinking behaviour, their current perceptions of peers’ drinking (descriptive norms), and how these differed to the actual norm. The intervention was successful at helping to change normative perceptions and reduce personal alcohol consumption. Nevertheless, it can still be unclear when delivering </w:t>
      </w:r>
      <w:r w:rsidRPr="00B1522E">
        <w:t xml:space="preserve">computerised SNA feedback whether individuals have fully </w:t>
      </w:r>
      <w:r w:rsidRPr="00B1522E">
        <w:lastRenderedPageBreak/>
        <w:t xml:space="preserve">attended to and engaged with the feedback as participants can navigate away from SNA feedback and/or be distracted by external stimuli </w:t>
      </w:r>
      <w:r w:rsidRPr="00B1522E">
        <w:fldChar w:fldCharType="begin" w:fldLock="1"/>
      </w:r>
      <w:r w:rsidR="00660052" w:rsidRPr="00B1522E">
        <w:instrText>ADDIN CSL_CITATION {"citationItems":[{"id":"ITEM-1","itemData":{"ISSN":"1939-2117","author":[{"dropping-particle":"","family":"Neighbors","given":"Clayton","non-dropping-particle":"","parse-names":false,"suffix":""},{"dropping-particle":"","family":"Lee","given":"Christine M","non-dropping-particle":"","parse-names":false,"suffix":""},{"dropping-particle":"","family":"Atkins","given":"David C","non-dropping-particle":"","parse-names":false,"suffix":""},{"dropping-particle":"","family":"Lewis","given":"Melissa A","non-dropping-particle":"","parse-names":false,"suffix":""},{"dropping-particle":"","family":"Kaysen","given":"Debra","non-dropping-particle":"","parse-names":false,"suffix":""},{"dropping-particle":"","family":"Mittmann","given":"Angela","non-dropping-particle":"","parse-names":false,"suffix":""},{"dropping-particle":"","family":"Fossos","given":"Nicole","non-dropping-particle":"","parse-names":false,"suffix":""},{"dropping-particle":"","family":"Geisner","given":"Irene M","non-dropping-particle":"","parse-names":false,"suffix":""},{"dropping-particle":"","family":"Zheng","given":"Cheng","non-dropping-particle":"","parse-names":false,"suffix":""},{"dropping-particle":"","family":"Larimer","given":"Mary E","non-dropping-particle":"","parse-names":false,"suffix":""}],"container-title":"Journal of consulting and clinical psychology","id":"ITEM-1","issue":"5","issued":{"date-parts":[["2012"]]},"page":"850-862","publisher":"American Psychological Association","title":"A randomized controlled trial of event-specific prevention strategies for reducing problematic drinking associated with 21st birthday celebrations.","type":"article-journal","volume":"80"},"uris":["http://www.mendeley.com/documents/?uuid=5d4d097e-a4c1-4931-aad7-974be00c81ec"]}],"mendeley":{"formattedCitation":"(Neighbors et al., 2012)","plainTextFormattedCitation":"(Neighbors et al., 2012)","previouslyFormattedCitation":"(Neighbors et al., 2012)"},"properties":{"noteIndex":0},"schema":"https://github.com/citation-style-language/schema/raw/master/csl-citation.json"}</w:instrText>
      </w:r>
      <w:r w:rsidRPr="00B1522E">
        <w:fldChar w:fldCharType="separate"/>
      </w:r>
      <w:r w:rsidRPr="00B1522E">
        <w:rPr>
          <w:noProof/>
        </w:rPr>
        <w:t>(Neighbors et al., 2012)</w:t>
      </w:r>
      <w:r w:rsidRPr="00B1522E">
        <w:fldChar w:fldCharType="end"/>
      </w:r>
      <w:r w:rsidRPr="00B1522E">
        <w:t xml:space="preserve">. </w:t>
      </w:r>
    </w:p>
    <w:p w14:paraId="16DA061E" w14:textId="77777777" w:rsidR="00795693" w:rsidRPr="00B1522E" w:rsidRDefault="00795693" w:rsidP="00795693">
      <w:pPr>
        <w:spacing w:line="480" w:lineRule="auto"/>
        <w:jc w:val="both"/>
        <w:rPr>
          <w:b/>
          <w:bCs/>
        </w:rPr>
      </w:pPr>
    </w:p>
    <w:p w14:paraId="45297009" w14:textId="130383A8" w:rsidR="00795693" w:rsidRPr="00B1522E" w:rsidRDefault="00AC74B4" w:rsidP="00795693">
      <w:pPr>
        <w:spacing w:line="480" w:lineRule="auto"/>
        <w:jc w:val="both"/>
        <w:rPr>
          <w:b/>
          <w:bCs/>
        </w:rPr>
      </w:pPr>
      <w:r w:rsidRPr="00B1522E">
        <w:fldChar w:fldCharType="begin"/>
      </w:r>
      <w:r w:rsidRPr="00B1522E">
        <w:instrText xml:space="preserve"> TC  "</w:instrText>
      </w:r>
      <w:bookmarkStart w:id="88" w:name="_Toc97310436"/>
      <w:r w:rsidRPr="00B1522E">
        <w:instrText>3.6 Different forms of ‘ social norm’ interventional studies</w:instrText>
      </w:r>
      <w:bookmarkEnd w:id="88"/>
      <w:r w:rsidRPr="00B1522E">
        <w:instrText xml:space="preserve"> " \f x\l 2 </w:instrText>
      </w:r>
      <w:r w:rsidRPr="00B1522E">
        <w:fldChar w:fldCharType="end"/>
      </w:r>
      <w:r w:rsidR="00795693" w:rsidRPr="00B1522E">
        <w:rPr>
          <w:b/>
          <w:bCs/>
        </w:rPr>
        <w:t xml:space="preserve">3.6 Different forms of ‘social norm’ interventional studies </w:t>
      </w:r>
    </w:p>
    <w:p w14:paraId="009267AF" w14:textId="52A56476" w:rsidR="006B6C88" w:rsidRPr="00B1522E" w:rsidRDefault="006B6C88" w:rsidP="006B6C88">
      <w:pPr>
        <w:spacing w:line="480" w:lineRule="auto"/>
        <w:jc w:val="both"/>
      </w:pPr>
      <w:r w:rsidRPr="00B1522E">
        <w:rPr>
          <w:rFonts w:cstheme="minorHAnsi"/>
        </w:rPr>
        <w:t xml:space="preserve">It is important to acknowledge that </w:t>
      </w:r>
      <w:r w:rsidRPr="00B1522E">
        <w:t xml:space="preserve">‘social norms’ is a widely-used term that can be interpreted differently by authors </w:t>
      </w:r>
      <w:r w:rsidRPr="00B1522E">
        <w:fldChar w:fldCharType="begin" w:fldLock="1"/>
      </w:r>
      <w:r w:rsidR="000B6159" w:rsidRPr="00B1522E">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approach","type":"chapter"},"uris":["http://www.mendeley.com/documents/?uuid=7e72ac3f-525d-40f4-9876-d8bb37f8a3fc"]}],"mendeley":{"formattedCitation":"(Berkowitz, 2005)","plainTextFormattedCitation":"(Berkowitz, 2005)","previouslyFormattedCitation":"(Berkowitz, 2005)"},"properties":{"noteIndex":0},"schema":"https://github.com/citation-style-language/schema/raw/master/csl-citation.json"}</w:instrText>
      </w:r>
      <w:r w:rsidRPr="00B1522E">
        <w:fldChar w:fldCharType="separate"/>
      </w:r>
      <w:r w:rsidRPr="00B1522E">
        <w:rPr>
          <w:noProof/>
        </w:rPr>
        <w:t>(Berkowitz, 2005)</w:t>
      </w:r>
      <w:r w:rsidRPr="00B1522E">
        <w:fldChar w:fldCharType="end"/>
      </w:r>
      <w:r w:rsidRPr="00B1522E">
        <w:t xml:space="preserve">.  This has led to different forms of ‘social norm’ interventional studies, with not all studies being guided by the assumptions set out in the SNA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programming","type":"article-journal","volume":"21"},"uris":["http://www.mendeley.com/documents/?uuid=c5bb1f76-719b-4b43-8537-bc1ecaff260b"]},{"id":"ITEM-2","itemData":{"ISSN":"1664-1078","author":[{"dropping-particle":"","family":"Dempsey","given":"Robert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psychology","id":"ITEM-2","issued":{"date-parts":[["2018"]]},"page":"2180","publisher":"Frontiers","title":"A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 H. W Perkins &amp; Berkowitz, 1986)","manualFormatting":"(Dempsey et al., 2018; Perkins &amp; Berkowitz, 1986)","plainTextFormattedCitation":"(Dempsey et al., 2018; H. W Perkins &amp; Berkowitz, 1986)","previouslyFormattedCitation":"(Dempsey et al., 2018; H. W Perkins &amp; Berkowitz, 1986)"},"properties":{"noteIndex":0},"schema":"https://github.com/citation-style-language/schema/raw/master/csl-citation.json"}</w:instrText>
      </w:r>
      <w:r w:rsidRPr="00B1522E">
        <w:fldChar w:fldCharType="separate"/>
      </w:r>
      <w:r w:rsidR="002908AE" w:rsidRPr="00B1522E">
        <w:rPr>
          <w:noProof/>
        </w:rPr>
        <w:t>(Dempsey et al., 2018; Perkins &amp; Berkowitz, 1986)</w:t>
      </w:r>
      <w:r w:rsidRPr="00B1522E">
        <w:fldChar w:fldCharType="end"/>
      </w:r>
      <w:r w:rsidRPr="00B1522E">
        <w:t xml:space="preserve">. There has been extensive research that investigates whether social norms feedback can be used as a method to promote behaviour change </w:t>
      </w:r>
      <w:r w:rsidRPr="00B1522E">
        <w:fldChar w:fldCharType="begin" w:fldLock="1"/>
      </w:r>
      <w:r w:rsidRPr="00B1522E">
        <w:instrText>ADDIN CSL_CITATION {"citationItems":[{"id":"ITEM-1","itemData":{"ISSN":"1751-2395","author":[{"dropping-particle":"","family":"Tankard","given":"Margaret E","non-dropping-particle":"","parse-names":false,"suffix":""},{"dropping-particle":"","family":"Paluck","given":"Elizabeth Levy","non-dropping-particle":"","parse-names":false,"suffix":""}],"container-title":"Social Issues and Policy Review","id":"ITEM-1","issue":"1","issued":{"date-parts":[["2016"]]},"page":"181-211","publisher":"Wiley Online Library","title":"Norm perception as a vehicle for social change","type":"article-journal","volume":"10"},"uris":["http://www.mendeley.com/documents/?uuid=0860addc-161f-468d-8cb1-c87c0c7d964b"]}],"mendeley":{"formattedCitation":"(Tankard &amp; Paluck, 2016)","plainTextFormattedCitation":"(Tankard &amp; Paluck, 2016)","previouslyFormattedCitation":"(Tankard &amp; Paluck, 2016)"},"properties":{"noteIndex":0},"schema":"https://github.com/citation-style-language/schema/raw/master/csl-citation.json"}</w:instrText>
      </w:r>
      <w:r w:rsidRPr="00B1522E">
        <w:fldChar w:fldCharType="separate"/>
      </w:r>
      <w:r w:rsidRPr="00B1522E">
        <w:rPr>
          <w:noProof/>
        </w:rPr>
        <w:t>(Tankard &amp; Paluck, 2016)</w:t>
      </w:r>
      <w:r w:rsidRPr="00B1522E">
        <w:fldChar w:fldCharType="end"/>
      </w:r>
      <w:r w:rsidRPr="00B1522E">
        <w:t xml:space="preserve"> as a way to help improve an individual’s health and well-being </w:t>
      </w:r>
      <w:r w:rsidRPr="00B1522E">
        <w:fldChar w:fldCharType="begin" w:fldLock="1"/>
      </w:r>
      <w:r w:rsidR="00DF6CCC" w:rsidRPr="00B1522E">
        <w:instrText>ADDIN CSL_CITATION {"citationItems":[{"id":"ITEM-1","itemData":{"ISSN":"0195-6663","author":[{"dropping-particle":"","family":"Mollen","given":"Saar","non-dropping-particle":"","parse-names":false,"suffix":""},{"dropping-particle":"","family":"Rimal","given":"Rajiv N","non-dropping-particle":"","parse-names":false,"suffix":""},{"dropping-particle":"","family":"Ruiter","given":"Robert A C","non-dropping-particle":"","parse-names":false,"suffix":""},{"dropping-particle":"","family":"Kok","given":"Gerjo","non-dropping-particle":"","parse-names":false,"suffix":""}],"container-title":"Appetite","id":"ITEM-1","issued":{"date-parts":[["2013"]]},"page":"83-89","publisher":"Elsevier","title":"Healthy and unhealthy social norms and food selection. Findings from a field-experiment","type":"article-journal","volume":"65"},"uris":["http://www.mendeley.com/documents/?uuid=7d99c10f-95e8-448a-959a-a42d02b3f5e2"]}],"mendeley":{"formattedCitation":"(Mollen et al., 2013)","plainTextFormattedCitation":"(Mollen et al., 2013)","previouslyFormattedCitation":"(Mollen et al., 2013)"},"properties":{"noteIndex":0},"schema":"https://github.com/citation-style-language/schema/raw/master/csl-citation.json"}</w:instrText>
      </w:r>
      <w:r w:rsidRPr="00B1522E">
        <w:fldChar w:fldCharType="separate"/>
      </w:r>
      <w:r w:rsidR="004B7FAF" w:rsidRPr="00B1522E">
        <w:rPr>
          <w:noProof/>
        </w:rPr>
        <w:t>(Mollen et al., 2013)</w:t>
      </w:r>
      <w:r w:rsidRPr="00B1522E">
        <w:fldChar w:fldCharType="end"/>
      </w:r>
      <w:r w:rsidRPr="00B1522E">
        <w:t xml:space="preserve">. However, there are differences in the literature in how social norms are defined </w:t>
      </w:r>
      <w:r w:rsidRPr="00B1522E">
        <w:fldChar w:fldCharType="begin" w:fldLock="1"/>
      </w:r>
      <w:r w:rsidR="00DF6CCC" w:rsidRPr="00B1522E">
        <w:instrText>ADDIN CSL_CITATION {"citationItems":[{"id":"ITEM-1","itemData":{"ISSN":"00224545","abstract":"Using the Theory of Planned Behavior (I. Ajzen, 1985, 1991) and referent group (student) norms and identification (D. J. Terry &amp; M. A. Hogg, 1996), the authors longitudinally predicted healthy eating intentions and behavior in a sample of 137 university students. Specifically, attitudes, subjective norms, and perceived control predicted intentions at Time 1, which predicted self-reported behavior at Time 2. There was also a link between intentions and observed behavior at Time 2. Beyond the planned behavior variables, referent group norms for university students' eating behavior interacted with participants' identification as students to predict healthy eating intentions. The authors discussed implications for researcher's conceptualization of normative influence and for interventions into this group's eating behavior. [ABSTRACT FROM AUTHOR]","author":[{"dropping-particle":"","family":"Louis","given":"Winnifred","non-dropping-particle":"","parse-names":false,"suffix":""},{"dropping-particle":"","family":"Davies","given":"Sarah","non-dropping-particle":"","parse-names":false,"suffix":""},{"dropping-particle":"","family":"Smith","given":"Joanne","non-dropping-particle":"","parse-names":false,"suffix":""},{"dropping-particle":"","family":"Terry","given":"Deborah","non-dropping-particle":"","parse-names":false,"suffix":""}],"container-title":"Journal of Social Psychology","id":"ITEM-1","issue":"1","issued":{"date-parts":[["2007","2"]]},"note":"Accession Number: 2018-24247-001. Partial author list: First Author &amp;amp; Affiliation: Carroll, Suzanne J.; Centre for Research and Action in Public Health, Health Research Institute, University of Canberra, Bruce, ACT, Australia. Release Date: 20190411. Publication Type: Journal (0100), Peer Reviewed Journal (0110). Format Covered: Electronic. Document Type: Journal Article. Language: English. Major Descriptor: Body Mass Index; Diets; Food Intake; Obesity; Overweight. Minor Descriptor: Hemoglobin. Classification: Health Psychology &amp;amp; Medicine (3360). Population: Human (10); Male (30); Female (40). Location: Australia. Age Group: Adulthood (18 yrs &amp;amp; older) (300). Tests &amp;amp; Measures: Australian National Health Survey. Methodology: Empirical Study; Longitudinal Study; Quantitative Study. ArtID: 44. Issue Publication Date: May 18, 2018. Publication History: First Posted Date: May 18, 2018; Accepted Date: May 6, 2018; First Submitted Date: Nov 9, 2017. Copyright Statement: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The Author(s). 2018.\n\nAccession Number: 2018-24247-001. Partial author list: First Author &amp;amp; Affiliation: Carroll, Suzanne J.; Centre for Research and Action in Public Health, Health Research Institute, University of Canberra, Bruce, ACT, Australia. Release Date: 20190411. Publication Type: Journal (0100), Peer Reviewed Journal (0110). Format Covered: Electronic. Document Type: Journal Article. Language: English. Major Descriptor: Body Mass Index; Diets; Food Intake; Obesity; Overweight. Minor Descriptor: Hemoglobin. Classification: Health Psychology &amp;amp; Medicine (3360). Population: Human (10); Male (30); Female (40). Location: Australia. Age Group: Adulthood (18 yrs &amp;amp; older) (300). Tests &amp;amp; Measures: Australian National Health Survey. Methodology: Empirical Study; Longitudinal Study; Quantitative Study. ArtID: 44. Issue Publication Date: May 18, 2018. Publication History: First Posted Date: May 18, 2018; Accepted Date: May 6, 2018; First Submitted Date: Nov 9, 2017. Copyright Statement: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The Author(s). 2018.","page":"57-74","publisher":"Taylor &amp; Francis Ltd","title":"Pizza and Pop and the Student Identity: The Role of Referent Group Norms in Healthy and Unhealthy Eating.","type":"article-journal","volume":"147"},"uris":["http://www.mendeley.com/documents/?uuid=32bb59b6-367a-4400-bacf-3898f89d183e"]},{"id":"ITEM-2","itemData":{"ISSN":"0195-6663","abstract":"This paper reports a study of factors associated with the consumption of 22 diverse foods among 2082 students aged 12–15 years in Tasmania, Australia. Students provided data by completing a printed questionnaire. Multiple linear regression was used to assess how well self-reported usual (past) frequency of consumption of a food could be estimated from their perceptions of the qualities of the food (their liking for it, its healthfulness) and their descriptive social norms for the food (its usage by parents and its usage by friends). For all foods, multipleRwas significant (p&lt;0·0001), with values ranging from 0·28–0·64 (median for the 22 foods being 0·49). Standardized regression coefficients for liking and parental usage were highly significant (p&lt;0·0001) for all foods. However, consistently lower coefficients were found for friends' usage (11 withp&lt;0·01, but only three withp&lt;0·0001) and healthfulness (five withp&lt;0·01, but only one withp&lt;0·0001). The absolute and relative magnitudes of the regression coefficients varied substantially between the foods. Liking was a stronger predictor than parental usage for 11 of the foods, and parental usage out-ranked liking for the remaining 11. Regression coefficients for friends' usage and healthfulness were smaller than those for liking and parental usage for all foods studied.","author":[{"dropping-particle":"","family":"Woodward","given":"DAVID R","non-dropping-particle":"","parse-names":false,"suffix":""},{"dropping-particle":"","family":"Boon","given":"JUDY A","non-dropping-particle":"","parse-names":false,"suffix":""},{"dropping-particle":"","family":"Cumming","given":"FIONA J","non-dropping-particle":"","parse-names":false,"suffix":""},{"dropping-particle":"","family":"Ball","given":"PETER J","non-dropping-particle":"","parse-names":false,"suffix":""},{"dropping-particle":"","family":"Williams","given":"HEATHER M","non-dropping-particle":"","parse-names":false,"suffix":""},{"dropping-particle":"","family":"Hornsby","given":"HELEN","non-dropping-particle":"","parse-names":false,"suffix":""}],"container-title":"Appetite","id":"ITEM-2","issue":"2","issued":{"date-parts":[["1996"]]},"page":"109-117","title":"Adolescents' Reported Usage of Selected Foods in Relation to Their Perceptions and Social Norms for Those Foods","type":"article-journal","volume":"27"},"uris":["http://www.mendeley.com/documents/?uuid=8bd95fa3-26f4-4dff-94c7-c80c35090145"]},{"id":"ITEM-3","itemData":{"ISSN":"0264-0414 (Print)","PMID":"12630791","abstract":"This prospective study explored whether extending the Theory of Planned Behaviour (TPB) with additional variables (descriptive norm, moral norm, anticipated affective reaction, self-identity and past behaviour) would account for additional variance in physical activity intentions and behaviour. Four interactions with past behaviour were also investigated. UK college employees participated in this study (n = 200, Time 1; n = 146, Time 2). Moral norm, self-identity and past behaviour each explained additional variance in intentions, over and above the TPB variables. Past behaviour moderated the impact of descriptive norm on intentions. Intentions, self-identity and past behaviour were significant predictors of behaviour, as measured by a self-report physical activity questionnaire. To increase physical activity, interventions might target moral norm and self-identity for physical activity. Focusing on positive descriptive norms might benefit sedentary individuals. The significant role of past behaviour is less useful in directing interventions.","author":[{"dropping-particle":"","family":"Jackson","given":"Cath","non-dropping-particle":"","parse-names":false,"suffix":""},{"dropping-particle":"","family":"Smith","given":"R Andrew","non-dropping-particle":"","parse-names":false,"suffix":""},{"dropping-particle":"","family":"Conner","given":"Mark","non-dropping-particle":"","parse-names":false,"suffix":""}],"container-title":"Journal of sports sciences","id":"ITEM-3","issue":"2","issued":{"date-parts":[["2003","2"]]},"language":"eng","page":"119-133","publisher-place":"England","title":"Applying an extended version of the theory of planned behaviour to physical activity.","type":"article-journal","volume":"21"},"uris":["http://www.mendeley.com/documents/?uuid=2f6dee59-1281-4fa0-b32e-f4f431ce6767"]}],"mendeley":{"formattedCitation":"(Jackson et al., 2003; Louis et al., 2007; Woodward et al., 1996)","plainTextFormattedCitation":"(Jackson et al., 2003; Louis et al., 2007; Woodward et al., 1996)","previouslyFormattedCitation":"(Jackson et al., 2003; Louis et al., 2007; Woodward et al., 1996)"},"properties":{"noteIndex":0},"schema":"https://github.com/citation-style-language/schema/raw/master/csl-citation.json"}</w:instrText>
      </w:r>
      <w:r w:rsidRPr="00B1522E">
        <w:fldChar w:fldCharType="separate"/>
      </w:r>
      <w:r w:rsidR="004B7FAF" w:rsidRPr="00B1522E">
        <w:rPr>
          <w:noProof/>
        </w:rPr>
        <w:t>(Jackson et al., 2003; Louis et al., 2007; Woodward et al., 1996)</w:t>
      </w:r>
      <w:r w:rsidRPr="00B1522E">
        <w:fldChar w:fldCharType="end"/>
      </w:r>
      <w:r w:rsidRPr="00B1522E">
        <w:t xml:space="preserve"> and how they have been used as a behaviour change strategy </w:t>
      </w:r>
      <w:r w:rsidRPr="00B1522E">
        <w:fldChar w:fldCharType="begin" w:fldLock="1"/>
      </w:r>
      <w:r w:rsidR="00DF6CCC" w:rsidRPr="00B1522E">
        <w:instrText>ADDIN CSL_CITATION {"citationItems":[{"id":"ITEM-1","itemData":{"ISSN":"0036-8075","author":[{"dropping-particle":"","family":"Nyborg","given":"Karine","non-dropping-particle":"","parse-names":false,"suffix":""},{"dropping-particle":"","family":"Anderies","given":"John M","non-dropping-particle":"","parse-names":false,"suffix":""},{"dropping-particle":"","family":"Dannenberg","given":"Astrid","non-dropping-particle":"","parse-names":false,"suffix":""},{"dropping-particle":"","family":"Lindahl","given":"Therese","non-dropping-particle":"","parse-names":false,"suffix":""},{"dropping-particle":"","family":"Schill","given":"Caroline","non-dropping-particle":"","parse-names":false,"suffix":""},{"dropping-particle":"","family":"Schlüter","given":"Maja","non-dropping-particle":"","parse-names":false,"suffix":""},{"dropping-particle":"","family":"Adger","given":"W Neil","non-dropping-particle":"","parse-names":false,"suffix":""},{"dropping-particle":"","family":"Arrow","given":"Kenneth J","non-dropping-particle":"","parse-names":false,"suffix":""},{"dropping-particle":"","family":"Barrett","given":"Scott","non-dropping-particle":"","parse-names":false,"suffix":""},{"dropping-particle":"","family":"Carpenter","given":"Stephen","non-dropping-particle":"","parse-names":false,"suffix":""}],"container-title":"Science","id":"ITEM-1","issue":"6308","issued":{"date-parts":[["2016"]]},"page":"42-43","publisher":"American Association for the Advancement of Science","title":"Social norms as solutions","type":"article-journal","volume":"354"},"uris":["http://www.mendeley.com/documents/?uuid=63cdc98d-0bde-460b-aa02-6347c57a17b5"]},{"id":"ITEM-2","itemData":{"ISSN":"0744-8481","author":[{"dropping-particle":"","family":"Arbour-Nicitopoulos","given":"Kelly P","non-dropping-particle":"","parse-names":false,"suffix":""},{"dropping-particle":"","family":"Kwan","given":"Matthew Y W","non-dropping-particle":"","parse-names":false,"suffix":""},{"dropping-particle":"","family":"Lowe","given":"David","non-dropping-particle":"","parse-names":false,"suffix":""},{"dropping-particle":"","family":"Taman","given":"Sara","non-dropping-particle":"","parse-names":false,"suffix":""},{"dropping-particle":"","family":"Faulkner","given":"Guy E J","non-dropping-particle":"","parse-names":false,"suffix":""}],"container-title":"Journal of American College Health","id":"ITEM-2","issue":"3","issued":{"date-parts":[["2010"]]},"page":"191-196","publisher":"Taylor &amp; Francis","title":"Social norms of alcohol, smoking, and marijuana use within a Canadian university setting","type":"article-journal","volume":"59"},"uris":["http://www.mendeley.com/documents/?uuid=d06e3ccb-51e1-4c8f-9ea9-339b126e830d"]},{"id":"ITEM-3","itemData":{"ISSN":"0195-6663","author":[{"dropping-particle":"","family":"Mollen","given":"Saar","non-dropping-particle":"","parse-names":false,"suffix":""},{"dropping-particle":"","family":"Rimal","given":"Rajiv N","non-dropping-particle":"","parse-names":false,"suffix":""},{"dropping-particle":"","family":"Ruiter","given":"Robert A C","non-dropping-particle":"","parse-names":false,"suffix":""},{"dropping-particle":"","family":"Kok","given":"Gerjo","non-dropping-particle":"","parse-names":false,"suffix":""}],"container-title":"Appetite","id":"ITEM-3","issued":{"date-parts":[["2013"]]},"page":"83-89","publisher":"Elsevier","title":"Healthy and unhealthy social norms and food selection. Findings from a field-experiment","type":"article-journal","volume":"65"},"uris":["http://www.mendeley.com/documents/?uuid=7d99c10f-95e8-448a-959a-a42d02b3f5e2"]},{"id":"ITEM-4","itemData":{"ISSN":"1664-1078","abstract":"There is evidence that social norm messages can be used to promote the selection of fruit and vegetables in low habitual consumers of these foods but it is unclear whether this effect is sustained over time. It is also unclear whether information about others’ liking for a food (liking norm) could have the same effect. Using a 2 × 5 × 2 experimental design we investigated the effects of exposure to various messages on later intake from a food buffet and whether any effects were sustained 24 h after exposure in both low and high consumers of vegetables. There were three factors: delay (immediate food selection vs. food selection 24 h after exposure), message type (liking norm, descriptive norm, health message, vegetable variety condition, and neutral control message), and habitual consumption (low vs. high). The buffet consisted of three raw vegetables, three energy-dense foods, and two dips. For vegetables and non-vegetables there were no main effects of message type, nor any main effect of delay. There was a significant message × habitual vegetable consumption interaction for vegetable consumption; however, follow up tests did not yield any significant effects. Examining each food individually, there were no main effects of message type, nor any main effect of delay, for any of the foods; however, there was a message × habitual vegetable consumption interaction for broccoli. Consumption of broccoli in the health message and descriptive norm conditions did not differ from the control neutral condition. However, habitually low consumers of vegetables increased their consumption of broccoli in the vegetable variety and liking norm conditions relative to habitual low vegetable consumers in the neutral control condition (p &lt; 0.05). Further, investigation of the effects of the liking norm and vegetable variety condition on vegetable intake is warranted. (PsycINFO Database Record (c) 2017 APA, all rights reserved)","author":[{"dropping-particle":"","family":"Thomas","given":"Jason M","non-dropping-particle":"","parse-names":false,"suffix":""},{"dropping-particle":"","family":"Liu","given":"Jinyu","non-dropping-particle":"","parse-names":false,"suffix":""},{"dropping-particle":"","family":"Robinson","given":"Eric L","non-dropping-particle":"","parse-names":false,"suffix":""},{"dropping-particle":"","family":"Aveyard","given":"Paul","non-dropping-particle":"","parse-names":false,"suffix":""},{"dropping-particle":"","family":"Herman","given":"C Peter","non-dropping-particle":"","parse-names":false,"suffix":""},{"dropping-particle":"","family":"Higgs","given":"Suzanne","non-dropping-particle":"","parse-names":false,"suffix":""}],"container-title":"Frontiers in Psychology","id":"ITEM-4","issued":{"date-parts":[["2016","3","30"]]},"note":"Accession Number: 2016-15974-001. PMID: 27065913 Partial author list: First Author &amp;amp; Affiliation: Thomas, Jason M.; School of Psychology, University of Birmingham, Birmingham, United Kingdom. Other Publishers: Frontiers Research Foundation. Release Date: 20170313. Publication Type: Journal (0100), Peer Reviewed Journal (0110). Format Covered: Electronic. Document Type: Journal Article. Language: English. Grant Information: Thomas, Jason M. Major Descriptor: Eating Behavior; Food Intake; Food Preferences; Health Promotion; Social Norms. Classification: Promotion &amp;amp; Maintenance of Health &amp;amp; Wellness (3365). Population: Human (10); Male (30); Female (40). Location: United Kingdom. Age Group: Adulthood (18 yrs &amp;amp; older) (300). Tests &amp;amp; Measures: Three Factor Eating Questionnaire DOI: 10.1037/t02178-000; Visual Analogue Scale. Methodology: Clinical Trial; Empirical Study; Quantitative Study. ArtID: 442. Issue Publication Date: Mar 30, 2016. Publication History: First Posted Date: Mar 30, 2016; Accepted Date: Mar 11, 2016; First Submitted Date: Nov 30, 2015. Copyright Statement: This is an open-access article distributed under the terms of the Creative Commons Attribution License (CC BY). The use, distribution or reproduction in other forums is permitted, provided the original author(s) or licensor are credited and that the original publication in this journal is cited, in accordance with accepted academic practice. No use, distribution or reproduction is permitted which does not comply with these terms. Thomas, Liu, Robinson, Aveyard, Herman and Higgs. 2016.","page":"442-452","publisher":"Frontiers Media S.A.","publisher-place":"Thomas, Jason M.","title":"The effects of liking norms and descriptive norms on vegetable consumption: A randomized experiment","type":"article-journal","volume":"7"},"uris":["http://www.mendeley.com/documents/?uuid=2e55a3ed-1690-4231-b7e7-7b3350472b41"]}],"mendeley":{"formattedCitation":"(Arbour-Nicitopoulos et al., 2010; Mollen et al., 2013; Nyborg et al., 2016; J. M. Thomas et al., 2016)","manualFormatting":"(Arbour-Nicitopoulos et al., 2010; Mollen et al., 2013; Nyborg et al., 2016; Thomas et al., 2016)","plainTextFormattedCitation":"(Arbour-Nicitopoulos et al., 2010; Mollen et al., 2013; Nyborg et al., 2016; J. M. Thomas et al., 2016)","previouslyFormattedCitation":"(Arbour-Nicitopoulos et al., 2010; Mollen et al., 2013; Nyborg et al., 2016; J. M. Thomas et al., 2016)"},"properties":{"noteIndex":0},"schema":"https://github.com/citation-style-language/schema/raw/master/csl-citation.json"}</w:instrText>
      </w:r>
      <w:r w:rsidRPr="00B1522E">
        <w:fldChar w:fldCharType="separate"/>
      </w:r>
      <w:r w:rsidR="00D00FC4" w:rsidRPr="00B1522E">
        <w:rPr>
          <w:noProof/>
          <w:lang w:val="da-DK"/>
        </w:rPr>
        <w:t>(Arbour-Nicitopoulos et al., 2010; Mollen et al., 2013; Nyborg et al., 2016; Thomas et al., 2016)</w:t>
      </w:r>
      <w:r w:rsidRPr="00B1522E">
        <w:fldChar w:fldCharType="end"/>
      </w:r>
      <w:r w:rsidRPr="00B1522E">
        <w:rPr>
          <w:lang w:val="da-DK"/>
        </w:rPr>
        <w:t>. It is important to note that t</w:t>
      </w:r>
      <w:r w:rsidRPr="00B1522E">
        <w:t xml:space="preserve">here are numerous ‘social norms’ interventions that seek to improve dietary behaviours, but these studies </w:t>
      </w:r>
      <w:r w:rsidRPr="00B1522E">
        <w:fldChar w:fldCharType="begin" w:fldLock="1"/>
      </w:r>
      <w:r w:rsidR="00C654DE" w:rsidRPr="00B1522E">
        <w:instrText>ADDIN CSL_CITATION {"citationItems":[{"id":"ITEM-1","itemData":{"ISSN":"1095-8304","abstract":"Traditional intervention approaches to promote fruit and vegetable consumption outline the health benefits of eating fruit and vegetables. More recently, social norm-based messages describing the healthy eating habits of others have been shown to increase fruit and vegetable intake in adults. Here we report two experimental studies which investigated whether exposure to descriptive social norm-based messages about the behaviour of other children and health-based messages increased fruit and vegetable intake in young children. In both studies children were exposed to messages whilst playing a board-game. After exposure to the messages, children were able to consume fruit and vegetables, as well as high calorie snack foods. Although findings were inconsistent across the two individual studies, in a pooled analysis we found evidence that both health messages and descriptive social norm-based messages increased children's fruit and vegetable intake, relative to control condition messages (p &lt; .05). Whether descriptive social norm-based messages can be used to promote meaningful changes to children's dietary behaviour warrants further study.; Copyright © 2016 The Authors. Published by Elsevier Ltd.. All rights reserved.","author":[{"dropping-particle":"","family":"Sharps","given":"M","non-dropping-particle":"","parse-names":false,"suffix":""},{"dropping-particle":"","family":"Robinson","given":"Er","non-dropping-particle":"","parse-names":false,"suffix":""}],"container-title":"Appetite","id":"ITEM-1","issued":{"date-parts":[["2016","5","1"]]},"note":"Accession Number: 26820776. Language: English. Date Revised: 20181113. Date Created: 20160129. Date Completed: 20161216. Update Code: 20181211. Publication Type: Journal Article. Journal ID: 8006808. Publication Model: Print-Electronic. Cited Medium: Internet. NLM ISO Abbr: Appetite. Linked References: J Am Coll Nutr. 1998 Aug;17(4):371-8. (PMID: 9710848); Can J Diet Pract Res. 2007;68(1):s1-s56. (PMID: 19430591); Appetite. 2006 Mar;46(2):124-9. (PMID: 16442667); Appetite. 2015 Jun;89:56-61. (PMID: 25624021); Am J Public Health. 1994 Jul;84(7):1121-6. (PMID: 8017536); Prev Med. 2005 Jul;41(1):186-93. (PMID: 15917010); Health Educ Res. 2000 Feb;15(1):39-44. (PMID: 10788200); Int J Behav Nutr Phys Act. 2013;10:73. (PMID: 23738741); J Early Child Res. 2011 Oct 1;9(3):191-195. (PMID: 26257583); J Am Diet Assoc. 2009 Jan;109(1):133-6. (PMID: 19103334); Appetite. 2004 Apr;42(2):227-37. (PMID: 15010187); J Sch Health. 2008 Apr;78(4):203-8. (PMID: 18336679); J Am Diet Assoc. 1995 Feb;95(2):219-23. (PMID: 7852689); J Natl Cancer Inst. 2004 Nov 3;96(21):1577-84. (PMID: 15523086); Br J Health Psychol. 2014 Feb;19(1):52-64. (PMID: 23406475); Appetite. 2012 Jun;58(3):864-72. (PMID: 22326506); Health Psychol. 2014 Sep;33(9):1057-64. (PMID: 24295025); Am J Public Health. 1995 Dec;85(12):1673-7. (PMID: 7503343); J Acad Nutr Diet. 2014 Mar;114(3):414-29. (PMID: 24388484); Int J Behav Nutr Phys Act. 2015;12:135. (PMID: 26463044); Health Educ Res. 2002 Apr;17(2):211-20. (PMID: 12036236); Br J Nutr. 2013 Feb 28;109(4):765-71. (PMID: 22647276); Appetite. 2013 Jun;65:83-9. (PMID: 23402712); Pediatr Obes. 2012 Aug;7(4):284-94. (PMID: 22715120); Am J Clin Nutr. 2002 Jul;76(1):93-9. (PMID: 12081821); Physiol Behav. 2015 Dec 1;152(Pt B):397-401. (PMID: 26072177); Appetite. 2011 Dec;57(3):623-7. (PMID: 21843568); Lancet. 2011 Aug 27;378(9793):815-25. (PMID: 21872750); Ann Nutr Metab. 2005 Jul-Aug;49(4):236-45. (PMID: 16088087); Appetite. 2014 Nov;82:119-23. (PMID: 25045865); Pediatrics. 1998 Mar;101(3 Pt 2):539-49. (PMID: 12224660); Arch Pediatr Adolesc Med. 2011 Mar;165(3):229-34. (PMID: 21383272); Appetite. 2012 Apr;58(2):754-7. (PMID: 22178007); Psychol Sci. 2007 May;18(5):429-34. (PMID: 17576283); J Appl Soc Psychol. 2013 Jun;43(Suppl 1):E124-E131. (PMID: 24078745); Psychol Health. 2012;27(8):956-70. (PMID: 22149532); Eat Behav. 2011 Jan;12(1):75-7. (PMID: 21184979). Linking ISSN: 01956663. Subset: IM; Grant Information: 097826/Z/11/A United Kingdom Wellcome Trust Date of Electronic Publication: 2016 Jan 26. ; Original Imprints: Publication: London, New York, Academic Press.","page":"18-25","publisher":"Academic Press","publisher-place":"Institute of Psychology, Health and Society, Department of Psychological Sciences, University of Liverpool, Liverpool, UK. Electronic address: Maxine.sharps@liv.ac.uk.","title":"Encouraging children to eat more fruit and vegetables: Health vs. descriptive social norm-based messages.","type":"article-journal","volume":"100"},"uris":["http://www.mendeley.com/documents/?uuid=99db3d11-f37b-4acb-9c9d-b9c1a5fc8754"]},{"id":"ITEM-2","itemData":{"ISSN":"0278-6133","abstract":"Objective: Health based messages are commonly used to promote fruit and vegetable intake, but are limited in their effectiveness. Social norm messages, which suggest other people are eating healthily, may be more effective. Our aim was to compare the effect on food selection of a message containing health related information about fruit and vegetable consumption with a message containing social normative information about consumption of fruit and vegetables. Method: In two laboratory studies, predominantly young female adult students were exposed to a health or social norm message about fruit and vegetables. In Study 1, lunch meal food selections and intake were assessed and in Study 2, snack food selections and intake were assessed. Study 1 examined the effect of a descriptive social norm (information about what others are eating) versus a health message and Study 2 examined the effect of both a descriptive norm and an injunctive norm message (information about what others approve of) versus a health message. Results: In Study 1, exposure to a descriptive social norm message resulted in significantly more vegetables being selected and eaten than exposure to a health message. In Study 2, exposure to a descriptive social norm message resulted in significantly more fruit and vegetables and less high energy dense snack food being selected and eaten than exposure to a health message. There was no effect of exposure to the injunctive norm message. In both studies, significant differences between the social norm and health message conditions were observed in low but not high usual consumers of fruit and vegetables. Conclusions: For the promotion of healthy eating, social norm messages may be more effective than health messages for consumers failing to adhere to dietary guidelines. (PsycINFO Database Record (c) 2016 APA, all rights reserved)","author":[{"dropping-particle":"","family":"Robinson","given":"E","non-dropping-particle":"","parse-names":false,"suffix":""},{"dropping-particle":"","family":"Fleming","given":"A","non-dropping-particle":"","parse-names":false,"suffix":""},{"dropping-particle":"","family":"Higgs","given":"S","non-dropping-particle":"","parse-names":false,"suffix":""}],"container-title":"Health Psychology","id":"ITEM-2","issue":"9","issued":{"date-parts":[["2014","9"]]},"note":"Accession Number: 2013-41678-001. PMID: 24295025 Partial author list: First Author &amp;amp; Affiliation: Robinson, Eric; School of Psychology, University of Birmingham, Birmingham, United Kingdom. Other Publishers: Lawrence Erlbaum Associates. Release Date: 20131202. Correction Date: 20151214. Publication Type: Journal (0100), Peer Reviewed Journal (0110). Format Covered: Electronic. Document Type: Journal Article. Language: English. Major Descriptor: Eating Behavior; Health Behavior; Ingestion; Messages; Social Norms. Classification: Promotion &amp;amp; Maintenance of Health &amp;amp; Wellness (3365). Population: Human (10); Male (30); Female (40). Location: United Kingdom. Age Group: Adulthood (18 yrs &amp;amp; older) (300); Young Adulthood (18-29 yrs) (320). Tests &amp;amp; Measures: Mock Mood Questionnaire; Food Frequency Questionnaire; Three Factor Eating Questionnaire DOI: 10.1037/t02178-000. Methodology: Empirical Study; Quantitative Study. References Available: Y. Page Count: 8. Issue Publication Date: Sep, 2014. Publication History: First Posted Date: Dec 2, 2013; Accepted Date: Mar 5, 2013; Revised Date: Feb 27, 2013; First Submitted Date: Jun 18, 2012. Copyright Statement: American Psychological Association. 2013.","page":"1057-1064","publisher":"American Psychological Association","publisher-place":"Robinson, Eric, School of Psychology, University of Birmingham, Edgbaston, Birmingham, United Kingdom, B15 2TT","title":"Prompting healthier eating: Testing the use of health and social norm based messages","type":"article-journal","volume":"33"},"uris":["http://www.mendeley.com/documents/?uuid=32628310-251f-41b9-b166-779f4f8bd2e2"]},{"id":"ITEM-3","itemData":{"ISSN":"0736-7236","abstract":"In two studies, we examined the effect of salient descriptive nornn information on women's food choices. Undergraduate women in Study 1 were led to believe that earlier participants typically had chosen either a healthy or an unhealthy snack bar when participating in a study on taste sensations. When asked to make their own choice, participants tended to select a snack consistent with what they believed others had chosen. The findings were replicated in Study 2 when partici-pants made multiple snack selections in a situation in which they believed that no one would know which snacks they chose. The results are consistent with the Focus Theory of Normative Conduct and suggest avenues for nutrition interven-tion programs. Our daily decisions about eating—what, when, and how much to consume—are influenced by a complex set of factors, includ-ing biological, developmental, and personality sources. However, a number of investigations suggest that social factors also play an important role in how people eat. Most of this research has focused on the amount of food eaten. In particular, investigators find that individuals often rely on social norms when deciding how much to eat (Herman, Roth, &amp; Polivy, 2003). People tend to eat more when those around them eat a lot of food, and they tend to eat less when other people eat less. Herman et al. argue that eating in the","author":[{"dropping-particle":"","family":"Burger","given":"Jerry M.","non-dropping-particle":"","parse-names":false,"suffix":""},{"dropping-particle":"","family":"Bell","given":"Heather","non-dropping-particle":"","parse-names":false,"suffix":""},{"dropping-particle":"","family":"Harvey","given":"Kristen","non-dropping-particle":"","parse-names":false,"suffix":""},{"dropping-particle":"","family":"Johnson","given":"Jessica","non-dropping-particle":"","parse-names":false,"suffix":""},{"dropping-particle":"","family":"Stewart","given":"Claire","non-dropping-particle":"","parse-names":false,"suffix":""},{"dropping-particle":"","family":"Dorian","given":"Kelly","non-dropping-particle":"","parse-names":false,"suffix":""},{"dropping-particle":"","family":"Swedroe","given":"Marni","non-dropping-particle":"","parse-names":false,"suffix":""}],"container-title":"Journal of Social and Clinical Psychology","id":"ITEM-3","issue":"2","issued":{"date-parts":[["2010"]]},"page":"228-242","publisher":"Guilford Press","title":"Nutritious or delicious? The effect of descriptive norm information on food choice","type":"article-journal","volume":"29"},"uris":["http://www.mendeley.com/documents/?uuid=f6aebb2a-bcfb-4680-9b98-d63bcab6a7d2"]},{"id":"ITEM-4","itemData":{"ISSN":"0195-6663","abstract":"There is some evidence from laboratory-based studies that descriptive social-norm messages are associated with increased consumption of vegetables, but evidence of their effectiveness in real-world settings is limited. In two observational field studies taking an ecological approach, a vegetable-related social norm (e.g. 'Did you know that most students here choose to eat vegetables with their meal?'), and a health message (e.g. 'Did you know that students who choose to eat vegetables have a lower risk of heart disease?') were displayed in two different student canteens. Purchases were observed during three stages: baseline, intervention (when the posters were displayed) and immediate post-intervention (when the posters had been removed). Study 1 (n = 7598) observed the purchase of meals containing a portion of vegetables and Study 2 (n = 4052) observed the purchase of side portions of vegetables. In Study 1, relative to baseline, the social-norms intervention was associated with an increase in purchases of vegetables (from 63% to 68% of meals; OR = 1.24, CI = 1.03–1.49), which was sustained post-intervention (67% of meals; OR = 0.96, CI = 0.80–1.15). There was no effect of the health message (75% of meals at baseline, and 74% during the intervention; OR = 0.98, CI = 0.83–1.15). In Study 2, relative to baseline, there was an effect of both the social norm (22.9% of meals at baseline, rising to 32.5% during the intervention; OR = 1.62, CI = 1.27–2.05) and health message (rising from 43.8% at baseline to 52.8%; OR = 0.59, CI = 0.46-0.75). The increase was not sustained post-intervention for the social norm intervention (22.1%; OR = 0.59, CI = 0.46-0.75), but was sustained for the health intervention (48.1%; OR = 0.83, CI = 0.67–1.02). These results support further testing of the effectiveness of such messages in encouraging healthier eating and indicate the need for larger-scale testing at multiple sites using a randomised-controlled design. (PsycINFO Database Record (c) 2018 APA, all rights reserved)","author":[{"dropping-particle":"","family":"Collins","given":"Emily I M","non-dropping-particle":"","parse-names":false,"suffix":""},{"dropping-particle":"","family":"Thomas","given":"Jason M","non-dropping-particle":"","parse-names":false,"suffix":""},{"dropping-particle":"","family":"Robinson","given":"Eric","non-dropping-particle":"","parse-names":false,"suffix":""},{"dropping-particle":"","family":"Aveyard","given":"Paul","non-dropping-particle":"","parse-names":false,"suffix":""},{"dropping-particle":"","family":"Jebb","given":"Susan A","non-dropping-particle":"","parse-names":false,"suffix":""},{"dropping-particle":"","family":"Herman","given":"C Peter","non-dropping-particle":"","parse-names":false,"suffix":""},{"dropping-particle":"","family":"Higgs","given":"Suzanne","non-dropping-particle":"","parse-names":false,"suffix":""}],"container-title":"Appetite","id":"ITEM-4","issued":{"date-parts":[["2019","1","1"]]},"note":"Accession Number: 2018-60089-016. PMID: 30287232 Partial author list: First Author &amp;amp; Affiliation: Collins, Emily I. M.; School of Psychology, University of Birmingham, Birmingham, United Kingdom. Release Date: 20181213. Publication Type: Journal (0100), Peer Reviewed Journal (0110). Format Covered: Electronic. Document Type: Journal Article. Language: English. Grant Information: Robinson, Eric. Major Descriptor: College Environment; Eating Behavior; Intervention; Student Attitudes. Minor Descriptor: Social Norms. Classification: Classroom Dynamics &amp;amp; Student Adjustment &amp;amp; Attitudes (3560). Population: Human (10); Male (30); Female (40). Location: United Kingdom. Age Group: Adulthood (18 yrs &amp;amp; older) (300); Young Adulthood (18-29 yrs) (320); Thirties (30-39 yrs) (340); Middle Age (40-64 yrs) (360). Methodology: Empirical Study; Quantitative Study. Page Count: 9. Issue Publication Date: Jan 1, 2019. Publication History: First Posted Date: Oct 1, 2018; Accepted Date: Sep 29, 2018; Revised Date: Aug 30, 2018; First Submitted Date: May 4, 2018. Copyright Statement: Published by Elsevier Ltd. This is an open access article under the CC BY license (http://creativecommons.org/licenses/BY/4.0/). The Authors. 2018.\n\nAccession Number: 2018-24247-001. Partial author list: First Author &amp;amp; Affiliation: Carroll, Suzanne J.; Centre for Research and Action in Public Health, Health Research Institute, University of Canberra, Bruce, ACT, Australia. Release Date: 20190411. Publication Type: Journal (0100), Peer Reviewed Journal (0110). Format Covered: Electronic. Document Type: Journal Article. Language: English. Major Descriptor: Body Mass Index; Diets; Food Intake; Obesity; Overweight. Minor Descriptor: Hemoglobin. Classification: Health Psychology &amp;amp; Medicine (3360). Population: Human (10); Male (30); Female (40). Location: Australia. Age Group: Adulthood (18 yrs &amp;amp; older) (300). Tests &amp;amp; Measures: Australian National Health Survey. Methodology: Empirical Study; Longitudinal Study; Quantitative Study. ArtID: 44. Issue Publication Date: May 18, 2018. Publication History: First Posted Date: May 18, 2018; Accepted Date: May 6, 2018; First Submitted Date: Nov 9, 2017. Copyright Statement: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The Author(s). 2018.\n\nAccession Number: 2018-24247-001. Partial author list: First Author &amp;amp; Affiliation: Carroll, Suzanne J.; Centre for Research and Action in Public Health, Health Research Institute, University of Canberra, Bruce, ACT, Australia. Release Date: 20190411. Publication Type: Journal (0100), Peer Reviewed Journal (0110). Format Covered: Electronic. Document Type: Journal Article. Language: English. Major Descriptor: Body Mass Index; Diets; Food Intake; Obesity; Overweight. Minor Descriptor: Hemoglobin. Classification: Health Psychology &amp;amp; Medicine (3360). Population: Human (10); Male (30); Female (40). Location: Australia. Age Group: Adulthood (18 yrs &amp;amp; older) (300). Tests &amp;amp; Measures: Australian National Health Survey. Methodology: Empirical Study; Longitudinal Study; Quantitative Study. ArtID: 44. Issue Publication Date: May 18, 2018. Publication History: First Posted Date: May 18, 2018; Accepted Date: May 6, 2018; First Submitted Date: Nov 9, 2017. Copyright Statement: This article is distributed under the terms of the Creative Commons Attribution 4.0 International License (http://creativecommons.org/licenses/by/4.0/),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(http://creativecommons.org/publicdomain/zero/1.0/) applies to the data made available in this article, unless otherwise stated. The Author(s). 2018.","page":"122-130","publisher":"Elsevier Science","publisher-place":"Collins, Emily I. M., School of Management, University of Bath, Claverton Down, Bath, United Kingdom, BA2 7AY","title":"Two observational studies examining the effect of a social norm and a health message on the purchase of vegetables in student canteen settings","type":"article-journal","volume":"132"},"uris":["http://www.mendeley.com/documents/?uuid=4ce5ec04-036d-47fb-9af3-59d29ef839db"]},{"id":"ITEM-5","itemData":{"ISSN":"0278-6133","abstract":"Objective: Recent work has shown that exposure to social norm messages may enhance the consumption of vegetables. However, the majority of this work has been conducted in laboratories, often with student populations. Little is known about whether this approach can be successfully used in other contexts. In this study, a poster featuring a message based on social norms was tested to examine whether it could increase and maintain the purchase of meals with vegetables in workplace restaurants. Method: A pretest–posttest design with 3 phases was used in 3 workplace restaurants in the United Kingdom. The first 2 weeks formed the preintervention phase, the second 2 weeks the intervention phase, and the last 2 weeks the postintervention phase. During the intervention phase only, posters containing a social norm message relaying information about vegetable purchases of other diners were placed in each restaurant. The main outcome measure was the percentage of meals purchased with vegetables, which was analyzed using Pearson’s chi-squared test. Results: Participants were judged to be male (57%), not overweight (75%), and under the age of 60 (98%). The intervention was positively associated with the percentage of meals purchased with vegetables: baseline versus intervention (60% vs. 64% of meals purchased with vegetables; p &lt; .01); intervention versus postintervention (64% vs. 67% of meals purchased with vegetables; p &lt; .01); and baseline versus postintervention (60% vs. 67% of meals purchased with vegetables; p &lt; .001). Conclusions: Social norm messages may increase the purchase of vegetables in workplace settings. (PsycINFO Database Record (c) 2017 APA, all rights reserved)","author":[{"dropping-particle":"","family":"Thomas","given":"Jason M","non-dropping-particle":"","parse-names":false,"suffix":""},{"dropping-particle":"","family":"Ursell","given":"Amanda","non-dropping-particle":"","parse-names":false,"suffix":""},{"dropping-particle":"","family":"Robinson","given":"Eric L","non-dropping-particle":"","parse-names":false,"suffix":""},{"dropping-particle":"","family":"Aveyard","given":"Paul","non-dropping-particle":"","parse-names":false,"suffix":""},{"dropping-particle":"","family":"Jebb","given":"Susan A","non-dropping-particle":"","parse-names":false,"suffix":""},{"dropping-particle":"","family":"Herman","given":"C Peter","non-dropping-particle":"","parse-names":false,"suffix":""},{"dropping-particle":"","family":"Higgs","given":"Suzanne","non-dropping-particle":"","parse-names":false,"suffix":""}],"container-title":"Health Psychology","id":"ITEM-5","issue":"11","issued":{"date-parts":[["2017","11"]]},"note":"Accession Number: 2017-23179-001. PMID: 28541071 Partial author list: First Author &amp;amp; Affiliation: Thomas, Jason M.; School of Psychology, University of Birmingham, Birmingham, United Kingdom. Other Publishers: Lawrence Erlbaum Associates. Release Date: 20170525. Correction Date: 20171023. Publication Type: Journal (0100), Peer Reviewed Journal (0110). Format Covered: Electronic. Document Type: Journal Article. Language: English. Major Descriptor: Eating Behavior; Food; Health Behavior; Health Promotion; Social Norms. Minor Descriptor: Messages; Workplace Intervention. Classification: Promotion &amp;amp; Maintenance of Health &amp;amp; Wellness (3365). Population: Human (10); Male (30); Female (40). Location: United Kingdom; England; Wales. Age Group: Adulthood (18 yrs &amp;amp; older) (300). Methodology: Empirical Study; Field Study; Quantitative Study. Page Count: 8. Issue Publication Date: Nov, 2017. Publication History: First Posted Date: May 25, 2017; Accepted Date: Dec 17, 2016; Revised Date: Nov 3, 2016; First Submitted Date: Jul 8, 2016. Copyright Statement: The Author(s). 2017.","page":"1026-1033","publisher":"American Psychological Association","publisher-place":"Thomas, Jason M., Department of Psychology, Aston University, Aston Express Way, Birmingham, United Kingdom, B4 7ET","title":"Using a descriptive social norm to increase vegetable selection in workplace restaurant settings","type":"article-journal","volume":"36"},"uris":["http://www.mendeley.com/documents/?uuid=faa70465-8311-4b28-ae0c-5cca39b49aa8"]}],"mendeley":{"formattedCitation":"(Burger et al., 2010; E. I. M. Collins et al., 2019; Robinson et al., 2014; Sharps &amp; Robinson, 2016; J. M. Thomas et al., 2017)","manualFormatting":"(Burger et al., 2010; Collins et al., 2019; Robinson et al., 2014; Sharps &amp; Robinson, 2016; Thomas et al., 2017)","plainTextFormattedCitation":"(Burger et al., 2010; E. I. M. Collins et al., 2019; Robinson et al., 2014; Sharps &amp; Robinson, 2016; J. M. Thomas et al., 2017)","previouslyFormattedCitation":"(Burger et al., 2010; E. I. M. Collins et al., 2019; Robinson et al., 2014; Sharps &amp; Robinson, 2016; J. M. Thomas et al., 2017)"},"properties":{"noteIndex":0},"schema":"https://github.com/citation-style-language/schema/raw/master/csl-citation.json"}</w:instrText>
      </w:r>
      <w:r w:rsidRPr="00B1522E">
        <w:fldChar w:fldCharType="separate"/>
      </w:r>
      <w:r w:rsidR="004B7FAF" w:rsidRPr="00B1522E">
        <w:rPr>
          <w:noProof/>
        </w:rPr>
        <w:t>(Burger et al., 2010; Collins et al., 2019; Robinson et al., 2014; Sharps &amp; Robinson, 2016; Thomas et al., 2017)</w:t>
      </w:r>
      <w:r w:rsidRPr="00B1522E">
        <w:fldChar w:fldCharType="end"/>
      </w:r>
      <w:r w:rsidRPr="00B1522E">
        <w:t xml:space="preserve"> are not guided by the assumptions of the SNA as they do not aim to identify current normative misperceptions and/or do not attempt to challenge normative misperceptions and/or do not measure normative perception change </w:t>
      </w:r>
      <w:r w:rsidRPr="00B1522E">
        <w:fldChar w:fldCharType="begin" w:fldLock="1"/>
      </w:r>
      <w:r w:rsidR="007463D4" w:rsidRPr="00B1522E">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fldChar w:fldCharType="separate"/>
      </w:r>
      <w:r w:rsidR="002908AE" w:rsidRPr="00B1522E">
        <w:rPr>
          <w:noProof/>
        </w:rPr>
        <w:t>(Dempsey et al., 2018)</w:t>
      </w:r>
      <w:r w:rsidRPr="00B1522E">
        <w:fldChar w:fldCharType="end"/>
      </w:r>
      <w:r w:rsidRPr="00B1522E">
        <w:t xml:space="preserve">.  </w:t>
      </w:r>
    </w:p>
    <w:p w14:paraId="0BA05F52" w14:textId="201A9286" w:rsidR="006B6C88" w:rsidRPr="00B1522E" w:rsidRDefault="006B6C88" w:rsidP="00A1584F">
      <w:pPr>
        <w:spacing w:line="480" w:lineRule="auto"/>
        <w:ind w:firstLine="720"/>
        <w:jc w:val="both"/>
        <w:rPr>
          <w:rFonts w:cstheme="minorHAnsi"/>
        </w:rPr>
      </w:pPr>
      <w:r w:rsidRPr="00B1522E">
        <w:t xml:space="preserve">It is not always clear whether social norms studies have been guided by the assumptions of the SNA, which can influence the conclusions drawn about the effectiveness of the approach </w:t>
      </w:r>
      <w:r w:rsidRPr="00B1522E">
        <w:fldChar w:fldCharType="begin" w:fldLock="1"/>
      </w:r>
      <w:r w:rsidR="004A684E" w:rsidRPr="00B1522E">
        <w:instrText>ADDIN CSL_CITATION {"citationItems":[{"id":"ITEM-1","itemData":{"author":[{"dropping-particle":"","family":"Perkins","given":"H. W","non-dropping-particle":"","parse-names":false,"suffix":""}],"container-title":"The social norms approach to preventing school and college age substance abuse: A handbook for educators, counselors, and clinicians","id":"ITEM-1","issued":{"date-parts":[["2003"]]},"publisher":"Jossey-Bass San Francisco","title":"The promise and challenge of future work using the social norms model","type":"book"},"uris":["http://www.mendeley.com/documents/?uuid=89533f15-ee4c-4dde-8159-803c8e689ed8"]},{"id":"ITEM-2","itemData":{"ISSN":"1664-1078","author":[{"dropping-particle":"","family":"Dempsey","given":"Robert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psychology","id":"ITEM-2","issued":{"date-parts":[["2018"]]},"page":"2180","publisher":"Frontiers","title":"A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 H. W Perkins, 2003a)","manualFormatting":"(Dempsey et al., 2018; Perkins, 2003b)","plainTextFormattedCitation":"(Dempsey et al., 2018; H. W Perkins, 2003a)","previouslyFormattedCitation":"(Dempsey et al., 2018; H. W Perkins, 2003a)"},"properties":{"noteIndex":0},"schema":"https://github.com/citation-style-language/schema/raw/master/csl-citation.json"}</w:instrText>
      </w:r>
      <w:r w:rsidRPr="00B1522E">
        <w:fldChar w:fldCharType="separate"/>
      </w:r>
      <w:r w:rsidR="002908AE" w:rsidRPr="00B1522E">
        <w:rPr>
          <w:noProof/>
        </w:rPr>
        <w:t>(Dempsey et al., 2018; Perkins, 2003b)</w:t>
      </w:r>
      <w:r w:rsidRPr="00B1522E">
        <w:fldChar w:fldCharType="end"/>
      </w:r>
      <w:r w:rsidRPr="00B1522E">
        <w:t xml:space="preserve">. For example, </w:t>
      </w:r>
      <w:r w:rsidRPr="00B1522E">
        <w:rPr>
          <w:rFonts w:cstheme="minorHAnsi"/>
        </w:rPr>
        <w:fldChar w:fldCharType="begin" w:fldLock="1"/>
      </w:r>
      <w:r w:rsidR="007463D4" w:rsidRPr="00B1522E">
        <w:rPr>
          <w:rFonts w:cstheme="minorHAnsi"/>
        </w:rPr>
        <w:instrText>ADDIN CSL_CITATION {"citationItems":[{"id":"ITEM-1","itemData":{"ISSN":"0096-882X (Print)","PMID":"12921190","abstract":"OBJECTIVE: To evaluate a widely used intervention to reduce college student alcohol use, we studied student drinking patterns at colleges that employed social norms marketing programs and those that did not. METHOD: We examined responses of students in the Harvard School of Public Health College Alcohol Study (CAS) 1997, 1999 and 2001 data sets at 37 colleges that employed social norms marketing programs and at 61 that did not. Information about the students' drinking behavior and their familiarity with social norms marketing messages at their schools was analyzed, as were college administrators' reports about the implementation of social norms marketing campaigns. Schools were grouped on the basis of student reports of exposure to programmatic materials. Trend analyses were conducted on seven standard measures of alcohol consumption, including annual and 30-day use, frequency, usual quantity and volume consumed, heavy episodic use, and drunkenness. RESULTS: Almost half of the CAS colleges sampled adopted social norms programs. Those that did were more likely to have large enrollments, not to be religiously affiliated and to have high rates of alcohol use. No decreases were noted in any of the seven measures of alcohol use at schools with social norms programs, even when student exposure and length of program existence were considered. Increases in measures of monthly alcohol use and total volume consumed, however, were observed at schools employing social norms programs. CONCLUSIONS: This study does not provide evidence to support the effectiveness of social norms marketing programs, as currently utilized, in reducing alcohol use among college students.","author":[{"dropping-particle":"","family":"Wechsler","given":"Henry","non-dropping-particle":"","parse-names":false,"suffix":""},{"dropping-particle":"","family":"Nelson","given":"Toben E","non-dropping-particle":"","parse-names":false,"suffix":""},{"dropping-particle":"","family":"Lee","given":"Jae Eun","non-dropping-particle":"","parse-names":false,"suffix":""},{"dropping-particle":"","family":"Seibring","given":"Mark","non-dropping-particle":"","parse-names":false,"suffix":""},{"dropping-particle":"","family":"Lewis","given":"Catherine","non-dropping-particle":"","parse-names":false,"suffix":""},{"dropping-particle":"","family":"Keeling","given":"Richard P","non-dropping-particle":"","parse-names":false,"suffix":""}],"container-title":"Journal of studies on alcohol","id":"ITEM-1","issue":"4","issued":{"date-parts":[["2003","7"]]},"language":"eng","page":"484-494","publisher-place":"United States","title":"Perception and reality: a national evaluation of social norms marketing interventions to reduce college students' heavy alcohol use.","type":"article-journal","volume":"64"},"uris":["http://www.mendeley.com/documents/?uuid=6f3c0e7e-9678-4e9c-b7e6-c85a492ff32a"]}],"mendeley":{"formattedCitation":"(Wechsler et al., 2003)","manualFormatting":"Wechsler et al. (2003)","plainTextFormattedCitation":"(Wechsler et al., 2003)","previouslyFormattedCitation":"(Wechsler et al., 2003)"},"properties":{"noteIndex":0},"schema":"https://github.com/citation-style-language/schema/raw/master/csl-citation.json"}</w:instrText>
      </w:r>
      <w:r w:rsidRPr="00B1522E">
        <w:rPr>
          <w:rFonts w:cstheme="minorHAnsi"/>
        </w:rPr>
        <w:fldChar w:fldCharType="separate"/>
      </w:r>
      <w:r w:rsidRPr="00B1522E">
        <w:rPr>
          <w:rFonts w:cstheme="minorHAnsi"/>
          <w:noProof/>
        </w:rPr>
        <w:t>Wechsler et al. (2003)</w:t>
      </w:r>
      <w:r w:rsidRPr="00B1522E">
        <w:rPr>
          <w:rFonts w:cstheme="minorHAnsi"/>
        </w:rPr>
        <w:fldChar w:fldCharType="end"/>
      </w:r>
      <w:r w:rsidRPr="00B1522E">
        <w:rPr>
          <w:rFonts w:cstheme="minorHAnsi"/>
        </w:rPr>
        <w:t xml:space="preserve"> aimed to compare universities that have implemented SNA campaigns to reduce alcohol consumption of students. They reported little interventional effect on decreasing alcohol consumption and concluded that there is limited evidence that such SNA interventions will decrease unhealthy alcohol consumption. However, </w:t>
      </w:r>
      <w:r w:rsidRPr="00B1522E">
        <w:rPr>
          <w:rFonts w:cstheme="minorHAnsi"/>
        </w:rPr>
        <w:fldChar w:fldCharType="begin" w:fldLock="1"/>
      </w:r>
      <w:r w:rsidR="004A684E" w:rsidRPr="00B1522E">
        <w:rPr>
          <w:rFonts w:cstheme="minorHAnsi"/>
        </w:rPr>
        <w:instrText>ADDIN CSL_CITATION {"citationItems":[{"id":"ITEM-1","itemData":{"ISSN":"0096-882X","abstract":"Objective: This study examined (1) the prevalence of misperceptions of college student drinking norms across campuses nationwide, (2) the importance of perceived norms in predicting high-risk drinking, (3) the association of exposure to alcohol education information with students' perceptions of campus drinking norms and (4) the differences in high-risk drinking rates between schools where exposure to alcohol information is associated with more accurately perceived norms and schools where exposure to information is unrelated to perceptions or is associated with greater misperceptions. Method: Multivariate analyses were used to analyze an aggregate database of the National College Health Assessment survey administered to 76,145 students from 130 colleges and universities nationwide from spring 2000 through spring 2003. Results: Regardless of the actual campus drinking norm, a consistently large percentage of students nationwide overestimated the quantity of alcohol consumed by their peers. Students' perception of their campus drinking norm was the strongest predictor of the amount of alcohol personally consumed in comparison with the influence of all demographic variables. Perception of the norm was also a much stronger predictor when compared with the actual campus norm. Reduced levels of high-risk drinking and negative consequences were found among students attending the relatively few schools where exposure to prevention information was associated with less exaggerated perceptions of the drinking norm compared with students attending other schools. Conclusions: Misperceived drinking norms are a pervasive problem. Schools that do not seek to reduce these misperceptions with their prevention information are neglecting a potentially powerful component of prevention.","author":[{"dropping-particle":"","family":"Perkins","given":"H W","non-dropping-particle":"","parse-names":false,"suffix":""},{"dropping-particle":"","family":"Haines","given":"M P","non-dropping-particle":"","parse-names":false,"suffix":""},{"dropping-particle":"","family":"Rice","given":"R","non-dropping-particle":"","parse-names":false,"suffix":""}],"container-title":"Journal of Studies on Alcohol","id":"ITEM-1","issue":"4","issued":{"date-parts":[["2005","7","1"]]},"note":"doi: 10.15288/jsa.2005.66.470","page":"470-478","publisher":"Alcohol Research Documentation, Inc.","title":"Misperceiving the college drinking norm and related problems: a nationwide study of exposure to prevention information, perceived norms and student alcohol misuse.","type":"article-journal","volume":"66"},"uris":["http://www.mendeley.com/documents/?uuid=7f82fc65-368a-4866-9ebc-de3ae3c792b5"]}],"mendeley":{"formattedCitation":"(H W Perkins et al., 2005)","manualFormatting":"Perkins et al. (2005)","plainTextFormattedCitation":"(H W Perkins et al., 2005)","previouslyFormattedCitation":"(H W Perkins et al., 2005)"},"properties":{"noteIndex":0},"schema":"https://github.com/citation-style-language/schema/raw/master/csl-citation.json"}</w:instrText>
      </w:r>
      <w:r w:rsidRPr="00B1522E">
        <w:rPr>
          <w:rFonts w:cstheme="minorHAnsi"/>
        </w:rPr>
        <w:fldChar w:fldCharType="separate"/>
      </w:r>
      <w:r w:rsidRPr="00B1522E">
        <w:rPr>
          <w:rFonts w:cstheme="minorHAnsi"/>
          <w:noProof/>
        </w:rPr>
        <w:t>Perkins et al. (2005)</w:t>
      </w:r>
      <w:r w:rsidRPr="00B1522E">
        <w:rPr>
          <w:rFonts w:cstheme="minorHAnsi"/>
        </w:rPr>
        <w:fldChar w:fldCharType="end"/>
      </w:r>
      <w:r w:rsidRPr="00B1522E">
        <w:rPr>
          <w:rFonts w:cstheme="minorHAnsi"/>
        </w:rPr>
        <w:t xml:space="preserve"> criticised the study and suggested that </w:t>
      </w:r>
      <w:r w:rsidRPr="00B1522E">
        <w:rPr>
          <w:rFonts w:cstheme="minorHAnsi"/>
        </w:rPr>
        <w:fldChar w:fldCharType="begin" w:fldLock="1"/>
      </w:r>
      <w:r w:rsidR="007463D4" w:rsidRPr="00B1522E">
        <w:rPr>
          <w:rFonts w:cstheme="minorHAnsi"/>
        </w:rPr>
        <w:instrText>ADDIN CSL_CITATION {"citationItems":[{"id":"ITEM-1","itemData":{"ISSN":"0096-882X (Print)","PMID":"12921190","abstract":"OBJECTIVE: To evaluate a widely used intervention to reduce college student alcohol use, we studied student drinking patterns at colleges that employed social norms marketing programs and those that did not. METHOD: We examined responses of students in the Harvard School of Public Health College Alcohol Study (CAS) 1997, 1999 and 2001 data sets at 37 colleges that employed social norms marketing programs and at 61 that did not. Information about the students' drinking behavior and their familiarity with social norms marketing messages at their schools was analyzed, as were college administrators' reports about the implementation of social norms marketing campaigns. Schools were grouped on the basis of student reports of exposure to programmatic materials. Trend analyses were conducted on seven standard measures of alcohol consumption, including annual and 30-day use, frequency, usual quantity and volume consumed, heavy episodic use, and drunkenness. RESULTS: Almost half of the CAS colleges sampled adopted social norms programs. Those that did were more likely to have large enrollments, not to be religiously affiliated and to have high rates of alcohol use. No decreases were noted in any of the seven measures of alcohol use at schools with social norms programs, even when student exposure and length of program existence were considered. Increases in measures of monthly alcohol use and total volume consumed, however, were observed at schools employing social norms programs. CONCLUSIONS: This study does not provide evidence to support the effectiveness of social norms marketing programs, as currently utilized, in reducing alcohol use among college students.","author":[{"dropping-particle":"","family":"Wechsler","given":"Henry","non-dropping-particle":"","parse-names":false,"suffix":""},{"dropping-particle":"","family":"Nelson","given":"Toben E","non-dropping-particle":"","parse-names":false,"suffix":""},{"dropping-particle":"","family":"Lee","given":"Jae Eun","non-dropping-particle":"","parse-names":false,"suffix":""},{"dropping-particle":"","family":"Seibring","given":"Mark","non-dropping-particle":"","parse-names":false,"suffix":""},{"dropping-particle":"","family":"Lewis","given":"Catherine","non-dropping-particle":"","parse-names":false,"suffix":""},{"dropping-particle":"","family":"Keeling","given":"Richard P","non-dropping-particle":"","parse-names":false,"suffix":""}],"container-title":"Journal of studies on alcohol","id":"ITEM-1","issue":"4","issued":{"date-parts":[["2003","7"]]},"language":"eng","page":"484-494","publisher-place":"United States","title":"Perception and reality: a national evaluation of social norms marketing interventions to reduce college students' heavy alcohol use.","type":"article-journal","volume":"64"},"uris":["http://www.mendeley.com/documents/?uuid=6f3c0e7e-9678-4e9c-b7e6-c85a492ff32a"]}],"mendeley":{"formattedCitation":"(Wechsler et al., 2003)","manualFormatting":"Wechsler et al. (2003)","plainTextFormattedCitation":"(Wechsler et al., 2003)","previouslyFormattedCitation":"(Wechsler et al., 2003)"},"properties":{"noteIndex":0},"schema":"https://github.com/citation-style-language/schema/raw/master/csl-citation.json"}</w:instrText>
      </w:r>
      <w:r w:rsidRPr="00B1522E">
        <w:rPr>
          <w:rFonts w:cstheme="minorHAnsi"/>
        </w:rPr>
        <w:fldChar w:fldCharType="separate"/>
      </w:r>
      <w:r w:rsidRPr="00B1522E">
        <w:rPr>
          <w:rFonts w:cstheme="minorHAnsi"/>
          <w:noProof/>
        </w:rPr>
        <w:t>Wechsler et al. (2003)</w:t>
      </w:r>
      <w:r w:rsidRPr="00B1522E">
        <w:rPr>
          <w:rFonts w:cstheme="minorHAnsi"/>
        </w:rPr>
        <w:fldChar w:fldCharType="end"/>
      </w:r>
      <w:r w:rsidRPr="00B1522E">
        <w:rPr>
          <w:rFonts w:cstheme="minorHAnsi"/>
        </w:rPr>
        <w:t xml:space="preserve"> did not properly </w:t>
      </w:r>
      <w:r w:rsidRPr="00B1522E">
        <w:rPr>
          <w:rFonts w:cstheme="minorHAnsi"/>
        </w:rPr>
        <w:lastRenderedPageBreak/>
        <w:t>establish</w:t>
      </w:r>
      <w:r w:rsidRPr="00B1522E">
        <w:rPr>
          <w:rFonts w:cstheme="minorHAnsi"/>
          <w:i/>
          <w:iCs/>
        </w:rPr>
        <w:t xml:space="preserve"> </w:t>
      </w:r>
      <w:r w:rsidRPr="00B1522E">
        <w:rPr>
          <w:rFonts w:cstheme="minorHAnsi"/>
        </w:rPr>
        <w:t xml:space="preserve">whether SNA interventions had actually been conducted. </w:t>
      </w:r>
      <w:r w:rsidRPr="00B1522E">
        <w:rPr>
          <w:rFonts w:cstheme="minorHAnsi"/>
        </w:rPr>
        <w:fldChar w:fldCharType="begin" w:fldLock="1"/>
      </w:r>
      <w:r w:rsidR="000B6159" w:rsidRPr="00B1522E">
        <w:rPr>
          <w:rFonts w:cstheme="minorHAnsi"/>
        </w:rPr>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approach","type":"chapter"},"uris":["http://www.mendeley.com/documents/?uuid=7e72ac3f-525d-40f4-9876-d8bb37f8a3fc"]},{"id":"ITEM-2","itemData":{"author":[{"dropping-particle":"","family":"Perkins","given":"H. W","non-dropping-particle":"","parse-names":false,"suffix":""}],"container-title":"The social norms approach to preventing school and college age substance abuse: A handbook for educators, counselors, and clinicians","id":"ITEM-2","issued":{"date-parts":[["2003"]]},"publisher":"Jossey-Bass San Francisco","title":"The promise and challenge of future work using the social norms model","type":"book"},"uris":["http://www.mendeley.com/documents/?uuid=89533f15-ee4c-4dde-8159-803c8e689ed8"]}],"mendeley":{"formattedCitation":"(Berkowitz, 2005; H. W Perkins, 2003a)","manualFormatting":"Berkowitz (2005) and Perkins (2003b)","plainTextFormattedCitation":"(Berkowitz, 2005; H. W Perkins, 2003a)","previouslyFormattedCitation":"(Berkowitz, 2005; H. W Perkins, 2003a)"},"properties":{"noteIndex":0},"schema":"https://github.com/citation-style-language/schema/raw/master/csl-citation.json"}</w:instrText>
      </w:r>
      <w:r w:rsidRPr="00B1522E">
        <w:rPr>
          <w:rFonts w:cstheme="minorHAnsi"/>
        </w:rPr>
        <w:fldChar w:fldCharType="separate"/>
      </w:r>
      <w:r w:rsidRPr="00B1522E">
        <w:rPr>
          <w:rFonts w:cstheme="minorHAnsi"/>
          <w:noProof/>
        </w:rPr>
        <w:t>Berkowitz (2005) and Perkins (2003b)</w:t>
      </w:r>
      <w:r w:rsidRPr="00B1522E">
        <w:rPr>
          <w:rFonts w:cstheme="minorHAnsi"/>
        </w:rPr>
        <w:fldChar w:fldCharType="end"/>
      </w:r>
      <w:r w:rsidRPr="00B1522E">
        <w:rPr>
          <w:rFonts w:cstheme="minorHAnsi"/>
        </w:rPr>
        <w:t xml:space="preserve"> suggests that inconsistency in reported outcomes of SNA interventions may be owing to the lack of fidelity to the SNA. Further, Perkins (2003) also states that poor implementation of SNA interventions could affect the results of studies, with the suggestions that poor implementation could include: confusing messages; lack of dosage; short interventions; short-term follow-up; and not measuring normative perceptions at baseline as well as post-intervention so to </w:t>
      </w:r>
      <w:r w:rsidRPr="00B1522E">
        <w:rPr>
          <w:lang w:val="en-US"/>
        </w:rPr>
        <w:t>evaluate the proposed mechanism of change</w:t>
      </w:r>
      <w:r w:rsidRPr="00B1522E">
        <w:rPr>
          <w:rFonts w:cstheme="minorHAnsi"/>
        </w:rPr>
        <w:t xml:space="preserve"> which is that changing misperceptions leads to changes in behaviour. SNA interventions should be carefully planned and guided by the assumptions to ensure fidelity to the approach </w:t>
      </w:r>
      <w:r w:rsidRPr="00B1522E">
        <w:rPr>
          <w:rFonts w:cstheme="minorHAnsi"/>
        </w:rPr>
        <w:fldChar w:fldCharType="begin" w:fldLock="1"/>
      </w:r>
      <w:r w:rsidRPr="00B1522E">
        <w:rPr>
          <w:rFonts w:cstheme="minorHAnsi"/>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rFonts w:cstheme="minorHAnsi"/>
        </w:rPr>
        <w:fldChar w:fldCharType="separate"/>
      </w:r>
      <w:r w:rsidRPr="00B1522E">
        <w:rPr>
          <w:rFonts w:cstheme="minorHAnsi"/>
          <w:noProof/>
        </w:rPr>
        <w:t>(McAlaney et al., 2010)</w:t>
      </w:r>
      <w:r w:rsidRPr="00B1522E">
        <w:rPr>
          <w:rFonts w:cstheme="minorHAnsi"/>
        </w:rPr>
        <w:fldChar w:fldCharType="end"/>
      </w:r>
      <w:r w:rsidRPr="00B1522E">
        <w:rPr>
          <w:rFonts w:cstheme="minorHAnsi"/>
        </w:rPr>
        <w:t>.</w:t>
      </w:r>
    </w:p>
    <w:p w14:paraId="3BF782F5" w14:textId="77777777" w:rsidR="006B6C88" w:rsidRPr="00B1522E" w:rsidRDefault="006B6C88" w:rsidP="006B6C88">
      <w:pPr>
        <w:spacing w:line="480" w:lineRule="auto"/>
        <w:jc w:val="both"/>
        <w:rPr>
          <w:rFonts w:cstheme="minorHAnsi"/>
        </w:rPr>
      </w:pPr>
    </w:p>
    <w:p w14:paraId="62327144" w14:textId="36C31CFF" w:rsidR="00795693" w:rsidRPr="00B1522E" w:rsidRDefault="00E916FA" w:rsidP="00795693">
      <w:pPr>
        <w:spacing w:line="480" w:lineRule="auto"/>
        <w:jc w:val="both"/>
        <w:rPr>
          <w:rFonts w:cstheme="minorHAnsi"/>
          <w:b/>
          <w:bCs/>
          <w:shd w:val="clear" w:color="auto" w:fill="FFFFFF"/>
        </w:rPr>
      </w:pPr>
      <w:r w:rsidRPr="00B1522E">
        <w:fldChar w:fldCharType="begin"/>
      </w:r>
      <w:r w:rsidRPr="00B1522E">
        <w:instrText xml:space="preserve"> TC  "</w:instrText>
      </w:r>
      <w:bookmarkStart w:id="89" w:name="_Toc97310437"/>
      <w:r w:rsidRPr="00B1522E">
        <w:instrText>3.7 SNA as a strategy to address a range of unhealthy behaviours</w:instrText>
      </w:r>
      <w:bookmarkEnd w:id="89"/>
      <w:r w:rsidRPr="00B1522E">
        <w:instrText xml:space="preserve"> " \f x\l 2 </w:instrText>
      </w:r>
      <w:r w:rsidRPr="00B1522E">
        <w:fldChar w:fldCharType="end"/>
      </w:r>
      <w:r w:rsidR="00795693" w:rsidRPr="00B1522E">
        <w:rPr>
          <w:rFonts w:cstheme="minorHAnsi"/>
          <w:b/>
          <w:bCs/>
          <w:shd w:val="clear" w:color="auto" w:fill="FFFFFF"/>
        </w:rPr>
        <w:t xml:space="preserve">3.7 SNA as a strategy to address a range of unhealthy behaviours </w:t>
      </w:r>
    </w:p>
    <w:p w14:paraId="2F35F0AA" w14:textId="1589DA07" w:rsidR="004A35B9" w:rsidRPr="00B1522E" w:rsidRDefault="004A35B9" w:rsidP="004A35B9">
      <w:pPr>
        <w:spacing w:line="480" w:lineRule="auto"/>
        <w:jc w:val="both"/>
        <w:rPr>
          <w:rFonts w:cstheme="minorHAnsi"/>
        </w:rPr>
      </w:pPr>
      <w:r w:rsidRPr="00B1522E">
        <w:rPr>
          <w:rFonts w:cstheme="minorHAnsi"/>
        </w:rPr>
        <w:t xml:space="preserve">Although the SNA was first developed to reduce unhealthy alcohol consumption amongst college students, it has shown promise for addressing a variety of unhealthy and risky behaviours. For example, a study by </w:t>
      </w:r>
      <w:r w:rsidRPr="00B1522E">
        <w:rPr>
          <w:rFonts w:cstheme="minorHAnsi"/>
        </w:rPr>
        <w:fldChar w:fldCharType="begin" w:fldLock="1"/>
      </w:r>
      <w:r w:rsidRPr="00B1522E">
        <w:rPr>
          <w:rFonts w:cstheme="minorHAnsi"/>
        </w:rPr>
        <w:instrText>ADDIN CSL_CITATION {"citationItems":[{"id":"ITEM-1","itemData":{"ISSN":"1939-2117","abstract":"OBJECTIVE: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psychology","id":"ITEM-1","issue":"3","issued":{"date-parts":[["2015","6"]]},"language":"eng","page":"500-511","title":"Efficacy of personalized normative feedback as a brief intervention for college student gambling: a randomized controlled trial","type":"article-journal","volume":"83"},"uris":["http://www.mendeley.com/documents/?uuid=fcaceed2-d4d5-4058-b962-e7683d722ede"]}],"mendeley":{"formattedCitation":"(Neighbors et al., 2015)","manualFormatting":"Neighbors et al. (2015)","plainTextFormattedCitation":"(Neighbors et al., 2015)","previouslyFormattedCitation":"(Neighbors et al., 2015)"},"properties":{"noteIndex":0},"schema":"https://github.com/citation-style-language/schema/raw/master/csl-citation.json"}</w:instrText>
      </w:r>
      <w:r w:rsidRPr="00B1522E">
        <w:rPr>
          <w:rFonts w:cstheme="minorHAnsi"/>
        </w:rPr>
        <w:fldChar w:fldCharType="separate"/>
      </w:r>
      <w:r w:rsidRPr="00B1522E">
        <w:rPr>
          <w:rFonts w:cstheme="minorHAnsi"/>
          <w:noProof/>
        </w:rPr>
        <w:t>Neighbors et al. (2015)</w:t>
      </w:r>
      <w:r w:rsidRPr="00B1522E">
        <w:rPr>
          <w:rFonts w:cstheme="minorHAnsi"/>
        </w:rPr>
        <w:fldChar w:fldCharType="end"/>
      </w:r>
      <w:r w:rsidRPr="00B1522E">
        <w:rPr>
          <w:rFonts w:cstheme="minorHAnsi"/>
        </w:rPr>
        <w:t xml:space="preserve"> used personalised SNA feedback (descriptive norms) to target college students’ gambling behaviours. Results indicated that following the SNA interventions, students who had more accurate normative perceptions </w:t>
      </w:r>
      <w:r w:rsidRPr="00B1522E">
        <w:t>about quantities lost and won</w:t>
      </w:r>
      <w:r w:rsidRPr="00B1522E">
        <w:rPr>
          <w:rFonts w:cstheme="minorHAnsi"/>
        </w:rPr>
        <w:t xml:space="preserve"> were less likely to gamble. They also found that </w:t>
      </w:r>
      <w:r w:rsidRPr="00B1522E">
        <w:t xml:space="preserve">changes in perceived norms mediated the intervention effect supporting the proposed mechanism of the SNA </w:t>
      </w:r>
      <w:r w:rsidRPr="00B1522E">
        <w:rPr>
          <w:rFonts w:cstheme="minorHAnsi"/>
        </w:rPr>
        <w:t xml:space="preserve">which is that changing misperceptions leads to changes in behaviour. Other successful SNA interventions have targeted smartphone use </w:t>
      </w:r>
      <w:r w:rsidRPr="00B1522E">
        <w:rPr>
          <w:rFonts w:cstheme="minorHAnsi"/>
        </w:rPr>
        <w:fldChar w:fldCharType="begin" w:fldLock="1"/>
      </w:r>
      <w:r w:rsidR="00DF6CCC" w:rsidRPr="00B1522E">
        <w:rPr>
          <w:rFonts w:cstheme="minorHAnsi"/>
        </w:rPr>
        <w:instrText>ADDIN CSL_CITATION {"citationItems":[{"id":"ITEM-1","itemData":{"author":[{"dropping-particle":"","family":"McAlaney","given":"John","non-dropping-particle":"","parse-names":false,"suffix":""},{"dropping-particle":"","family":"Almourad","given":"Mohamed Basel","non-dropping-particle":"","parse-names":false,"suffix":""},{"dropping-particle":"","family":"Powell","given":"Georgina","non-dropping-particle":"","parse-names":false,"suffix":""},{"dropping-particle":"","family":"Ali","given":"Raian","non-dropping-particle":"","parse-names":false,"suffix":""}],"container-title":"Information","id":"ITEM-1","issue":"11","issued":{"date-parts":[["2020"]]},"page":"513-514","publisher":"Multidisciplinary Digital Publishing Institute","title":"Perceptions and misperceptions of smartphone use: Applying the social norms approach","type":"article-journal","volume":"11"},"uris":["http://www.mendeley.com/documents/?uuid=5d727458-0edf-4ccd-9f4f-4ff280b90b5f"]}],"mendeley":{"formattedCitation":"(John McAlaney et al., 2020)","manualFormatting":"(McAlaney et al., 2020)","plainTextFormattedCitation":"(John McAlaney et al., 2020)","previouslyFormattedCitation":"(John McAlaney et al., 2020)"},"properties":{"noteIndex":0},"schema":"https://github.com/citation-style-language/schema/raw/master/csl-citation.json"}</w:instrText>
      </w:r>
      <w:r w:rsidRPr="00B1522E">
        <w:rPr>
          <w:rFonts w:cstheme="minorHAnsi"/>
        </w:rPr>
        <w:fldChar w:fldCharType="separate"/>
      </w:r>
      <w:r w:rsidRPr="00B1522E">
        <w:rPr>
          <w:rFonts w:cstheme="minorHAnsi"/>
          <w:noProof/>
        </w:rPr>
        <w:t>(McAlaney et al., 2020)</w:t>
      </w:r>
      <w:r w:rsidRPr="00B1522E">
        <w:rPr>
          <w:rFonts w:cstheme="minorHAnsi"/>
        </w:rPr>
        <w:fldChar w:fldCharType="end"/>
      </w:r>
      <w:r w:rsidRPr="00B1522E">
        <w:rPr>
          <w:rFonts w:cstheme="minorHAnsi"/>
        </w:rPr>
        <w:t xml:space="preserve">, bullying (Perkins et al., 2011), sunscreen usage </w:t>
      </w:r>
      <w:r w:rsidRPr="00B1522E">
        <w:rPr>
          <w:rFonts w:cstheme="minorHAnsi"/>
        </w:rPr>
        <w:fldChar w:fldCharType="begin" w:fldLock="1"/>
      </w:r>
      <w:r w:rsidRPr="00B1522E">
        <w:rPr>
          <w:rFonts w:cstheme="minorHAnsi"/>
        </w:rPr>
        <w:instrText>ADDIN CSL_CITATION {"citationItems":[{"id":"ITEM-1","itemData":{"ISSN":"1930-7810 (Electronic)","PMID":"23646838","abstract":"OBJECTIVE: Despite long-standing social psychological research supporting the influence of injunctive norms (i.e., what is commonly approved or disapproved) on behavior, support for this influence on health behaviors is limited. We examined the utility of correcting misperceptions of injunctive norms for improving sun protection and whether changes in attitudes mediated the injunctive norm-intention relationship. METHOD: At baseline 263 community residing primarily White women, aged 37 to 77 years, reported their beliefs about sun protection and tanning and their perceptions of \"typical women's\" approval of sun protection versus tanning. Women underestimated approval of sun protection and overestimated approval of tanning. In a randomized trial, 189 of these women received either information about sun protection or information plus personalized normative feedback (PNF). PNF compared each woman's own perceptions of typical women's approval of tanning and sun protection with actual normative values, both measured at baseline. PNF communicated that most women approve of others who sun protect. RESULTS: PNF led to more positive sun protection injunctive norms, attitudes, and intentions at immediate posttest and more positive intentions and self-reported behavior at 4-week follow-up. Baseline discrepancy between a woman's beliefs and actual normative values related negatively to changes in sun protection in the control condition but positively in the PNF condition. As hypothesized, changes in attitudes partially mediated the influence of PNF on changes in intentions. CONCLUSIONS: The present research demonstrates the utility of correcting injunctive norm misperceptions for promoting healthy behaviors. That attitudes changed in response to PNF and mediated the norm-intention relationship suggests a method for influencing attitudes that may limit reactance.","author":[{"dropping-particle":"","family":"Reid","given":"Allecia E","non-dropping-particle":"","parse-names":false,"suffix":""},{"dropping-particle":"","family":"Aiken","given":"Leona S","non-dropping-particle":"","parse-names":false,"suffix":""}],"container-title":"Health psychology : official journal of the Division of Health Psychology, American Psychological Association","id":"ITEM-1","issue":"5","issued":{"date-parts":[["2013","5"]]},"language":"eng","page":"551-560","publisher-place":"United States","title":"Correcting injunctive norm misperceptions motivates behavior change: a randomized controlled sun protection intervention.","type":"article-journal","volume":"32"},"uris":["http://www.mendeley.com/documents/?uuid=9519fd8f-8198-4d1b-b62f-7557d4fabb51"]}],"mendeley":{"formattedCitation":"(Reid &amp; Aiken, 2013)","plainTextFormattedCitation":"(Reid &amp; Aiken, 2013)","previouslyFormattedCitation":"(Reid &amp; Aiken, 2013)"},"properties":{"noteIndex":0},"schema":"https://github.com/citation-style-language/schema/raw/master/csl-citation.json"}</w:instrText>
      </w:r>
      <w:r w:rsidRPr="00B1522E">
        <w:rPr>
          <w:rFonts w:cstheme="minorHAnsi"/>
        </w:rPr>
        <w:fldChar w:fldCharType="separate"/>
      </w:r>
      <w:r w:rsidRPr="00B1522E">
        <w:rPr>
          <w:rFonts w:cstheme="minorHAnsi"/>
          <w:noProof/>
        </w:rPr>
        <w:t>(Reid &amp; Aiken, 2013)</w:t>
      </w:r>
      <w:r w:rsidRPr="00B1522E">
        <w:rPr>
          <w:rFonts w:cstheme="minorHAnsi"/>
        </w:rPr>
        <w:fldChar w:fldCharType="end"/>
      </w:r>
      <w:r w:rsidRPr="00B1522E">
        <w:rPr>
          <w:rFonts w:cstheme="minorHAnsi"/>
        </w:rPr>
        <w:t xml:space="preserve">, tobacco use </w:t>
      </w:r>
      <w:r w:rsidRPr="00B1522E">
        <w:rPr>
          <w:rFonts w:cstheme="minorHAnsi"/>
        </w:rPr>
        <w:fldChar w:fldCharType="begin" w:fldLock="1"/>
      </w:r>
      <w:r w:rsidR="00DF6CCC" w:rsidRPr="00B1522E">
        <w:rPr>
          <w:rFonts w:cstheme="minorHAnsi"/>
        </w:rPr>
        <w:instrText>ADDIN CSL_CITATION {"citationItems":[{"id":"ITEM-1","itemData":{"ISSN":"078796459X","author":[{"dropping-particle":"","family":"Linkenbach","given":"Jeffrey W","non-dropping-particle":"","parse-names":false,"suffix":""},{"dropping-particle":"","family":"Perkins","given":"H W","non-dropping-particle":"","parse-names":false,"suffix":""}],"container-title":"The social norms approach to preventing school and college age substance abuse: A handbook for educators, counselor","id":"ITEM-1","issued":{"date-parts":[["2003"]]},"number-of-pages":"224-234","publisher":"Jossey-Bass","publisher-place":"New York, NY","title":"MOST of us are tobacco free: An eight-month social norms campaign reducing youth initiation of smoking in Montana. In H. W. Perkins (Ed.),","type":"book"},"uris":["http://www.mendeley.com/documents/?uuid=b109719e-3e59-4ba5-a1e0-1eee468ae30b"]},{"id":"ITEM-2","itemData":{"ISSN":"0965-4283","author":[{"dropping-particle":"","family":"Sheikh","given":"Afzal","non-dropping-particle":"","parse-names":false,"suffix":""},{"dropping-particle":"","family":"Vadera","given":"Sunil","non-dropping-particle":"","parse-names":false,"suffix":""},{"dropping-particle":"","family":"Ravey","given":"Michael","non-dropping-particle":"","parse-names":false,"suffix":""},{"dropping-particle":"","family":"Lovatt","given":"Gary","non-dropping-particle":"","parse-names":false,"suffix":""},{"dropping-particle":"","family":"Kelly","given":"Grace","non-dropping-particle":"","parse-names":false,"suffix":""}],"container-title":"Health Education","id":"ITEM-2","issue":"6","issued":{"date-parts":[["2017"]]},"page":"530-539","publisher":"Emerald Publishing Limited","title":"A social norms approach to changing school children’s perceptions of tobacco usage","type":"article-journal","volume":"117"},"uris":["http://www.mendeley.com/documents/?uuid=78f817d1-08ba-4c01-ad47-de933c360a0f"]},{"id":"ITEM-3","itemData":{"ISSN":"1471-2458","abstract":"Smoking is a cause of avoidable morbidity and mortality. In the United Kingdom (UK) the national smoking ban inside hospital buildings is widely adhered to. There is a perception it has led to smokers congregating around hospital entrances (Selbie D. 2016, It’s time for a truly smokefree NHS. Public Health Matters Blog. Public Health England). Efforts to shift social norms and create positive smokefree environments might be strengthened by delivering social norms messages. This study explored the impact of a social norms approach campaign to reduce levels of misperceptions surrounding support for smokefree hospital entrances.","author":[{"dropping-particle":"","family":"Crosby","given":"Scott","non-dropping-particle":"","parse-names":false,"suffix":""},{"dropping-particle":"","family":"Bell","given":"Diane","non-dropping-particle":"","parse-names":false,"suffix":""},{"dropping-particle":"","family":"Savva","given":"Gerard","non-dropping-particle":"","parse-names":false,"suffix":""},{"dropping-particle":"","family":"Edlin","given":"Becky","non-dropping-particle":"","parse-names":false,"suffix":""},{"dropping-particle":"","family":"Bewick","given":"Bridgette M","non-dropping-particle":"","parse-names":false,"suffix":""}],"container-title":"BMC Public Health","id":"ITEM-3","issue":"1","issued":{"date-parts":[["2018"]]},"page":"1365","title":"The impact of a social norms approach on reducing levels of misperceptions around smokefree hospital entrances amongst patients, staff, and visitors of a NHS hospital: a repeated cross-sectional survey study","type":"article-journal","volume":"18"},"uris":["http://www.mendeley.com/documents/?uuid=232065ad-54c5-4510-a4e2-eff13d60e3d8"]}],"mendeley":{"formattedCitation":"(Crosby et al., 2018; Linkenbach &amp; Perkins, 2003; Sheikh et al., 2017)","plainTextFormattedCitation":"(Crosby et al., 2018; Linkenbach &amp; Perkins, 2003; Sheikh et al., 2017)","previouslyFormattedCitation":"(Crosby et al., 2018; Linkenbach &amp; Perkins, 2003; Sheikh et al., 2017)"},"properties":{"noteIndex":0},"schema":"https://github.com/citation-style-language/schema/raw/master/csl-citation.json"}</w:instrText>
      </w:r>
      <w:r w:rsidRPr="00B1522E">
        <w:rPr>
          <w:rFonts w:cstheme="minorHAnsi"/>
        </w:rPr>
        <w:fldChar w:fldCharType="separate"/>
      </w:r>
      <w:r w:rsidR="004B7FAF" w:rsidRPr="00B1522E">
        <w:rPr>
          <w:rFonts w:cstheme="minorHAnsi"/>
          <w:noProof/>
        </w:rPr>
        <w:t>(Crosby et al., 2018; Linkenbach &amp; Perkins, 2003; Sheikh et al., 2017)</w:t>
      </w:r>
      <w:r w:rsidRPr="00B1522E">
        <w:rPr>
          <w:rFonts w:cstheme="minorHAnsi"/>
        </w:rPr>
        <w:fldChar w:fldCharType="end"/>
      </w:r>
      <w:r w:rsidRPr="00B1522E">
        <w:rPr>
          <w:rFonts w:cstheme="minorHAnsi"/>
        </w:rPr>
        <w:t xml:space="preserve">, gambling </w:t>
      </w:r>
      <w:r w:rsidRPr="00B1522E">
        <w:rPr>
          <w:rFonts w:cstheme="minorHAnsi"/>
        </w:rPr>
        <w:fldChar w:fldCharType="begin" w:fldLock="1"/>
      </w:r>
      <w:r w:rsidRPr="00B1522E">
        <w:rPr>
          <w:rFonts w:cstheme="minorHAnsi"/>
        </w:rPr>
        <w:instrText>ADDIN CSL_CITATION {"citationItems":[{"id":"ITEM-1","itemData":{"ISSN":"1939-2117","abstract":"OBJECTIVE: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psychology","id":"ITEM-1","issue":"3","issued":{"date-parts":[["2015","6"]]},"language":"eng","page":"500-511","title":"Efficacy of personalized normative feedback as a brief intervention for college student gambling: a randomized controlled trial","type":"article-journal","volume":"83"},"uris":["http://www.mendeley.com/documents/?uuid=fcaceed2-d4d5-4058-b962-e7683d722ede"]}],"mendeley":{"formattedCitation":"(Neighbors et al., 2015)","plainTextFormattedCitation":"(Neighbors et al., 2015)","previouslyFormattedCitation":"(Neighbors et al., 2015)"},"properties":{"noteIndex":0},"schema":"https://github.com/citation-style-language/schema/raw/master/csl-citation.json"}</w:instrText>
      </w:r>
      <w:r w:rsidRPr="00B1522E">
        <w:rPr>
          <w:rFonts w:cstheme="minorHAnsi"/>
        </w:rPr>
        <w:fldChar w:fldCharType="separate"/>
      </w:r>
      <w:r w:rsidRPr="00B1522E">
        <w:rPr>
          <w:rFonts w:cstheme="minorHAnsi"/>
          <w:noProof/>
        </w:rPr>
        <w:t>(Neighbors et al., 2015)</w:t>
      </w:r>
      <w:r w:rsidRPr="00B1522E">
        <w:rPr>
          <w:rFonts w:cstheme="minorHAnsi"/>
        </w:rPr>
        <w:fldChar w:fldCharType="end"/>
      </w:r>
      <w:r w:rsidRPr="00B1522E">
        <w:rPr>
          <w:rFonts w:cstheme="minorHAnsi"/>
        </w:rPr>
        <w:t xml:space="preserve"> and traffic safety </w:t>
      </w:r>
      <w:r w:rsidRPr="00B1522E">
        <w:rPr>
          <w:rFonts w:cstheme="minorHAnsi"/>
        </w:rPr>
        <w:fldChar w:fldCharType="begin" w:fldLock="1"/>
      </w:r>
      <w:r w:rsidR="004A684E" w:rsidRPr="00B1522E">
        <w:rPr>
          <w:rFonts w:cstheme="minorHAnsi"/>
        </w:rPr>
        <w:instrText>ADDIN CSL_CITATION {"citationItems":[{"id":"ITEM-1","itemData":{"ISSN":"0306-4603","abstract":"This research evaluated the efficacy of a high-intensity social norms media marketing campaign aimed at correcting normative misperceptions and reducing the prevalence of drinking and driving among 21-to-34-year-olds in Montana. A quasi-experimental design was used, such that regions of Montana were assigned to one of three experimental groups: social norms media marketing campaign, buffer, and control. Four random samples of Montanans between the ages of 21 and 34 were assessed at four time points over 18months via phone surveys. Findings suggest that the social norms media campaign was successful at exposing the targeted population to social norms messages in the counties within the intervention region. Moreover, results demonstrate the campaign reduced normative misperceptions, increased use of designated drivers, and decreased drinking and driving among those young adults in counties within the intervention region. Social norms media marketing can be effective at changing drinking-related behaviors at the population level. This research provides a model for utilizing social norms media marketing to address other behaviors related to public health.","author":[{"dropping-particle":"","family":"Perkins","given":"H W","non-dropping-particle":"","parse-names":false,"suffix":""},{"dropping-particle":"","family":"Linkenbach","given":"J W","non-dropping-particle":"","parse-names":false,"suffix":""},{"dropping-particle":"","family":"Lewis","given":"MA","non-dropping-particle":"","parse-names":false,"suffix":""},{"dropping-particle":"","family":"Neighbors","given":"Cl","non-dropping-particle":"","parse-names":false,"suffix":""}],"container-title":"Addictive Behaviors","id":"ITEM-1","issue":"10","issued":{"date-parts":[["2010"]]},"page":"866-874","title":"Effectiveness of social norms media marketing in reducing drinking and driving: A statewide campaign","type":"article-journal","volume":"35"},"uris":["http://www.mendeley.com/documents/?uuid=f77ea546-f353-4116-af3e-2ad74988a7dc"]}],"mendeley":{"formattedCitation":"(H W Perkins et al., 2010)","manualFormatting":"(Perkins et al., 2010)","plainTextFormattedCitation":"(H W Perkins et al., 2010)","previouslyFormattedCitation":"(H W Perkins et al., 2010)"},"properties":{"noteIndex":0},"schema":"https://github.com/citation-style-language/schema/raw/master/csl-citation.json"}</w:instrText>
      </w:r>
      <w:r w:rsidRPr="00B1522E">
        <w:rPr>
          <w:rFonts w:cstheme="minorHAnsi"/>
        </w:rPr>
        <w:fldChar w:fldCharType="separate"/>
      </w:r>
      <w:r w:rsidRPr="00B1522E">
        <w:rPr>
          <w:rFonts w:cstheme="minorHAnsi"/>
          <w:noProof/>
        </w:rPr>
        <w:t>(Perkins et al., 2010)</w:t>
      </w:r>
      <w:r w:rsidRPr="00B1522E">
        <w:rPr>
          <w:rFonts w:cstheme="minorHAnsi"/>
        </w:rPr>
        <w:fldChar w:fldCharType="end"/>
      </w:r>
      <w:r w:rsidRPr="00B1522E">
        <w:rPr>
          <w:rFonts w:cstheme="minorHAnsi"/>
        </w:rPr>
        <w:t xml:space="preserve">. </w:t>
      </w:r>
    </w:p>
    <w:p w14:paraId="435E7B21" w14:textId="75466788" w:rsidR="004A35B9" w:rsidRPr="00B1522E" w:rsidRDefault="004A35B9" w:rsidP="00A1584F">
      <w:pPr>
        <w:spacing w:line="480" w:lineRule="auto"/>
        <w:ind w:firstLine="720"/>
        <w:jc w:val="both"/>
        <w:rPr>
          <w:rFonts w:cstheme="minorHAnsi"/>
          <w:shd w:val="clear" w:color="auto" w:fill="FFFFFF"/>
        </w:rPr>
      </w:pPr>
      <w:r w:rsidRPr="00B1522E">
        <w:t xml:space="preserve">There is some discussion whether adolescents in particular may be more sensitive to perceived social norms than other age groups as they are driven by a fundamental need to conform to group norms as a way to seek peer approval and to avoid social rejection </w:t>
      </w:r>
      <w:r w:rsidRPr="00B1522E">
        <w:rPr>
          <w:rFonts w:cstheme="minorHAnsi"/>
        </w:rPr>
        <w:fldChar w:fldCharType="begin" w:fldLock="1"/>
      </w:r>
      <w:r w:rsidR="004A684E" w:rsidRPr="00B1522E">
        <w:rPr>
          <w:rFonts w:cstheme="minorHAnsi"/>
        </w:rPr>
        <w:instrText>ADDIN CSL_CITATION {"citationItems":[{"id":"ITEM-1","itemData":{"ISSN":"0195-6663","abstract":"It is commonly believed that during adolescence children become increasingly influenced by peers at the expense of parents. To test the strength of this tendency with regards to healthy eating (fruit and vegetable intake), a survey was completed by 757 adolescent–parent dyads. Our theoretical framework builds on social cognitive theory and the focus theory of normative conduct, and data are analysed by means of confirmatory factor analysis and structural equation modelling. The study reveals that when it comes to adolescents' fruit and vegetable intake, parents remain the main influencer, with what they do (descriptive norms) being more important than what they say (injunctive norms). The study contributes to a more comprehensive understanding of what influences adolescent healthy eating, including the social influence of parents and friends, while also taking adolescent self-efficacy and outcome expectations into account. No previous studies have included all these factors in the same analysis. The study has a number of important implications: (1) healthy eating interventions should aim at strengthening self-efficacy and positive outcome expectations among adolescents, (2) the family context should be included when implementing healthy eating interventions and (3) parents' awareness of their influence on their children's healthy eating should be reinforced. (PsycINFO Database Record (c) 2016 APA, all rights reserved)","author":[{"dropping-particle":"","family":"Pedersen","given":"Susanne","non-dropping-particle":"","parse-names":false,"suffix":""},{"dropping-particle":"","family":"Grønhøj","given":"Alice","non-dropping-particle":"","parse-names":false,"suffix":""},{"dropping-particle":"","family":"Thøgersen","given":"John","non-dropping-particle":"","parse-names":false,"suffix":""}],"container-title":"Appetite","id":"ITEM-1","issued":{"date-parts":[["2015","3","1"]]},"note":"Not an intervention","page":"54-60","publisher":"Elsevier Science","publisher-place":"Thøgersen, John, MAPP, Department of Business Administration, Business and Social Sciences, Aarhus University, Bartholins Alle 10, 8000, Aarhus C, Denmark","title":"Following family or friends Social norms in adolescent healthy eating","type":"article-journal","volume":"86"},"uris":["http://www.mendeley.com/documents/?uuid=d6fb2208-3d5d-4e7f-8ac8-9484318e99c3"]},{"id":"ITEM-2","itemData":{"ISBN":"1664-1078","author":[{"dropping-particle":"","family":"Stok","given":"F","non-dropping-particle":"","parse-names":false,"suffix":""},{"dropping-particle":"","family":"Mollen","given":"Sa","non-dropping-particle":"","parse-names":false,"suffix":""},{"dropping-particle":"","family":"Verkooijen","given":"K","non-dropping-particle":"","parse-names":false,"suffix":""},{"dropping-particle":"","family":"Renner","given":"B","non-dropping-particle":"","parse-names":false,"suffix":""}],"container-title":"Frontiers in Psychology","id":"ITEM-2","issued":{"date-parts":[["2018"]]},"page":"738-741","title":"Editorial: Unravelling Social Norm Effects: How and When Social Norms Affect Eating Behavior","type":"article-journal","volume":"9"},"uris":["http://www.mendeley.com/documents/?uuid=9d5f002f-68a4-4b39-b6c8-633b8f9f7019"]},{"id":"ITEM-3","itemData":{"ISSN":"1368-4302","author":[{"dropping-particle":"","family":"Perkins","given":"H.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Relations","id":"ITEM-3","issue":"5","issued":{"date-parts":[["2011"]]},"page":"703-722","publisher":"Sage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id":"ITEM-4","itemData":{"ISSN":"1050-8392","author":[{"dropping-particle":"","family":"Hoorn","given":"Jorien","non-dropping-particle":"Van","parse-names":false,"suffix":""},{"dropping-particle":"","family":"Crone","given":"Eveline A","non-dropping-particle":"","parse-names":false,"suffix":""},{"dropping-particle":"","family":"Leijenhorst","given":"Linda","non-dropping-particle":"Van","parse-names":false,"suffix":""}],"container-title":"Journal of Research on Adolescence","id":"ITEM-4","issue":"1","issued":{"date-parts":[["2017"]]},"page":"189-200","publisher":"Wiley Online Library","title":"Hanging out with the right crowd: Peer influence on risk‐taking behavior in adolescence","type":"article-journal","volume":"27"},"uris":["http://www.mendeley.com/documents/?uuid=8a4c325d-4ce0-43a3-8f36-9a6c9386c388"]}],"mendeley":{"formattedCitation":"(Pedersen et al., 2015; H. W Perkins et al., 2011; F. Stok et al., 2018; Van Hoorn et al., 2017)","manualFormatting":"(Pedersen et al., 2015; Perkins et al., 2011; Stok et al., 2018; Van Hoorn et al., 2017)","plainTextFormattedCitation":"(Pedersen et al., 2015; H. W Perkins et al., 2011; F. Stok et al., 2018; Van Hoorn et al., 2017)","previouslyFormattedCitation":"(Pedersen et al., 2015; H. W Perkins et al., 2011; F. Stok et al., 2018; Van Hoorn et al., 2017)"},"properties":{"noteIndex":0},"schema":"https://github.com/citation-style-language/schema/raw/master/csl-citation.json"}</w:instrText>
      </w:r>
      <w:r w:rsidRPr="00B1522E">
        <w:rPr>
          <w:rFonts w:cstheme="minorHAnsi"/>
        </w:rPr>
        <w:fldChar w:fldCharType="separate"/>
      </w:r>
      <w:r w:rsidRPr="00B1522E">
        <w:rPr>
          <w:rFonts w:cstheme="minorHAnsi"/>
          <w:noProof/>
        </w:rPr>
        <w:t xml:space="preserve">(Pedersen et al., 2015; </w:t>
      </w:r>
      <w:r w:rsidRPr="00B1522E">
        <w:rPr>
          <w:rFonts w:cstheme="minorHAnsi"/>
          <w:noProof/>
        </w:rPr>
        <w:lastRenderedPageBreak/>
        <w:t>Perkins et al., 2011; Stok et al., 2018; Van Hoorn et al., 2017)</w:t>
      </w:r>
      <w:r w:rsidRPr="00B1522E">
        <w:rPr>
          <w:rFonts w:cstheme="minorHAnsi"/>
        </w:rPr>
        <w:fldChar w:fldCharType="end"/>
      </w:r>
      <w:r w:rsidRPr="00B1522E">
        <w:rPr>
          <w:rFonts w:cstheme="minorHAnsi"/>
        </w:rPr>
        <w:t xml:space="preserve">, and are at an age where they are more likely to engage in risky or unhealthy behaviours </w:t>
      </w:r>
      <w:r w:rsidRPr="00B1522E">
        <w:rPr>
          <w:rFonts w:cstheme="minorHAnsi"/>
        </w:rPr>
        <w:fldChar w:fldCharType="begin" w:fldLock="1"/>
      </w:r>
      <w:r w:rsidRPr="00B1522E">
        <w:rPr>
          <w:rFonts w:cstheme="minorHAnsi"/>
        </w:rPr>
        <w:instrText>ADDIN CSL_CITATION {"citationItems":[{"id":"ITEM-1","itemData":{"ISSN":"1939-0599","author":[{"dropping-particle":"","family":"Gardner","given":"Margo","non-dropping-particle":"","parse-names":false,"suffix":""},{"dropping-particle":"","family":"Steinberg","given":"Laurence","non-dropping-particle":"","parse-names":false,"suffix":""}],"container-title":"Developmental psychology","id":"ITEM-1","issue":"4","issued":{"date-parts":[["2005"]]},"page":"625","publisher":"American Psychological Association","title":"Peer influence on risk taking, risk preference, and risky decision making in adolescence and adulthood: an experimental study.","type":"article-journal","volume":"41"},"uris":["http://www.mendeley.com/documents/?uuid=51c10594-266c-4f26-9529-4f9f75c2722f"]}],"mendeley":{"formattedCitation":"(Gardner &amp; Steinberg, 2005)","plainTextFormattedCitation":"(Gardner &amp; Steinberg, 2005)","previouslyFormattedCitation":"(Gardner &amp; Steinberg, 2005)"},"properties":{"noteIndex":0},"schema":"https://github.com/citation-style-language/schema/raw/master/csl-citation.json"}</w:instrText>
      </w:r>
      <w:r w:rsidRPr="00B1522E">
        <w:rPr>
          <w:rFonts w:cstheme="minorHAnsi"/>
        </w:rPr>
        <w:fldChar w:fldCharType="separate"/>
      </w:r>
      <w:r w:rsidRPr="00B1522E">
        <w:rPr>
          <w:rFonts w:cstheme="minorHAnsi"/>
          <w:noProof/>
        </w:rPr>
        <w:t>(Gardner &amp; Steinberg, 2005)</w:t>
      </w:r>
      <w:r w:rsidRPr="00B1522E">
        <w:rPr>
          <w:rFonts w:cstheme="minorHAnsi"/>
        </w:rPr>
        <w:fldChar w:fldCharType="end"/>
      </w:r>
      <w:r w:rsidRPr="00B1522E">
        <w:rPr>
          <w:rFonts w:cstheme="minorHAnsi"/>
        </w:rPr>
        <w:t xml:space="preserve">. </w:t>
      </w:r>
      <w:r w:rsidRPr="00B1522E">
        <w:t xml:space="preserve">SNA-based interventions have often targeted young </w:t>
      </w:r>
      <w:r w:rsidRPr="00B1522E">
        <w:rPr>
          <w:rFonts w:cstheme="minorHAnsi"/>
          <w:shd w:val="clear" w:color="auto" w:fill="FFFFFF"/>
        </w:rPr>
        <w:t xml:space="preserve">adults, predominantly recruiting from a university setting </w:t>
      </w:r>
      <w:r w:rsidRPr="00B1522E">
        <w:rPr>
          <w:rFonts w:cstheme="minorHAnsi"/>
          <w:shd w:val="clear" w:color="auto" w:fill="FFFFFF"/>
        </w:rPr>
        <w:fldChar w:fldCharType="begin" w:fldLock="1"/>
      </w:r>
      <w:r w:rsidR="000B6159" w:rsidRPr="00B1522E">
        <w:rPr>
          <w:rFonts w:cstheme="minorHAnsi"/>
          <w:shd w:val="clear" w:color="auto" w:fill="FFFFFF"/>
        </w:rPr>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approach","type":"chapter"},"uris":["http://www.mendeley.com/documents/?uuid=7e72ac3f-525d-40f4-9876-d8bb37f8a3fc"]}],"mendeley":{"formattedCitation":"(Berkowitz, 2005)","plainTextFormattedCitation":"(Berkowitz, 2005)","previouslyFormattedCitation":"(Berkowitz, 2005)"},"properties":{"noteIndex":0},"schema":"https://github.com/citation-style-language/schema/raw/master/csl-citation.json"}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(Berkowitz, 2005)</w:t>
      </w:r>
      <w:r w:rsidRPr="00B1522E">
        <w:rPr>
          <w:rFonts w:cstheme="minorHAnsi"/>
          <w:shd w:val="clear" w:color="auto" w:fill="FFFFFF"/>
        </w:rPr>
        <w:fldChar w:fldCharType="end"/>
      </w:r>
      <w:r w:rsidRPr="00B1522E">
        <w:rPr>
          <w:rFonts w:cstheme="minorHAnsi"/>
          <w:shd w:val="clear" w:color="auto" w:fill="FFFFFF"/>
        </w:rPr>
        <w:t>. A small number of studies have started to address this gap in the literature by delivering SNA-</w:t>
      </w:r>
      <w:r w:rsidRPr="00B1522E">
        <w:t>based interventions</w:t>
      </w:r>
      <w:r w:rsidRPr="00B1522E">
        <w:rPr>
          <w:rFonts w:cstheme="minorHAnsi"/>
          <w:shd w:val="clear" w:color="auto" w:fill="FFFFFF"/>
        </w:rPr>
        <w:t xml:space="preserve"> in different settings, e.g. hospitals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{"citationItems":[{"id":"ITEM-1","itemData":{"ISSN":"1471-2458","abstract":"Smoking is a cause of avoidable morbidity and mortality. In the United Kingdom (UK) the national smoking ban inside hospital buildings is widely adhered to. There is a perception it has led to smokers congregating around hospital entrances (Selbie D. 2016, It’s time for a truly smokefree NHS. Public Health Matters Blog. Public Health England). Efforts to shift social norms and create positive smokefree environments might be strengthened by delivering social norms messages. This study explored the impact of a social norms approach campaign to reduce levels of misperceptions surrounding support for smokefree hospital entrances.","author":[{"dropping-particle":"","family":"Crosby","given":"Scott","non-dropping-particle":"","parse-names":false,"suffix":""},{"dropping-particle":"","family":"Bell","given":"Diane","non-dropping-particle":"","parse-names":false,"suffix":""},{"dropping-particle":"","family":"Savva","given":"Gerard","non-dropping-particle":"","parse-names":false,"suffix":""},{"dropping-particle":"","family":"Edlin","given":"Becky","non-dropping-particle":"","parse-names":false,"suffix":""},{"dropping-particle":"","family":"Bewick","given":"Bridgette M","non-dropping-particle":"","parse-names":false,"suffix":""}],"container-title":"BMC Public Health","id":"ITEM-1","issue":"1","issued":{"date-parts":[["2018"]]},"page":"1365","title":"The impact of a social norms approach on reducing levels of misperceptions around smokefree hospital entrances amongst patients, staff, and visitors of a NHS hospital: a repeated cross-sectional survey study","type":"article-journal","volume":"18"},"uris":["http://www.mendeley.com/documents/?uuid=232065ad-54c5-4510-a4e2-eff13d60e3d8"]}],"mendeley":{"formattedCitation":"(Crosby et al., 2018)","plainTextFormattedCitation":"(Crosby et al., 2018)","previouslyFormattedCitation":"(Crosby et al., 2018)"},"properties":{"noteIndex":0},"schema":"https://github.com/citation-style-language/schema/raw/master/csl-citation.json"}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(Crosby et al., 2018)</w:t>
      </w:r>
      <w:r w:rsidRPr="00B1522E">
        <w:rPr>
          <w:rFonts w:cstheme="minorHAnsi"/>
          <w:shd w:val="clear" w:color="auto" w:fill="FFFFFF"/>
        </w:rPr>
        <w:fldChar w:fldCharType="end"/>
      </w:r>
      <w:r w:rsidRPr="00B1522E">
        <w:rPr>
          <w:rFonts w:cstheme="minorHAnsi"/>
          <w:shd w:val="clear" w:color="auto" w:fill="FFFFFF"/>
        </w:rPr>
        <w:t xml:space="preserve">, hotels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{"citationItems":[{"id":"ITEM-1","itemData":{"ISSN":"0093-5301","author":[{"dropping-particle":"","family":"Goldstein","given":"Noah J","non-dropping-particle":"","parse-names":false,"suffix":""},{"dropping-particle":"","family":"Cialdini","given":"Robert B","non-dropping-particle":"","parse-names":false,"suffix":""},{"dropping-particle":"","family":"Griskevicius","given":"Vladas","non-dropping-particle":"","parse-names":false,"suffix":""}],"container-title":"Journal of consumer Research","id":"ITEM-1","issue":"3","issued":{"date-parts":[["2008"]]},"page":"472-482","publisher":"Oxford University Press","title":"A room with a viewpoint: Using social norms to motivate environmental conservation in hotels","type":"article-journal","volume":"35"},"uris":["http://www.mendeley.com/documents/?uuid=4ecdd021-8b06-4677-9078-d55b1ee75f83"]}],"mendeley":{"formattedCitation":"(Goldstein et al., 2008)","plainTextFormattedCitation":"(Goldstein et al., 2008)","previouslyFormattedCitation":"(Goldstein et al., 2008)"},"properties":{"noteIndex":0},"schema":"https://github.com/citation-style-language/schema/raw/master/csl-citation.json"}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(Goldstein et al., 2008)</w:t>
      </w:r>
      <w:r w:rsidRPr="00B1522E">
        <w:rPr>
          <w:rFonts w:cstheme="minorHAnsi"/>
          <w:shd w:val="clear" w:color="auto" w:fill="FFFFFF"/>
        </w:rPr>
        <w:fldChar w:fldCharType="end"/>
      </w:r>
      <w:r w:rsidRPr="00B1522E">
        <w:rPr>
          <w:rFonts w:cstheme="minorHAnsi"/>
          <w:shd w:val="clear" w:color="auto" w:fill="FFFFFF"/>
        </w:rPr>
        <w:t xml:space="preserve">, schools </w:t>
      </w:r>
      <w:r w:rsidRPr="00B1522E">
        <w:rPr>
          <w:rFonts w:cstheme="minorHAnsi"/>
          <w:shd w:val="clear" w:color="auto" w:fill="FFFFFF"/>
        </w:rPr>
        <w:fldChar w:fldCharType="begin" w:fldLock="1"/>
      </w:r>
      <w:r w:rsidR="004A684E" w:rsidRPr="00B1522E">
        <w:rPr>
          <w:rFonts w:cstheme="minorHAnsi"/>
          <w:shd w:val="clear" w:color="auto" w:fill="FFFFFF"/>
        </w:rPr>
        <w:instrText>ADDIN CSL_CITATION {"citationItems":[{"id":"ITEM-1","itemData":{"ISSN":"0965-4283","author":[{"dropping-particle":"","family":"Sheikh","given":"Afzal","non-dropping-particle":"","parse-names":false,"suffix":""},{"dropping-particle":"","family":"Vadera","given":"Sunil","non-dropping-particle":"","parse-names":false,"suffix":""},{"dropping-particle":"","family":"Ravey","given":"Michael","non-dropping-particle":"","parse-names":false,"suffix":""},{"dropping-particle":"","family":"Lovatt","given":"Gary","non-dropping-particle":"","parse-names":false,"suffix":""},{"dropping-particle":"","family":"Kelly","given":"Grace","non-dropping-particle":"","parse-names":false,"suffix":""}],"container-title":"Health Education","id":"ITEM-1","issue":"6","issued":{"date-parts":[["2017"]]},"page":"530-539","publisher":"Emerald Publishing Limited","title":"A social norms approach to changing school children’s perceptions of tobacco usage","type":"article-journal","volume":"117"},"uris":["http://www.mendeley.com/documents/?uuid=78f817d1-08ba-4c01-ad47-de933c360a0f"]},{"id":"ITEM-2","itemData":{"ISSN":"1368-4302","author":[{"dropping-particle":"","family":"Perkins","given":"H.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Relations","id":"ITEM-2","issue":"5","issued":{"date-parts":[["2011"]]},"page":"703-722","publisher":"Sage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schools","type":"article-journal","volume":"14"},"uris":["http://www.mendeley.com/documents/?uuid=6378a98a-771f-425a-8e50-f7c8134e913c"]}],"mendeley":{"formattedCitation":"(H. W Perkins et al., 2011; Sheikh et al., 2017)","manualFormatting":"(Perkins et al., 2011; Sheikh et al., 2017)","plainTextFormattedCitation":"(H. W Perkins et al., 2011; Sheikh et al., 2017)","previouslyFormattedCitation":"(H. W Perkins et al., 2011; Sheikh et al., 2017)"},"properties":{"noteIndex":0},"schema":"https://github.com/citation-style-language/schema/raw/master/csl-citation.json"}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(Perkins et al., 2011; Sheikh et al., 2017)</w:t>
      </w:r>
      <w:r w:rsidRPr="00B1522E">
        <w:rPr>
          <w:rFonts w:cstheme="minorHAnsi"/>
          <w:shd w:val="clear" w:color="auto" w:fill="FFFFFF"/>
        </w:rPr>
        <w:fldChar w:fldCharType="end"/>
      </w:r>
      <w:r w:rsidRPr="00B1522E">
        <w:rPr>
          <w:rFonts w:cstheme="minorHAnsi"/>
          <w:shd w:val="clear" w:color="auto" w:fill="FFFFFF"/>
        </w:rPr>
        <w:t xml:space="preserve">, and in the </w:t>
      </w:r>
      <w:r w:rsidRPr="00B1522E">
        <w:t xml:space="preserve">community </w:t>
      </w:r>
      <w:r w:rsidRPr="00B1522E">
        <w:fldChar w:fldCharType="begin" w:fldLock="1"/>
      </w:r>
      <w:r w:rsidR="004A684E" w:rsidRPr="00B1522E">
        <w:instrText>ADDIN CSL_CITATION {"citationItems":[{"id":"ITEM-1","itemData":{"ISSN":"078796459X","author":[{"dropping-particle":"","family":"Linkenbach","given":"Jeffrey W","non-dropping-particle":"","parse-names":false,"suffix":""},{"dropping-particle":"","family":"Perkins","given":"H W","non-dropping-particle":"","parse-names":false,"suffix":""}],"container-title":"The social norms approach to preventing school and college age substance abuse: A handbook for educators, counselor","id":"ITEM-1","issued":{"date-parts":[["2003"]]},"number-of-pages":"224-234","publisher":"Jossey-Bass","publisher-place":"New York, NY","title":"MOST of us are tobacco free: An eight-month social norms campaign reducing youth initiation of smoking in Montana. In H. W. Perkins (Ed.),","type":"book"},"uris":["http://www.mendeley.com/documents/?uuid=b109719e-3e59-4ba5-a1e0-1eee468ae30b"]},{"id":"ITEM-2","itemData":{"ISSN":"0306-4603","abstract":"This research evaluated the efficacy of a high-intensity social norms media marketing campaign aimed at correcting normative misperceptions and reducing the prevalence of drinking and driving among 21-to-34-year-olds in Montana. A quasi-experimental design was used, such that regions of Montana were assigned to one of three experimental groups: social norms media marketing campaign, buffer, and control. Four random samples of Montanans between the ages of 21 and 34 were assessed at four time points over 18months via phone surveys. Findings suggest that the social norms media campaign was successful at exposing the targeted population to social norms messages in the counties within the intervention region. Moreover, results demonstrate the campaign reduced normative misperceptions, increased use of designated drivers, and decreased drinking and driving among those young adults in counties within the intervention region. Social norms media marketing can be effective at changing drinking-related behaviors at the population level. This research provides a model for utilizing social norms media marketing to address other behaviors related to public health.","author":[{"dropping-particle":"","family":"Perkins","given":"H W","non-dropping-particle":"","parse-names":false,"suffix":""},{"dropping-particle":"","family":"Linkenbach","given":"J W","non-dropping-particle":"","parse-names":false,"suffix":""},{"dropping-particle":"","family":"Lewis","given":"MA","non-dropping-particle":"","parse-names":false,"suffix":""},{"dropping-particle":"","family":"Neighbors","given":"Cl","non-dropping-particle":"","parse-names":false,"suffix":""}],"container-title":"Addictive Behaviors","id":"ITEM-2","issue":"10","issued":{"date-parts":[["2010"]]},"page":"866-874","title":"Effectiveness of social norms media marketing in reducing drinking and driving: A statewide campaign","type":"article-journal","volume":"35"},"uris":["http://www.mendeley.com/documents/?uuid=f77ea546-f353-4116-af3e-2ad74988a7dc"]}],"mendeley":{"formattedCitation":"(Linkenbach &amp; Perkins, 2003; H W Perkins et al., 2010)","manualFormatting":"(Linkenbach &amp; Perkins, 2003; Perkins et al., 2010)","plainTextFormattedCitation":"(Linkenbach &amp; Perkins, 2003; H W Perkins et al., 2010)","previouslyFormattedCitation":"(Linkenbach &amp; Perkins, 2003; H W Perkins et al., 2010)"},"properties":{"noteIndex":0},"schema":"https://github.com/citation-style-language/schema/raw/master/csl-citation.json"}</w:instrText>
      </w:r>
      <w:r w:rsidRPr="00B1522E">
        <w:fldChar w:fldCharType="separate"/>
      </w:r>
      <w:r w:rsidRPr="00B1522E">
        <w:rPr>
          <w:noProof/>
        </w:rPr>
        <w:t>(Linkenbach &amp; Perkins, 2003; Perkins et al., 2010)</w:t>
      </w:r>
      <w:r w:rsidRPr="00B1522E">
        <w:fldChar w:fldCharType="end"/>
      </w:r>
      <w:r w:rsidRPr="00B1522E">
        <w:t>, targeting different population groups ranging from</w:t>
      </w:r>
      <w:r w:rsidRPr="00B1522E">
        <w:rPr>
          <w:rFonts w:cstheme="minorHAnsi"/>
          <w:shd w:val="clear" w:color="auto" w:fill="FFFFFF"/>
        </w:rPr>
        <w:t xml:space="preserve"> military personnel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{"citationItems":[{"id":"ITEM-1","itemData":{"ISSN":"2163-5781","author":[{"dropping-particle":"","family":"Hitt","given":"Rose","non-dropping-particle":"","parse-names":false,"suffix":""},{"dropping-particle":"","family":"Massi Lindsey","given":"Lisa L","non-dropping-particle":"","parse-names":false,"suffix":""}],"container-title":"Military Behavioral Health","id":"ITEM-1","issue":"2","issued":{"date-parts":[["2020"]]},"page":"181-190","publisher":"Taylor &amp; Francis","title":"Military Members’ Perceptions of Social Norms About Mental Health for Combat Stress","type":"article-journal","volume":"8"},"uris":["http://www.mendeley.com/documents/?uuid=61454e72-be75-4841-9031-7900ced22717"]}],"mendeley":{"formattedCitation":"(Hitt &amp; Massi Lindsey, 2020)","plainTextFormattedCitation":"(Hitt &amp; Massi Lindsey, 2020)","previouslyFormattedCitation":"(Hitt &amp; Massi Lindsey, 2020)"},"properties":{"noteIndex":0},"schema":"https://github.com/citation-style-language/schema/raw/master/csl-citation.json"}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(Hitt &amp; Massi Lindsey, 2020)</w:t>
      </w:r>
      <w:r w:rsidRPr="00B1522E">
        <w:rPr>
          <w:rFonts w:cstheme="minorHAnsi"/>
          <w:shd w:val="clear" w:color="auto" w:fill="FFFFFF"/>
        </w:rPr>
        <w:fldChar w:fldCharType="end"/>
      </w:r>
      <w:r w:rsidRPr="00B1522E">
        <w:rPr>
          <w:rFonts w:cstheme="minorHAnsi"/>
          <w:shd w:val="clear" w:color="auto" w:fill="FFFFFF"/>
        </w:rPr>
        <w:t xml:space="preserve"> to adolescents </w:t>
      </w:r>
      <w:r w:rsidRPr="00B1522E">
        <w:rPr>
          <w:rFonts w:cstheme="minorHAnsi"/>
          <w:shd w:val="clear" w:color="auto" w:fill="FFFFFF"/>
        </w:rPr>
        <w:fldChar w:fldCharType="begin" w:fldLock="1"/>
      </w:r>
      <w:r w:rsidR="004A684E" w:rsidRPr="00B1522E">
        <w:rPr>
          <w:rFonts w:cstheme="minorHAnsi"/>
          <w:shd w:val="clear" w:color="auto" w:fill="FFFFFF"/>
        </w:rPr>
        <w:instrText>ADDIN CSL_CITATION {"citationItems":[{"id":"ITEM-1","itemData":{"ISSN":"1368-4302","author":[{"dropping-particle":"","family":"Perkins","given":"H.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Relations","id":"ITEM-1","issue":"5","issued":{"date-parts":[["2011"]]},"page":"703-722","publisher":"Sage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schools","type":"article-journal","volume":"14"},"uris":["http://www.mendeley.com/documents/?uuid=6378a98a-771f-425a-8e50-f7c8134e913c"]},{"id":"ITEM-2","itemData":{"ISSN":"2211-3355","abstract":"The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reports","id":"ITEM-2","issued":{"date-parts":[["2018","10","28"]]},"language":"eng","page":"304-311","publisher":"Elsevier","title":"Effects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trial","type":"article-journal","volume":"12"},"uris":["http://www.mendeley.com/documents/?uuid=d14f1680-42aa-4cdf-a003-eb1aa0293b67"]}],"mendeley":{"formattedCitation":"(H. W Perkins et al., 2011; Vallentin-Holbech et al., 2018)","manualFormatting":"(Perkins et al., 2011; Vallentin-Holbech et al., 2018)","plainTextFormattedCitation":"(H. W Perkins et al., 2011; Vallentin-Holbech et al., 2018)","previouslyFormattedCitation":"(H. W Perkins et al., 2011; Vallentin-Holbech et al., 2018)"},"properties":{"noteIndex":0},"schema":"https://github.com/citation-style-language/schema/raw/master/csl-citation.json"}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(Perkins et al., 2011; Vallentin-Holbech et al., 2018)</w:t>
      </w:r>
      <w:r w:rsidRPr="00B1522E">
        <w:rPr>
          <w:rFonts w:cstheme="minorHAnsi"/>
          <w:shd w:val="clear" w:color="auto" w:fill="FFFFFF"/>
        </w:rPr>
        <w:fldChar w:fldCharType="end"/>
      </w:r>
      <w:r w:rsidRPr="00B1522E">
        <w:rPr>
          <w:rFonts w:cstheme="minorHAnsi"/>
          <w:shd w:val="clear" w:color="auto" w:fill="FFFFFF"/>
        </w:rPr>
        <w:t xml:space="preserve">. </w:t>
      </w:r>
      <w:r w:rsidRPr="00B1522E">
        <w:rPr>
          <w:rFonts w:cstheme="minorHAnsi"/>
        </w:rPr>
        <w:t>M</w:t>
      </w:r>
      <w:r w:rsidRPr="00B1522E">
        <w:rPr>
          <w:rFonts w:cstheme="minorHAnsi"/>
          <w:shd w:val="clear" w:color="auto" w:fill="FFFFFF"/>
        </w:rPr>
        <w:t xml:space="preserve">ore research is still needed to understand the applicability of the SNA as a behaviour change strategy targeting other population groups and unhealthy behaviours beyond the alcohol consumption </w:t>
      </w:r>
      <w:r w:rsidR="00487B8E" w:rsidRPr="00B1522E">
        <w:rPr>
          <w:rFonts w:cstheme="minorHAnsi"/>
          <w:shd w:val="clear" w:color="auto" w:fill="FFFFFF"/>
        </w:rPr>
        <w:t>of</w:t>
      </w:r>
      <w:r w:rsidRPr="00B1522E">
        <w:rPr>
          <w:rFonts w:cstheme="minorHAnsi"/>
          <w:shd w:val="clear" w:color="auto" w:fill="FFFFFF"/>
        </w:rPr>
        <w:t xml:space="preserve"> university students. </w:t>
      </w:r>
    </w:p>
    <w:p w14:paraId="03197C92" w14:textId="77777777" w:rsidR="004A35B9" w:rsidRPr="00B1522E" w:rsidRDefault="004A35B9" w:rsidP="004A35B9">
      <w:pPr>
        <w:spacing w:line="480" w:lineRule="auto"/>
        <w:jc w:val="both"/>
        <w:rPr>
          <w:rFonts w:cstheme="minorHAnsi"/>
          <w:shd w:val="clear" w:color="auto" w:fill="FFFFFF"/>
        </w:rPr>
      </w:pPr>
    </w:p>
    <w:p w14:paraId="6239D3EA" w14:textId="747EE081" w:rsidR="00795693" w:rsidRPr="00B1522E" w:rsidRDefault="00E916FA" w:rsidP="00795693">
      <w:pPr>
        <w:spacing w:line="480" w:lineRule="auto"/>
        <w:jc w:val="both"/>
        <w:rPr>
          <w:b/>
          <w:bCs/>
        </w:rPr>
      </w:pPr>
      <w:r w:rsidRPr="00B1522E">
        <w:fldChar w:fldCharType="begin"/>
      </w:r>
      <w:r w:rsidRPr="00B1522E">
        <w:instrText xml:space="preserve"> TC  "</w:instrText>
      </w:r>
      <w:bookmarkStart w:id="90" w:name="_Toc97310438"/>
      <w:r w:rsidRPr="00B1522E">
        <w:instrText>3.8 The potential of the SNA to improve unhealthy dietary behaviours</w:instrText>
      </w:r>
      <w:bookmarkEnd w:id="90"/>
      <w:r w:rsidRPr="00B1522E">
        <w:instrText xml:space="preserve"> " \f x\l 2 </w:instrText>
      </w:r>
      <w:r w:rsidRPr="00B1522E">
        <w:fldChar w:fldCharType="end"/>
      </w:r>
      <w:r w:rsidR="00795693" w:rsidRPr="00B1522E">
        <w:rPr>
          <w:b/>
          <w:bCs/>
        </w:rPr>
        <w:t xml:space="preserve">3.8 The potential of the SNA to improve unhealthy dietary behaviours </w:t>
      </w:r>
    </w:p>
    <w:p w14:paraId="36B23278" w14:textId="14539155" w:rsidR="0032626A" w:rsidRPr="00B1522E" w:rsidRDefault="0032626A" w:rsidP="0032626A">
      <w:pPr>
        <w:spacing w:line="480" w:lineRule="auto"/>
        <w:jc w:val="both"/>
        <w:rPr>
          <w:rFonts w:cstheme="minorHAnsi"/>
        </w:rPr>
      </w:pPr>
      <w:r w:rsidRPr="00B1522E">
        <w:rPr>
          <w:rFonts w:cstheme="minorHAnsi"/>
        </w:rPr>
        <w:t xml:space="preserve">Eating behaviours are strongly socially shaped with the food choices of peers and the amounts that others around us eat having a powerful effect on personal consumption </w:t>
      </w:r>
      <w:r w:rsidRPr="00B1522E">
        <w:rPr>
          <w:rFonts w:cstheme="minorHAnsi"/>
        </w:rPr>
        <w:fldChar w:fldCharType="begin" w:fldLock="1"/>
      </w:r>
      <w:r w:rsidR="00DF6CCC" w:rsidRPr="00B1522E">
        <w:rPr>
          <w:rFonts w:cstheme="minorHAnsi"/>
        </w:rPr>
        <w:instrText>ADDIN CSL_CITATION {"citationItems":[{"id":"ITEM-1","itemData":{"ISSN":"1743-7199","author":[{"dropping-particle":"","family":"Stok","given":"F Marijn","non-dropping-particle":"","parse-names":false,"suffix":""},{"dropping-particle":"","family":"Vet","given":"Emely","non-dropping-particle":"de","parse-names":false,"suffix":""},{"dropping-particle":"","family":"Ridder","given":"Denise T D","non-dropping-particle":"de","parse-names":false,"suffix":""},{"dropping-particle":"","family":"Wit","given":"John B F","non-dropping-particle":"de","parse-names":false,"suffix":""}],"container-title":"Health Psychology Review","id":"ITEM-1","issue":"3","issued":{"date-parts":[["2016","7","2"]]},"note":"doi: 10.1080/17437199.2016.1155161","page":"326-340","publisher":"Routledge","title":"The potential of peer social norms to shape food intake in adolescents and young adults: a systematic review of effects and moderators","type":"article-journal","volume":"10"},"uris":["http://www.mendeley.com/documents/?uuid=053095ab-eabf-4ff1-94b0-d3b6e445b199"]}],"mendeley":{"formattedCitation":"(F. M. Stok et al., 2016)","manualFormatting":"(Stok et al., 2016)","plainTextFormattedCitation":"(F. M. Stok et al., 2016)","previouslyFormattedCitation":"(F. M. Stok et al., 2016)"},"properties":{"noteIndex":0},"schema":"https://github.com/citation-style-language/schema/raw/master/csl-citation.json"}</w:instrText>
      </w:r>
      <w:r w:rsidRPr="00B1522E">
        <w:rPr>
          <w:rFonts w:cstheme="minorHAnsi"/>
        </w:rPr>
        <w:fldChar w:fldCharType="separate"/>
      </w:r>
      <w:r w:rsidRPr="00B1522E">
        <w:rPr>
          <w:rFonts w:cstheme="minorHAnsi"/>
          <w:noProof/>
        </w:rPr>
        <w:t>(Stok et al., 2016)</w:t>
      </w:r>
      <w:r w:rsidRPr="00B1522E">
        <w:rPr>
          <w:rFonts w:cstheme="minorHAnsi"/>
        </w:rPr>
        <w:fldChar w:fldCharType="end"/>
      </w:r>
      <w:r w:rsidRPr="00B1522E">
        <w:rPr>
          <w:rFonts w:cstheme="minorHAnsi"/>
        </w:rPr>
        <w:t xml:space="preserve">. Adolescence is a period of development </w:t>
      </w:r>
      <w:r w:rsidRPr="00B1522E">
        <w:rPr>
          <w:rFonts w:cstheme="minorHAnsi"/>
          <w:shd w:val="clear" w:color="auto" w:fill="FFFFFF"/>
        </w:rPr>
        <w:t xml:space="preserve">where young people become more sensitive to peer norms than parental norms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{"citationItems":[{"id":"ITEM-1","itemData":{"ISSN":"10958304","PMID":"25174571","abstract":"A major determinant of human eating behavior is social modeling, whereby people use others' eating as a guide for what and how much to eat. We review the experimental studies that have independently manipulated the eating behavior of a social referent (either through a live confederate or remotely) and measured either food choice or intake. Sixty-nine eligible experiments (with over 5800 participants) were identified that were published between 1974 and 2014. Speaking to the robustness of the modeling phenomenon, 64 of these studies have found a statistically significant modeling effect, despite substantial diversity in methodology, food type, social context and participant demographics. In reviewing the key findings from these studies, we conclude that there is limited evidence for a moderating effect of hunger, personality, age, weight or the presence of others (i.e., where the confederate is live vs. remote). There is inconclusive evidence for whether sex, attention, impulsivity and eating goals moderate modeling, and for whether modeling of food choice is as strong as modeling of food intake. Effects with substantial evidence were: modeling is increased when individuals desire to affiliate with the model, or perceive themselves to be similar to the model; modeling is attenuated (but still significant) for healthy-snack foods and meals such as breakfast and lunch, and modeling is at least partially mediated through behavioral mimicry, which occurs without conscious awareness. We discuss evidence suggesting that modeling is motivated by goals of both affiliation and uncertainty-reduction, and outline how these might be theoretically integrated. Finally, we argue for the importance of taking modeling beyond the laboratory and bringing it to bear on the important societal challenges of obesity and disordered eating.","author":[{"dropping-particle":"","family":"Cruwys","given":"Tegan","non-dropping-particle":"","parse-names":false,"suffix":""},{"dropping-particle":"","family":"Bevelander","given":"Kirsten E.","non-dropping-particle":"","parse-names":false,"suffix":""},{"dropping-particle":"","family":"Hermans","given":"Roel C.J.","non-dropping-particle":"","parse-names":false,"suffix":""}],"container-title":"Appetite","id":"ITEM-1","issued":{"date-parts":[["2015","3","1"]]},"page":"3-18","publisher":"Academic Press","title":"Social modeling of eating: A review of when and why social influence affects food intake and choice","type":"article-journal","volume":"86"},"uris":["http://www.mendeley.com/documents/?uuid=02ce951e-52c2-323c-82cd-5b486520cd32"]},{"id":"ITEM-2","itemData":{"ISSN":"0277-9536","author":[{"dropping-particle":"","family":"Stead","given":"Martine","non-dropping-particle":"","parse-names":false,"suffix":""},{"dropping-particle":"","family":"McDermott","given":"Laura","non-dropping-particle":"","parse-names":false,"suffix":""},{"dropping-particle":"","family":"MacKintosh","given":"Anne Marie","non-dropping-particle":"","parse-names":false,"suffix":""},{"dropping-particle":"","family":"Adamson","given":"Ashley","non-dropping-particle":"","parse-names":false,"suffix":""}],"container-title":"Social science &amp; medicine","id":"ITEM-2","issue":"7","issued":{"date-parts":[["2011"]]},"page":"1131-1139","publisher":"Elsevier","title":"Why healthy eating is bad for young people’s health: Identity, belonging and food","type":"article-journal","volume":"72"},"uris":["http://www.mendeley.com/documents/?uuid=c1d3d93b-011b-491f-8199-6ea843052ad8"]}],"mendeley":{"formattedCitation":"(Cruwys et al., 2015; Stead et al., 2011)","plainTextFormattedCitation":"(Cruwys et al., 2015; Stead et al., 2011)","previouslyFormattedCitation":"(Cruwys et al., 2015; Stead et al., 2011)"},"properties":{"noteIndex":0},"schema":"https://github.com/citation-style-language/schema/raw/master/csl-citation.json"}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(Cruwys et al., 2015; Stead et al., 2011)</w:t>
      </w:r>
      <w:r w:rsidRPr="00B1522E">
        <w:rPr>
          <w:rFonts w:cstheme="minorHAnsi"/>
          <w:shd w:val="clear" w:color="auto" w:fill="FFFFFF"/>
        </w:rPr>
        <w:fldChar w:fldCharType="end"/>
      </w:r>
      <w:r w:rsidRPr="00B1522E">
        <w:rPr>
          <w:rFonts w:cstheme="minorHAnsi"/>
          <w:shd w:val="clear" w:color="auto" w:fill="FFFFFF"/>
        </w:rPr>
        <w:t>; and a</w:t>
      </w:r>
      <w:r w:rsidRPr="00B1522E">
        <w:rPr>
          <w:rFonts w:eastAsia="Calibri" w:cstheme="minorHAnsi"/>
        </w:rPr>
        <w:t xml:space="preserve">dolescents will </w:t>
      </w:r>
      <w:r w:rsidRPr="00B1522E">
        <w:rPr>
          <w:rFonts w:cstheme="minorHAnsi"/>
          <w:shd w:val="clear" w:color="auto" w:fill="FFFFFF"/>
        </w:rPr>
        <w:t xml:space="preserve">adjust their personal dietary behaviour to align with the perceived normative dietary behaviour of peers which is motivated by a fundamental need for peer approval </w:t>
      </w:r>
      <w:r w:rsidRPr="00B1522E">
        <w:rPr>
          <w:rFonts w:cstheme="minorHAnsi"/>
          <w:shd w:val="clear" w:color="auto" w:fill="FFFFFF"/>
        </w:rPr>
        <w:fldChar w:fldCharType="begin" w:fldLock="1"/>
      </w:r>
      <w:r w:rsidR="005776BC" w:rsidRPr="00B1522E">
        <w:rPr>
          <w:rFonts w:cstheme="minorHAnsi"/>
          <w:shd w:val="clear" w:color="auto" w:fill="FFFFFF"/>
        </w:rPr>
        <w:instrText>ADDIN CSL_CITATION {"citationItems":[{"id":"ITEM-1","itemData":{"ISSN":"1743-7199","author":[{"dropping-particle":"","family":"Stok","given":"F Marijn","non-dropping-particle":"","parse-names":false,"suffix":""},{"dropping-particle":"","family":"Vet","given":"Emely","non-dropping-particle":"de","parse-names":false,"suffix":""},{"dropping-particle":"","family":"Ridder","given":"Denise T D","non-dropping-particle":"de","parse-names":false,"suffix":""},{"dropping-particle":"","family":"Wit","given":"John B F","non-dropping-particle":"de","parse-names":false,"suffix":""}],"container-title":"Health Psychology Review","id":"ITEM-1","issue":"3","issued":{"date-parts":[["2016","7","2"]]},"note":"doi: 10.1080/17437199.2016.1155161","page":"326-340","publisher":"Routledge","title":"The potential of peer social norms to shape food intake in adolescents and young adults: a systematic review of effects and moderators","type":"article-journal","volume":"10"},"uris":["http://www.mendeley.com/documents/?uuid=053095ab-eabf-4ff1-94b0-d3b6e445b199"]},{"id":"ITEM-2","itemData":{"ISBN":"0195-6663(Print)","abstract":"Perceptions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W","non-dropping-particle":"","parse-names":false,"suffix":""}],"container-title":"Appetite","id":"ITEM-2","issued":{"date-parts":[["2018"]]},"page":"82-93","publisher":"Elsevier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States.","type":"article-journal","volume":"129"},"uris":["http://www.mendeley.com/documents/?uuid=8512058f-516f-45e2-9148-9381fb740b26"]},{"id":"ITEM-3","itemData":{"ISSN":"0002-8223","author":[{"dropping-particle":"","family":"Perkins","given":"J.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Association","id":"ITEM-3","issue":"12","issued":{"date-parts":[["2010"]]},"page":"1916-1921","publisher":"Elsevier","title":"Misperceptions of peer norms as a risk factor for sugar-sweetened beverage consumption among secondary school students","type":"article-journal","volume":"110"},"uris":["http://www.mendeley.com/documents/?uuid=057ae4b5-514d-47a6-bfd8-bd60f5e335ea"]},{"id":"ITEM-4","itemData":{"ISSN":"1363-755X","author":[{"dropping-particle":"","family":"Foulkes","given":"Lucy","non-dropping-particle":"","parse-names":false,"suffix":""},{"dropping-particle":"","family":"Leung","given":"Jovita T","non-dropping-particle":"","parse-names":false,"suffix":""},{"dropping-particle":"","family":"Fuhrmann","given":"Delia","non-dropping-particle":"","parse-names":false,"suffix":""},{"dropping-particle":"","family":"Knoll","given":"Lisa J","non-dropping-particle":"","parse-names":false,"suffix":""},{"dropping-particle":"","family":"Blakemore","given":"Sarah‐Jayne","non-dropping-particle":"","parse-names":false,"suffix":""}],"container-title":"Developmental science","id":"ITEM-4","issue":"6","issued":{"date-parts":[["2018"]]},"page":"e12666","publisher":"Wiley Online Library","title":"Age differences in the prosocial influence effect","type":"article-journal","volume":"21"},"uris":["http://www.mendeley.com/documents/?uuid=46b55ce9-fb4b-40a8-bb50-c6d3807d70bd"]}],"mendeley":{"formattedCitation":"(Foulkes et al., 2018; J. M. Perkins et al., 2010, 2018; F. M. Stok et al., 2016)","manualFormatting":"(Foulkes et al., 2018;  Perkins et al., 2010, 2018; Stok et al., 2016)","plainTextFormattedCitation":"(Foulkes et al., 2018; J. M. Perkins et al., 2010, 2018; F. M. Stok et al., 2016)","previouslyFormattedCitation":"(Foulkes et al., 2018; J. M. Perkins et al., 2010, 2018; F. M. Stok et al., 2016)"},"properties":{"noteIndex":0},"schema":"https://github.com/citation-style-language/schema/raw/master/csl-citation.json"}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(Foulkes et al., 2018;  Perkins et al., 2010, 2018; Stok et al., 2016)</w:t>
      </w:r>
      <w:r w:rsidRPr="00B1522E">
        <w:rPr>
          <w:rFonts w:cstheme="minorHAnsi"/>
          <w:shd w:val="clear" w:color="auto" w:fill="FFFFFF"/>
        </w:rPr>
        <w:fldChar w:fldCharType="end"/>
      </w:r>
      <w:r w:rsidRPr="00B1522E">
        <w:rPr>
          <w:rFonts w:cstheme="minorHAnsi"/>
          <w:shd w:val="clear" w:color="auto" w:fill="FFFFFF"/>
        </w:rPr>
        <w:t>.</w:t>
      </w:r>
      <w:r w:rsidRPr="00B1522E">
        <w:t xml:space="preserve"> </w:t>
      </w:r>
      <w:r w:rsidRPr="00B1522E">
        <w:rPr>
          <w:rFonts w:cstheme="minorHAnsi"/>
          <w:shd w:val="clear" w:color="auto" w:fill="FFFFFF"/>
        </w:rPr>
        <w:t xml:space="preserve">Consistent with the research exploring other behaviour domains (e.g. alcohol and tobacco intake) there is evidence that these perceptions tend to be inaccurate </w:t>
      </w:r>
      <w:r w:rsidRPr="00B1522E">
        <w:rPr>
          <w:rFonts w:eastAsia="Calibri"/>
        </w:rPr>
        <w:t xml:space="preserve">and that these misperceptions of peers’ behaviours can be predictive of one’s own behaviour (dietary choice and amount consumed) </w:t>
      </w:r>
      <w:r w:rsidRPr="00B1522E">
        <w:rPr>
          <w:rFonts w:eastAsia="Calibri"/>
        </w:rPr>
        <w:fldChar w:fldCharType="begin" w:fldLock="1"/>
      </w:r>
      <w:r w:rsidR="004A684E" w:rsidRPr="00B1522E">
        <w:rPr>
          <w:rFonts w:eastAsia="Calibr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BN":"1664-1078","author":[{"dropping-particle":"","family":"Stok","given":"F","non-dropping-particle":"","parse-names":false,"suffix":""},{"dropping-particle":"","family":"Mollen","given":"Sa","non-dropping-particle":"","parse-names":false,"suffix":""},{"dropping-particle":"","family":"Verkooijen","given":"K","non-dropping-particle":"","parse-names":false,"suffix":""},{"dropping-particle":"","family":"Renner","given":"B","non-dropping-particle":"","parse-names":false,"suffix":""}],"container-title":"Frontiers in Psychology","id":"ITEM-2","issued":{"date-parts":[["2018"]]},"page":"738-741","title":"Editorial: Unravelling Social Norm Effects: How and When Social Norms Affect Eating Behavior","type":"article-journal","volume":"9"},"uris":["http://www.mendeley.com/documents/?uuid=9d5f002f-68a4-4b39-b6c8-633b8f9f7019"]},{"id":"ITEM-3","itemData":{"ISSN":"1368-4302","author":[{"dropping-particle":"","family":"Perkins","given":"H.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Relations","id":"ITEM-3","issue":"5","issued":{"date-parts":[["2011"]]},"page":"703-722","publisher":"Sage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schools","type":"article-journal","volume":"14"},"uris":["http://www.mendeley.com/documents/?uuid=6378a98a-771f-425a-8e50-f7c8134e913c"]}],"mendeley":{"formattedCitation":"(P Lally et al., 2011; H. W Perkins et al., 2011; F. Stok et al., 2018)","manualFormatting":"(Lally et al., 2011; Perkins et al., 2011; Stok et al., 2018)","plainTextFormattedCitation":"(P Lally et al., 2011; H. W Perkins et al., 2011; F. Stok et al., 2018)","previouslyFormattedCitation":"(P Lally et al., 2011; H. W Perkins et al., 2011; F. Stok et al., 2018)"},"properties":{"noteIndex":0},"schema":"https://github.com/citation-style-language/schema/raw/master/csl-citation.json"}</w:instrText>
      </w:r>
      <w:r w:rsidRPr="00B1522E">
        <w:rPr>
          <w:rFonts w:eastAsia="Calibri"/>
        </w:rPr>
        <w:fldChar w:fldCharType="separate"/>
      </w:r>
      <w:r w:rsidRPr="00B1522E">
        <w:rPr>
          <w:rFonts w:eastAsia="Calibri"/>
          <w:noProof/>
          <w:lang w:val="da-DK"/>
        </w:rPr>
        <w:t>(Lally et al., 2011; Perkins et al., 2011; Stok et al., 2018)</w:t>
      </w:r>
      <w:r w:rsidRPr="00B1522E">
        <w:rPr>
          <w:rFonts w:eastAsia="Calibri"/>
        </w:rPr>
        <w:fldChar w:fldCharType="end"/>
      </w:r>
      <w:r w:rsidRPr="00B1522E">
        <w:rPr>
          <w:rFonts w:eastAsia="Calibri"/>
        </w:rPr>
        <w:t xml:space="preserve">. </w:t>
      </w:r>
      <w:r w:rsidRPr="00B1522E">
        <w:t xml:space="preserve">For example, </w:t>
      </w:r>
      <w:r w:rsidRPr="00B1522E">
        <w:rPr>
          <w:rFonts w:eastAsia="Calibri"/>
        </w:rPr>
        <w:t>Perkins et al. (2018) found that</w:t>
      </w:r>
      <w:r w:rsidRPr="00B1522E">
        <w:t xml:space="preserve"> adolescents and young adults (10– to 21-year-olds) overestimate </w:t>
      </w:r>
      <w:r w:rsidRPr="00B1522E">
        <w:rPr>
          <w:rFonts w:cstheme="minorHAnsi"/>
        </w:rPr>
        <w:t>sugar-sweetened drinks i</w:t>
      </w:r>
      <w:r w:rsidRPr="00B1522E">
        <w:t xml:space="preserve">ntake of their peers (descriptive norm) and </w:t>
      </w:r>
      <w:r w:rsidRPr="00B1522E">
        <w:rPr>
          <w:rFonts w:cstheme="minorHAnsi"/>
        </w:rPr>
        <w:t>the greater the number of sugar-</w:t>
      </w:r>
      <w:r w:rsidRPr="00B1522E">
        <w:rPr>
          <w:rFonts w:cstheme="minorHAnsi"/>
        </w:rPr>
        <w:lastRenderedPageBreak/>
        <w:t xml:space="preserve">sweetened drinks individuals perceived their peers to consume, the more they themselves consumed. Perkins et al. (2018) also noted that </w:t>
      </w:r>
      <w:r w:rsidRPr="00B1522E">
        <w:t>adolescents and young adults</w:t>
      </w:r>
      <w:r w:rsidRPr="00B1522E">
        <w:rPr>
          <w:rFonts w:cstheme="minorHAnsi"/>
        </w:rPr>
        <w:t xml:space="preserve"> demonstrated gender bias about the perceived normative dietary behaviour of peers, </w:t>
      </w:r>
      <w:r w:rsidRPr="00B1522E">
        <w:t xml:space="preserve">with both males and females perceiving male peers to consume more </w:t>
      </w:r>
      <w:r w:rsidRPr="00B1522E">
        <w:rPr>
          <w:rFonts w:cstheme="minorHAnsi"/>
        </w:rPr>
        <w:t xml:space="preserve">sugar-sweetened drinks and less fruit and vegetables than female peers. Perkins et al. (2018) concluded this may be influenced by how social media communicates information to adolescents and young adults which emphasizes the differences in dietary behaviours of males compared to females </w:t>
      </w:r>
      <w:r w:rsidRPr="00B1522E">
        <w:rPr>
          <w:rFonts w:cstheme="minorHAnsi"/>
        </w:rPr>
        <w:fldChar w:fldCharType="begin" w:fldLock="1"/>
      </w:r>
      <w:r w:rsidR="0063396E" w:rsidRPr="00B1522E">
        <w:rPr>
          <w:rFonts w:cstheme="minorHAnsi"/>
        </w:rPr>
        <w:instrText>ADDIN CSL_CITATION {"citationItems":[{"id":"ITEM-1","itemData":{"ISSN":"0007-070X","author":[{"dropping-particle":"","family":"Beardsworth","given":"Alan","non-dropping-particle":"","parse-names":false,"suffix":""},{"dropping-particle":"","family":"Bryman","given":"Alan","non-dropping-particle":"","parse-names":false,"suffix":""},{"dropping-particle":"","family":"Keil","given":"Teresa","non-dropping-particle":"","parse-names":false,"suffix":""},{"dropping-particle":"","family":"Goode","given":"Jackie","non-dropping-particle":"","parse-names":false,"suffix":""},{"dropping-particle":"","family":"Haslam","given":"Cheryl","non-dropping-particle":"","parse-names":false,"suffix":""},{"dropping-particle":"","family":"Lancashire","given":"Emma","non-dropping-particle":"","parse-names":false,"suffix":""}],"container-title":"British Food Journal","id":"ITEM-1","issue":"7","issued":{"date-parts":[["2002"]]},"page":"470-491","publisher":"MCB UP Ltd","title":"Women, men and food: the significance of gender for nutritional attitudes and choices","type":"article-journal","volume":"104"},"uris":["http://www.mendeley.com/documents/?uuid=9bdae80f-debc-4c21-8630-3a188168b09c"]}],"mendeley":{"formattedCitation":"(Beardsworth et al., 2002)","plainTextFormattedCitation":"(Beardsworth et al., 2002)","previouslyFormattedCitation":"(Beardsworth et al., 2002)"},"properties":{"noteIndex":0},"schema":"https://github.com/citation-style-language/schema/raw/master/csl-citation.json"}</w:instrText>
      </w:r>
      <w:r w:rsidRPr="00B1522E">
        <w:rPr>
          <w:rFonts w:cstheme="minorHAnsi"/>
        </w:rPr>
        <w:fldChar w:fldCharType="separate"/>
      </w:r>
      <w:r w:rsidRPr="00B1522E">
        <w:rPr>
          <w:rFonts w:cstheme="minorHAnsi"/>
          <w:noProof/>
        </w:rPr>
        <w:t>(Beardsworth et al., 2002)</w:t>
      </w:r>
      <w:r w:rsidRPr="00B1522E">
        <w:rPr>
          <w:rFonts w:cstheme="minorHAnsi"/>
        </w:rPr>
        <w:fldChar w:fldCharType="end"/>
      </w:r>
      <w:r w:rsidRPr="00B1522E">
        <w:rPr>
          <w:rFonts w:cstheme="minorHAnsi"/>
        </w:rPr>
        <w:t xml:space="preserve">. </w:t>
      </w:r>
    </w:p>
    <w:p w14:paraId="6D46F311" w14:textId="27FA7316" w:rsidR="0032626A" w:rsidRPr="00B1522E" w:rsidRDefault="0032626A" w:rsidP="00A1584F">
      <w:pPr>
        <w:spacing w:line="480" w:lineRule="auto"/>
        <w:ind w:firstLine="720"/>
        <w:jc w:val="both"/>
        <w:rPr>
          <w:rFonts w:cstheme="minorHAnsi"/>
          <w:shd w:val="clear" w:color="auto" w:fill="FFFFFF"/>
        </w:rPr>
      </w:pPr>
      <w:r w:rsidRPr="00B1522E">
        <w:rPr>
          <w:rFonts w:cstheme="minorHAnsi"/>
          <w:shd w:val="clear" w:color="auto" w:fill="FFFFFF"/>
        </w:rPr>
        <w:t xml:space="preserve">Research indicates that injunctive norms may have a weaker effect on personal dietary behaviours in adolescents than descriptive norms do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{"citationItems":[{"id":"ITEM-1","itemData":{"ISSN":"0195-6663","author":[{"dropping-particle":"","family":"Mollen","given":"Saar","non-dropping-particle":"","parse-names":false,"suffix":""},{"dropping-particle":"","family":"Rimal","given":"Rajiv N","non-dropping-particle":"","parse-names":false,"suffix":""},{"dropping-particle":"","family":"Ruiter","given":"Robert A C","non-dropping-particle":"","parse-names":false,"suffix":""},{"dropping-particle":"","family":"Kok","given":"Gerjo","non-dropping-particle":"","parse-names":false,"suffix":""}],"container-title":"Appetite","id":"ITEM-1","issued":{"date-parts":[["2013"]]},"page":"83-89","publisher":"Elsevier","title":"Healthy and unhealthy social norms and food selection. Findings from a field-experiment","type":"article-journal","volume":"65"},"uris":["http://www.mendeley.com/documents/?uuid=7d99c10f-95e8-448a-959a-a42d02b3f5e2"]},{"id":"ITEM-2","itemData":{"ISSN":"0195-6663","abstract":"We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-2","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adolescents.","type":"article-journal","volume":"57"},"uris":["http://www.mendeley.com/documents/?uuid=18a9583d-446e-4d40-8c46-37ad5a8b65e9"]},{"id":"ITEM-3","itemData":{"ISBN":"9789039360781","ISSN":"00157120","PMID":"4944437","abstract":"How do social structures and group behaviors arise from the interaction of individuals? Growing Artificial Societies approaches this question with cutting-edge computer simulation techniques.","author":[{"dropping-particle":"","family":"Stok","given":"F","non-dropping-particle":"","parse-names":false,"suffix":""}],"id":"ITEM-3","issued":{"date-parts":[["2014"]]},"number-of-pages":"162","publisher":"Utrecht University","title":"Eating by the norm : The influence of social norms on young people’ s eating behavior","type":"thesis"},"uris":["http://www.mendeley.com/documents/?uuid=feaee5b8-ac0c-4ae6-af4a-7fbb6c852f97"]}],"mendeley":{"formattedCitation":"(P Lally et al., 2011; Mollen et al., 2013; F. Stok, 2014)","manualFormatting":"(Lally et al., 2011; Mollen et al., 2013; Stok, 2014)","plainTextFormattedCitation":"(P Lally et al., 2011; Mollen et al., 2013; F. Stok, 2014)","previouslyFormattedCitation":"(P Lally et al., 2011; Mollen et al., 2013; F. Stok, 2014)"},"properties":{"noteIndex":0},"schema":"https://github.com/citation-style-language/schema/raw/master/csl-citation.json"}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(Lally et al., 2011; Mollen et al., 2013; Stok, 2014)</w:t>
      </w:r>
      <w:r w:rsidRPr="00B1522E">
        <w:rPr>
          <w:rFonts w:cstheme="minorHAnsi"/>
          <w:shd w:val="clear" w:color="auto" w:fill="FFFFFF"/>
        </w:rPr>
        <w:fldChar w:fldCharType="end"/>
      </w:r>
      <w:r w:rsidRPr="00B1522E">
        <w:rPr>
          <w:rFonts w:cstheme="minorHAnsi"/>
          <w:shd w:val="clear" w:color="auto" w:fill="FFFFFF"/>
        </w:rPr>
        <w:t xml:space="preserve">. For example, </w:t>
      </w:r>
      <w:r w:rsidRPr="00B1522E">
        <w:rPr>
          <w:rFonts w:eastAsia="Calibri"/>
        </w:rPr>
        <w:t>Lally et al. (2011) found that</w:t>
      </w:r>
      <w:r w:rsidRPr="00B1522E">
        <w:t xml:space="preserve"> older adolescents (16– to 19-year-olds) who overestimate unhealthy snacking and </w:t>
      </w:r>
      <w:r w:rsidRPr="00B1522E">
        <w:rPr>
          <w:rFonts w:cstheme="minorHAnsi"/>
        </w:rPr>
        <w:t>sugar-sweetened drinks i</w:t>
      </w:r>
      <w:r w:rsidRPr="00B1522E">
        <w:t xml:space="preserve">ntake of their peers (descriptive norm) </w:t>
      </w:r>
      <w:r w:rsidRPr="00B1522E">
        <w:rPr>
          <w:rFonts w:cstheme="minorHAnsi"/>
        </w:rPr>
        <w:t xml:space="preserve">consumed more </w:t>
      </w:r>
      <w:r w:rsidRPr="00B1522E">
        <w:t xml:space="preserve">unhealthy snacks and </w:t>
      </w:r>
      <w:r w:rsidRPr="00B1522E">
        <w:rPr>
          <w:rFonts w:cstheme="minorHAnsi"/>
        </w:rPr>
        <w:t xml:space="preserve">sugar-sweetened drinks themselves. Their research also </w:t>
      </w:r>
      <w:r w:rsidRPr="00B1522E">
        <w:rPr>
          <w:rFonts w:eastAsia="Calibri"/>
        </w:rPr>
        <w:t xml:space="preserve">indicated that even though </w:t>
      </w:r>
      <w:r w:rsidRPr="00B1522E">
        <w:rPr>
          <w:rFonts w:cstheme="minorHAnsi"/>
          <w:shd w:val="clear" w:color="auto" w:fill="FFFFFF"/>
        </w:rPr>
        <w:t>adolescents mis</w:t>
      </w:r>
      <w:r w:rsidRPr="00B1522E">
        <w:rPr>
          <w:rFonts w:cstheme="minorHAnsi"/>
        </w:rPr>
        <w:t xml:space="preserve">perceived peers to have more positive attitudes (injunctive norms) towards sugar-sweetened drinks and unhealthy snacks than was the case, this did not predict </w:t>
      </w:r>
      <w:r w:rsidRPr="00B1522E">
        <w:t>adolescents’ personal consumption</w:t>
      </w:r>
      <w:r w:rsidRPr="00B1522E">
        <w:rPr>
          <w:rFonts w:cstheme="minorHAnsi"/>
        </w:rPr>
        <w:t xml:space="preserve">. </w:t>
      </w:r>
      <w:r w:rsidRPr="00B1522E">
        <w:rPr>
          <w:rFonts w:cstheme="minorHAnsi"/>
          <w:shd w:val="clear" w:color="auto" w:fill="FFFFFF"/>
        </w:rPr>
        <w:t xml:space="preserve">There is some suggestion that for adolescents the importance of injunctive norms may differ across situations, with injunctive norms being useful for making sure behaviour will be seen to be socially acceptable and descriptive norms being more important for making quick decisions about appropriate dietary consumption, e.g. food choices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{"citationItems":[{"id":"ITEM-1","itemData":{"ISSN":"1939-1315","author":[{"dropping-particle":"","family":"Jacobson","given":"Ryan P","non-dropping-particle":"","parse-names":false,"suffix":""},{"dropping-particle":"","family":"Mortensen","given":"Chad R","non-dropping-particle":"","parse-names":false,"suffix":""},{"dropping-particle":"","family":"Cialdini","given":"Robert B","non-dropping-particle":"","parse-names":false,"suffix":""}],"container-title":"Journal of personality and social psychology","id":"ITEM-1","issue":"3","issued":{"date-parts":[["2011"]]},"page":"433","publisher":"American Psychological Association","title":"Bodies obliged and unbound: Differentiated response tendencies for injunctive and descriptive social norms.","type":"article-journal","volume":"100"},"uris":["http://www.mendeley.com/documents/?uuid=d201ebd6-e9a5-4fa5-9cc0-70c2f8664bd2"]},{"id":"ITEM-2","itemData":{"ISSN":"0277-9536","abstract":"Rationale: Previous studies suggest injunctive norms (prompts of what people ought to do) are stronger predictors of healthy eating intentions, whereas descriptive norms (prompts of what people are doing) are stronger predictors of healthy eating behaviors. However, previous research provides little insight into why different norms influence children's health intentions and behaviors differently. In addition, no research has explored developmental differences in children's conformity to, or rejection of, different types of social normative influence. Thus, this paper adopts a developmental perspective to understand why children conform differently to descriptive and injunctive norm messaging on healthy eating. Method: An experiment was done with 405 children in Germany aged 7 to 16. The research design was a 4 (social norms: descriptive vs. injunctive peer vs. injunctive authority vs. control) × 2 (developmental stage: middle childhood vs. adolescence) between-subject design. Children's healthy eating intentions and behaviors were collected as key dependent variables. Results: and conclusions: The experimental results suggest that children mainly use a descriptive norm as an information shortcut to behaving 'appropriately'. This should have a stronger impact on younger children than older ones, although both young and old children consider it easier to understand than an injunctive norm. The experimental results further suggest that an injunctive norm mainly influences children via activation of a motive for maintaining a positive self-image in public, rather than one of affiliation. These results are very important for social research on health, because they can explain why different social norms influence health intentions and behaviors differently. In addition, our finding that injunctive norm conformity is mainly used for impression management purposes can reconcile existing contradictory results on the impact of social norms on children. (PsycInfo Database Record (c) 2020 APA, all rights reserved)","author":[{"dropping-particle":"","family":"Hang","given":"Haiming","non-dropping-particle":"","parse-names":false,"suffix":""},{"dropping-particle":"","family":"Davies","given":"Iain","non-dropping-particle":"","parse-names":false,"suffix":""},{"dropping-particle":"","family":"Schüring","given":"Jennifer","non-dropping-particle":"","parse-names":false,"suffix":""}],"container-title":"Social Science &amp; Medicine","id":"ITEM-2","issued":{"date-parts":[["2020","1"]]},"note":"Accession Number: 2019-81457-001. PMID: 31722276 Partial author list: First Author &amp;amp; Affiliation: Hang, Haiming; School of Management, University of Bath, Bath, United Kingdom. Release Date: 20200601. Correction Date: 20200604. Publication Type: Journal (0100), Peer Reviewed Journal (0110). Format Covered: Electronic. Document Type: Journal Article. Language: EnglishMajor Descriptor: Childhood Development; Conformity (Personality); Eating Behavior; Intention; Social Norms. Minor Descriptor: Age Differences; Health Behavior; Social Influences. Classification: Promotion &amp;amp; Maintenance of Health &amp;amp; Wellness (3365). Population: Human (10); Male (30); Female (40). Location: Germany. Age Group: Childhood (birth-12 yrs) (100); School Age (6-12 yrs) (180); Adolescence (13-17 yrs) (200). Methodology: Empirical Study; Quantitative Study. Supplemental Data: Experimental Materials Internet. ArtID: 112666. Issue Publication Date: Jan, 2020. Publication History: First Posted Date: Nov 5, 2019; Accepted Date: Nov 4, 2019; Revised Date: Oct 10, 2019; First Submitted Date: Oct 24, 2018. Copyright Statement: All rights reserved. Elsevier Ltd. 2019.","page":"112666","publisher":"Elsevier Science","publisher-place":"Hang, Haiming, School of Management, University of Bath, Bath, United Kingdom, BA2 7AY","title":"Children's conformity to social norms to eat healthy: A developmental perspective","type":"article-journal","volume":"244"},"uris":["http://www.mendeley.com/documents/?uuid=5fedf4fb-d4a7-409f-a7a0-5a5601ac2907"]}],"mendeley":{"formattedCitation":"(Hang et al., 2020; Jacobson et al., 2011)","plainTextFormattedCitation":"(Hang et al., 2020; Jacobson et al., 2011)","previouslyFormattedCitation":"(Hang et al., 2020; Jacobson et al., 2011)"},"properties":{"noteIndex":0},"schema":"https://github.com/citation-style-language/schema/raw/master/csl-citation.json"}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(Hang et al., 2020; Jacobson et al., 2011)</w:t>
      </w:r>
      <w:r w:rsidRPr="00B1522E">
        <w:rPr>
          <w:rFonts w:cstheme="minorHAnsi"/>
          <w:shd w:val="clear" w:color="auto" w:fill="FFFFFF"/>
        </w:rPr>
        <w:fldChar w:fldCharType="end"/>
      </w:r>
      <w:r w:rsidRPr="00B1522E">
        <w:rPr>
          <w:rFonts w:cstheme="minorHAnsi"/>
          <w:shd w:val="clear" w:color="auto" w:fill="FFFFFF"/>
        </w:rPr>
        <w:t xml:space="preserve">.  </w:t>
      </w:r>
    </w:p>
    <w:p w14:paraId="6959466A" w14:textId="3B9CBA6E" w:rsidR="00795693" w:rsidRPr="00B1522E" w:rsidRDefault="0032626A" w:rsidP="00A1584F">
      <w:pPr>
        <w:spacing w:line="480" w:lineRule="auto"/>
        <w:ind w:firstLine="720"/>
        <w:jc w:val="both"/>
        <w:rPr>
          <w:rFonts w:cstheme="minorHAnsi"/>
        </w:rPr>
      </w:pPr>
      <w:r w:rsidRPr="00B1522E">
        <w:rPr>
          <w:rFonts w:cstheme="minorHAnsi"/>
        </w:rPr>
        <w:t xml:space="preserve">In summary normative perceptions have a powerful effect on the </w:t>
      </w:r>
      <w:r w:rsidRPr="00B1522E">
        <w:rPr>
          <w:rFonts w:cstheme="minorHAnsi"/>
          <w:shd w:val="clear" w:color="auto" w:fill="FFFFFF"/>
        </w:rPr>
        <w:t xml:space="preserve">development and maintenance of unhealthy dietary behaviours of adolescents </w:t>
      </w:r>
      <w:r w:rsidRPr="00B1522E">
        <w:rPr>
          <w:rFonts w:cstheme="minorHAnsi"/>
          <w:shd w:val="clear" w:color="auto" w:fill="FFFFFF"/>
        </w:rPr>
        <w:fldChar w:fldCharType="begin" w:fldLock="1"/>
      </w:r>
      <w:r w:rsidR="005776BC" w:rsidRPr="00B1522E">
        <w:rPr>
          <w:rFonts w:cstheme="minorHAnsi"/>
          <w:shd w:val="clear" w:color="auto" w:fill="FFFFFF"/>
        </w:rPr>
        <w:instrText>ADDIN CSL_CITATION {"citationItems":[{"id":"ITEM-1","itemData":{"ISSN":"1743-7199","author":[{"dropping-particle":"","family":"Stok","given":"F Marijn","non-dropping-particle":"","parse-names":false,"suffix":""},{"dropping-particle":"","family":"Vet","given":"Emely","non-dropping-particle":"de","parse-names":false,"suffix":""},{"dropping-particle":"","family":"Ridder","given":"Denise T D","non-dropping-particle":"de","parse-names":false,"suffix":""},{"dropping-particle":"","family":"Wit","given":"John B F","non-dropping-particle":"de","parse-names":false,"suffix":""}],"container-title":"Health Psychology Review","id":"ITEM-1","issue":"3","issued":{"date-parts":[["2016","7","2"]]},"note":"doi: 10.1080/17437199.2016.1155161","page":"326-340","publisher":"Routledge","title":"The potential of peer social norms to shape food intake in adolescents and young adults: a systematic review of effects and moderators","type":"article-journal","volume":"10"},"uris":["http://www.mendeley.com/documents/?uuid=053095ab-eabf-4ff1-94b0-d3b6e445b199"]},{"id":"ITEM-2","itemData":{"ISSN":"0002-8223","author":[{"dropping-particle":"","family":"Perkins","given":"J.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Association","id":"ITEM-2","issue":"12","issued":{"date-parts":[["2010"]]},"page":"1916-1921","publisher":"Elsevier","title":"Misperceptions of peer norms as a risk factor for sugar-sweetened beverage consumption among secondary school students","type":"article-journal","volume":"110"},"uris":["http://www.mendeley.com/documents/?uuid=057ae4b5-514d-47a6-bfd8-bd60f5e335ea"]},{"id":"ITEM-3","itemData":{"ISSN":"0195-6663","abstract":"We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-3","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 J. M. Perkins et al., 2010; F. M. Stok et al., 2016)","manualFormatting":"(Lally et al., 2011; Perkins et al., 2010; Stok et al., 2016)","plainTextFormattedCitation":"(P Lally et al., 2011; J. M. Perkins et al., 2010; F. M. Stok et al., 2016)","previouslyFormattedCitation":"(P Lally et al., 2011; J. M. Perkins et al., 2010; F. M. Stok et al., 2016)"},"properties":{"noteIndex":0},"schema":"https://github.com/citation-style-language/schema/raw/master/csl-citation.json"}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(Lally et al., 2011; Perkins et al., 2010; Stok et al., 2016)</w:t>
      </w:r>
      <w:r w:rsidRPr="00B1522E">
        <w:rPr>
          <w:rFonts w:cstheme="minorHAnsi"/>
          <w:shd w:val="clear" w:color="auto" w:fill="FFFFFF"/>
        </w:rPr>
        <w:fldChar w:fldCharType="end"/>
      </w:r>
      <w:r w:rsidRPr="00B1522E">
        <w:rPr>
          <w:rFonts w:cstheme="minorHAnsi"/>
          <w:shd w:val="clear" w:color="auto" w:fill="FFFFFF"/>
        </w:rPr>
        <w:t xml:space="preserve">. Adolescents tend to overestimate peers’ unhealthy dietary behaviours </w:t>
      </w:r>
      <w:r w:rsidRPr="00B1522E">
        <w:rPr>
          <w:rFonts w:cstheme="minorHAnsi"/>
        </w:rPr>
        <w:t xml:space="preserve">and will adjust their personal dietary intake to be in line with what they perceive socially-connected peers to consume </w:t>
      </w:r>
      <w:r w:rsidRPr="00B1522E">
        <w:rPr>
          <w:rFonts w:cstheme="minorHAnsi"/>
        </w:rPr>
        <w:fldChar w:fldCharType="begin" w:fldLock="1"/>
      </w:r>
      <w:r w:rsidR="00D046DC" w:rsidRPr="00B1522E">
        <w:rPr>
          <w:rFonts w:cstheme="minorHAnsi"/>
        </w:rPr>
        <w:instrText>ADDIN CSL_CITATION {"citationItems":[{"id":"ITEM-1","itemData":{"ISBN":"1664-1078","author":[{"dropping-particle":"","family":"Stok","given":"F","non-dropping-particle":"","parse-names":false,"suffix":""},{"dropping-particle":"","family":"Mollen","given":"Sa","non-dropping-particle":"","parse-names":false,"suffix":""},{"dropping-particle":"","family":"Verkooijen","given":"K","non-dropping-particle":"","parse-names":false,"suffix":""},{"dropping-particle":"","family":"Renner","given":"B","non-dropping-particle":"","parse-names":false,"suffix":""}],"container-title":"Frontiers in Psychology","id":"ITEM-1","issued":{"date-parts":[["2018"]]},"page":"738-741","title":"Editorial: Unravelling Social Norm Effects: How and When Social Norms Affect Eating Behavior","type":"article-journal","volume":"9"},"uris":["http://www.mendeley.com/documents/?uuid=9d5f002f-68a4-4b39-b6c8-633b8f9f7019"]}],"mendeley":{"formattedCitation":"(F. Stok et al., 2018)","manualFormatting":"(Stok et al., 2018)","plainTextFormattedCitation":"(F. Stok et al., 2018)","previouslyFormattedCitation":"(F. Stok et al., 2018)"},"properties":{"noteIndex":0},"schema":"https://github.com/citation-style-language/schema/raw/master/csl-citation.json"}</w:instrText>
      </w:r>
      <w:r w:rsidRPr="00B1522E">
        <w:rPr>
          <w:rFonts w:cstheme="minorHAnsi"/>
        </w:rPr>
        <w:fldChar w:fldCharType="separate"/>
      </w:r>
      <w:r w:rsidRPr="00B1522E">
        <w:rPr>
          <w:rFonts w:cstheme="minorHAnsi"/>
          <w:noProof/>
        </w:rPr>
        <w:t>(Stok et al., 2018)</w:t>
      </w:r>
      <w:r w:rsidRPr="00B1522E">
        <w:rPr>
          <w:rFonts w:cstheme="minorHAnsi"/>
        </w:rPr>
        <w:fldChar w:fldCharType="end"/>
      </w:r>
      <w:r w:rsidRPr="00B1522E">
        <w:rPr>
          <w:rFonts w:cstheme="minorHAnsi"/>
        </w:rPr>
        <w:t xml:space="preserve">. </w:t>
      </w:r>
      <w:r w:rsidRPr="00B1522E">
        <w:rPr>
          <w:rFonts w:eastAsia="Calibri"/>
        </w:rPr>
        <w:t xml:space="preserve">These normative dietary-related misperceptions that influence adolescents’ personal dietary consumption are more likely to encourage </w:t>
      </w:r>
      <w:r w:rsidRPr="00B1522E">
        <w:t xml:space="preserve">unhealthy instead of healthy </w:t>
      </w:r>
      <w:r w:rsidRPr="00B1522E">
        <w:lastRenderedPageBreak/>
        <w:t xml:space="preserve">dietary behaviours </w:t>
      </w:r>
      <w:r w:rsidRPr="00B1522E">
        <w:fldChar w:fldCharType="begin" w:fldLock="1"/>
      </w:r>
      <w:r w:rsidR="00DF6CCC" w:rsidRPr="00B1522E">
        <w:instrText>ADDIN CSL_CITATION {"citationItems":[{"id":"ITEM-1","itemData":{"ISSN":"0022-3182","author":[{"dropping-particle":"","family":"Croll","given":"Jillian K","non-dropping-particle":"","parse-names":false,"suffix":""},{"dropping-particle":"","family":"Neumark-Sztainer","given":"Dianne","non-dropping-particle":"","parse-names":false,"suffix":""},{"dropping-particle":"","family":"Story","given":"Mary","non-dropping-particle":"","parse-names":false,"suffix":""}],"container-title":"Journal of nutrition education","id":"ITEM-1","issue":"4","issued":{"date-parts":[["2001"]]},"page":"193-198","publisher":"Elsevier","title":"Healthy eating: what does it mean to adolescents?","type":"article-journal","volume":"33"},"uris":["http://www.mendeley.com/documents/?uuid=d593c366-48fd-4a2d-b28f-52a7f5670be7"]}],"mendeley":{"formattedCitation":"(Croll et al., 2001)","plainTextFormattedCitation":"(Croll et al., 2001)","previouslyFormattedCitation":"(Croll et al., 2001)"},"properties":{"noteIndex":0},"schema":"https://github.com/citation-style-language/schema/raw/master/csl-citation.json"}</w:instrText>
      </w:r>
      <w:r w:rsidRPr="00B1522E">
        <w:fldChar w:fldCharType="separate"/>
      </w:r>
      <w:r w:rsidR="004B7FAF" w:rsidRPr="00B1522E">
        <w:rPr>
          <w:noProof/>
        </w:rPr>
        <w:t>(Croll et al., 2001)</w:t>
      </w:r>
      <w:r w:rsidRPr="00B1522E">
        <w:fldChar w:fldCharType="end"/>
      </w:r>
      <w:r w:rsidRPr="00B1522E">
        <w:t>.</w:t>
      </w:r>
      <w:r w:rsidRPr="00B1522E">
        <w:rPr>
          <w:rFonts w:cstheme="minorHAnsi"/>
        </w:rPr>
        <w:t xml:space="preserve"> Although the </w:t>
      </w:r>
      <w:r w:rsidRPr="00B1522E">
        <w:rPr>
          <w:shd w:val="clear" w:color="auto" w:fill="FFFFFF"/>
        </w:rPr>
        <w:t>SNA has not yet been applied to reduce unhealthy dietary behaviours of younger adolescents, in</w:t>
      </w:r>
      <w:r w:rsidRPr="00B1522E">
        <w:rPr>
          <w:rFonts w:cstheme="minorHAnsi"/>
          <w:shd w:val="clear" w:color="auto" w:fill="FFFFFF"/>
        </w:rPr>
        <w:t xml:space="preserve">terventions using SNA feedback have shown promising results in health promotion and prevention in </w:t>
      </w:r>
      <w:r w:rsidRPr="00B1522E">
        <w:rPr>
          <w:rFonts w:eastAsia="Calibri" w:cstheme="minorHAnsi"/>
        </w:rPr>
        <w:t>adolescents</w:t>
      </w:r>
      <w:r w:rsidRPr="00B1522E">
        <w:rPr>
          <w:shd w:val="clear" w:color="auto" w:fill="FFFFFF"/>
        </w:rPr>
        <w:t xml:space="preserve">, </w:t>
      </w:r>
      <w:r w:rsidRPr="00B1522E">
        <w:t xml:space="preserve">demonstrating that by providing accurate normative feedback about peers’ behaviour, various unhealthy behaviours can be reduced, e.g. alcohol and tobacco intake </w:t>
      </w:r>
      <w:r w:rsidRPr="00B1522E">
        <w:fldChar w:fldCharType="begin" w:fldLock="1"/>
      </w:r>
      <w:r w:rsidR="004A684E" w:rsidRPr="00B1522E">
        <w:instrText>ADDIN CSL_CITATION {"citationItems":[{"id":"ITEM-1","itemData":{"ISSN":"1368-4302","author":[{"dropping-particle":"","family":"Perkins","given":"H.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Relations","id":"ITEM-1","issue":"5","issued":{"date-parts":[["2011"]]},"page":"703-722","publisher":"Sage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schools","type":"article-journal","volume":"14"},"uris":["http://www.mendeley.com/documents/?uuid=6378a98a-771f-425a-8e50-f7c8134e913c"]},{"id":"ITEM-2","itemData":{"ISSN":"078796459X","author":[{"dropping-particle":"","family":"Linkenbach","given":"Jeffrey W","non-dropping-particle":"","parse-names":false,"suffix":""},{"dropping-particle":"","family":"Perkins","given":"H W","non-dropping-particle":"","parse-names":false,"suffix":""}],"container-title":"The social norms approach to preventing school and college age substance abuse: A handbook for educators, counselor","id":"ITEM-2","issued":{"date-parts":[["2003"]]},"number-of-pages":"224-234","publisher":"Jossey-Bass","publisher-place":"New York, NY","title":"MOST of us are tobacco free: An eight-month social norms campaign reducing youth initiation of smoking in Montana. In H. W. Perkins (Ed.),","type":"book"},"uris":["http://www.mendeley.com/documents/?uuid=b109719e-3e59-4ba5-a1e0-1eee468ae30b"]},{"id":"ITEM-3","itemData":{"ISSN":"2296-2565","author":[{"dropping-particle":"","family":"Vallentin-Holbech","given":"Lotte","non-dropping-particle":"","parse-names":false,"suffix":""},{"dropping-particle":"","family":"Rasmussen","given":"Birthe Marie","non-dropping-particle":"","parse-names":false,"suffix":""},{"dropping-particle":"","family":"Stock","given":"Christiane","non-dropping-particle":"","parse-names":false,"suffix":""}],"container-title":"Frontiers in public health","id":"ITEM-3","issued":{"date-parts":[["2019"]]},"page":"245","publisher":"Frontiers","title":"Does level of received intervention dose have an impact on the effectiveness of the social norms alcohol prevention program The GOOD Life?","type":"article-journal","volume":"7"},"uris":["http://www.mendeley.com/documents/?uuid=5ee77ba3-6809-4088-a2a3-b425019ebc0f"]}],"mendeley":{"formattedCitation":"(Linkenbach &amp; Perkins, 2003; H. W Perkins et al., 2011; Vallentin-Holbech et al., 2019)","manualFormatting":"(Linkenbach &amp; Perkins, 2003; Perkins et al., 2011; Vallentin-Holbech et al., 2019)","plainTextFormattedCitation":"(Linkenbach &amp; Perkins, 2003; H. W Perkins et al., 2011; Vallentin-Holbech et al., 2019)","previouslyFormattedCitation":"(Linkenbach &amp; Perkins, 2003; H. W Perkins et al., 2011; Vallentin-Holbech et al., 2019)"},"properties":{"noteIndex":0},"schema":"https://github.com/citation-style-language/schema/raw/master/csl-citation.json"}</w:instrText>
      </w:r>
      <w:r w:rsidRPr="00B1522E">
        <w:fldChar w:fldCharType="separate"/>
      </w:r>
      <w:r w:rsidRPr="00B1522E">
        <w:rPr>
          <w:noProof/>
        </w:rPr>
        <w:t>(Linkenbach &amp; Perkins, 2003; Perkins et al., 2011; Vallentin-Holbech et al., 2019)</w:t>
      </w:r>
      <w:r w:rsidRPr="00B1522E">
        <w:fldChar w:fldCharType="end"/>
      </w:r>
      <w:r w:rsidRPr="00B1522E">
        <w:t>.</w:t>
      </w:r>
      <w:r w:rsidR="00795693" w:rsidRPr="00B1522E">
        <w:rPr>
          <w:rFonts w:cstheme="minorHAnsi"/>
        </w:rPr>
        <w:tab/>
      </w:r>
    </w:p>
    <w:p w14:paraId="66BC494E" w14:textId="77777777" w:rsidR="006A1E83" w:rsidRPr="00B1522E" w:rsidRDefault="006A1E83" w:rsidP="0032626A">
      <w:pPr>
        <w:spacing w:line="480" w:lineRule="auto"/>
        <w:jc w:val="both"/>
        <w:rPr>
          <w:rFonts w:cstheme="minorHAnsi"/>
        </w:rPr>
      </w:pPr>
    </w:p>
    <w:p w14:paraId="20EF30F1" w14:textId="47D7CE7A" w:rsidR="00795693" w:rsidRPr="00B1522E" w:rsidRDefault="00E916FA" w:rsidP="00795693">
      <w:pPr>
        <w:spacing w:line="480" w:lineRule="auto"/>
        <w:jc w:val="both"/>
        <w:rPr>
          <w:b/>
          <w:bCs/>
        </w:rPr>
      </w:pPr>
      <w:r w:rsidRPr="00B1522E">
        <w:fldChar w:fldCharType="begin"/>
      </w:r>
      <w:r w:rsidRPr="00B1522E">
        <w:instrText xml:space="preserve"> TC  "</w:instrText>
      </w:r>
      <w:bookmarkStart w:id="91" w:name="_Toc97310439"/>
      <w:r w:rsidRPr="00B1522E">
        <w:instrText>3.9 Conclusion</w:instrText>
      </w:r>
      <w:bookmarkEnd w:id="91"/>
      <w:r w:rsidRPr="00B1522E">
        <w:instrText xml:space="preserve"> " \f x\l 2 </w:instrText>
      </w:r>
      <w:r w:rsidRPr="00B1522E">
        <w:fldChar w:fldCharType="end"/>
      </w:r>
      <w:r w:rsidR="00795693" w:rsidRPr="00B1522E">
        <w:rPr>
          <w:b/>
          <w:bCs/>
        </w:rPr>
        <w:t xml:space="preserve">3.9 Conclusion </w:t>
      </w:r>
    </w:p>
    <w:p w14:paraId="28A77467" w14:textId="5ABDDA11" w:rsidR="00B632EE" w:rsidRPr="00B1522E" w:rsidRDefault="00B632EE" w:rsidP="00B632EE">
      <w:pPr>
        <w:spacing w:line="480" w:lineRule="auto"/>
        <w:jc w:val="both"/>
        <w:rPr>
          <w:rFonts w:eastAsia="Calibri" w:cstheme="minorHAnsi"/>
        </w:rPr>
      </w:pPr>
      <w:r w:rsidRPr="00B1522E">
        <w:t xml:space="preserve">Social norms exert social influence by prescribing what are, and are not, appropriate behaviours, and engagement in behaviour is related to perceived social pressures </w:t>
      </w:r>
      <w:r w:rsidRPr="00B1522E">
        <w:fldChar w:fldCharType="begin" w:fldLock="1"/>
      </w:r>
      <w:r w:rsidR="00680BF6">
        <w:instrText>ADDIN CSL_CITATION {"citationItems":[{"id":"ITEM-1","itemData":{"ISSN":"0195213769","author":[{"dropping-particle":"","family":"Cialdini","given":"Robert B","non-dropping-particle":"","parse-names":false,"suffix":""},{"dropping-particle":"","family":"Trost","given":"Melanie R","non-dropping-particle":"","parse-names":false,"suffix":""}],"container-title":"The handbook of social psychology","editor":[{"dropping-particle":"","family":"Gilbert","given":"D.T","non-dropping-particle":"","parse-names":false,"suffix":""},{"dropping-particle":"","family":"Fiske","given":"S.T","non-dropping-particle":"","parse-names":false,"suffix":""},{"dropping-particle":"","family":"Lindzey","given":"G","non-dropping-particle":"","parse-names":false,"suffix":""}],"id":"ITEM-1","issued":{"date-parts":[["1998"]]},"page":"151-192","publisher":"McGraw-Hill","title":"Social influence: Social norms, conformity and compliance.","type":"chapter"},"uris":["http://www.mendeley.com/documents/?uuid=cdb87913-3bb5-4c2c-a97e-2c0d8b36ffc8"]}],"mendeley":{"formattedCitation":"(Cialdini &amp; Trost, 1998)","plainTextFormattedCitation":"(Cialdini &amp; Trost, 1998)","previouslyFormattedCitation":"(Cialdini &amp; Trost, 1998)"},"properties":{"noteIndex":0},"schema":"https://github.com/citation-style-language/schema/raw/master/csl-citation.json"}</w:instrText>
      </w:r>
      <w:r w:rsidRPr="00B1522E">
        <w:fldChar w:fldCharType="separate"/>
      </w:r>
      <w:r w:rsidRPr="00B1522E">
        <w:rPr>
          <w:noProof/>
        </w:rPr>
        <w:t>(Cialdini &amp; Trost, 1998)</w:t>
      </w:r>
      <w:r w:rsidRPr="00B1522E">
        <w:fldChar w:fldCharType="end"/>
      </w:r>
      <w:r w:rsidRPr="00B1522E">
        <w:t xml:space="preserve">; however, these perceptions are not always accurate and can promote unhealthy behaviours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t>. T</w:t>
      </w:r>
      <w:r w:rsidRPr="00B1522E">
        <w:rPr>
          <w:rFonts w:eastAsia="Calibri" w:cstheme="minorHAnsi"/>
        </w:rPr>
        <w:t xml:space="preserve">he literature demonstrates that normative misperceptions have a strong and predictive influence on personal behaviours and related attitudes across a range of unhealthy behaviours </w:t>
      </w:r>
      <w:r w:rsidRPr="00B1522E">
        <w:rPr>
          <w:rFonts w:eastAsia="Calibri" w:cstheme="minorHAnsi"/>
        </w:rPr>
        <w:fldChar w:fldCharType="begin" w:fldLock="1"/>
      </w:r>
      <w:r w:rsidR="004A684E" w:rsidRPr="00B1522E">
        <w:rPr>
          <w:rFonts w:eastAsia="Calibri" w:cstheme="minorHAnsi"/>
        </w:rPr>
        <w:instrText>ADDIN CSL_CITATION {"citationItems":[{"id":"ITEM-1","itemData":{"ISSN":"1471-2458","abstract":"BACKGROUND: Incorrect perceptions of high rates of peer alcohol and tobacco use are predictive of increased personal use in student populations. Correcting misperceptions by providing feedback has been shown to be an effective intervention for reducing licit drug use. It is currently unknown if social norms interventions are effective in preventing and reducing illicit drug use in European students. The purpose of this paper is to describe the design of a multi-site cluster controlled trial of a web-based social norms intervention aimed at reducing licit and preventing illicit drug use in European university students. METHODS/DESIGN: An online questionnaire to assess rates of drug use will be developed and translated based on existing social norms surveys. Students from sixteen universities in seven participating European countries will be invited to complete the questionnaire. Both intervention and control sites will be chosen by convenience. In each country, the intervention site will be the university that the local principal investigator is affiliated with. We aim to recruit 1000 students per site (baseline assessment). All participants will complete the online questionnaire at baseline. Baseline data will be used to develop social norms messages that will be included in a web-based intervention. The intervention group will receive individualized social norms feedback. The website will remain online during the following 5 months. After five months, a second survey will be conducted and effects of the intervention on social norms and drug use will be measured in comparison to the control site. DISCUSSION: This project is the first cross-national European collaboration to investigate the feasibility of a social norms intervention to reduce licit and prevent illicit drug use among European university students. FINAL TRIAL REGISTRATION NUMBER: DRKS00004375 on the 'German Clinical Trials Register'.","author":[{"dropping-particle":"","family":"Pischke","given":"Claudia R","non-dropping-particle":"","parse-names":false,"suffix":""},{"dropping-particle":"","family":"Zeeb","given":"Hajo","non-dropping-particle":"","parse-names":false,"suffix":""},{"dropping-particle":"","family":"Hal","given":"Guido","non-dropping-particle":"van","parse-names":false,"suffix":""},{"dropping-particle":"","family":"Vriesacker","given":"Bart","non-dropping-particle":"","parse-names":false,"suffix":""},{"dropping-particle":"","family":"McAlaney","given":"John","non-dropping-particle":"","parse-names":false,"suffix":""},{"dropping-particle":"","family":"Bewick","given":"Bridgette M","non-dropping-particle":"","parse-names":false,"suffix":""},{"dropping-particle":"","family":"Akvardar","given":"Yildiz","non-dropping-particle":"","parse-names":false,"suffix":""},{"dropping-particle":"","family":"Guillén-Grima","given":"Francisco","non-dropping-particle":"","parse-names":false,"suffix":""},{"dropping-particle":"","family":"Orosova","given":"Olga","non-dropping-particle":"","parse-names":false,"suffix":""},{"dropping-particle":"","family":"Salonna","given":"Ferdinand","non-dropping-particle":"","parse-names":false,"suffix":""},{"dropping-particle":"","family":"Kalina","given":"Ondrej","non-dropping-particle":"","parse-names":false,"suffix":""},{"dropping-particle":"","family":"Stock","given":"Christiane","non-dropping-particle":"","parse-names":false,"suffix":""},{"dropping-particle":"","family":"Helmer","given":"Stefanie M","non-dropping-particle":"","parse-names":false,"suffix":""},{"dropping-particle":"","family":"Mikolajczyk","given":"Rafael T","non-dropping-particle":"","parse-names":false,"suffix":""}],"container-title":"BMC public health","id":"ITEM-1","issued":{"date-parts":[["2012","10"]]},"language":"eng","page":"1-8","publisher":"BioMed Central","title":"A feasibility trial to examine the social norms approach for the prevention and reduction of licit and illicit drug use in European University and college students","type":"article-journal","volume":"12"},"uris":["http://www.mendeley.com/documents/?uuid=67564ef7-1442-4ce2-94a3-1563f41e6c44"]},{"id":"ITEM-2","itemData":{"ISSN":"0306-4603","author":[{"dropping-particle":"","family":"Pischke","given":"Claudia R","non-dropping-particle":"","parse-names":false,"suffix":""},{"dropping-particle":"","family":"Helmer","given":"Stefanie M","non-dropping-particle":"","parse-names":false,"suffix":""},{"dropping-particle":"","family":"McAlaney","given":"John","non-dropping-particle":"","parse-names":false,"suffix":""},{"dropping-particle":"","family":"Bewick","given":"Bridgette M","non-dropping-particle":"","parse-names":false,"suffix":""},{"dropping-particle":"","family":"Vriesacker","given":"Bart","non-dropping-particle":"","parse-names":false,"suffix":""},{"dropping-particle":"","family":"Hal","given":"Guido","non-dropping-particle":"Van","parse-names":false,"suffix":""},{"dropping-particle":"","family":"Mikolajczyk","given":"Rafael T","non-dropping-particle":"","parse-names":false,"suffix":""},{"dropping-particle":"","family":"Akvardar","given":"Yildiz","non-dropping-particle":"","parse-names":false,"suffix":""},{"dropping-particle":"","family":"Guillen-Grima","given":"Francisco","non-dropping-particle":"","parse-names":false,"suffix":""},{"dropping-particle":"","family":"Salonna","given":"Ferdinand","non-dropping-particle":"","parse-names":false,"suffix":""},{"dropping-particle":"","family":"Orosova","given":"Olga","non-dropping-particle":"","parse-names":false,"suffix":""},{"dropping-particle":"","family":"Dohrmann","given":"Solveig","non-dropping-particle":"","parse-names":false,"suffix":""},{"dropping-particle":"","family":"Dempsey","given":"Robert C","non-dropping-particle":"","parse-names":false,"suffix":""},{"dropping-particle":"","family":"Zeeb","given":"Hajo","non-dropping-particle":"","parse-names":false,"suffix":""}],"container-title":"Addictive Behaviors","id":"ITEM-2","issued":{"date-parts":[["2015"]]},"page":"158-164","publisher":"Elsevier","title":"Normative misperceptions of tobacco use among university students in seven European countries: Baseline findings of the ‘Social Norms Intervention for the prevention of Polydrug usE’study","type":"article-journal","volume":"51"},"uris":["http://www.mendeley.com/documents/?uuid=ddeb51c9-244c-4908-b795-34633f0d893d"]},{"id":"ITEM-3","itemData":{"ISSN":"0360-0025","author":[{"dropping-particle":"","family":"Lewis","given":"Melissa A","non-dropping-particle":"","parse-names":false,"suffix":""},{"dropping-particle":"","family":"Lee","given":"Christine M","non-dropping-particle":"","parse-names":false,"suffix":""},{"dropping-particle":"","family":"Patrick","given":"Megan E","non-dropping-particle":"","parse-names":false,"suffix":""},{"dropping-particle":"","family":"Fossos","given":"Nicole","non-dropping-particle":"","parse-names":false,"suffix":""}],"container-title":"Sex Roles","id":"ITEM-3","issue":"1-2","issued":{"date-parts":[["2007"]]},"page":"81-90","publisher":"Springer","title":"Gender-specific normative misperceptions of risky sexual behavior and alcohol-related risky sexual behavior","type":"article-journal","volume":"57"},"uris":["http://www.mendeley.com/documents/?uuid=4dfa4d2f-6cc7-4394-9bc1-c3a89340e8a3"]},{"id":"ITEM-4","itemData":{"ISSN":"0020-773X","author":[{"dropping-particle":"","family":"Perkins","given":"H. W","non-dropping-particle":"","parse-names":false,"suffix":""},{"dropping-particle":"","family":"Berkowitz","given":"A D","non-dropping-particle":"","parse-names":false,"suffix":""}],"container-title":"International journal of the Addictions","id":"ITEM-4","issue":"9-10","issued":{"date-parts":[["1986"]]},"page":"961-976","publisher":"Taylor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programming","type":"article-journal","volume":"21"},"uris":["http://www.mendeley.com/documents/?uuid=c5bb1f76-719b-4b43-8537-bc1ecaff260b"]}],"mendeley":{"formattedCitation":"(Lewis et al., 2007; H. W Perkins &amp; Berkowitz, 1986; Pischke et al., 2012, 2015)","manualFormatting":"(Lewis et al., 2007; Perkins &amp; Berkowitz, 1986; Pischke et al., 2012, 2015)","plainTextFormattedCitation":"(Lewis et al., 2007; H. W Perkins &amp; Berkowitz, 1986; Pischke et al., 2012, 2015)","previouslyFormattedCitation":"(Lewis et al., 2007; H. W Perkins &amp; Berkowitz, 1986; Pischke et al., 2012,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(Lewis et al., 2007; Perkins &amp; Berkowitz, 1986; Pischke et al., 2012, 2015)</w:t>
      </w:r>
      <w:r w:rsidRPr="00B1522E">
        <w:rPr>
          <w:rFonts w:eastAsia="Calibri" w:cstheme="minorHAnsi"/>
        </w:rPr>
        <w:fldChar w:fldCharType="end"/>
      </w:r>
      <w:r w:rsidRPr="00B1522E">
        <w:rPr>
          <w:rFonts w:eastAsia="Calibri" w:cstheme="minorHAnsi"/>
        </w:rPr>
        <w:t xml:space="preserve">. SNA operates on the premise </w:t>
      </w:r>
      <w:r w:rsidRPr="00B1522E">
        <w:t>that correcting these exaggerated perceptions with accurate normative information should lead to a decrease in the unhealthy behaviour</w:t>
      </w:r>
      <w:r w:rsidR="00141A6F" w:rsidRPr="00B1522E">
        <w:t xml:space="preserve">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t>.</w:t>
      </w:r>
      <w:r w:rsidRPr="00B1522E">
        <w:rPr>
          <w:rFonts w:eastAsia="Calibri" w:cstheme="minorHAnsi"/>
        </w:rPr>
        <w:t>T</w:t>
      </w:r>
      <w:r w:rsidRPr="00B1522E">
        <w:t xml:space="preserve">here is consistent evidence that supports challenging these normative misperceptions using an SNA intervention </w:t>
      </w:r>
      <w:r w:rsidRPr="00B1522E">
        <w:rPr>
          <w:rFonts w:cstheme="minorHAnsi"/>
        </w:rPr>
        <w:t xml:space="preserve">can lead to a reduction in unhealthy behaviours </w:t>
      </w:r>
      <w:r w:rsidRPr="00B1522E">
        <w:rPr>
          <w:rFonts w:cstheme="minorHAnsi"/>
        </w:rPr>
        <w:fldChar w:fldCharType="begin" w:fldLock="1"/>
      </w:r>
      <w:r w:rsidR="0053594F">
        <w:rPr>
          <w:rFonts w:cstheme="minorHAnsi"/>
        </w:rPr>
        <w:instrText>ADDIN CSL_CITATION {"citationItems":[{"id":"ITEM-1","itemData":{"ISSN":"1939-2117","abstract":"OBJECTIVE: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psychology","id":"ITEM-1","issue":"3","issued":{"date-parts":[["2015","6"]]},"language":"eng","page":"500-511","title":"Efficacy of personalized normative feedback as a brief intervention for college student gambling: a randomized controlled trial","type":"article-journal","volume":"83"},"uris":["http://www.mendeley.com/documents/?uuid=fcaceed2-d4d5-4058-b962-e7683d722ede"]},{"id":"ITEM-2","itemData":{"author":[{"dropping-particle":"","family":"Haines","given":"M P","non-dropping-particle":"","parse-names":false,"suffix":""},{"dropping-particle":"","family":"Barker","given":"G P","non-dropping-particle":"","parse-names":false,"suffix":""},{"dropping-particle":"","family":"Rice","given":"R","non-dropping-particle":"","parse-names":false,"suffix":""}],"container-title":"The social norms approach to preventing school and college age substance abuse: A handbook for educators, counselors, and clinicians","editor":[{"dropping-particle":"","family":"Perkins","given":"H. W","non-dropping-particle":"","parse-names":false,"suffix":""}],"id":"ITEM-2","issued":{"date-parts":[["2003"]]},"page":"235-244","publisher":"Jossey-Bass","title":"Using social norms to reduce alcohol and tobacco use in two midwestern high schools","type":"chapter"},"uris":["http://www.mendeley.com/documents/?uuid=73f99723-f98f-4430-85fb-c8a047b72256"]},{"id":"ITEM-3","itemData":{"ISSN":"1930-7810 (Electronic)","PMID":"23646838","abstract":"OBJECTIVE: Despite long-standing social psychological research supporting the influence of injunctive norms (i.e., what is commonly approved or disapproved) on behavior, support for this influence on health behaviors is limited. We examined the utility of correcting misperceptions of injunctive norms for improving sun protection and whether changes in attitudes mediated the injunctive norm-intention relationship. METHOD: At baseline 263 community residing primarily White women, aged 37 to 77 years, reported their beliefs about sun protection and tanning and their perceptions of \"typical women's\" approval of sun protection versus tanning. Women underestimated approval of sun protection and overestimated approval of tanning. In a randomized trial, 189 of these women received either information about sun protection or information plus personalized normative feedback (PNF). PNF compared each woman's own perceptions of typical women's approval of tanning and sun protection with actual normative values, both measured at baseline. PNF communicated that most women approve of others who sun protect. RESULTS: PNF led to more positive sun protection injunctive norms, attitudes, and intentions at immediate posttest and more positive intentions and self-reported behavior at 4-week follow-up. Baseline discrepancy between a woman's beliefs and actual normative values related negatively to changes in sun protection in the control condition but positively in the PNF condition. As hypothesized, changes in attitudes partially mediated the influence of PNF on changes in intentions. CONCLUSIONS: The present research demonstrates the utility of correcting injunctive norm misperceptions for promoting healthy behaviors. That attitudes changed in response to PNF and mediated the norm-intention relationship suggests a method for influencing attitudes that may limit reactance.","author":[{"dropping-particle":"","family":"Reid","given":"Allecia E","non-dropping-particle":"","parse-names":false,"suffix":""},{"dropping-particle":"","family":"Aiken","given":"Leona S","non-dropping-particle":"","parse-names":false,"suffix":""}],"container-title":"Health psychology : official journal of the Division of Health Psychology, American Psychological Association","id":"ITEM-3","issue":"5","issued":{"date-parts":[["2013","5"]]},"language":"eng","page":"551-560","publisher-place":"United States","title":"Correcting injunctive norm misperceptions motivates behavior change: a randomized controlled sun protection intervention.","type":"article-journal","volume":"32"},"uris":["http://www.mendeley.com/documents/?uuid=9519fd8f-8198-4d1b-b62f-7557d4fabb51"]},{"id":"ITEM-4","itemData":{"ISSN":"1368-4302","author":[{"dropping-particle":"","family":"Perkins","given":"H.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Relations","id":"ITEM-4","issue":"5","issued":{"date-parts":[["2011"]]},"page":"703-722","publisher":"Sage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schools","type":"article-journal","volume":"14"},"uris":["http://www.mendeley.com/documents/?uuid=6378a98a-771f-425a-8e50-f7c8134e913c"]}],"mendeley":{"formattedCitation":"(Haines et al., 2003; Neighbors et al., 2015; H. W Perkins et al., 2011; Reid &amp; Aiken, 2013)","manualFormatting":"(Haines et al., 2003; Neighbors et al., 2015; Perkins et al., 2011; Reid &amp; Aiken, 2013)","plainTextFormattedCitation":"(Haines et al., 2003; Neighbors et al., 2015; H. W Perkins et al., 2011; Reid &amp; Aiken, 2013)","previouslyFormattedCitation":"(Haines et al., 2003; Neighbors et al., 2015; H. W Perkins et al., 2011; Reid &amp; Aiken, 2013)"},"properties":{"noteIndex":0},"schema":"https://github.com/citation-style-language/schema/raw/master/csl-citation.json"}</w:instrText>
      </w:r>
      <w:r w:rsidRPr="00B1522E">
        <w:rPr>
          <w:rFonts w:cstheme="minorHAnsi"/>
        </w:rPr>
        <w:fldChar w:fldCharType="separate"/>
      </w:r>
      <w:r w:rsidRPr="00B1522E">
        <w:rPr>
          <w:rFonts w:cstheme="minorHAnsi"/>
          <w:noProof/>
        </w:rPr>
        <w:t>(Haines et al., 2003; Neighbors et al., 2015; Perkins et al., 2011; Reid &amp; Aiken, 2013)</w:t>
      </w:r>
      <w:r w:rsidRPr="00B1522E">
        <w:rPr>
          <w:rFonts w:cstheme="minorHAnsi"/>
        </w:rPr>
        <w:fldChar w:fldCharType="end"/>
      </w:r>
      <w:r w:rsidRPr="00B1522E">
        <w:rPr>
          <w:rFonts w:cstheme="minorHAnsi"/>
        </w:rPr>
        <w:t>. Nevertheless, m</w:t>
      </w:r>
      <w:r w:rsidRPr="00B1522E">
        <w:rPr>
          <w:rFonts w:cstheme="minorHAnsi"/>
          <w:shd w:val="clear" w:color="auto" w:fill="FFFFFF"/>
        </w:rPr>
        <w:t xml:space="preserve">ore research is still needed to understand the applicability of the SNA as a behaviour change strategy for other populations outside of a university setting, specifically adolescents.  Consistent with research focusing on other behaviours, individuals have been shown to </w:t>
      </w:r>
      <w:r w:rsidRPr="00B1522E">
        <w:rPr>
          <w:rFonts w:cstheme="minorHAnsi"/>
        </w:rPr>
        <w:t xml:space="preserve">misperceive the unhealthy dietary behaviours of peers, and these misperceptions are predictive of personal behaviour </w:t>
      </w:r>
      <w:r w:rsidRPr="00B1522E">
        <w:rPr>
          <w:rFonts w:cstheme="minorHAnsi"/>
        </w:rPr>
        <w:fldChar w:fldCharType="begin" w:fldLock="1"/>
      </w:r>
      <w:r w:rsidR="005776BC"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W","non-dropping-particle":"","parse-names":false,"suffix":""}],"container-title":"Appetite","id":"ITEM-2","issued":{"date-parts":[["2018"]]},"page":"82-93","publisher":"Elsevier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States.","type":"article-journal","volume":"129"},"uris":["http://www.mendeley.com/documents/?uuid=8512058f-516f-45e2-9148-9381fb740b26"]},{"id":"ITEM-3","itemData":{"ISSN":"1479-5868","abstract":"Background: Social norms are theoretically hypothesized to influence health-related behaviors such as physical activity and eating behaviors. However, empirical evidence relating social norms to these behaviors, independently of other more commonly-investigated social constructs such as social support, is scarce and findings equivocal, perhaps due to limitations in the ways in which social norms have been conceptualized and assessed. This study investigated associations between clearly-defined social norms and a range of physical activity and eating behaviors amongst women, adjusting for the effects of social support. Methods: Self-report survey data about particular physical activity (leisure-time moderate-vigorous activity; volitional walking; cycling for transport) and eating behaviors (fast food, soft drink and fruit and vegetable consumption), and social norms and support for these, were provided by 3,610 women aged 18-46 years living in socioeconomically disadvantaged neighborhoods in Victoria, Australia. Results: Results of regression analyses showed that social norms for physical activity and eating behaviors predicted these respective behaviors relatively consistently; these associations generally remained significant after adjustment for social support. Conclusions: Acknowledging the cross-sectional study design, these data confirm theoretical accounts of the importance of social norms for physical activity and eating behaviors, and suggest that this is independent from social support. Intervention strategies aimed at promoting physical activity and healthy eating could incorporate strategies aimed at modifying social norms relating to these behaviors. (PsycINFO Database Record (c) 2016 APA, all rights reserved)","author":[{"dropping-particle":"","family":"Ball","given":"Kylie","non-dropping-particle":"","parse-names":false,"suffix":""},{"dropping-particle":"","family":"Jeffery","given":"Robert W","non-dropping-particle":"","parse-names":false,"suffix":""},{"dropping-particle":"","family":"Abbott","given":"Gavin","non-dropping-particle":"","parse-names":false,"suffix":""},{"dropping-particle":"","family":"McNaughton","given":"Sarah A","non-dropping-particle":"","parse-names":false,"suffix":""},{"dropping-particle":"","family":"Crawford","given":"David","non-dropping-particle":"","parse-names":false,"suffix":""}],"container-title":"The International Journal of Behavioral Nutrition and Physical Activity","id":"ITEM-3","issued":{"date-parts":[["2010","12","7"]]},"note":"Accession Number: 2012-32519-001. PMID: 21138550 Partial author list: First Author &amp;amp; Affiliation: Ball, Kylie; Centre for Physical Activity and Nutrition Research, Deakin University, Melbourne, VIC, Australia. Release Date: 20121217. Correction Date: 20151214. Publication Type: Journal (0100), Peer Reviewed Journal (0110). Format Covered: Electronic. Document Type: Journal Article. Language: English. Major Descriptor: Contagion; Eating Behavior; Health Behavior; Physical Activity; Social Norms. Minor Descriptor: Human Females; Social Support. Classification: Group &amp;amp; Interpersonal Processes (3020); Promotion &amp;amp; Maintenance of Health &amp;amp; Wellness (3365). Population: Human (10); Female (40). Location: Australia. Age Group: Adulthood (18 yrs &amp;amp; older) (300); Young Adulthood (18-29 yrs) (320); Thirties (30-39 yrs) (340); Middle Age (40-64 yrs) (360). Tests &amp;amp; Measures: Godin Physical Activity Questionnaire; International Physical Activity Questionnaire DOI: 10.1037/t31330-000; Food Frequency Questionnaire. Methodology: Empirical Study; Quantitative Study. References Available: Y. ArtID: 86. Issue Publication Date: Dec 7, 2010. Publication History: First Posted Date: Dec 7, 2010; Accepted Date: Dec 7, 2010; First Submitted Date: Jul 2, 2010. Copyright Statement: This is an Open Access article distributed under the terms of the Creative Commons Attribution License (http://creativecommons.org/licenses/by/2.0), which permits unrestricted use, distribution, and reproduction in any medium, provided the original work is properly cited. Ball et al; licensee BioMed Central Ltd. 2010.","page":"86-95","publisher":"BioMed Central Limited","publisher-place":"Ball, Kylie, Centre for Physical Activity and Nutrition Research, Deakin University, Melbourne, VIC, Australia","title":"Is healthy behavior contagious: Associations of social norms with physical activity and healthy eating","type":"article-journal","volume":"7"},"uris":["http://www.mendeley.com/documents/?uuid=d28c93a1-dbca-40c6-9fb1-3ba72aaf79bf"]},{"id":"ITEM-4","itemData":{"ISSN":"0002-8223","author":[{"dropping-particle":"","family":"Perkins","given":"J.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Association","id":"ITEM-4","issue":"12","issued":{"date-parts":[["2010"]]},"page":"1916-1921","publisher":"Elsevier","title":"Misperceptions of peer norms as a risk factor for sugar-sweetened beverage consumption among secondary school students","type":"article-journal","volume":"110"},"uris":["http://www.mendeley.com/documents/?uuid=057ae4b5-514d-47a6-bfd8-bd60f5e335ea"]},{"id":"ITEM-5","itemData":{"ISSN":"0096-882X","abstract":"OBJECTIVE: Previous research has shown that students overestimate the drinking of their peers, and that perceived norms are strongly associated with drinking behavior. Explanations for these findings have been based largely on cross-sectional data, precluding the ability to evaluate the stability of normative misperceptions or to disentangle the direction of influence between perceived norms and drinking. The present research was designed to evaluate (1) the stability of normative misperceptions and (2) temporal precedence of perceived norms and drinking. METHOD: Participants were college students (N = 164; 94 women) who completed assessments of perceived norms and reported behavior for drinking frequency and weekly quantity. Most participants (68%) completed the same measures again two months later. RESULTS: Results indicated large and stable overestimations of peer drinking for frequency and weekly quantity. Results also showed that for weekly quantity, perceived norms predicted later drinking, but drinking also predicted later perceived norms. Results for frequency revealed perceived norms predicted later drinking, but drinking did not predict later perceived norms. CONCLUSIONS: These findings underscore the importance of longitudinal designs in evaluating normative influences on drinking. The present findings suggest that normative misperceptions are stable, at least over a relatively short time period. Findings support a mutual influence model of the relationship between perceived norms and drinking quantity but are more strongly associated with conformity explanations for the relationship between perceived norms and drinking frequency. Results are discussed in terms of implications for prevention interventions.","author":[{"dropping-particle":"","family":"Neighbors","given":"Clayton","non-dropping-particle":"","parse-names":false,"suffix":""},{"dropping-particle":"","family":"Dillard","given":"Amanda J","non-dropping-particle":"","parse-names":false,"suffix":""},{"dropping-particle":"","family":"Lewis","given":"Melissa A","non-dropping-particle":"","parse-names":false,"suffix":""},{"dropping-particle":"","family":"Bergstrom","given":"Rochelle L","non-dropping-particle":"","parse-names":false,"suffix":""},{"dropping-particle":"","family":"Neil","given":"Teryl A","non-dropping-particle":"","parse-names":false,"suffix":""}],"container-title":"Journal of studies on alcohol","id":"ITEM-5","issue":"2","issued":{"date-parts":[["2006","3"]]},"language":"eng","page":"290-299","title":"Normative misperceptions and temporal precedence of perceived norms and drinking","type":"article-journal","volume":"67"},"uris":["http://www.mendeley.com/documents/?uuid=2bb00761-7187-468a-9b3f-005a028503ff"]}],"mendeley":{"formattedCitation":"(Ball et al., 2010; P Lally et al., 2011; Neighbors et al., 2006; J. M. Perkins et al., 2010, 2018)","manualFormatting":"(Ball et al., 2010; Lally et al., 2011; Neighbors et al., 2006; Perkins et al., 2010, 2018)","plainTextFormattedCitation":"(Ball et al., 2010; P Lally et al., 2011; Neighbors et al., 2006; J. M. Perkins et al., 2010, 2018)","previouslyFormattedCitation":"(Ball et al., 2010; P Lally et al., 2011; Neighbors et al., 2006; J. M. Perkins et al., 2010, 2018)"},"properties":{"noteIndex":0},"schema":"https://github.com/citation-style-language/schema/raw/master/csl-citation.json"}</w:instrText>
      </w:r>
      <w:r w:rsidRPr="00B1522E">
        <w:rPr>
          <w:rFonts w:cstheme="minorHAnsi"/>
        </w:rPr>
        <w:fldChar w:fldCharType="separate"/>
      </w:r>
      <w:r w:rsidRPr="00B1522E">
        <w:rPr>
          <w:rFonts w:cstheme="minorHAnsi"/>
          <w:noProof/>
        </w:rPr>
        <w:t>(Ball et al., 2010; Lally et al., 2011; Neighbors et al., 2006; Perkins et al., 2010, 2018)</w:t>
      </w:r>
      <w:r w:rsidRPr="00B1522E">
        <w:rPr>
          <w:rFonts w:cstheme="minorHAnsi"/>
        </w:rPr>
        <w:fldChar w:fldCharType="end"/>
      </w:r>
      <w:r w:rsidRPr="00B1522E">
        <w:rPr>
          <w:rFonts w:cstheme="minorHAnsi"/>
        </w:rPr>
        <w:t>. These studies s</w:t>
      </w:r>
      <w:r w:rsidRPr="00B1522E">
        <w:rPr>
          <w:rFonts w:cstheme="minorHAnsi"/>
          <w:shd w:val="clear" w:color="auto" w:fill="FFFFFF"/>
        </w:rPr>
        <w:t>upport the idea that providing accurate, credible, group level social norms feedback w</w:t>
      </w:r>
      <w:r w:rsidRPr="00B1522E">
        <w:rPr>
          <w:rFonts w:cstheme="minorHAnsi"/>
        </w:rPr>
        <w:t xml:space="preserve">ould be a feasible strategy to help challenge commonly held normative </w:t>
      </w:r>
      <w:r w:rsidRPr="00B1522E">
        <w:rPr>
          <w:rFonts w:cstheme="minorHAnsi"/>
        </w:rPr>
        <w:lastRenderedPageBreak/>
        <w:t>misperceptions of unhealthy dietary behaviours.</w:t>
      </w:r>
      <w:r w:rsidRPr="00B1522E">
        <w:t xml:space="preserve"> </w:t>
      </w:r>
      <w:r w:rsidRPr="00B1522E">
        <w:rPr>
          <w:rFonts w:cstheme="minorHAnsi"/>
          <w:shd w:val="clear" w:color="auto" w:fill="FFFFFF"/>
        </w:rPr>
        <w:t>R</w:t>
      </w:r>
      <w:r w:rsidRPr="00B1522E">
        <w:t>esearch is needed to fully explore whether challenging normative dietary perceptions of adolescents using an SNA intervention would lead to a reduction in personal unhealthy dietary behaviours and a positive change in related attitudes.</w:t>
      </w:r>
      <w:r w:rsidRPr="00B1522E">
        <w:rPr>
          <w:rFonts w:cstheme="minorHAnsi"/>
          <w:shd w:val="clear" w:color="auto" w:fill="FFFFFF"/>
        </w:rPr>
        <w:t xml:space="preserve"> </w:t>
      </w:r>
    </w:p>
    <w:p w14:paraId="3B29574E" w14:textId="77777777" w:rsidR="00B632EE" w:rsidRPr="00B1522E" w:rsidRDefault="00B632EE" w:rsidP="00B632EE">
      <w:pPr>
        <w:spacing w:line="480" w:lineRule="auto"/>
        <w:jc w:val="both"/>
      </w:pPr>
    </w:p>
    <w:p w14:paraId="017BE823" w14:textId="77777777" w:rsidR="00795693" w:rsidRPr="00B1522E" w:rsidRDefault="00795693" w:rsidP="00795693">
      <w:pPr>
        <w:spacing w:line="480" w:lineRule="auto"/>
        <w:jc w:val="both"/>
      </w:pPr>
    </w:p>
    <w:bookmarkEnd w:id="78"/>
    <w:p w14:paraId="2B2F21FD" w14:textId="4A37BF07" w:rsidR="0006775C" w:rsidRPr="00B1522E" w:rsidRDefault="0006775C" w:rsidP="00DD5BC7">
      <w:pPr>
        <w:rPr>
          <w:b/>
          <w:bCs/>
        </w:rPr>
      </w:pPr>
    </w:p>
    <w:p w14:paraId="57A83A65" w14:textId="6BD52023" w:rsidR="0006775C" w:rsidRPr="00B1522E" w:rsidRDefault="0006775C" w:rsidP="00DD5BC7">
      <w:pPr>
        <w:rPr>
          <w:b/>
          <w:bCs/>
        </w:rPr>
      </w:pPr>
    </w:p>
    <w:p w14:paraId="6A3ECAAF" w14:textId="05F2920A" w:rsidR="0006775C" w:rsidRPr="00B1522E" w:rsidRDefault="0006775C" w:rsidP="00DD5BC7">
      <w:pPr>
        <w:rPr>
          <w:b/>
          <w:bCs/>
        </w:rPr>
      </w:pPr>
    </w:p>
    <w:p w14:paraId="45D943C7" w14:textId="3B0A0156" w:rsidR="0006775C" w:rsidRPr="00B1522E" w:rsidRDefault="0006775C" w:rsidP="00DD5BC7">
      <w:pPr>
        <w:rPr>
          <w:b/>
          <w:bCs/>
        </w:rPr>
      </w:pPr>
    </w:p>
    <w:p w14:paraId="09E20421" w14:textId="3EC52F32" w:rsidR="0006775C" w:rsidRPr="00B1522E" w:rsidRDefault="0006775C" w:rsidP="00DD5BC7">
      <w:pPr>
        <w:rPr>
          <w:b/>
          <w:bCs/>
        </w:rPr>
      </w:pPr>
    </w:p>
    <w:p w14:paraId="2DB05666" w14:textId="60EF5A99" w:rsidR="0006775C" w:rsidRPr="00B1522E" w:rsidRDefault="0006775C" w:rsidP="00DD5BC7">
      <w:pPr>
        <w:rPr>
          <w:b/>
          <w:bCs/>
        </w:rPr>
      </w:pPr>
    </w:p>
    <w:p w14:paraId="59738DBA" w14:textId="4110F2DC" w:rsidR="0006775C" w:rsidRPr="00B1522E" w:rsidRDefault="0006775C" w:rsidP="00DD5BC7">
      <w:pPr>
        <w:rPr>
          <w:b/>
          <w:bCs/>
        </w:rPr>
      </w:pPr>
    </w:p>
    <w:p w14:paraId="4241B70A" w14:textId="6E17E1A8" w:rsidR="0006775C" w:rsidRPr="00B1522E" w:rsidRDefault="0006775C" w:rsidP="00DD5BC7">
      <w:pPr>
        <w:rPr>
          <w:b/>
          <w:bCs/>
        </w:rPr>
      </w:pPr>
    </w:p>
    <w:p w14:paraId="2538E0DF" w14:textId="121781CA" w:rsidR="0006775C" w:rsidRPr="00B1522E" w:rsidRDefault="0006775C" w:rsidP="00DD5BC7">
      <w:pPr>
        <w:rPr>
          <w:b/>
          <w:bCs/>
        </w:rPr>
      </w:pPr>
    </w:p>
    <w:p w14:paraId="2ADACD65" w14:textId="27065936" w:rsidR="0006775C" w:rsidRPr="00B1522E" w:rsidRDefault="0006775C" w:rsidP="00DD5BC7">
      <w:pPr>
        <w:rPr>
          <w:b/>
          <w:bCs/>
        </w:rPr>
      </w:pPr>
    </w:p>
    <w:p w14:paraId="399924F7" w14:textId="432BE1FC" w:rsidR="0006775C" w:rsidRPr="00B1522E" w:rsidRDefault="0006775C" w:rsidP="00DD5BC7">
      <w:pPr>
        <w:rPr>
          <w:b/>
          <w:bCs/>
        </w:rPr>
      </w:pPr>
    </w:p>
    <w:p w14:paraId="05895A9D" w14:textId="0165F941" w:rsidR="0006775C" w:rsidRPr="00B1522E" w:rsidRDefault="0006775C" w:rsidP="00DD5BC7">
      <w:pPr>
        <w:rPr>
          <w:b/>
          <w:bCs/>
        </w:rPr>
      </w:pPr>
    </w:p>
    <w:p w14:paraId="4017D947" w14:textId="6DF74824" w:rsidR="0006775C" w:rsidRPr="00B1522E" w:rsidRDefault="0006775C" w:rsidP="00DD5BC7">
      <w:pPr>
        <w:rPr>
          <w:b/>
          <w:bCs/>
        </w:rPr>
      </w:pPr>
    </w:p>
    <w:p w14:paraId="42978018" w14:textId="17EB3B11" w:rsidR="0006775C" w:rsidRPr="00B1522E" w:rsidRDefault="0006775C" w:rsidP="00DD5BC7">
      <w:pPr>
        <w:rPr>
          <w:b/>
          <w:bCs/>
        </w:rPr>
      </w:pPr>
    </w:p>
    <w:p w14:paraId="3645C86E" w14:textId="77777777" w:rsidR="00E916FA" w:rsidRPr="00B1522E" w:rsidRDefault="00E916FA" w:rsidP="00DD5BC7">
      <w:pPr>
        <w:rPr>
          <w:b/>
          <w:bCs/>
        </w:rPr>
      </w:pPr>
    </w:p>
    <w:p w14:paraId="0272B586" w14:textId="05AA8437" w:rsidR="0006775C" w:rsidRPr="00B1522E" w:rsidRDefault="0006775C" w:rsidP="00DD5BC7">
      <w:pPr>
        <w:rPr>
          <w:b/>
          <w:bCs/>
        </w:rPr>
      </w:pPr>
    </w:p>
    <w:p w14:paraId="799EDDBD" w14:textId="5EAD8F7D" w:rsidR="0006775C" w:rsidRPr="00B1522E" w:rsidRDefault="0006775C" w:rsidP="00DD5BC7">
      <w:pPr>
        <w:rPr>
          <w:b/>
          <w:bCs/>
        </w:rPr>
      </w:pPr>
    </w:p>
    <w:p w14:paraId="4366986F" w14:textId="51F2B4FD" w:rsidR="0006775C" w:rsidRPr="00B1522E" w:rsidRDefault="0006775C" w:rsidP="00DD5BC7">
      <w:pPr>
        <w:rPr>
          <w:b/>
          <w:bCs/>
        </w:rPr>
      </w:pPr>
    </w:p>
    <w:p w14:paraId="67161F81" w14:textId="56C390A6" w:rsidR="0006775C" w:rsidRPr="00B1522E" w:rsidRDefault="0006775C" w:rsidP="00DD5BC7">
      <w:pPr>
        <w:rPr>
          <w:b/>
          <w:bCs/>
        </w:rPr>
      </w:pPr>
    </w:p>
    <w:p w14:paraId="53CFDF1C" w14:textId="77777777" w:rsidR="00E639C2" w:rsidRPr="00B1522E" w:rsidRDefault="00E639C2" w:rsidP="00E639C2">
      <w:pPr>
        <w:rPr>
          <w:sz w:val="44"/>
          <w:szCs w:val="44"/>
        </w:rPr>
      </w:pPr>
    </w:p>
    <w:p w14:paraId="6267BBB3" w14:textId="77777777" w:rsidR="004C7236" w:rsidRPr="00B1522E" w:rsidRDefault="004C7236" w:rsidP="003D7632"/>
    <w:p w14:paraId="2B4DCCFC" w14:textId="1B0CB0B9" w:rsidR="00E92C2E" w:rsidRPr="00B1522E" w:rsidRDefault="00E92C2E" w:rsidP="00E92C2E"/>
    <w:p w14:paraId="3CEA9F6E" w14:textId="77777777" w:rsidR="004C7236" w:rsidRPr="00B1522E" w:rsidRDefault="004C7236" w:rsidP="003D7632"/>
    <w:p w14:paraId="793F8258" w14:textId="77777777" w:rsidR="004C7236" w:rsidRPr="00B1522E" w:rsidRDefault="004C7236" w:rsidP="003D7632"/>
    <w:p w14:paraId="68AF27E3" w14:textId="2DE11E99" w:rsidR="00E639C2" w:rsidRPr="00B1522E" w:rsidRDefault="00E639C2" w:rsidP="003D7632"/>
    <w:p w14:paraId="2C51E523" w14:textId="77777777" w:rsidR="00E84013" w:rsidRPr="00B1522E" w:rsidRDefault="00E84013" w:rsidP="00E84013">
      <w:pPr>
        <w:jc w:val="center"/>
      </w:pPr>
    </w:p>
    <w:p w14:paraId="5CD03F4A" w14:textId="11B915AC" w:rsidR="00E84013" w:rsidRPr="00B1522E" w:rsidRDefault="00E84013" w:rsidP="00E84013">
      <w:pPr>
        <w:jc w:val="center"/>
      </w:pPr>
    </w:p>
    <w:p w14:paraId="229A0CD4" w14:textId="50E47482" w:rsidR="00E639C2" w:rsidRPr="00B1522E" w:rsidRDefault="00A1584F" w:rsidP="003D7632">
      <w:r w:rsidRPr="00B1522E">
        <w:rPr>
          <w:noProof/>
          <w:sz w:val="44"/>
          <w:szCs w:val="44"/>
        </w:rPr>
        <mc:AlternateContent>
          <mc:Choice Requires="wps">
            <w:drawing>
              <wp:anchor distT="91440" distB="91440" distL="114300" distR="114300" simplePos="0" relativeHeight="251696128" behindDoc="0" locked="0" layoutInCell="1" allowOverlap="1" wp14:anchorId="62BDA7C7" wp14:editId="7E970E81">
                <wp:simplePos x="0" y="0"/>
                <wp:positionH relativeFrom="page">
                  <wp:posOffset>821690</wp:posOffset>
                </wp:positionH>
                <wp:positionV relativeFrom="paragraph">
                  <wp:posOffset>304800</wp:posOffset>
                </wp:positionV>
                <wp:extent cx="5908675" cy="1403985"/>
                <wp:effectExtent l="0" t="0" r="15875" b="26670"/>
                <wp:wrapTopAndBottom/>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5524E849" w14:textId="6F21F48B" w:rsidR="00E92C2E" w:rsidRPr="00C8067C" w:rsidRDefault="00E92C2E" w:rsidP="00E92C2E">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92" w:name="_Toc97310440"/>
                            <w:r w:rsidRPr="005519AB">
                              <w:rPr>
                                <w:b/>
                                <w:bCs/>
                              </w:rPr>
                              <w:instrText xml:space="preserve">Chapter </w:instrText>
                            </w:r>
                            <w:r w:rsidR="0046212A">
                              <w:rPr>
                                <w:b/>
                                <w:bCs/>
                              </w:rPr>
                              <w:instrText>4.</w:instrText>
                            </w:r>
                            <w:r w:rsidRPr="005519AB">
                              <w:rPr>
                                <w:b/>
                                <w:bCs/>
                              </w:rPr>
                              <w:instrText xml:space="preserve"> </w:instrText>
                            </w:r>
                            <w:r w:rsidR="001A52CE">
                              <w:rPr>
                                <w:b/>
                                <w:bCs/>
                              </w:rPr>
                              <w:instrText>Aims and Methodology</w:instrText>
                            </w:r>
                            <w:bookmarkEnd w:id="92"/>
                            <w:r w:rsidRPr="005519AB">
                              <w:rPr>
                                <w:b/>
                                <w:bCs/>
                              </w:rPr>
                              <w:instrText xml:space="preserve"> </w:instrText>
                            </w:r>
                            <w:r>
                              <w:instrText xml:space="preserve">" \f x\l 1 </w:instrText>
                            </w:r>
                            <w:r>
                              <w:fldChar w:fldCharType="end"/>
                            </w:r>
                            <w:r>
                              <w:t xml:space="preserve"> </w:t>
                            </w:r>
                            <w:r w:rsidRPr="00C8067C">
                              <w:rPr>
                                <w:sz w:val="48"/>
                                <w:szCs w:val="48"/>
                              </w:rPr>
                              <w:t xml:space="preserve">Chapter </w:t>
                            </w:r>
                            <w:r>
                              <w:rPr>
                                <w:sz w:val="48"/>
                                <w:szCs w:val="48"/>
                              </w:rPr>
                              <w:t>4</w:t>
                            </w:r>
                          </w:p>
                          <w:p w14:paraId="03F00DCB" w14:textId="5B098813" w:rsidR="00E92C2E" w:rsidRPr="00BE5EAA" w:rsidRDefault="00E92C2E" w:rsidP="00E92C2E">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Pr>
                                <w:sz w:val="32"/>
                                <w:szCs w:val="32"/>
                              </w:rPr>
                              <w:t xml:space="preserve">Aims and Methodology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DA7C7" id="_x0000_s1030" type="#_x0000_t202" style="position:absolute;margin-left:64.7pt;margin-top:24pt;width:465.25pt;height:110.55pt;z-index:2516961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" filled="f" strokecolor="white [3212]">
                <v:textbox style="mso-fit-shape-to-text:t">
                  <w:txbxContent>
                    <w:p w14:paraId="5524E849" w14:textId="6F21F48B" w:rsidR="00E92C2E" w:rsidRPr="00C8067C" w:rsidRDefault="00E92C2E" w:rsidP="00E92C2E">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93" w:name="_Toc97310440"/>
                      <w:r w:rsidRPr="005519AB">
                        <w:rPr>
                          <w:b/>
                          <w:bCs/>
                        </w:rPr>
                        <w:instrText xml:space="preserve">Chapter </w:instrText>
                      </w:r>
                      <w:r w:rsidR="0046212A">
                        <w:rPr>
                          <w:b/>
                          <w:bCs/>
                        </w:rPr>
                        <w:instrText>4.</w:instrText>
                      </w:r>
                      <w:r w:rsidRPr="005519AB">
                        <w:rPr>
                          <w:b/>
                          <w:bCs/>
                        </w:rPr>
                        <w:instrText xml:space="preserve"> </w:instrText>
                      </w:r>
                      <w:r w:rsidR="001A52CE">
                        <w:rPr>
                          <w:b/>
                          <w:bCs/>
                        </w:rPr>
                        <w:instrText>Aims and Methodology</w:instrText>
                      </w:r>
                      <w:bookmarkEnd w:id="93"/>
                      <w:r w:rsidRPr="005519AB">
                        <w:rPr>
                          <w:b/>
                          <w:bCs/>
                        </w:rPr>
                        <w:instrText xml:space="preserve"> </w:instrText>
                      </w:r>
                      <w:r>
                        <w:instrText xml:space="preserve">" \f x\l 1 </w:instrText>
                      </w:r>
                      <w:r>
                        <w:fldChar w:fldCharType="end"/>
                      </w:r>
                      <w:r>
                        <w:t xml:space="preserve"> </w:t>
                      </w:r>
                      <w:r w:rsidRPr="00C8067C">
                        <w:rPr>
                          <w:sz w:val="48"/>
                          <w:szCs w:val="48"/>
                        </w:rPr>
                        <w:t xml:space="preserve">Chapter </w:t>
                      </w:r>
                      <w:r>
                        <w:rPr>
                          <w:sz w:val="48"/>
                          <w:szCs w:val="48"/>
                        </w:rPr>
                        <w:t>4</w:t>
                      </w:r>
                    </w:p>
                    <w:p w14:paraId="03F00DCB" w14:textId="5B098813" w:rsidR="00E92C2E" w:rsidRPr="00BE5EAA" w:rsidRDefault="00E92C2E" w:rsidP="00E92C2E">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Pr>
                          <w:sz w:val="32"/>
                          <w:szCs w:val="32"/>
                        </w:rPr>
                        <w:t xml:space="preserve">Aims and Methodology </w:t>
                      </w:r>
                    </w:p>
                  </w:txbxContent>
                </v:textbox>
                <w10:wrap type="topAndBottom" anchorx="page"/>
              </v:shape>
            </w:pict>
          </mc:Fallback>
        </mc:AlternateContent>
      </w:r>
    </w:p>
    <w:p w14:paraId="0AEAE0EF" w14:textId="77777777" w:rsidR="00E639C2" w:rsidRPr="00B1522E" w:rsidRDefault="00E639C2" w:rsidP="003D7632"/>
    <w:p w14:paraId="6FC3E1F9" w14:textId="0B7507C5" w:rsidR="00E639C2" w:rsidRPr="00B1522E" w:rsidRDefault="00E639C2" w:rsidP="003D7632"/>
    <w:p w14:paraId="23B7B821" w14:textId="5A1FA03B" w:rsidR="001119A4" w:rsidRPr="00B1522E" w:rsidRDefault="001119A4" w:rsidP="00E639C2"/>
    <w:p w14:paraId="0A52D3E6" w14:textId="2697D794" w:rsidR="001119A4" w:rsidRPr="00B1522E" w:rsidRDefault="001119A4" w:rsidP="00E639C2"/>
    <w:p w14:paraId="2A360502" w14:textId="42D7CE34" w:rsidR="001119A4" w:rsidRPr="00B1522E" w:rsidRDefault="001119A4" w:rsidP="00E639C2"/>
    <w:p w14:paraId="6C0E8B36" w14:textId="04FF8D28" w:rsidR="001F67D2" w:rsidRPr="00B1522E" w:rsidRDefault="001F67D2" w:rsidP="00E639C2"/>
    <w:p w14:paraId="5AD6F8CB" w14:textId="0413659B" w:rsidR="001F67D2" w:rsidRPr="00B1522E" w:rsidRDefault="001F67D2" w:rsidP="00E639C2"/>
    <w:p w14:paraId="772DA753" w14:textId="77777777" w:rsidR="001F67D2" w:rsidRPr="00B1522E" w:rsidRDefault="001F67D2" w:rsidP="00E639C2"/>
    <w:p w14:paraId="23E1C4C3" w14:textId="274640B0" w:rsidR="001119A4" w:rsidRPr="00B1522E" w:rsidRDefault="001119A4" w:rsidP="00E639C2"/>
    <w:p w14:paraId="4D2C5D3A" w14:textId="3A016A3D" w:rsidR="001119A4" w:rsidRPr="00B1522E" w:rsidRDefault="001119A4" w:rsidP="00E639C2"/>
    <w:p w14:paraId="63557CC7" w14:textId="414BA921" w:rsidR="001119A4" w:rsidRPr="00B1522E" w:rsidRDefault="001119A4" w:rsidP="00E639C2"/>
    <w:p w14:paraId="0EA4243E" w14:textId="228C020A" w:rsidR="00E3666D" w:rsidRPr="00B1522E" w:rsidRDefault="00E3666D" w:rsidP="00E639C2"/>
    <w:p w14:paraId="70370874" w14:textId="0A4C4DA5" w:rsidR="00A1584F" w:rsidRPr="00B1522E" w:rsidRDefault="00A1584F" w:rsidP="00E639C2"/>
    <w:p w14:paraId="2C4B5E07" w14:textId="6262F707" w:rsidR="00A1584F" w:rsidRPr="00B1522E" w:rsidRDefault="00A1584F" w:rsidP="00E639C2"/>
    <w:p w14:paraId="09ABA223" w14:textId="1877BCFC" w:rsidR="00A1584F" w:rsidRPr="00B1522E" w:rsidRDefault="00A1584F" w:rsidP="00E639C2"/>
    <w:p w14:paraId="4499BFBA" w14:textId="595D148A" w:rsidR="00A1584F" w:rsidRPr="00B1522E" w:rsidRDefault="00A1584F" w:rsidP="00E639C2"/>
    <w:p w14:paraId="62E9E765" w14:textId="77777777" w:rsidR="00A1584F" w:rsidRPr="00B1522E" w:rsidRDefault="00A1584F" w:rsidP="00E639C2"/>
    <w:p w14:paraId="40C1E9B2" w14:textId="1576D564" w:rsidR="00E3666D" w:rsidRPr="00B1522E" w:rsidRDefault="00E3666D" w:rsidP="00E639C2"/>
    <w:p w14:paraId="0AE51681" w14:textId="119CF6AF" w:rsidR="004F0A92" w:rsidRPr="00B1522E" w:rsidRDefault="004F0A92" w:rsidP="00E639C2"/>
    <w:p w14:paraId="4DB0444E" w14:textId="77777777" w:rsidR="004F0A92" w:rsidRPr="00B1522E" w:rsidRDefault="004F0A92" w:rsidP="00E639C2"/>
    <w:p w14:paraId="5FF466EE" w14:textId="5ED9AF29" w:rsidR="00E639C2" w:rsidRPr="00B1522E" w:rsidRDefault="00E639C2" w:rsidP="00E639C2">
      <w:pPr>
        <w:spacing w:line="480" w:lineRule="auto"/>
      </w:pPr>
    </w:p>
    <w:p w14:paraId="6021A6F0" w14:textId="77777777" w:rsidR="00C5227A" w:rsidRPr="00B1522E" w:rsidRDefault="00C5227A" w:rsidP="00E639C2">
      <w:pPr>
        <w:spacing w:line="480" w:lineRule="auto"/>
      </w:pPr>
    </w:p>
    <w:bookmarkStart w:id="94" w:name="_Toc84678916"/>
    <w:p w14:paraId="3E1DAD46" w14:textId="769555F5" w:rsidR="00E639C2" w:rsidRPr="00B1522E" w:rsidRDefault="00D5142E" w:rsidP="00A1584F">
      <w:pPr>
        <w:spacing w:line="480" w:lineRule="auto"/>
        <w:rPr>
          <w:b/>
          <w:bCs/>
        </w:rPr>
      </w:pPr>
      <w:r w:rsidRPr="00B1522E">
        <w:fldChar w:fldCharType="begin"/>
      </w:r>
      <w:r w:rsidRPr="00B1522E">
        <w:instrText xml:space="preserve"> TC  "</w:instrText>
      </w:r>
      <w:bookmarkStart w:id="95" w:name="_Toc97310441"/>
      <w:r w:rsidRPr="00B1522E">
        <w:instrText>4.1 Chapter overview</w:instrText>
      </w:r>
      <w:bookmarkEnd w:id="95"/>
      <w:r w:rsidRPr="00B1522E">
        <w:instrText xml:space="preserve">" \f x\l 2 </w:instrText>
      </w:r>
      <w:r w:rsidRPr="00B1522E">
        <w:fldChar w:fldCharType="end"/>
      </w:r>
      <w:r w:rsidR="00E639C2" w:rsidRPr="00B1522E">
        <w:rPr>
          <w:b/>
          <w:bCs/>
        </w:rPr>
        <w:t>4.1 Chapter overview</w:t>
      </w:r>
      <w:bookmarkEnd w:id="94"/>
    </w:p>
    <w:p w14:paraId="138D3717" w14:textId="7484A355" w:rsidR="00E639C2" w:rsidRPr="00B1522E" w:rsidRDefault="00E639C2" w:rsidP="00A1584F">
      <w:pPr>
        <w:spacing w:line="480" w:lineRule="auto"/>
        <w:jc w:val="both"/>
        <w:rPr>
          <w:rFonts w:cstheme="minorHAnsi"/>
        </w:rPr>
      </w:pPr>
      <w:r w:rsidRPr="00B1522E">
        <w:rPr>
          <w:rFonts w:cstheme="minorHAnsi"/>
        </w:rPr>
        <w:t xml:space="preserve">The present thesis sets out to apply the Social Norms Approach (SNA) to </w:t>
      </w:r>
      <w:r w:rsidR="00E11343" w:rsidRPr="00B1522E">
        <w:rPr>
          <w:rFonts w:cstheme="minorHAnsi"/>
        </w:rPr>
        <w:t xml:space="preserve">reduce unhealthy </w:t>
      </w:r>
      <w:r w:rsidRPr="00B1522E">
        <w:rPr>
          <w:rFonts w:cstheme="minorHAnsi"/>
        </w:rPr>
        <w:t>dietary behaviours amongst secondary school students.</w:t>
      </w:r>
      <w:r w:rsidRPr="00B1522E">
        <w:rPr>
          <w:rFonts w:cstheme="minorHAnsi"/>
          <w:shd w:val="clear" w:color="auto" w:fill="FFFFFF"/>
        </w:rPr>
        <w:t xml:space="preserve"> </w:t>
      </w:r>
      <w:r w:rsidRPr="00B1522E">
        <w:rPr>
          <w:rFonts w:cstheme="minorHAnsi"/>
        </w:rPr>
        <w:t>Chapters 2 and 3 demonstrate there is a need for research that employs effective school-based interventions to address unhealthy dietary behaviours of younger adolescents, and that an SNA intervention could be a feasible behaviour change strategy to address these unhealthy dietary behaviours. This Chapter will firstly outline the aim and objectives of the thesis, secondly discuss the research paradigm chosen by the researcher, thirdly discuss the methodologies selected to address the aim and objectives of the thesis and lastly, discuss the ethical considerations of the research.</w:t>
      </w:r>
    </w:p>
    <w:p w14:paraId="2B872CF9" w14:textId="77777777" w:rsidR="00E639C2" w:rsidRPr="00B1522E" w:rsidRDefault="00E639C2" w:rsidP="00E639C2">
      <w:pPr>
        <w:spacing w:line="480" w:lineRule="auto"/>
        <w:jc w:val="both"/>
        <w:rPr>
          <w:rFonts w:ascii="Calibri" w:hAnsi="Calibri" w:cs="Calibri"/>
          <w:shd w:val="clear" w:color="auto" w:fill="FFFFFF"/>
        </w:rPr>
      </w:pPr>
    </w:p>
    <w:bookmarkStart w:id="96" w:name="_Toc84678917"/>
    <w:p w14:paraId="7BD50819" w14:textId="77BBB336" w:rsidR="00E639C2" w:rsidRPr="00B1522E" w:rsidRDefault="00D5142E" w:rsidP="00C229E9">
      <w:pPr>
        <w:spacing w:line="480" w:lineRule="auto"/>
      </w:pPr>
      <w:r w:rsidRPr="00B1522E">
        <w:fldChar w:fldCharType="begin"/>
      </w:r>
      <w:r w:rsidRPr="00B1522E">
        <w:instrText xml:space="preserve"> TC  "</w:instrText>
      </w:r>
      <w:bookmarkStart w:id="97" w:name="_Toc97310442"/>
      <w:r w:rsidRPr="00B1522E">
        <w:instrText>4.2 Aims and ob</w:instrText>
      </w:r>
      <w:r w:rsidR="00720E15" w:rsidRPr="00B1522E">
        <w:instrText>jectives</w:instrText>
      </w:r>
      <w:bookmarkEnd w:id="97"/>
      <w:r w:rsidRPr="00B1522E">
        <w:instrText xml:space="preserve"> " \f x\l 2 </w:instrText>
      </w:r>
      <w:r w:rsidRPr="00B1522E">
        <w:fldChar w:fldCharType="end"/>
      </w:r>
      <w:r w:rsidR="00E639C2" w:rsidRPr="00B1522E">
        <w:rPr>
          <w:b/>
          <w:bCs/>
        </w:rPr>
        <w:t>4.2 Thesis Aim and objectives</w:t>
      </w:r>
      <w:bookmarkEnd w:id="96"/>
      <w:r w:rsidR="00E639C2" w:rsidRPr="00B1522E">
        <w:rPr>
          <w:b/>
          <w:bCs/>
        </w:rPr>
        <w:t xml:space="preserve"> </w:t>
      </w:r>
    </w:p>
    <w:p w14:paraId="5148DEFB" w14:textId="2C9F2299" w:rsidR="007F5296" w:rsidRPr="00B1522E" w:rsidRDefault="00E639C2" w:rsidP="00C229E9">
      <w:pPr>
        <w:spacing w:line="480" w:lineRule="auto"/>
        <w:jc w:val="both"/>
        <w:rPr>
          <w:rFonts w:ascii="Calibri" w:hAnsi="Calibri" w:cs="Calibri"/>
          <w:shd w:val="clear" w:color="auto" w:fill="FFFFFF"/>
        </w:rPr>
      </w:pPr>
      <w:r w:rsidRPr="00B1522E">
        <w:t xml:space="preserve">Following the review of the literature, this thesis aims to examine whether an in-school SNA intervention can be applied to </w:t>
      </w:r>
      <w:r w:rsidR="006A522E" w:rsidRPr="00B1522E">
        <w:t>reduce</w:t>
      </w:r>
      <w:r w:rsidRPr="00B1522E">
        <w:t xml:space="preserve"> the</w:t>
      </w:r>
      <w:r w:rsidR="006A522E" w:rsidRPr="00B1522E">
        <w:t xml:space="preserve"> unhealthy</w:t>
      </w:r>
      <w:r w:rsidRPr="00B1522E">
        <w:t xml:space="preserve"> dietary behaviours of secondary school students</w:t>
      </w:r>
      <w:r w:rsidRPr="00B1522E">
        <w:rPr>
          <w:rFonts w:ascii="Calibri" w:hAnsi="Calibri" w:cs="Calibri"/>
          <w:shd w:val="clear" w:color="auto" w:fill="FFFFFF"/>
        </w:rPr>
        <w:t xml:space="preserve">. </w:t>
      </w:r>
    </w:p>
    <w:p w14:paraId="6FFF114F" w14:textId="77777777" w:rsidR="00C229E9" w:rsidRPr="00B1522E" w:rsidRDefault="00C229E9" w:rsidP="00C229E9">
      <w:pPr>
        <w:spacing w:line="480" w:lineRule="auto"/>
        <w:jc w:val="both"/>
        <w:rPr>
          <w:rFonts w:ascii="Calibri" w:hAnsi="Calibri" w:cs="Calibri"/>
          <w:shd w:val="clear" w:color="auto" w:fill="FFFFFF"/>
        </w:rPr>
      </w:pPr>
    </w:p>
    <w:p w14:paraId="36A49767" w14:textId="3CACEE90" w:rsidR="00E639C2" w:rsidRPr="00B1522E" w:rsidRDefault="00E639C2" w:rsidP="00C229E9">
      <w:pPr>
        <w:spacing w:line="480" w:lineRule="auto"/>
        <w:jc w:val="both"/>
      </w:pPr>
      <w:r w:rsidRPr="00B1522E">
        <w:t xml:space="preserve">The main aim of the thesis was addressed through several objectives which were: - </w:t>
      </w:r>
    </w:p>
    <w:p w14:paraId="635108AE" w14:textId="0C159150" w:rsidR="00E639C2" w:rsidRPr="00B1522E" w:rsidRDefault="00E639C2" w:rsidP="00C229E9">
      <w:pPr>
        <w:spacing w:line="480" w:lineRule="auto"/>
        <w:jc w:val="both"/>
      </w:pPr>
      <w:r w:rsidRPr="00B1522E">
        <w:t xml:space="preserve">1. </w:t>
      </w:r>
      <w:r w:rsidR="008A72CC" w:rsidRPr="00B1522E">
        <w:t>To understand the perceived influences and barriers associated with healthy and unhealthy food choices amongst secondary school students.</w:t>
      </w:r>
    </w:p>
    <w:p w14:paraId="32745812" w14:textId="77777777" w:rsidR="00CF4E17" w:rsidRPr="00B1522E" w:rsidRDefault="00CF4E17" w:rsidP="00C229E9">
      <w:pPr>
        <w:spacing w:line="480" w:lineRule="auto"/>
        <w:jc w:val="both"/>
      </w:pPr>
    </w:p>
    <w:p w14:paraId="36C6F93E" w14:textId="3463723F" w:rsidR="00E639C2" w:rsidRPr="00B1522E" w:rsidRDefault="00E639C2" w:rsidP="00C229E9">
      <w:pPr>
        <w:spacing w:line="480" w:lineRule="auto"/>
        <w:jc w:val="both"/>
      </w:pPr>
      <w:r w:rsidRPr="00B1522E">
        <w:t xml:space="preserve">2. </w:t>
      </w:r>
      <w:r w:rsidR="008A72CC" w:rsidRPr="00B1522E">
        <w:t>To develop an in-school SNA intervention which targets unhealthy dietary behaviours of students.</w:t>
      </w:r>
    </w:p>
    <w:p w14:paraId="6622AE34" w14:textId="77777777" w:rsidR="00CF4E17" w:rsidRPr="00B1522E" w:rsidRDefault="00CF4E17" w:rsidP="00C229E9">
      <w:pPr>
        <w:spacing w:line="480" w:lineRule="auto"/>
        <w:jc w:val="both"/>
      </w:pPr>
    </w:p>
    <w:p w14:paraId="0A5486EF" w14:textId="0106DE8A" w:rsidR="00E639C2" w:rsidRDefault="00E639C2" w:rsidP="00C229E9">
      <w:pPr>
        <w:spacing w:line="480" w:lineRule="auto"/>
        <w:jc w:val="both"/>
      </w:pPr>
      <w:r w:rsidRPr="00B1522E">
        <w:lastRenderedPageBreak/>
        <w:t xml:space="preserve">3. </w:t>
      </w:r>
      <w:r w:rsidR="008A72CC" w:rsidRPr="00B1522E">
        <w:t>To test for the existence of dietary-related misperceptions amongst students and whether these misperceptions are associated with personal behaviour.</w:t>
      </w:r>
    </w:p>
    <w:p w14:paraId="7F93F59F" w14:textId="77777777" w:rsidR="00646E6A" w:rsidRPr="00B1522E" w:rsidRDefault="00646E6A" w:rsidP="00C229E9">
      <w:pPr>
        <w:spacing w:line="480" w:lineRule="auto"/>
        <w:jc w:val="both"/>
      </w:pPr>
    </w:p>
    <w:p w14:paraId="67C93645" w14:textId="5B82007E" w:rsidR="00E639C2" w:rsidRPr="00B1522E" w:rsidRDefault="00E639C2" w:rsidP="00C229E9">
      <w:pPr>
        <w:spacing w:line="480" w:lineRule="auto"/>
        <w:jc w:val="both"/>
      </w:pPr>
      <w:r w:rsidRPr="00B1522E">
        <w:t xml:space="preserve">4. </w:t>
      </w:r>
      <w:r w:rsidR="008A72CC" w:rsidRPr="00B1522E">
        <w:t xml:space="preserve">To test the feasibility of the in-school SNA intervention to </w:t>
      </w:r>
      <w:r w:rsidR="000E289F" w:rsidRPr="00B1522E">
        <w:t>reduce unhealthy</w:t>
      </w:r>
      <w:r w:rsidR="008A72CC" w:rsidRPr="00B1522E">
        <w:t xml:space="preserve"> dietary behaviours of students.</w:t>
      </w:r>
    </w:p>
    <w:p w14:paraId="2559C86D" w14:textId="77777777" w:rsidR="00CF4E17" w:rsidRPr="00B1522E" w:rsidRDefault="00CF4E17" w:rsidP="00C229E9">
      <w:pPr>
        <w:spacing w:line="480" w:lineRule="auto"/>
        <w:jc w:val="both"/>
      </w:pPr>
    </w:p>
    <w:p w14:paraId="2D33DECB" w14:textId="4CBFA146" w:rsidR="00B95FAC" w:rsidRPr="00B1522E" w:rsidRDefault="00E639C2" w:rsidP="00C229E9">
      <w:pPr>
        <w:spacing w:line="480" w:lineRule="auto"/>
        <w:jc w:val="both"/>
      </w:pPr>
      <w:r w:rsidRPr="00B1522E">
        <w:t xml:space="preserve">5. </w:t>
      </w:r>
      <w:r w:rsidR="008A72CC" w:rsidRPr="00B1522E">
        <w:t xml:space="preserve">To evaluate the intervention by exploring participants' experiences and perceptions of the in-school SNA intervention. </w:t>
      </w:r>
    </w:p>
    <w:p w14:paraId="0DF86DA1" w14:textId="77777777" w:rsidR="00CF4E17" w:rsidRPr="00B1522E" w:rsidRDefault="00CF4E17" w:rsidP="00E639C2">
      <w:pPr>
        <w:spacing w:line="480" w:lineRule="auto"/>
        <w:jc w:val="both"/>
      </w:pPr>
    </w:p>
    <w:p w14:paraId="39F6D089" w14:textId="08C879E1" w:rsidR="00E639C2" w:rsidRPr="00B1522E" w:rsidRDefault="00E639C2" w:rsidP="00E639C2">
      <w:pPr>
        <w:spacing w:line="480" w:lineRule="auto"/>
        <w:jc w:val="both"/>
      </w:pPr>
      <w:r w:rsidRPr="00B1522E">
        <w:t xml:space="preserve">Figure </w:t>
      </w:r>
      <w:r w:rsidR="00D6119F" w:rsidRPr="00B1522E">
        <w:t>2</w:t>
      </w:r>
      <w:r w:rsidRPr="00B1522E">
        <w:t xml:space="preserve"> shows how the objectives are</w:t>
      </w:r>
      <w:r w:rsidR="00DB2C43" w:rsidRPr="00B1522E">
        <w:t xml:space="preserve"> addressed</w:t>
      </w:r>
      <w:r w:rsidRPr="00B1522E">
        <w:t xml:space="preserve"> through the Chapters of this thesis. The arrows in the diagram indicate the order in which the studies were conducted. </w:t>
      </w:r>
    </w:p>
    <w:p w14:paraId="79B5DDCB" w14:textId="2ED8342D" w:rsidR="00E639C2" w:rsidRPr="00B1522E" w:rsidRDefault="007F5296" w:rsidP="00A86142">
      <w:pPr>
        <w:spacing w:line="480" w:lineRule="auto"/>
        <w:jc w:val="both"/>
        <w:rPr>
          <w:rFonts w:cstheme="minorHAnsi"/>
          <w:shd w:val="clear" w:color="auto" w:fill="FFFFFF"/>
        </w:rPr>
      </w:pPr>
      <w:r w:rsidRPr="00B1522E">
        <w:rPr>
          <w:noProof/>
        </w:rPr>
        <w:lastRenderedPageBreak/>
        <mc:AlternateContent>
          <mc:Choice Requires="wps">
            <w:drawing>
              <wp:anchor distT="0" distB="0" distL="114300" distR="114300" simplePos="0" relativeHeight="251727872" behindDoc="0" locked="0" layoutInCell="1" allowOverlap="1" wp14:anchorId="0A33AC9F" wp14:editId="103E2F65">
                <wp:simplePos x="0" y="0"/>
                <wp:positionH relativeFrom="column">
                  <wp:posOffset>229235</wp:posOffset>
                </wp:positionH>
                <wp:positionV relativeFrom="paragraph">
                  <wp:posOffset>5278120</wp:posOffset>
                </wp:positionV>
                <wp:extent cx="544512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5445125" cy="635"/>
                        </a:xfrm>
                        <a:prstGeom prst="rect">
                          <a:avLst/>
                        </a:prstGeom>
                        <a:solidFill>
                          <a:prstClr val="white"/>
                        </a:solidFill>
                        <a:ln>
                          <a:noFill/>
                        </a:ln>
                      </wps:spPr>
                      <wps:txbx>
                        <w:txbxContent>
                          <w:p w14:paraId="229AF0C4" w14:textId="763E25FF" w:rsidR="007F5296" w:rsidRPr="007F5296" w:rsidRDefault="006677F3" w:rsidP="007F5296">
                            <w:pPr>
                              <w:pStyle w:val="Caption"/>
                              <w:rPr>
                                <w:rFonts w:cstheme="minorHAnsi"/>
                                <w:i w:val="0"/>
                                <w:iCs w:val="0"/>
                                <w:noProof/>
                                <w:color w:val="auto"/>
                                <w:sz w:val="22"/>
                                <w:szCs w:val="22"/>
                                <w:shd w:val="clear" w:color="auto" w:fill="FFFFFF"/>
                              </w:rPr>
                            </w:pPr>
                            <w:r w:rsidRPr="006F7238">
                              <w:rPr>
                                <w:b/>
                                <w:bCs/>
                                <w:i w:val="0"/>
                                <w:iCs w:val="0"/>
                                <w:color w:val="auto"/>
                                <w:sz w:val="22"/>
                                <w:szCs w:val="22"/>
                              </w:rPr>
                              <w:fldChar w:fldCharType="begin"/>
                            </w:r>
                            <w:r w:rsidRPr="006F7238">
                              <w:rPr>
                                <w:b/>
                                <w:bCs/>
                                <w:i w:val="0"/>
                                <w:iCs w:val="0"/>
                                <w:color w:val="auto"/>
                                <w:sz w:val="22"/>
                                <w:szCs w:val="22"/>
                              </w:rPr>
                              <w:instrText xml:space="preserve"> TC  "</w:instrText>
                            </w:r>
                            <w:r w:rsidRPr="006F7238">
                              <w:rPr>
                                <w:i w:val="0"/>
                                <w:iCs w:val="0"/>
                                <w:color w:val="auto"/>
                                <w:sz w:val="22"/>
                                <w:szCs w:val="22"/>
                              </w:rPr>
                              <w:instrText xml:space="preserve"> </w:instrText>
                            </w:r>
                            <w:bookmarkStart w:id="98" w:name="_Toc97557149"/>
                            <w:r w:rsidRPr="006F7238">
                              <w:rPr>
                                <w:rFonts w:cstheme="minorHAnsi"/>
                                <w:i w:val="0"/>
                                <w:iCs w:val="0"/>
                                <w:color w:val="auto"/>
                                <w:sz w:val="22"/>
                                <w:szCs w:val="22"/>
                              </w:rPr>
                              <w:instrText>F</w:instrText>
                            </w:r>
                            <w:r w:rsidRPr="006F7238">
                              <w:rPr>
                                <w:i w:val="0"/>
                                <w:iCs w:val="0"/>
                                <w:color w:val="auto"/>
                                <w:sz w:val="22"/>
                                <w:szCs w:val="22"/>
                              </w:rPr>
                              <w:instrText xml:space="preserve">igure </w:instrText>
                            </w:r>
                            <w:r>
                              <w:rPr>
                                <w:i w:val="0"/>
                                <w:iCs w:val="0"/>
                                <w:color w:val="auto"/>
                                <w:sz w:val="22"/>
                                <w:szCs w:val="22"/>
                              </w:rPr>
                              <w:instrText xml:space="preserve">2. </w:instrText>
                            </w:r>
                            <w:r w:rsidRPr="007F5296">
                              <w:rPr>
                                <w:i w:val="0"/>
                                <w:iCs w:val="0"/>
                                <w:color w:val="auto"/>
                                <w:sz w:val="22"/>
                                <w:szCs w:val="22"/>
                              </w:rPr>
                              <w:instrText>Diagram to show thesis Chapters/Studies and objectives</w:instrText>
                            </w:r>
                            <w:r w:rsidRPr="006F7238">
                              <w:rPr>
                                <w:i w:val="0"/>
                                <w:iCs w:val="0"/>
                                <w:color w:val="auto"/>
                                <w:sz w:val="22"/>
                                <w:szCs w:val="22"/>
                              </w:rPr>
                              <w:instrText>.</w:instrText>
                            </w:r>
                            <w:bookmarkEnd w:id="98"/>
                            <w:r w:rsidRPr="006F7238">
                              <w:rPr>
                                <w:rFonts w:cstheme="minorHAnsi"/>
                                <w:i w:val="0"/>
                                <w:iCs w:val="0"/>
                                <w:color w:val="auto"/>
                                <w:sz w:val="22"/>
                                <w:szCs w:val="22"/>
                              </w:rPr>
                              <w:instrText>”</w:instrText>
                            </w:r>
                            <w:r w:rsidRPr="006F7238">
                              <w:rPr>
                                <w:b/>
                                <w:bCs/>
                                <w:i w:val="0"/>
                                <w:iCs w:val="0"/>
                                <w:color w:val="auto"/>
                                <w:sz w:val="22"/>
                                <w:szCs w:val="22"/>
                              </w:rPr>
                              <w:instrText xml:space="preserve">\f w\l 2 </w:instrText>
                            </w:r>
                            <w:r w:rsidRPr="006F7238">
                              <w:rPr>
                                <w:b/>
                                <w:bCs/>
                                <w:i w:val="0"/>
                                <w:iCs w:val="0"/>
                                <w:color w:val="auto"/>
                                <w:sz w:val="22"/>
                                <w:szCs w:val="22"/>
                              </w:rPr>
                              <w:fldChar w:fldCharType="end"/>
                            </w:r>
                            <w:r w:rsidR="007F5296" w:rsidRPr="007F5296">
                              <w:rPr>
                                <w:i w:val="0"/>
                                <w:iCs w:val="0"/>
                                <w:color w:val="auto"/>
                                <w:sz w:val="22"/>
                                <w:szCs w:val="22"/>
                              </w:rPr>
                              <w:t xml:space="preserve">Figure </w:t>
                            </w:r>
                            <w:r w:rsidR="007F5296" w:rsidRPr="007F5296">
                              <w:rPr>
                                <w:i w:val="0"/>
                                <w:iCs w:val="0"/>
                                <w:color w:val="auto"/>
                                <w:sz w:val="22"/>
                                <w:szCs w:val="22"/>
                              </w:rPr>
                              <w:fldChar w:fldCharType="begin"/>
                            </w:r>
                            <w:r w:rsidR="007F5296" w:rsidRPr="007F5296">
                              <w:rPr>
                                <w:i w:val="0"/>
                                <w:iCs w:val="0"/>
                                <w:color w:val="auto"/>
                                <w:sz w:val="22"/>
                                <w:szCs w:val="22"/>
                              </w:rPr>
                              <w:instrText xml:space="preserve"> SEQ Figure \* ARABIC </w:instrText>
                            </w:r>
                            <w:r w:rsidR="007F5296" w:rsidRPr="007F5296">
                              <w:rPr>
                                <w:i w:val="0"/>
                                <w:iCs w:val="0"/>
                                <w:color w:val="auto"/>
                                <w:sz w:val="22"/>
                                <w:szCs w:val="22"/>
                              </w:rPr>
                              <w:fldChar w:fldCharType="separate"/>
                            </w:r>
                            <w:r w:rsidR="007F5296" w:rsidRPr="007F5296">
                              <w:rPr>
                                <w:i w:val="0"/>
                                <w:iCs w:val="0"/>
                                <w:noProof/>
                                <w:color w:val="auto"/>
                                <w:sz w:val="22"/>
                                <w:szCs w:val="22"/>
                              </w:rPr>
                              <w:t>2</w:t>
                            </w:r>
                            <w:r w:rsidR="007F5296" w:rsidRPr="007F5296">
                              <w:rPr>
                                <w:i w:val="0"/>
                                <w:iCs w:val="0"/>
                                <w:color w:val="auto"/>
                                <w:sz w:val="22"/>
                                <w:szCs w:val="22"/>
                              </w:rPr>
                              <w:fldChar w:fldCharType="end"/>
                            </w:r>
                            <w:r w:rsidR="007F5296" w:rsidRPr="007F5296">
                              <w:rPr>
                                <w:i w:val="0"/>
                                <w:iCs w:val="0"/>
                                <w:color w:val="auto"/>
                                <w:sz w:val="22"/>
                                <w:szCs w:val="22"/>
                              </w:rPr>
                              <w:t>. Diagram to show thesis Chapters/Studies and objectives.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33AC9F" id="Text Box 55" o:spid="_x0000_s1031" type="#_x0000_t202" style="position:absolute;left:0;text-align:left;margin-left:18.05pt;margin-top:415.6pt;width:428.7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aDGgIAAD8EAAAOAAAAZHJzL2Uyb0RvYy54bWysU01v2zAMvQ/YfxB0X5xkTT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4XNzeL2XzBmSTf7cdF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" stroked="f">
                <v:textbox style="mso-fit-shape-to-text:t" inset="0,0,0,0">
                  <w:txbxContent>
                    <w:p w14:paraId="229AF0C4" w14:textId="763E25FF" w:rsidR="007F5296" w:rsidRPr="007F5296" w:rsidRDefault="006677F3" w:rsidP="007F5296">
                      <w:pPr>
                        <w:pStyle w:val="Caption"/>
                        <w:rPr>
                          <w:rFonts w:cstheme="minorHAnsi"/>
                          <w:i w:val="0"/>
                          <w:iCs w:val="0"/>
                          <w:noProof/>
                          <w:color w:val="auto"/>
                          <w:sz w:val="22"/>
                          <w:szCs w:val="22"/>
                          <w:shd w:val="clear" w:color="auto" w:fill="FFFFFF"/>
                        </w:rPr>
                      </w:pPr>
                      <w:r w:rsidRPr="006F7238">
                        <w:rPr>
                          <w:b/>
                          <w:bCs/>
                          <w:i w:val="0"/>
                          <w:iCs w:val="0"/>
                          <w:color w:val="auto"/>
                          <w:sz w:val="22"/>
                          <w:szCs w:val="22"/>
                        </w:rPr>
                        <w:fldChar w:fldCharType="begin"/>
                      </w:r>
                      <w:r w:rsidRPr="006F7238">
                        <w:rPr>
                          <w:b/>
                          <w:bCs/>
                          <w:i w:val="0"/>
                          <w:iCs w:val="0"/>
                          <w:color w:val="auto"/>
                          <w:sz w:val="22"/>
                          <w:szCs w:val="22"/>
                        </w:rPr>
                        <w:instrText xml:space="preserve"> TC  "</w:instrText>
                      </w:r>
                      <w:r w:rsidRPr="006F7238">
                        <w:rPr>
                          <w:i w:val="0"/>
                          <w:iCs w:val="0"/>
                          <w:color w:val="auto"/>
                          <w:sz w:val="22"/>
                          <w:szCs w:val="22"/>
                        </w:rPr>
                        <w:instrText xml:space="preserve"> </w:instrText>
                      </w:r>
                      <w:bookmarkStart w:id="99" w:name="_Toc97557149"/>
                      <w:r w:rsidRPr="006F7238">
                        <w:rPr>
                          <w:rFonts w:cstheme="minorHAnsi"/>
                          <w:i w:val="0"/>
                          <w:iCs w:val="0"/>
                          <w:color w:val="auto"/>
                          <w:sz w:val="22"/>
                          <w:szCs w:val="22"/>
                        </w:rPr>
                        <w:instrText>F</w:instrText>
                      </w:r>
                      <w:r w:rsidRPr="006F7238">
                        <w:rPr>
                          <w:i w:val="0"/>
                          <w:iCs w:val="0"/>
                          <w:color w:val="auto"/>
                          <w:sz w:val="22"/>
                          <w:szCs w:val="22"/>
                        </w:rPr>
                        <w:instrText xml:space="preserve">igure </w:instrText>
                      </w:r>
                      <w:r>
                        <w:rPr>
                          <w:i w:val="0"/>
                          <w:iCs w:val="0"/>
                          <w:color w:val="auto"/>
                          <w:sz w:val="22"/>
                          <w:szCs w:val="22"/>
                        </w:rPr>
                        <w:instrText xml:space="preserve">2. </w:instrText>
                      </w:r>
                      <w:r w:rsidRPr="007F5296">
                        <w:rPr>
                          <w:i w:val="0"/>
                          <w:iCs w:val="0"/>
                          <w:color w:val="auto"/>
                          <w:sz w:val="22"/>
                          <w:szCs w:val="22"/>
                        </w:rPr>
                        <w:instrText>Diagram to show thesis Chapters/Studies and objectives</w:instrText>
                      </w:r>
                      <w:r w:rsidRPr="006F7238">
                        <w:rPr>
                          <w:i w:val="0"/>
                          <w:iCs w:val="0"/>
                          <w:color w:val="auto"/>
                          <w:sz w:val="22"/>
                          <w:szCs w:val="22"/>
                        </w:rPr>
                        <w:instrText>.</w:instrText>
                      </w:r>
                      <w:bookmarkEnd w:id="99"/>
                      <w:r w:rsidRPr="006F7238">
                        <w:rPr>
                          <w:rFonts w:cstheme="minorHAnsi"/>
                          <w:i w:val="0"/>
                          <w:iCs w:val="0"/>
                          <w:color w:val="auto"/>
                          <w:sz w:val="22"/>
                          <w:szCs w:val="22"/>
                        </w:rPr>
                        <w:instrText>”</w:instrText>
                      </w:r>
                      <w:r w:rsidRPr="006F7238">
                        <w:rPr>
                          <w:b/>
                          <w:bCs/>
                          <w:i w:val="0"/>
                          <w:iCs w:val="0"/>
                          <w:color w:val="auto"/>
                          <w:sz w:val="22"/>
                          <w:szCs w:val="22"/>
                        </w:rPr>
                        <w:instrText xml:space="preserve">\f w\l 2 </w:instrText>
                      </w:r>
                      <w:r w:rsidRPr="006F7238">
                        <w:rPr>
                          <w:b/>
                          <w:bCs/>
                          <w:i w:val="0"/>
                          <w:iCs w:val="0"/>
                          <w:color w:val="auto"/>
                          <w:sz w:val="22"/>
                          <w:szCs w:val="22"/>
                        </w:rPr>
                        <w:fldChar w:fldCharType="end"/>
                      </w:r>
                      <w:r w:rsidR="007F5296" w:rsidRPr="007F5296">
                        <w:rPr>
                          <w:i w:val="0"/>
                          <w:iCs w:val="0"/>
                          <w:color w:val="auto"/>
                          <w:sz w:val="22"/>
                          <w:szCs w:val="22"/>
                        </w:rPr>
                        <w:t xml:space="preserve">Figure </w:t>
                      </w:r>
                      <w:r w:rsidR="007F5296" w:rsidRPr="007F5296">
                        <w:rPr>
                          <w:i w:val="0"/>
                          <w:iCs w:val="0"/>
                          <w:color w:val="auto"/>
                          <w:sz w:val="22"/>
                          <w:szCs w:val="22"/>
                        </w:rPr>
                        <w:fldChar w:fldCharType="begin"/>
                      </w:r>
                      <w:r w:rsidR="007F5296" w:rsidRPr="007F5296">
                        <w:rPr>
                          <w:i w:val="0"/>
                          <w:iCs w:val="0"/>
                          <w:color w:val="auto"/>
                          <w:sz w:val="22"/>
                          <w:szCs w:val="22"/>
                        </w:rPr>
                        <w:instrText xml:space="preserve"> SEQ Figure \* ARABIC </w:instrText>
                      </w:r>
                      <w:r w:rsidR="007F5296" w:rsidRPr="007F5296">
                        <w:rPr>
                          <w:i w:val="0"/>
                          <w:iCs w:val="0"/>
                          <w:color w:val="auto"/>
                          <w:sz w:val="22"/>
                          <w:szCs w:val="22"/>
                        </w:rPr>
                        <w:fldChar w:fldCharType="separate"/>
                      </w:r>
                      <w:r w:rsidR="007F5296" w:rsidRPr="007F5296">
                        <w:rPr>
                          <w:i w:val="0"/>
                          <w:iCs w:val="0"/>
                          <w:noProof/>
                          <w:color w:val="auto"/>
                          <w:sz w:val="22"/>
                          <w:szCs w:val="22"/>
                        </w:rPr>
                        <w:t>2</w:t>
                      </w:r>
                      <w:r w:rsidR="007F5296" w:rsidRPr="007F5296">
                        <w:rPr>
                          <w:i w:val="0"/>
                          <w:iCs w:val="0"/>
                          <w:color w:val="auto"/>
                          <w:sz w:val="22"/>
                          <w:szCs w:val="22"/>
                        </w:rPr>
                        <w:fldChar w:fldCharType="end"/>
                      </w:r>
                      <w:r w:rsidR="007F5296" w:rsidRPr="007F5296">
                        <w:rPr>
                          <w:i w:val="0"/>
                          <w:iCs w:val="0"/>
                          <w:color w:val="auto"/>
                          <w:sz w:val="22"/>
                          <w:szCs w:val="22"/>
                        </w:rPr>
                        <w:t>. Diagram to show thesis Chapters/Studies and objectives.</w:t>
                      </w:r>
                    </w:p>
                  </w:txbxContent>
                </v:textbox>
                <w10:wrap type="square"/>
              </v:shape>
            </w:pict>
          </mc:Fallback>
        </mc:AlternateContent>
      </w:r>
      <w:r w:rsidR="00CF4E17" w:rsidRPr="00B1522E">
        <w:rPr>
          <w:rFonts w:cstheme="minorHAnsi"/>
          <w:noProof/>
          <w:shd w:val="clear" w:color="auto" w:fill="FFFFFF"/>
        </w:rPr>
        <w:drawing>
          <wp:anchor distT="0" distB="0" distL="114300" distR="114300" simplePos="0" relativeHeight="251571200" behindDoc="1" locked="0" layoutInCell="1" allowOverlap="1" wp14:anchorId="624E26AE" wp14:editId="0889F2A4">
            <wp:simplePos x="0" y="0"/>
            <wp:positionH relativeFrom="column">
              <wp:posOffset>229870</wp:posOffset>
            </wp:positionH>
            <wp:positionV relativeFrom="paragraph">
              <wp:posOffset>0</wp:posOffset>
            </wp:positionV>
            <wp:extent cx="5445125" cy="5015230"/>
            <wp:effectExtent l="0" t="0" r="0" b="1397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74AC8C67" w14:textId="77777777" w:rsidR="00046114" w:rsidRPr="00B1522E" w:rsidRDefault="00046114" w:rsidP="00A86142">
      <w:pPr>
        <w:spacing w:line="480" w:lineRule="auto"/>
      </w:pPr>
      <w:bookmarkStart w:id="100" w:name="_Toc84678918"/>
    </w:p>
    <w:p w14:paraId="510AB1E0" w14:textId="379BF256" w:rsidR="00E639C2" w:rsidRPr="00B1522E" w:rsidRDefault="00720E15" w:rsidP="00A86142">
      <w:pPr>
        <w:spacing w:line="480" w:lineRule="auto"/>
        <w:rPr>
          <w:b/>
          <w:bCs/>
        </w:rPr>
      </w:pPr>
      <w:r w:rsidRPr="00B1522E">
        <w:fldChar w:fldCharType="begin"/>
      </w:r>
      <w:r w:rsidRPr="00B1522E">
        <w:instrText xml:space="preserve"> TC  "</w:instrText>
      </w:r>
      <w:bookmarkStart w:id="101" w:name="_Toc97310443"/>
      <w:r w:rsidRPr="00B1522E">
        <w:instrText>4.3 Research paradigm</w:instrText>
      </w:r>
      <w:bookmarkEnd w:id="101"/>
      <w:r w:rsidRPr="00B1522E">
        <w:instrText xml:space="preserve">" \f x\l 2 </w:instrText>
      </w:r>
      <w:r w:rsidRPr="00B1522E">
        <w:fldChar w:fldCharType="end"/>
      </w:r>
      <w:r w:rsidR="00E639C2" w:rsidRPr="00B1522E">
        <w:rPr>
          <w:b/>
          <w:bCs/>
        </w:rPr>
        <w:t>4.3 Research paradigm</w:t>
      </w:r>
      <w:bookmarkEnd w:id="100"/>
      <w:r w:rsidR="00E639C2" w:rsidRPr="00B1522E">
        <w:rPr>
          <w:b/>
          <w:bCs/>
        </w:rPr>
        <w:t xml:space="preserve"> </w:t>
      </w:r>
    </w:p>
    <w:p w14:paraId="2256C567" w14:textId="748D5B14" w:rsidR="00E639C2" w:rsidRPr="00B1522E" w:rsidRDefault="00E639C2" w:rsidP="00A86142">
      <w:pPr>
        <w:spacing w:line="480" w:lineRule="auto"/>
        <w:jc w:val="both"/>
        <w:rPr>
          <w:rFonts w:cstheme="minorHAnsi"/>
        </w:rPr>
      </w:pPr>
      <w:r w:rsidRPr="00B1522E">
        <w:rPr>
          <w:rFonts w:cstheme="minorHAnsi"/>
          <w:shd w:val="clear" w:color="auto" w:fill="FFFFFF"/>
        </w:rPr>
        <w:t>A research paradigm is a set of beliefs that are shared amongst researchers about how knowledge should be gathered, understood, and interpreted (Kuhn, 1962). Within research there are two main paradigms, namely positivism and constructivism, with each</w:t>
      </w:r>
      <w:r w:rsidRPr="00B1522E">
        <w:rPr>
          <w:rFonts w:cstheme="minorHAnsi"/>
        </w:rPr>
        <w:t xml:space="preserve"> paradigm having a different perspective on the ontology, epistemology, and methodology of research </w:t>
      </w:r>
      <w:r w:rsidRPr="00B1522E">
        <w:rPr>
          <w:rFonts w:cstheme="minorHAnsi"/>
        </w:rPr>
        <w:fldChar w:fldCharType="begin" w:fldLock="1"/>
      </w:r>
      <w:r w:rsidRPr="00B1522E">
        <w:rPr>
          <w:rFonts w:cstheme="minorHAnsi"/>
        </w:rPr>
        <w:instrText>ADDIN CSL_CITATION {"citationItems":[{"id":"ITEM-1","itemData":{"author":[{"dropping-particle":"","family":"Antwi","given":"Stephen Kwadwo","non-dropping-particle":"","parse-names":false,"suffix":""},{"dropping-particle":"","family":"Hamza","given":"Kasim","non-dropping-particle":"","parse-names":false,"suffix":""}],"container-title":"European journal of business and management","id":"ITEM-1","issue":"3","issued":{"date-parts":[["2015"]]},"page":"217-225","title":"Qualitative and quantitative research paradigms in business research: A philosophical reflection","type":"article-journal","volume":"7"},"uris":["http://www.mendeley.com/documents/?uuid=c7f55d0c-b224-435e-aea3-e8f5f45d447d"]}],"mendeley":{"formattedCitation":"(Antwi &amp; Hamza, 2015)","plainTextFormattedCitation":"(Antwi &amp; Hamza, 2015)","previouslyFormattedCitation":"(Antwi &amp; Hamza, 2015)"},"properties":{"noteIndex":0},"schema":"https://github.com/citation-style-language/schema/raw/master/csl-citation.json"}</w:instrText>
      </w:r>
      <w:r w:rsidRPr="00B1522E">
        <w:rPr>
          <w:rFonts w:cstheme="minorHAnsi"/>
        </w:rPr>
        <w:fldChar w:fldCharType="separate"/>
      </w:r>
      <w:r w:rsidRPr="00B1522E">
        <w:rPr>
          <w:rFonts w:cstheme="minorHAnsi"/>
          <w:noProof/>
        </w:rPr>
        <w:t>(Antwi &amp; Hamza, 2015)</w:t>
      </w:r>
      <w:r w:rsidRPr="00B1522E">
        <w:rPr>
          <w:rFonts w:cstheme="minorHAnsi"/>
        </w:rPr>
        <w:fldChar w:fldCharType="end"/>
      </w:r>
      <w:r w:rsidRPr="00B1522E">
        <w:rPr>
          <w:rFonts w:cstheme="minorHAnsi"/>
        </w:rPr>
        <w:t>.</w:t>
      </w:r>
      <w:r w:rsidRPr="00B1522E">
        <w:rPr>
          <w:rFonts w:cstheme="minorHAnsi"/>
          <w:shd w:val="clear" w:color="auto" w:fill="FFFFFF"/>
        </w:rPr>
        <w:t xml:space="preserve"> In brief, a positivist approach to research is based on the idea that there is a single reality and true knowledge is gathered through unbiased rigorous quantitative methodologies </w:t>
      </w:r>
      <w:r w:rsidRPr="00B1522E">
        <w:rPr>
          <w:rFonts w:cstheme="minorHAnsi"/>
          <w:shd w:val="clear" w:color="auto" w:fill="FFFFFF"/>
        </w:rPr>
        <w:fldChar w:fldCharType="begin" w:fldLock="1"/>
      </w:r>
      <w:r w:rsidR="00B8355F">
        <w:rPr>
          <w:rFonts w:cstheme="minorHAnsi"/>
          <w:shd w:val="clear" w:color="auto" w:fill="FFFFFF"/>
        </w:rPr>
        <w:instrText>ADDIN CSL_CITATION {"citationItems":[{"id":"ITEM-1","itemData":{"author":[{"dropping-particle":"","family":"O'Leary","given":"Zina","non-dropping-particle":"","parse-names":false,"suffix":""}],"id":"ITEM-1","issued":{"date-parts":[["2007"]]},"publisher":"Sage publications","publisher-place":"London","title":"The Social Science Jargon Buster","type":"article"},"uris":["http://www.mendeley.com/documents/?uuid=6e4e99ff-8f34-4c3c-b17d-1146bc2c30a9"]}],"mendeley":{"formattedCitation":"(O’Leary, 2007)","plainTextFormattedCitation":"(O’Leary, 2007)","previouslyFormattedCitation":"(O’Leary, 2007)"},"properties":{"noteIndex":0},"schema":"https://github.com/citation-style-language/schema/raw/master/csl-citation.json"}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(O’Leary, 2007)</w:t>
      </w:r>
      <w:r w:rsidRPr="00B1522E">
        <w:rPr>
          <w:rFonts w:cstheme="minorHAnsi"/>
          <w:shd w:val="clear" w:color="auto" w:fill="FFFFFF"/>
        </w:rPr>
        <w:fldChar w:fldCharType="end"/>
      </w:r>
      <w:r w:rsidRPr="00B1522E">
        <w:rPr>
          <w:rFonts w:cstheme="minorHAnsi"/>
          <w:shd w:val="clear" w:color="auto" w:fill="FFFFFF"/>
        </w:rPr>
        <w:t xml:space="preserve">. In contrast, a constructivist approach to research is underpinned by the belief that there is no one single reality and </w:t>
      </w:r>
      <w:r w:rsidRPr="00B1522E">
        <w:rPr>
          <w:rFonts w:cstheme="minorHAnsi"/>
          <w:shd w:val="clear" w:color="auto" w:fill="FFFFFF"/>
        </w:rPr>
        <w:lastRenderedPageBreak/>
        <w:t xml:space="preserve">knowledge is constructed through </w:t>
      </w:r>
      <w:r w:rsidRPr="00B1522E">
        <w:rPr>
          <w:rFonts w:cstheme="minorHAnsi"/>
        </w:rPr>
        <w:t xml:space="preserve">individuals’ experiences which can be explored using qualitative methodologies </w:t>
      </w:r>
      <w:r w:rsidRPr="00B1522E">
        <w:rPr>
          <w:rFonts w:cstheme="minorHAnsi"/>
        </w:rPr>
        <w:fldChar w:fldCharType="begin" w:fldLock="1"/>
      </w:r>
      <w:r w:rsidR="001A6264" w:rsidRPr="00B1522E">
        <w:rPr>
          <w:rFonts w:cstheme="minorHAnsi"/>
        </w:rPr>
        <w:instrText>ADDIN CSL_CITATION {"citationItems":[{"id":"ITEM-1","itemData":{"ISSN":"1876-407X","author":[{"dropping-particle":"","family":"Kim","given":"Jong Suk","non-dropping-particle":"","parse-names":false,"suffix":""}],"container-title":"Asia pacific education review","id":"ITEM-1","issue":"1","issued":{"date-parts":[["2005"]]},"page":"7-19","publisher":"Springer","title":"The effects of a constructivist teaching approach on student academic achievement, self-concept, and learning strategies","type":"article-journal","volume":"6"},"uris":["http://www.mendeley.com/documents/?uuid=44a63380-d293-4608-8e30-52dbc882a115"]}],"mendeley":{"formattedCitation":"(J. S. Kim, 2005)","manualFormatting":"(Kim, 2005)","plainTextFormattedCitation":"(J. S. Kim, 2005)","previouslyFormattedCitation":"(J. S. Kim, 2005)"},"properties":{"noteIndex":0},"schema":"https://github.com/citation-style-language/schema/raw/master/csl-citation.json"}</w:instrText>
      </w:r>
      <w:r w:rsidRPr="00B1522E">
        <w:rPr>
          <w:rFonts w:cstheme="minorHAnsi"/>
        </w:rPr>
        <w:fldChar w:fldCharType="separate"/>
      </w:r>
      <w:r w:rsidR="0048570A" w:rsidRPr="00B1522E">
        <w:rPr>
          <w:rFonts w:cstheme="minorHAnsi"/>
          <w:noProof/>
        </w:rPr>
        <w:t>(Kim, 2005)</w:t>
      </w:r>
      <w:r w:rsidRPr="00B1522E">
        <w:rPr>
          <w:rFonts w:cstheme="minorHAnsi"/>
        </w:rPr>
        <w:fldChar w:fldCharType="end"/>
      </w:r>
      <w:r w:rsidRPr="00B1522E">
        <w:rPr>
          <w:rFonts w:cstheme="minorHAnsi"/>
        </w:rPr>
        <w:t xml:space="preserve">. There is much debate about which paradigm is most appropriate and whether qualitative and quantitative methodologies can be mixed as there are differences in ontological and epistemological positions </w:t>
      </w:r>
      <w:r w:rsidRPr="00B1522E">
        <w:rPr>
          <w:rFonts w:cstheme="minorHAnsi"/>
          <w:shd w:val="clear" w:color="auto" w:fill="FCFCFC"/>
        </w:rPr>
        <w:fldChar w:fldCharType="begin" w:fldLock="1"/>
      </w:r>
      <w:r w:rsidR="007463D4" w:rsidRPr="00B1522E">
        <w:rPr>
          <w:rFonts w:cstheme="minorHAnsi"/>
          <w:shd w:val="clear" w:color="auto" w:fill="FCFCFC"/>
        </w:rPr>
        <w:instrText>ADDIN CSL_CITATION {"citationItems":[{"id":"ITEM-1","itemData":{"ISSN":"1351-5578 (Print)","PMID":"16045043","abstract":"Graham R Williamson discusses the concept of triangulation in data collection and analysis in mixed-methods research, and reflects upon how this contributed to a deeper understanding when he used it in his work","author":[{"dropping-particle":"","family":"Williamson","given":"Graham R","non-dropping-particle":"","parse-names":false,"suffix":""}],"container-title":"Nurse researcher","id":"ITEM-1","issue":"4","issued":{"date-parts":[["2005"]]},"language":"eng","page":"7-18","publisher-place":"England","title":"Illustrating triangulation in mixed-methods nursing research.","type":"article-journal","volume":"12"},"uris":["http://www.mendeley.com/documents/?uuid=7f4f41fc-c617-4720-bb4c-da07e632b50f"]},{"id":"ITEM-2","itemData":{"ISSN":"1573-188X","abstract":"For institutional researchers, the choice to use a quantitative or qualitative approach to research is dictated by time, money, resources, and staff. Frequently, the choice to use one or the other approach is made at the method level. Choices made at this level generally have rigor, but ignore the underlying philosophical assumptions structuring beliefs about methodology, knowledge, and reality. When choosing a method, institutional researchers also choose what they believe to be knowledge, reality, and the correct method to measure both. The purpose of this paper is to clarify and explore the assumptions underlying quantitative and qualitative research. The reason for highlighting the assumptions is to increase the general level of understanding and appreciation of epistemological issues in institutional research. Articulation of these assumptions should foster greater awareness of the appropriateness of different kinds of knowledge for different purposes.","author":[{"dropping-particle":"","family":"Hathaway","given":"Russel S","non-dropping-particle":"","parse-names":false,"suffix":""}],"container-title":"Research in Higher Education","id":"ITEM-2","issue":"5","issued":{"date-parts":[["1995"]]},"page":"535-562","title":"Assumptions underlying quantitative and qualitative research: Implications for institutional research","type":"article-journal","volume":"36"},"uris":["http://www.mendeley.com/documents/?uuid=b1a58b28-d50e-4ee8-b7bf-fb942151574f"]}],"mendeley":{"formattedCitation":"(Hathaway, 1995; Williamson, 2005)","plainTextFormattedCitation":"(Hathaway, 1995; Williamson, 2005)","previouslyFormattedCitation":"(Hathaway, 1995; Williamson, 2005)"},"properties":{"noteIndex":0},"schema":"https://github.com/citation-style-language/schema/raw/master/csl-citation.json"}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(Hathaway, 1995; Williamson, 2005)</w:t>
      </w:r>
      <w:r w:rsidRPr="00B1522E">
        <w:rPr>
          <w:rFonts w:cstheme="minorHAnsi"/>
          <w:shd w:val="clear" w:color="auto" w:fill="FCFCFC"/>
        </w:rPr>
        <w:fldChar w:fldCharType="end"/>
      </w:r>
      <w:r w:rsidRPr="00B1522E">
        <w:rPr>
          <w:rFonts w:cstheme="minorHAnsi"/>
          <w:shd w:val="clear" w:color="auto" w:fill="FCFCFC"/>
        </w:rPr>
        <w:t>.</w:t>
      </w:r>
      <w:r w:rsidRPr="00B1522E">
        <w:rPr>
          <w:rFonts w:cstheme="minorHAnsi"/>
        </w:rPr>
        <w:t xml:space="preserve"> Researchers have pointed out that these two paradigms instead represent different ends on a continuum, and a third paradigm resides in the middle ‘pragmatic approach’ which is based on the belief that it is not possible to understand the ‘truth’ about the real world by one single method </w:t>
      </w:r>
      <w:r w:rsidRPr="00B1522E">
        <w:rPr>
          <w:rFonts w:cstheme="minorHAnsi"/>
        </w:rPr>
        <w:fldChar w:fldCharType="begin" w:fldLock="1"/>
      </w:r>
      <w:r w:rsidR="00DF6CCC" w:rsidRPr="00B1522E">
        <w:rPr>
          <w:rFonts w:cstheme="minorHAnsi"/>
        </w:rPr>
        <w:instrText>ADDIN CSL_CITATION {"citationItems":[{"id":"ITEM-1","itemData":{"ISBN":"0809321505","author":[{"dropping-particle":"","family":"Newman","given":"Isadore","non-dropping-particle":"","parse-names":false,"suffix":""},{"dropping-particle":"","family":"Benz","given":"Carolyn R","non-dropping-particle":"","parse-names":false,"suffix":""},{"dropping-particle":"","family":"Ridenour","given":"Carolyn S","non-dropping-particle":"","parse-names":false,"suffix":""}],"id":"ITEM-1","issued":{"date-parts":[["1998"]]},"publisher":"SIU Press","title":"Qualitative-quantitative research methodology: Exploring the interactive continuum","type":"book"},"uris":["http://www.mendeley.com/documents/?uuid=7cecc86e-70b0-4867-b4cf-9940d0850cc3"]}],"mendeley":{"formattedCitation":"(Newman et al., 1998)","plainTextFormattedCitation":"(Newman et al., 1998)","previouslyFormattedCitation":"(Newman et al., 1998)"},"properties":{"noteIndex":0},"schema":"https://github.com/citation-style-language/schema/raw/master/csl-citation.json"}</w:instrText>
      </w:r>
      <w:r w:rsidRPr="00B1522E">
        <w:rPr>
          <w:rFonts w:cstheme="minorHAnsi"/>
        </w:rPr>
        <w:fldChar w:fldCharType="separate"/>
      </w:r>
      <w:r w:rsidR="004B7FAF" w:rsidRPr="00B1522E">
        <w:rPr>
          <w:rFonts w:cstheme="minorHAnsi"/>
          <w:noProof/>
        </w:rPr>
        <w:t>(Newman et al., 1998)</w:t>
      </w:r>
      <w:r w:rsidRPr="00B1522E">
        <w:rPr>
          <w:rFonts w:cstheme="minorHAnsi"/>
        </w:rPr>
        <w:fldChar w:fldCharType="end"/>
      </w:r>
      <w:r w:rsidRPr="00B1522E">
        <w:rPr>
          <w:rFonts w:cstheme="minorHAnsi"/>
        </w:rPr>
        <w:t xml:space="preserve">. </w:t>
      </w:r>
    </w:p>
    <w:p w14:paraId="75DFD0E3" w14:textId="49779E50" w:rsidR="00E639C2" w:rsidRPr="00B1522E" w:rsidRDefault="00E639C2" w:rsidP="00A86142">
      <w:pPr>
        <w:spacing w:line="480" w:lineRule="auto"/>
        <w:ind w:firstLine="720"/>
        <w:jc w:val="both"/>
        <w:rPr>
          <w:rFonts w:cstheme="minorHAnsi"/>
        </w:rPr>
      </w:pPr>
      <w:r w:rsidRPr="00B1522E">
        <w:rPr>
          <w:rFonts w:cstheme="minorHAnsi"/>
        </w:rPr>
        <w:t xml:space="preserve">Pragmatists believe that world views can be both personally unique and socially shared </w:t>
      </w:r>
      <w:r w:rsidRPr="00B1522E">
        <w:rPr>
          <w:rFonts w:cstheme="minorHAnsi"/>
        </w:rPr>
        <w:fldChar w:fldCharType="begin" w:fldLock="1"/>
      </w:r>
      <w:r w:rsidRPr="00B1522E">
        <w:rPr>
          <w:rFonts w:cstheme="minorHAnsi"/>
        </w:rPr>
        <w:instrText>ADDIN CSL_CITATION {"citationItems":[{"id":"ITEM-1","itemData":{"author":[{"dropping-particle":"","family":"Morgan","given":"D L","non-dropping-particle":"","parse-names":false,"suffix":""}],"id":"ITEM-1","issued":{"date-parts":[["2014"]]},"publisher":"Thousand Oaks: Sage","title":"Integrating qualitative and quantitative methods: A pragmatic approach.","type":"book"},"uris":["http://www.mendeley.com/documents/?uuid=d57eedb5-f555-4ace-8940-36d0468465de"]},{"id":"ITEM-2","itemData":{"author":[{"dropping-particle":"","family":"Kaushik","given":"Vibha","non-dropping-particle":"","parse-names":false,"suffix":""},{"dropping-particle":"","family":"Walsh","given":"Christine A","non-dropping-particle":"","parse-names":false,"suffix":""}],"container-title":"Social Sciences","id":"ITEM-2","issue":"9","issued":{"date-parts":[["2019"]]},"page":"255","publisher":"Multidisciplinary Digital Publishing Institute","title":"Pragmatism as a research paradigm and its implications for social work research","type":"article-journal","volume":"8"},"uris":["http://www.mendeley.com/documents/?uuid=e53ee4dc-d1f0-40a2-be38-e2076fcfa839"]}],"mendeley":{"formattedCitation":"(Kaushik &amp; Walsh, 2019; Morgan, 2014)","plainTextFormattedCitation":"(Kaushik &amp; Walsh, 2019; Morgan, 2014)","previouslyFormattedCitation":"(Kaushik &amp; Walsh, 2019; Morgan, 2014)"},"properties":{"noteIndex":0},"schema":"https://github.com/citation-style-language/schema/raw/master/csl-citation.json"}</w:instrText>
      </w:r>
      <w:r w:rsidRPr="00B1522E">
        <w:rPr>
          <w:rFonts w:cstheme="minorHAnsi"/>
        </w:rPr>
        <w:fldChar w:fldCharType="separate"/>
      </w:r>
      <w:r w:rsidRPr="00B1522E">
        <w:rPr>
          <w:rFonts w:cstheme="minorHAnsi"/>
          <w:noProof/>
        </w:rPr>
        <w:t>(Kaushik &amp; Walsh, 2019; Morgan, 2014)</w:t>
      </w:r>
      <w:r w:rsidRPr="00B1522E">
        <w:rPr>
          <w:rFonts w:cstheme="minorHAnsi"/>
        </w:rPr>
        <w:fldChar w:fldCharType="end"/>
      </w:r>
      <w:r w:rsidRPr="00B1522E">
        <w:rPr>
          <w:rFonts w:cstheme="minorHAnsi"/>
        </w:rPr>
        <w:t xml:space="preserve"> as no two individuals can have identical experiences, yet still there is a varying degree of shared experiences between individuals creating shared beliefs </w:t>
      </w:r>
      <w:r w:rsidRPr="00B1522E">
        <w:rPr>
          <w:rFonts w:cstheme="minorHAnsi"/>
        </w:rPr>
        <w:fldChar w:fldCharType="begin" w:fldLock="1"/>
      </w:r>
      <w:r w:rsidRPr="00B1522E">
        <w:rPr>
          <w:rFonts w:cstheme="minorHAnsi"/>
        </w:rPr>
        <w:instrText>ADDIN CSL_CITATION {"citationItems":[{"id":"ITEM-1","itemData":{"author":[{"dropping-particle":"","family":"Kaushik","given":"Vibha","non-dropping-particle":"","parse-names":false,"suffix":""},{"dropping-particle":"","family":"Walsh","given":"Christine A","non-dropping-particle":"","parse-names":false,"suffix":""}],"container-title":"Social Sciences","id":"ITEM-1","issue":"9","issued":{"date-parts":[["2019"]]},"page":"255","publisher":"Multidisciplinary Digital Publishing Institute","title":"Pragmatism as a research paradigm and its implications for social work research","type":"article-journal","volume":"8"},"uris":["http://www.mendeley.com/documents/?uuid=e53ee4dc-d1f0-40a2-be38-e2076fcfa839"]}],"mendeley":{"formattedCitation":"(Kaushik &amp; Walsh, 2019)","plainTextFormattedCitation":"(Kaushik &amp; Walsh, 2019)","previouslyFormattedCitation":"(Kaushik &amp; Walsh, 2019)"},"properties":{"noteIndex":0},"schema":"https://github.com/citation-style-language/schema/raw/master/csl-citation.json"}</w:instrText>
      </w:r>
      <w:r w:rsidRPr="00B1522E">
        <w:rPr>
          <w:rFonts w:cstheme="minorHAnsi"/>
        </w:rPr>
        <w:fldChar w:fldCharType="separate"/>
      </w:r>
      <w:r w:rsidRPr="00B1522E">
        <w:rPr>
          <w:rFonts w:cstheme="minorHAnsi"/>
          <w:noProof/>
        </w:rPr>
        <w:t>(Kaushik &amp; Walsh, 2019)</w:t>
      </w:r>
      <w:r w:rsidRPr="00B1522E">
        <w:rPr>
          <w:rFonts w:cstheme="minorHAnsi"/>
        </w:rPr>
        <w:fldChar w:fldCharType="end"/>
      </w:r>
      <w:r w:rsidRPr="00B1522E">
        <w:rPr>
          <w:rFonts w:cstheme="minorHAnsi"/>
        </w:rPr>
        <w:t xml:space="preserve">. Pragmatic researchers believe that no single approach can be adapted for use by all studies, but rather a variety of research approaches, methods and techniques can be adapted for use in many different research contexts </w:t>
      </w:r>
      <w:r w:rsidRPr="00B1522E">
        <w:rPr>
          <w:rFonts w:cstheme="minorHAnsi"/>
        </w:rPr>
        <w:fldChar w:fldCharType="begin" w:fldLock="1"/>
      </w:r>
      <w:r w:rsidR="009A0EF9">
        <w:rPr>
          <w:rFonts w:cstheme="minorHAnsi"/>
        </w:rPr>
        <w:instrText>ADDIN CSL_CITATION {"citationItems":[{"id":"ITEM-1","itemData":{"author":[{"dropping-particle":"","family":"Haq","given":"Muhibul","non-dropping-particle":"","parse-names":false,"suffix":""}],"id":"ITEM-1","issued":{"date-parts":[["2014"]]},"publisher-place":"Bradford, UK","title":"A Comparative Analysis of Qualitative and Quantitative Research Methods and a Justification for Adopting Mixed Methods in Social Research [conference paper]. Annual PhD Conference, University of Bradford School of Management. Bradford, UK.","type":"paper-conference"},"uris":["http://www.mendeley.com/documents/?uuid=6c1164ed-6840-4478-b31d-03e521393de3"]}],"mendeley":{"formattedCitation":"(Haq, 2014)","plainTextFormattedCitation":"(Haq, 2014)","previouslyFormattedCitation":"(Haq, 2014)"},"properties":{"noteIndex":0},"schema":"https://github.com/citation-style-language/schema/raw/master/csl-citation.json"}</w:instrText>
      </w:r>
      <w:r w:rsidRPr="00B1522E">
        <w:rPr>
          <w:rFonts w:cstheme="minorHAnsi"/>
        </w:rPr>
        <w:fldChar w:fldCharType="separate"/>
      </w:r>
      <w:r w:rsidR="00660052" w:rsidRPr="00B1522E">
        <w:rPr>
          <w:rFonts w:cstheme="minorHAnsi"/>
          <w:noProof/>
        </w:rPr>
        <w:t>(Haq, 2014)</w:t>
      </w:r>
      <w:r w:rsidRPr="00B1522E">
        <w:rPr>
          <w:rFonts w:cstheme="minorHAnsi"/>
        </w:rPr>
        <w:fldChar w:fldCharType="end"/>
      </w:r>
      <w:r w:rsidRPr="00B1522E">
        <w:rPr>
          <w:rFonts w:cstheme="minorHAnsi"/>
        </w:rPr>
        <w:t xml:space="preserve">. In adopting this view, a researcher can choose the research design and methodology approach that best addresses the aims of the research </w:t>
      </w:r>
      <w:r w:rsidRPr="00B1522E">
        <w:rPr>
          <w:rFonts w:cstheme="minorHAnsi"/>
        </w:rPr>
        <w:fldChar w:fldCharType="begin" w:fldLock="1"/>
      </w:r>
      <w:r w:rsidR="00F54E4D" w:rsidRPr="00B1522E">
        <w:rPr>
          <w:rFonts w:cstheme="minorHAnsi"/>
        </w:rPr>
        <w:instrText>ADDIN CSL_CITATION {"citationItems":[{"id":"ITEM-1","itemData":{"ISBN":"0761900713","author":[{"dropping-particle":"","family":"Tashakkori","given":"Abbas","non-dropping-particle":"","parse-names":false,"suffix":""},{"dropping-particle":"","family":"Teddlie","given":"Charles","non-dropping-particle":"","parse-names":false,"suffix":""},{"dropping-particle":"","family":"Teddlie","given":"Charles B","non-dropping-particle":"","parse-names":false,"suffix":""}],"id":"ITEM-1","issued":{"date-parts":[["1998"]]},"publisher":"Sage","title":"Mixed methodology: Combining qualitative and quantitative approaches","type":"book"},"uris":["http://www.mendeley.com/documents/?uuid=08ebee6b-cc9b-4f94-9e21-94814a259021"]}],"mendeley":{"formattedCitation":"(Tashakkori et al., 1998)","plainTextFormattedCitation":"(Tashakkori et al., 1998)","previouslyFormattedCitation":"(Tashakkori et al., 1998)"},"properties":{"noteIndex":0},"schema":"https://github.com/citation-style-language/schema/raw/master/csl-citation.json"}</w:instrText>
      </w:r>
      <w:r w:rsidRPr="00B1522E">
        <w:rPr>
          <w:rFonts w:cstheme="minorHAnsi"/>
        </w:rPr>
        <w:fldChar w:fldCharType="separate"/>
      </w:r>
      <w:r w:rsidR="004B7FAF" w:rsidRPr="00B1522E">
        <w:rPr>
          <w:rFonts w:cstheme="minorHAnsi"/>
          <w:noProof/>
        </w:rPr>
        <w:t>(Tashakkori et al., 1998)</w:t>
      </w:r>
      <w:r w:rsidRPr="00B1522E">
        <w:rPr>
          <w:rFonts w:cstheme="minorHAnsi"/>
        </w:rPr>
        <w:fldChar w:fldCharType="end"/>
      </w:r>
      <w:r w:rsidRPr="00B1522E">
        <w:rPr>
          <w:rFonts w:cstheme="minorHAnsi"/>
        </w:rPr>
        <w:t xml:space="preserve">. As a paradigm it is flexible in its approach to allow for a combination of various methods to understand a variety of perspectives, with both quantitative and qualitative methods contributing to the advancement in knowledge </w:t>
      </w:r>
      <w:r w:rsidRPr="00B1522E">
        <w:rPr>
          <w:rFonts w:cstheme="minorHAnsi"/>
        </w:rPr>
        <w:fldChar w:fldCharType="begin" w:fldLock="1"/>
      </w:r>
      <w:r w:rsidRPr="00B1522E">
        <w:rPr>
          <w:rFonts w:cstheme="minorHAnsi"/>
        </w:rPr>
        <w:instrText>ADDIN CSL_CITATION {"citationItems":[{"id":"ITEM-1","itemData":{"ISSN":"0312-407X","author":[{"dropping-particle":"","family":"Plath","given":"Debbie","non-dropping-particle":"","parse-names":false,"suffix":""}],"container-title":"Australian Social Work","id":"ITEM-1","issue":"1","issued":{"date-parts":[["2006"]]},"page":"56-72","publisher":"Taylor &amp; Francis","title":"Evidence-based practice: Current issues and future directions","type":"article-journal","volume":"59"},"uris":["http://www.mendeley.com/documents/?uuid=0f2915ce-4acd-448c-9fb2-db4b189e569a"]},{"id":"ITEM-2","itemData":{"ISSN":"1753-1969","author":[{"dropping-particle":"","family":"Brierley","given":"John A","non-dropping-particle":"","parse-names":false,"suffix":""}],"container-title":"International Journal of Behavioural Accounting and Finance","id":"ITEM-2","issue":"2","issued":{"date-parts":[["2017"]]},"page":"140-154","publisher":"Inderscience Publishers (IEL)","title":"The role of a pragmatist paradigm when adopting mixed methods in behavioural accounting research","type":"article-journal","volume":"6"},"uris":["http://www.mendeley.com/documents/?uuid=4615ffd0-4102-43a5-b47e-5d746242385a"]}],"mendeley":{"formattedCitation":"(Brierley, 2017; Plath, 2006)","plainTextFormattedCitation":"(Brierley, 2017; Plath, 2006)","previouslyFormattedCitation":"(Brierley, 2017; Plath, 2006)"},"properties":{"noteIndex":0},"schema":"https://github.com/citation-style-language/schema/raw/master/csl-citation.json"}</w:instrText>
      </w:r>
      <w:r w:rsidRPr="00B1522E">
        <w:rPr>
          <w:rFonts w:cstheme="minorHAnsi"/>
        </w:rPr>
        <w:fldChar w:fldCharType="separate"/>
      </w:r>
      <w:r w:rsidRPr="00B1522E">
        <w:rPr>
          <w:rFonts w:cstheme="minorHAnsi"/>
          <w:noProof/>
        </w:rPr>
        <w:t>(Brierley, 2017; Plath, 2006)</w:t>
      </w:r>
      <w:r w:rsidRPr="00B1522E">
        <w:rPr>
          <w:rFonts w:cstheme="minorHAnsi"/>
        </w:rPr>
        <w:fldChar w:fldCharType="end"/>
      </w:r>
      <w:r w:rsidRPr="00B1522E">
        <w:rPr>
          <w:rFonts w:cstheme="minorHAnsi"/>
        </w:rPr>
        <w:t xml:space="preserve">. </w:t>
      </w:r>
    </w:p>
    <w:p w14:paraId="265D97D1" w14:textId="23FA3BF3" w:rsidR="00E639C2" w:rsidRPr="00B1522E" w:rsidRDefault="00E639C2" w:rsidP="00A86142">
      <w:pPr>
        <w:spacing w:line="480" w:lineRule="auto"/>
        <w:ind w:firstLine="720"/>
        <w:jc w:val="both"/>
        <w:rPr>
          <w:rFonts w:cstheme="minorHAnsi"/>
        </w:rPr>
      </w:pPr>
      <w:r w:rsidRPr="00B1522E">
        <w:rPr>
          <w:rFonts w:cstheme="minorHAnsi"/>
        </w:rPr>
        <w:t xml:space="preserve">Designing and implementing health-related interventions can be challenging as the real world is complex and consideration needs to be given to everyday realities of individuals and communities, where social and environmental factors can be entwined with health behaviours and outcomes </w:t>
      </w:r>
      <w:r w:rsidRPr="00B1522E">
        <w:rPr>
          <w:rFonts w:cstheme="minorHAnsi"/>
        </w:rPr>
        <w:fldChar w:fldCharType="begin" w:fldLock="1"/>
      </w:r>
      <w:r w:rsidR="00F54E4D" w:rsidRPr="00B1522E">
        <w:rPr>
          <w:rFonts w:cstheme="minorHAnsi"/>
        </w:rPr>
        <w:instrText>ADDIN CSL_CITATION {"citationItems":[{"id":"ITEM-1","itemData":{"ISSN":"1359-1053","author":[{"dropping-particle":"","family":"Cornish","given":"Flora","non-dropping-particle":"","parse-names":false,"suffix":""},{"dropping-particle":"","family":"Gillespie","given":"Alex","non-dropping-particle":"","parse-names":false,"suffix":""}],"container-title":"Journal of health psychology","id":"ITEM-1","issue":"6","issued":{"date-parts":[["2009"]]},"page":"800-809","publisher":"Sage Publications Sage UK: London, England","title":"A pragmatist approach to the problem of knowledge in health psychology","type":"article-journal","volume":"14"},"uris":["http://www.mendeley.com/documents/?uuid=10a3f2a7-9146-4cd0-9131-c6d661e73019"]},{"id":"ITEM-2","itemData":{"author":[{"dropping-particle":"","family":"Teddlie","given":"Charles","non-dropping-particle":"","parse-names":false,"suffix":""},{"dropping-particle":"","family":"Tashakkori","given":"Abbas","non-dropping-particle":"","parse-names":false,"suffix":""}],"chapter-number":"Mixed meth","container-title":"The Sage handbook of qualitative research","editor":[{"dropping-particle":"","family":"Denzin","given":"Norman K","non-dropping-particle":"","parse-names":false,"suffix":""},{"dropping-particle":"","family":"Lincoln","given":"Yvonna S","non-dropping-particle":"","parse-names":false,"suffix":""}],"id":"ITEM-2","issued":{"date-parts":[["2011"]]},"page":"285-300","publisher":"Sage Publications","title":"Mixed methods research","type":"chapter"},"uris":["http://www.mendeley.com/documents/?uuid=4062004c-8f57-46a1-9daa-94497301b6e4"]}],"mendeley":{"formattedCitation":"(Cornish &amp; Gillespie, 2009; Teddlie &amp; Tashakkori, 2011)","plainTextFormattedCitation":"(Cornish &amp; Gillespie, 2009; Teddlie &amp; Tashakkori, 2011)","previouslyFormattedCitation":"(Cornish &amp; Gillespie, 2009; Teddlie &amp; Tashakkori, 2011)"},"properties":{"noteIndex":0},"schema":"https://github.com/citation-style-language/schema/raw/master/csl-citation.json"}</w:instrText>
      </w:r>
      <w:r w:rsidRPr="00B1522E">
        <w:rPr>
          <w:rFonts w:cstheme="minorHAnsi"/>
        </w:rPr>
        <w:fldChar w:fldCharType="separate"/>
      </w:r>
      <w:r w:rsidRPr="00B1522E">
        <w:rPr>
          <w:rFonts w:cstheme="minorHAnsi"/>
          <w:noProof/>
        </w:rPr>
        <w:t>(Cornish &amp; Gillespie, 2009; Teddlie &amp; Tashakkori, 2011)</w:t>
      </w:r>
      <w:r w:rsidRPr="00B1522E">
        <w:rPr>
          <w:rFonts w:cstheme="minorHAnsi"/>
        </w:rPr>
        <w:fldChar w:fldCharType="end"/>
      </w:r>
      <w:r w:rsidRPr="00B1522E">
        <w:rPr>
          <w:rFonts w:cstheme="minorHAnsi"/>
        </w:rPr>
        <w:t xml:space="preserve">. Mixed-methods research integrates qualitative and quantitative approaches, which can allow researchers to present a more complete picture of the research by comparing, validating or triangulating the results </w:t>
      </w:r>
      <w:r w:rsidRPr="00B1522E">
        <w:rPr>
          <w:rFonts w:cstheme="minorHAnsi"/>
        </w:rPr>
        <w:fldChar w:fldCharType="begin" w:fldLock="1"/>
      </w:r>
      <w:r w:rsidR="00DF6CCC" w:rsidRPr="00B1522E">
        <w:rPr>
          <w:rFonts w:cstheme="minorHAnsi"/>
        </w:rPr>
        <w:instrText>ADDIN CSL_CITATION {"citationItems":[{"id":"ITEM-1","itemData":{"ISSN":"1525-822X","author":[{"dropping-particle":"V","family":"Ivankova","given":"Nataliya","non-dropping-particle":"","parse-names":false,"suffix":""},{"dropping-particle":"","family":"Creswell","given":"John W","non-dropping-particle":"","parse-names":false,"suffix":""},{"dropping-particle":"","family":"Stick","given":"Sheldon L","non-dropping-particle":"","parse-names":false,"suffix":""}],"container-title":"Field methods","id":"ITEM-1","issue":"1","issued":{"date-parts":[["2006"]]},"page":"3-20","publisher":"Sage Publications Sage CA: Thousand Oaks, CA","title":"Using mixed-methods sequential explanatory design: From theory to practice","type":"article-journal","volume":"18"},"uris":["http://www.mendeley.com/documents/?uuid=effd6db4-72e8-49d4-8ccb-14fda099f25c"]}],"mendeley":{"formattedCitation":"(Ivankova et al., 2006)","plainTextFormattedCitation":"(Ivankova et al., 2006)","previouslyFormattedCitation":"(Ivankova et al., 2006)"},"properties":{"noteIndex":0},"schema":"https://github.com/citation-style-language/schema/raw/master/csl-citation.json"}</w:instrText>
      </w:r>
      <w:r w:rsidRPr="00B1522E">
        <w:rPr>
          <w:rFonts w:cstheme="minorHAnsi"/>
        </w:rPr>
        <w:fldChar w:fldCharType="separate"/>
      </w:r>
      <w:r w:rsidR="004B7FAF" w:rsidRPr="00B1522E">
        <w:rPr>
          <w:rFonts w:cstheme="minorHAnsi"/>
          <w:noProof/>
        </w:rPr>
        <w:t>(Ivankova et al., 2006)</w:t>
      </w:r>
      <w:r w:rsidRPr="00B1522E">
        <w:rPr>
          <w:rFonts w:cstheme="minorHAnsi"/>
        </w:rPr>
        <w:fldChar w:fldCharType="end"/>
      </w:r>
      <w:r w:rsidRPr="00B1522E">
        <w:rPr>
          <w:rFonts w:cstheme="minorHAnsi"/>
        </w:rPr>
        <w:t xml:space="preserve">. Qualitative research can be used prior to, during or after quantitative studies, to help explain processes and outcomes of interventions, and as a way of enhancing the linkage between evidence </w:t>
      </w:r>
      <w:r w:rsidRPr="00B1522E">
        <w:rPr>
          <w:rFonts w:cstheme="minorHAnsi"/>
        </w:rPr>
        <w:lastRenderedPageBreak/>
        <w:t xml:space="preserve">and practice </w:t>
      </w:r>
      <w:r w:rsidRPr="00B1522E">
        <w:rPr>
          <w:rFonts w:cstheme="minorHAnsi"/>
        </w:rPr>
        <w:fldChar w:fldCharType="begin" w:fldLock="1"/>
      </w:r>
      <w:r w:rsidR="00DF6CCC" w:rsidRPr="00B1522E">
        <w:rPr>
          <w:rFonts w:cstheme="minorHAnsi"/>
        </w:rPr>
        <w:instrText>ADDIN CSL_CITATION {"citationItems":[{"id":"ITEM-1","itemData":{"ISSN":"1356-1294","author":[{"dropping-particle":"","family":"Dixon‐Woods","given":"Mary","non-dropping-particle":"","parse-names":false,"suffix":""},{"dropping-particle":"","family":"Fitzpatrick","given":"Ray","non-dropping-particle":"","parse-names":false,"suffix":""},{"dropping-particle":"","family":"Roberts","given":"Karen","non-dropping-particle":"","parse-names":false,"suffix":""}],"container-title":"Journal of evaluation in clinical practice","id":"ITEM-1","issue":"2","issued":{"date-parts":[["2001"]]},"page":"125-133","publisher":"Wiley Online Library","title":"Including qualitative research in systematic reviews: opportunities and problems","type":"article-journal","volume":"7"},"uris":["http://www.mendeley.com/documents/?uuid=6d4e0f71-9326-4871-af76-bb2d6610a293"]}],"mendeley":{"formattedCitation":"(Dixon‐Woods et al., 2001)","manualFormatting":"(Dixon-Woods et al., 2001)","plainTextFormattedCitation":"(Dixon‐Woods et al., 2001)","previouslyFormattedCitation":"(Dixon‐Woods et al., 2001)"},"properties":{"noteIndex":0},"schema":"https://github.com/citation-style-language/schema/raw/master/csl-citation.json"}</w:instrText>
      </w:r>
      <w:r w:rsidRPr="00B1522E">
        <w:rPr>
          <w:rFonts w:cstheme="minorHAnsi"/>
        </w:rPr>
        <w:fldChar w:fldCharType="separate"/>
      </w:r>
      <w:r w:rsidRPr="00B1522E">
        <w:rPr>
          <w:rFonts w:cstheme="minorHAnsi"/>
          <w:noProof/>
        </w:rPr>
        <w:t>(Dixon-Woods et al., 2001)</w:t>
      </w:r>
      <w:r w:rsidRPr="00B1522E">
        <w:rPr>
          <w:rFonts w:cstheme="minorHAnsi"/>
        </w:rPr>
        <w:fldChar w:fldCharType="end"/>
      </w:r>
      <w:r w:rsidRPr="00B1522E">
        <w:rPr>
          <w:rFonts w:cstheme="minorHAnsi"/>
        </w:rPr>
        <w:t>. For this reason, a pragmatic approach was adopted for the present research on the basis that a mixed-methods design was the most appropriate to address the stated aims and objectives of the thesis (Section 4.2).</w:t>
      </w:r>
    </w:p>
    <w:p w14:paraId="6F95F06F" w14:textId="7A841E81" w:rsidR="00E639C2" w:rsidRPr="00B1522E" w:rsidRDefault="00E639C2" w:rsidP="00A86142">
      <w:pPr>
        <w:spacing w:line="480" w:lineRule="auto"/>
        <w:ind w:firstLine="720"/>
        <w:jc w:val="both"/>
        <w:rPr>
          <w:rFonts w:cstheme="minorHAnsi"/>
        </w:rPr>
      </w:pPr>
      <w:r w:rsidRPr="00B1522E">
        <w:rPr>
          <w:rFonts w:cstheme="minorHAnsi"/>
        </w:rPr>
        <w:t xml:space="preserve">Mixing of data can be done in a single study or by using multiple studies, and there are several mixed-methods research designs </w:t>
      </w:r>
      <w:r w:rsidRPr="00B1522E">
        <w:rPr>
          <w:rFonts w:cstheme="minorHAnsi"/>
        </w:rPr>
        <w:fldChar w:fldCharType="begin" w:fldLock="1"/>
      </w:r>
      <w:r w:rsidRPr="00B1522E">
        <w:rPr>
          <w:rFonts w:cstheme="minorHAnsi"/>
        </w:rPr>
        <w:instrText>ADDIN CSL_CITATION {"citationItems":[{"id":"ITEM-1","itemData":{"author":[{"dropping-particle":"","family":"Creswell","given":"John W","non-dropping-particle":"","parse-names":false,"suffix":""},{"dropping-particle":"","family":"Plano Clark","given":"Vicki L","non-dropping-particle":"","parse-names":false,"suffix":""}],"container-title":"Designing and conducting mixed methods research","id":"ITEM-1","issued":{"date-parts":[["2011"]]},"page":"53-106","title":"Choosing a mixed methods design","type":"article-journal","volume":"2"},"uris":["http://www.mendeley.com/documents/?uuid=874829ed-13b4-4af3-9dd5-4ffceefd130a"]}],"mendeley":{"formattedCitation":"(Creswell &amp; Plano Clark, 2011)","plainTextFormattedCitation":"(Creswell &amp; Plano Clark, 2011)","previouslyFormattedCitation":"(Creswell &amp; Plano Clark, 2011)"},"properties":{"noteIndex":0},"schema":"https://github.com/citation-style-language/schema/raw/master/csl-citation.json"}</w:instrText>
      </w:r>
      <w:r w:rsidRPr="00B1522E">
        <w:rPr>
          <w:rFonts w:cstheme="minorHAnsi"/>
        </w:rPr>
        <w:fldChar w:fldCharType="separate"/>
      </w:r>
      <w:r w:rsidRPr="00B1522E">
        <w:rPr>
          <w:rFonts w:cstheme="minorHAnsi"/>
          <w:noProof/>
        </w:rPr>
        <w:t>(Creswell &amp; Plano Clark, 2011)</w:t>
      </w:r>
      <w:r w:rsidRPr="00B1522E">
        <w:rPr>
          <w:rFonts w:cstheme="minorHAnsi"/>
        </w:rPr>
        <w:fldChar w:fldCharType="end"/>
      </w:r>
      <w:r w:rsidRPr="00B1522E">
        <w:rPr>
          <w:rFonts w:cstheme="minorHAnsi"/>
        </w:rPr>
        <w:t xml:space="preserve">. There are several different mixed-methods research designs including: (1) </w:t>
      </w:r>
      <w:r w:rsidRPr="00B1522E">
        <w:rPr>
          <w:rFonts w:cstheme="minorHAnsi"/>
          <w:i/>
          <w:iCs/>
        </w:rPr>
        <w:t>Congruent</w:t>
      </w:r>
      <w:r w:rsidRPr="00B1522E">
        <w:rPr>
          <w:rFonts w:cstheme="minorHAnsi"/>
        </w:rPr>
        <w:t>, where both quantitative and qualitative data are collected and analysed concurrently</w:t>
      </w:r>
      <w:r w:rsidR="001E0F42" w:rsidRPr="00B1522E">
        <w:rPr>
          <w:rFonts w:cstheme="minorHAnsi"/>
        </w:rPr>
        <w:t>;</w:t>
      </w:r>
      <w:r w:rsidRPr="00B1522E">
        <w:rPr>
          <w:rFonts w:cstheme="minorHAnsi"/>
        </w:rPr>
        <w:t xml:space="preserve"> (2) </w:t>
      </w:r>
      <w:r w:rsidRPr="00B1522E">
        <w:rPr>
          <w:rFonts w:cstheme="minorHAnsi"/>
          <w:i/>
          <w:iCs/>
        </w:rPr>
        <w:t>Sequential</w:t>
      </w:r>
      <w:r w:rsidRPr="00B1522E">
        <w:rPr>
          <w:rFonts w:cstheme="minorHAnsi"/>
        </w:rPr>
        <w:t xml:space="preserve"> (explanatory and exploratory) where qualitative data are collected and analysed to inform quantitative data collection or vice versa</w:t>
      </w:r>
      <w:r w:rsidR="001E0F42" w:rsidRPr="00B1522E">
        <w:rPr>
          <w:rFonts w:cstheme="minorHAnsi"/>
        </w:rPr>
        <w:t>;</w:t>
      </w:r>
      <w:r w:rsidRPr="00B1522E">
        <w:rPr>
          <w:rFonts w:cstheme="minorHAnsi"/>
        </w:rPr>
        <w:t xml:space="preserve"> </w:t>
      </w:r>
      <w:r w:rsidR="001E0F42" w:rsidRPr="00B1522E">
        <w:rPr>
          <w:rFonts w:cstheme="minorHAnsi"/>
        </w:rPr>
        <w:t xml:space="preserve">and </w:t>
      </w:r>
      <w:r w:rsidRPr="00B1522E">
        <w:rPr>
          <w:rFonts w:cstheme="minorHAnsi"/>
        </w:rPr>
        <w:t xml:space="preserve">(3) </w:t>
      </w:r>
      <w:r w:rsidRPr="00B1522E">
        <w:rPr>
          <w:rFonts w:cstheme="minorHAnsi"/>
          <w:i/>
          <w:iCs/>
        </w:rPr>
        <w:t>Embedded</w:t>
      </w:r>
      <w:r w:rsidRPr="00B1522E">
        <w:rPr>
          <w:rFonts w:cstheme="minorHAnsi"/>
        </w:rPr>
        <w:t xml:space="preserve">, where the main design of the study is either quantitative or qualitative with the alternative data collection approach embedded within the study to help answer a complementary question </w:t>
      </w:r>
      <w:r w:rsidRPr="00B1522E">
        <w:rPr>
          <w:rFonts w:cstheme="minorHAnsi"/>
        </w:rPr>
        <w:fldChar w:fldCharType="begin" w:fldLock="1"/>
      </w:r>
      <w:r w:rsidR="00DF6CCC" w:rsidRPr="00B1522E">
        <w:rPr>
          <w:rFonts w:cstheme="minorHAnsi"/>
        </w:rPr>
        <w:instrText>ADDIN CSL_CITATION {"citationItems":[{"id":"ITEM-1","itemData":{"author":[{"dropping-particle":"","family":"Creswell","given":"John W","non-dropping-particle":"","parse-names":false,"suffix":""},{"dropping-particle":"","family":"Klassen","given":"Ann Carroll","non-dropping-particle":"","parse-names":false,"suffix":""},{"dropping-particle":"","family":"Plano Clark","given":"Vicki L","non-dropping-particle":"","parse-names":false,"suffix":""},{"dropping-particle":"","family":"Smith","given":"Katherine Clegg","non-dropping-particle":"","parse-names":false,"suffix":""}],"container-title":"Bethesda (Maryland): National Institutes of Health","id":"ITEM-1","issued":{"date-parts":[["2011"]]},"page":"541-545","title":"Best practices for mixed methods research in the health sciences","type":"article-journal","volume":"2013"},"uris":["http://www.mendeley.com/documents/?uuid=24389dea-2bf5-4fc9-bd0d-eb4cb8cb9e78"]},{"id":"ITEM-2","itemData":{"ISSN":"1525-822X","author":[{"dropping-particle":"V","family":"Ivankova","given":"Nataliya","non-dropping-particle":"","parse-names":false,"suffix":""},{"dropping-particle":"","family":"Creswell","given":"John W","non-dropping-particle":"","parse-names":false,"suffix":""},{"dropping-particle":"","family":"Stick","given":"Sheldon L","non-dropping-particle":"","parse-names":false,"suffix":""}],"container-title":"Field methods","id":"ITEM-2","issue":"1","issued":{"date-parts":[["2006"]]},"page":"3-20","publisher":"Sage Publications Sage CA: Thousand Oaks, CA","title":"Using mixed-methods sequential explanatory design: From theory to practice","type":"article-journal","volume":"18"},"uris":["http://www.mendeley.com/documents/?uuid=effd6db4-72e8-49d4-8ccb-14fda099f25c"]}],"mendeley":{"formattedCitation":"(Creswell et al., 2011; Ivankova et al., 2006)","plainTextFormattedCitation":"(Creswell et al., 2011; Ivankova et al., 2006)","previouslyFormattedCitation":"(Creswell et al., 2011; Ivankova et al., 2006)"},"properties":{"noteIndex":0},"schema":"https://github.com/citation-style-language/schema/raw/master/csl-citation.json"}</w:instrText>
      </w:r>
      <w:r w:rsidRPr="00B1522E">
        <w:rPr>
          <w:rFonts w:cstheme="minorHAnsi"/>
        </w:rPr>
        <w:fldChar w:fldCharType="separate"/>
      </w:r>
      <w:r w:rsidR="004B7FAF" w:rsidRPr="00B1522E">
        <w:rPr>
          <w:rFonts w:cstheme="minorHAnsi"/>
          <w:noProof/>
        </w:rPr>
        <w:t>(Creswell et al., 2011; Ivankova et al., 2006)</w:t>
      </w:r>
      <w:r w:rsidRPr="00B1522E">
        <w:rPr>
          <w:rFonts w:cstheme="minorHAnsi"/>
        </w:rPr>
        <w:fldChar w:fldCharType="end"/>
      </w:r>
      <w:r w:rsidRPr="00B1522E">
        <w:rPr>
          <w:rFonts w:cstheme="minorHAnsi"/>
        </w:rPr>
        <w:t>. This thesis uses a mixed-methods sequential design where the qualitative findings from Chapter 5 are used to inform the development of the quantitative study presented in Chapters 7 and 8 (Chapter 6 provides details of how the qualitative findings, along with the literature and input from key stakeholders, informed the development of the intervention). Then Chapter 9 using qualitative methods explores participants’ experiences of the quantitative research phases (the cross-sectional survey and interventional study detailed in Chapters 7 and 8).  Lastly, Chapter 10 discusses the findings from across the research reported in Chapters 5, 7, 8, and 9 to provide a more complete picture of the topic under investigation and to consider areas that require further improvement.</w:t>
      </w:r>
    </w:p>
    <w:p w14:paraId="6635C569" w14:textId="77777777" w:rsidR="00E639C2" w:rsidRPr="00B1522E" w:rsidRDefault="00E639C2" w:rsidP="00A86142">
      <w:pPr>
        <w:spacing w:line="480" w:lineRule="auto"/>
        <w:jc w:val="both"/>
        <w:rPr>
          <w:rFonts w:cstheme="minorHAnsi"/>
        </w:rPr>
      </w:pPr>
    </w:p>
    <w:bookmarkStart w:id="102" w:name="_Toc84678919"/>
    <w:p w14:paraId="37E34D59" w14:textId="4139EBAB" w:rsidR="00E639C2" w:rsidRPr="00B1522E" w:rsidRDefault="00720E15" w:rsidP="00A86142">
      <w:pPr>
        <w:spacing w:line="480" w:lineRule="auto"/>
      </w:pPr>
      <w:r w:rsidRPr="00B1522E">
        <w:fldChar w:fldCharType="begin"/>
      </w:r>
      <w:r w:rsidRPr="00B1522E">
        <w:instrText xml:space="preserve"> TC  "</w:instrText>
      </w:r>
      <w:bookmarkStart w:id="103" w:name="_Toc97310444"/>
      <w:r w:rsidRPr="00B1522E">
        <w:instrText>4.4 Qualitative versus Quantitative research</w:instrText>
      </w:r>
      <w:bookmarkEnd w:id="103"/>
      <w:r w:rsidRPr="00B1522E">
        <w:instrText xml:space="preserve"> " \f x\l 2 </w:instrText>
      </w:r>
      <w:r w:rsidRPr="00B1522E">
        <w:fldChar w:fldCharType="end"/>
      </w:r>
      <w:r w:rsidR="00E639C2" w:rsidRPr="00B1522E">
        <w:rPr>
          <w:b/>
          <w:bCs/>
        </w:rPr>
        <w:t>4.4 Qualitative versus Quantitative research</w:t>
      </w:r>
      <w:bookmarkEnd w:id="102"/>
      <w:r w:rsidR="00E639C2" w:rsidRPr="00B1522E">
        <w:rPr>
          <w:b/>
          <w:bCs/>
        </w:rPr>
        <w:t xml:space="preserve"> </w:t>
      </w:r>
    </w:p>
    <w:p w14:paraId="261B2101" w14:textId="74D24C27" w:rsidR="00E639C2" w:rsidRPr="00B1522E" w:rsidRDefault="00E639C2" w:rsidP="00A86142">
      <w:pPr>
        <w:spacing w:line="480" w:lineRule="auto"/>
        <w:jc w:val="both"/>
        <w:rPr>
          <w:rFonts w:cstheme="minorHAnsi"/>
        </w:rPr>
      </w:pPr>
      <w:r w:rsidRPr="00B1522E">
        <w:rPr>
          <w:rFonts w:cstheme="minorHAnsi"/>
        </w:rPr>
        <w:t>As previously discussed, the present research follows a pragmatic approach using</w:t>
      </w:r>
      <w:r w:rsidR="004C7D00" w:rsidRPr="00B1522E">
        <w:rPr>
          <w:rFonts w:cstheme="minorHAnsi"/>
        </w:rPr>
        <w:t xml:space="preserve"> a</w:t>
      </w:r>
      <w:r w:rsidRPr="00B1522E">
        <w:rPr>
          <w:rFonts w:cstheme="minorHAnsi"/>
        </w:rPr>
        <w:t xml:space="preserve"> mixed methods</w:t>
      </w:r>
      <w:r w:rsidRPr="00B1522E">
        <w:rPr>
          <w:rFonts w:cstheme="minorHAnsi"/>
          <w:shd w:val="clear" w:color="auto" w:fill="FFFFFF"/>
        </w:rPr>
        <w:t xml:space="preserve"> design. To understand the merits of, and provide further justification for choosing a mixed methods design, this section will provide an overview of qualitative</w:t>
      </w:r>
      <w:r w:rsidRPr="00B1522E">
        <w:rPr>
          <w:rFonts w:cstheme="minorHAnsi"/>
        </w:rPr>
        <w:t xml:space="preserve"> and quantitative research. </w:t>
      </w:r>
      <w:r w:rsidRPr="00B1522E">
        <w:rPr>
          <w:rFonts w:cstheme="minorHAnsi"/>
          <w:shd w:val="clear" w:color="auto" w:fill="FFFFFF"/>
        </w:rPr>
        <w:t xml:space="preserve">Quantitative research </w:t>
      </w:r>
      <w:r w:rsidRPr="00B1522E">
        <w:rPr>
          <w:rFonts w:cstheme="minorHAnsi"/>
        </w:rPr>
        <w:t xml:space="preserve">is a method of enquiry used to test theories and hypotheses, </w:t>
      </w:r>
      <w:r w:rsidRPr="00B1522E">
        <w:rPr>
          <w:rFonts w:cstheme="minorHAnsi"/>
          <w:shd w:val="clear" w:color="auto" w:fill="FFFFFF"/>
        </w:rPr>
        <w:t xml:space="preserve">which involves the systematic </w:t>
      </w:r>
      <w:r w:rsidRPr="00B1522E">
        <w:rPr>
          <w:rFonts w:cstheme="minorHAnsi"/>
          <w:shd w:val="clear" w:color="auto" w:fill="FFFFFF"/>
        </w:rPr>
        <w:lastRenderedPageBreak/>
        <w:t xml:space="preserve">collection of numeric data about a phenomenon, using standardized measures and statistical analysis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0268-1161","author":[{"dropping-particle":"","family":"Hammarberg","given":"K","non-dropping-particle":"","parse-names":false,"suffix":""},{"dropping-particle":"","family":"Kirkman","given":"M","non-dropping-particle":"","parse-names":false,"suffix":""},{"dropping-particle":"","family":"Lacey","given":"S","non-dropping-particle":"de","parse-names":false,"suffix":""}],"container-title":"Human Reproduction","id":"ITEM-1","issue":"3","issued":{"date-parts":[["2016","3","1"]]},"page":"498-501","title":"Qualitative research methods: when to use them and how to judge them","type":"article-journal","volume":"31"},"uris":["http://www.mendeley.com/documents/?uuid=9ea3bb81-cb8e-4c6a-941a-f77037a99b6e"]}],"mendeley":{"formattedCitation":"(Hammarberg et al., 2016)","plainTextFormattedCitation":"(Hammarberg et al., 2016)","previouslyFormattedCitation":"(Hammarberg et al., 2016)"},"properties":{"noteIndex":0},"schema":"https://github.com/citation-style-language/schema/raw/master/csl-citation.json"}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(Hammarberg et al., 2016)</w:t>
      </w:r>
      <w:r w:rsidRPr="00B1522E">
        <w:rPr>
          <w:rFonts w:cstheme="minorHAnsi"/>
          <w:shd w:val="clear" w:color="auto" w:fill="FFFFFF"/>
        </w:rPr>
        <w:fldChar w:fldCharType="end"/>
      </w:r>
      <w:r w:rsidRPr="00B1522E">
        <w:rPr>
          <w:rFonts w:cstheme="minorHAnsi"/>
          <w:shd w:val="clear" w:color="auto" w:fill="FFFFFF"/>
        </w:rPr>
        <w:t xml:space="preserve">: commonly collecting data using questionnaires, </w:t>
      </w:r>
      <w:r w:rsidRPr="00B1522E">
        <w:rPr>
          <w:rFonts w:cstheme="minorHAnsi"/>
        </w:rPr>
        <w:t xml:space="preserve">observations, and informational databases </w:t>
      </w:r>
      <w:r w:rsidRPr="00B1522E">
        <w:rPr>
          <w:rFonts w:cstheme="minorHAnsi"/>
          <w:shd w:val="clear" w:color="auto" w:fill="FFFFFF"/>
        </w:rPr>
        <w:fldChar w:fldCharType="begin" w:fldLock="1"/>
      </w:r>
      <w:r w:rsidR="0063396E" w:rsidRPr="00B1522E">
        <w:rPr>
          <w:rFonts w:cstheme="minorHAnsi"/>
          <w:shd w:val="clear" w:color="auto" w:fill="FFFFFF"/>
        </w:rPr>
        <w:instrText>ADDIN CSL_CITATION {"citationItems":[{"id":"ITEM-1","itemData":{"ISSN":"2150-0878","author":[{"dropping-particle":"","family":"Ponto","given":"Julie","non-dropping-particle":"","parse-names":false,"suffix":""}],"container-title":"Journal of the advanced practitioner in oncology","edition":"2015/03/01","id":"ITEM-1","issue":"2","issued":{"date-parts":[["2015"]]},"language":"eng","page":"168-171","publisher":"Harborside Press","title":"Understanding and Evaluating Survey Research","type":"article-journal","volume":"6"},"uris":["http://www.mendeley.com/documents/?uuid=a96b0db9-f2f8-4eca-91ac-a062fbf03de8"]},{"id":"ITEM-2","itemData":{"ISSN":"0307-0565","abstract":"Aims: The increasing prevalence of childhood obesity is a global problem. There are a variety of environmental factors that may be contributing to this increase. One such factor may be the increased consumption of soft drinks. Objective: This review will describe some of the latest research that has examined the association between obesity and the consumption of soft drinks. Results: The association between the consumption of sugar-sweetened drinks and childhood obesity has been established in three separate American studies. It has been found that children who consume these drinks have a higher energy intake and are more likely to become overweight. In adult women, the consumption of sugar-sweetened soft drinks has been associated with an increased risk of developing diabetes. In the United Kingdom, a school-based initiative focusing on reducing the consumption of these drinks has also been effective in preventing a further increase in obesity. Conclusions: There is an association between obesity and consumption of soft drinks. Initiatives focusing on reducing the consumption of these drinks may help to prevent a further increase in childhood obesity. (PsycINFO Database Record (c) 2012 APA, all rights reserved). (journal abstract)","author":[{"dropping-particle":"","family":"James","given":"J","non-dropping-particle":"","parse-names":false,"suffix":""},{"dropping-particle":"","family":"Kerr","given":"D","non-dropping-particle":"","parse-names":false,"suffix":""}],"container-title":"International Journal of Obesity","id":"ITEM-2","issue":"2","issued":{"date-parts":[["2005","9"]]},"note":"Accession Number: 2005-13757-003. Partial author list: First Author &amp;amp; Affiliation: James, J.; Bournemouth Diabetes and Endocrine Centre, Royal Bournemouth Hospital, Bournemouth, United Kingdom. Release Date: 20060213. Publication Type: Journal (0100), Peer Reviewed Journal (0110). Format Covered: Print. Document Type: Journal Article. Language: English. Major Descriptor: Beverages (Nonalcoholic); Obesity. Minor Descriptor: Environmental Effects. Classification: Eating Disorders (3260); Health &amp;amp; Mental Health Treatment &amp;amp; Prevention (3300). Population: Human (10); Male (30); Female (40). Location: United Kingdom; US. Age Group: Childhood (birth-12 yrs) (100); Preschool Age (2-5 yrs) (160); School Age (6-12 yrs) (180); Adolescence (13-17 yrs) (200); Adulthood (18 yrs &amp;amp; older) (300). Methodology: Empirical Study; Quantitative Study. References Available: Y. Page Count: 4. Issue Publication Date: Sep, 2005.","page":"54-57","publisher":"Nature Publishing Group","publisher-place":"James, J., Bournemouth Diabetes and Endocrine Centre, Royal Bournemouth Hospital, Castle Lane East, Bournemouth, United Kingdom, BH7 7DW","title":"Prevention of childhood obesity by reducing soft drinks.","type":"article-journal","volume":"29"},"uris":["http://www.mendeley.com/documents/?uuid=b524235e-ae35-4630-9241-8f1fb67df06a"]}],"mendeley":{"formattedCitation":"(James &amp; Kerr, 2005; Ponto, 2015)","plainTextFormattedCitation":"(James &amp; Kerr, 2005; Ponto, 2015)","previouslyFormattedCitation":"(James &amp; Kerr, 2005; Ponto, 2015)"},"properties":{"noteIndex":0},"schema":"https://github.com/citation-style-language/schema/raw/master/csl-citation.json"}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(James &amp; Kerr, 2005; Ponto, 2015)</w:t>
      </w:r>
      <w:r w:rsidRPr="00B1522E">
        <w:rPr>
          <w:rFonts w:cstheme="minorHAnsi"/>
          <w:shd w:val="clear" w:color="auto" w:fill="FFFFFF"/>
        </w:rPr>
        <w:fldChar w:fldCharType="end"/>
      </w:r>
      <w:r w:rsidRPr="00B1522E">
        <w:rPr>
          <w:rFonts w:cstheme="minorHAnsi"/>
          <w:shd w:val="clear" w:color="auto" w:fill="FFFFFF"/>
        </w:rPr>
        <w:t xml:space="preserve">. Quantitative research benefits by producing factual and reliable outcomes, that are objective and can be generalisable to a wider population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{"citationItems":[{"id":"ITEM-1","itemData":{"ISSN":"0020-7489","author":[{"dropping-particle":"","family":"Polit","given":"Denise F","non-dropping-particle":"","parse-names":false,"suffix":""},{"dropping-particle":"","family":"Beck","given":"Cheryl Tatano","non-dropping-particle":"","parse-names":false,"suffix":""}],"container-title":"International journal of nursing studies","id":"ITEM-1","issue":"11","issued":{"date-parts":[["2010"]]},"page":"1451-1458","publisher":"Elsevier","title":"Generalization in quantitative and qualitative research: Myths and strategies","type":"article-journal","volume":"47"},"uris":["http://www.mendeley.com/documents/?uuid=cbeb9bad-243c-4ed4-8f9d-b3e998419ed1"]}],"mendeley":{"formattedCitation":"(Polit &amp; Beck, 2010)","plainTextFormattedCitation":"(Polit &amp; Beck, 2010)","previouslyFormattedCitation":"(Polit &amp; Beck, 2010)"},"properties":{"noteIndex":0},"schema":"https://github.com/citation-style-language/schema/raw/master/csl-citation.json"}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(Polit &amp; Beck, 2010)</w:t>
      </w:r>
      <w:r w:rsidRPr="00B1522E">
        <w:rPr>
          <w:rFonts w:cstheme="minorHAnsi"/>
          <w:shd w:val="clear" w:color="auto" w:fill="FFFFFF"/>
        </w:rPr>
        <w:fldChar w:fldCharType="end"/>
      </w:r>
      <w:r w:rsidRPr="00B1522E">
        <w:rPr>
          <w:rFonts w:cstheme="minorHAnsi"/>
          <w:shd w:val="clear" w:color="auto" w:fill="FFFFFF"/>
        </w:rPr>
        <w:t xml:space="preserve">. Nevertheless, quantitative data does not pay attention to or explore the level of meaning of participants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{"citationItems":[{"id":"ITEM-1","itemData":{"ISSN":"0380-2361","author":[{"dropping-particle":"","family":"Morris","given":"Ronald W","non-dropping-particle":"","parse-names":false,"suffix":""}],"container-title":"Canadian Journal of Education","id":"ITEM-1","issued":{"date-parts":[["1991"]]},"page":"82-92","publisher":"JSTOR","title":"Limitations of quantitative methods for research on values in sexuality education","type":"article-journal"},"uris":["http://www.mendeley.com/documents/?uuid=6deaec67-ba28-47bb-a021-ddef568654d3"]}],"mendeley":{"formattedCitation":"(Morris, 1991)","plainTextFormattedCitation":"(Morris, 1991)","previouslyFormattedCitation":"(Morris, 1991)"},"properties":{"noteIndex":0},"schema":"https://github.com/citation-style-language/schema/raw/master/csl-citation.json"}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(Morris, 1991)</w:t>
      </w:r>
      <w:r w:rsidRPr="00B1522E">
        <w:rPr>
          <w:rFonts w:cstheme="minorHAnsi"/>
          <w:shd w:val="clear" w:color="auto" w:fill="FFFFFF"/>
        </w:rPr>
        <w:fldChar w:fldCharType="end"/>
      </w:r>
      <w:r w:rsidRPr="00B1522E">
        <w:rPr>
          <w:rFonts w:cstheme="minorHAnsi"/>
          <w:shd w:val="clear" w:color="auto" w:fill="FFFFFF"/>
        </w:rPr>
        <w:t>.</w:t>
      </w:r>
    </w:p>
    <w:p w14:paraId="79CDFCC0" w14:textId="2B573552" w:rsidR="00E639C2" w:rsidRPr="00B1522E" w:rsidRDefault="00E639C2" w:rsidP="00A86142">
      <w:pPr>
        <w:spacing w:line="480" w:lineRule="auto"/>
        <w:ind w:firstLine="720"/>
        <w:jc w:val="both"/>
        <w:rPr>
          <w:rFonts w:cstheme="minorHAnsi"/>
          <w:shd w:val="clear" w:color="auto" w:fill="FFFFFF"/>
        </w:rPr>
      </w:pPr>
      <w:r w:rsidRPr="00B1522E">
        <w:rPr>
          <w:rFonts w:cstheme="minorHAnsi"/>
          <w:shd w:val="clear" w:color="auto" w:fill="FFFFFF"/>
        </w:rPr>
        <w:t xml:space="preserve">In contrast, qualitative research is a method of enquiry used to answer questions about people’s experiences and perspectives, which involves gathering, organising, describing and interpreting written, verbal or visual data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ISSN":"0268-1161","author":[{"dropping-particle":"","family":"Hammarberg","given":"K","non-dropping-particle":"","parse-names":false,"suffix":""},{"dropping-particle":"","family":"Kirkman","given":"M","non-dropping-particle":"","parse-names":false,"suffix":""},{"dropping-particle":"","family":"Lacey","given":"S","non-dropping-particle":"de","parse-names":false,"suffix":""}],"container-title":"Human Reproduction","id":"ITEM-1","issue":"3","issued":{"date-parts":[["2016","3","1"]]},"page":"498-501","title":"Qualitative research methods: when to use them and how to judge them","type":"article-journal","volume":"31"},"uris":["http://www.mendeley.com/documents/?uuid=9ea3bb81-cb8e-4c6a-941a-f77037a99b6e"]}],"mendeley":{"formattedCitation":"(Hammarberg et al., 2016)","plainTextFormattedCitation":"(Hammarberg et al., 2016)","previouslyFormattedCitation":"(Hammarberg et al., 2016)"},"properties":{"noteIndex":0},"schema":"https://github.com/citation-style-language/schema/raw/master/csl-citation.json"}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(Hammarberg et al., 2016)</w:t>
      </w:r>
      <w:r w:rsidRPr="00B1522E">
        <w:rPr>
          <w:rFonts w:cstheme="minorHAnsi"/>
          <w:shd w:val="clear" w:color="auto" w:fill="FFFFFF"/>
        </w:rPr>
        <w:fldChar w:fldCharType="end"/>
      </w:r>
      <w:r w:rsidRPr="00B1522E">
        <w:rPr>
          <w:rFonts w:cstheme="minorHAnsi"/>
          <w:shd w:val="clear" w:color="auto" w:fill="FFFFFF"/>
        </w:rPr>
        <w:t>. Commonly collecting data using interviews, focus groups, and observations where the chosen method depends on the research question, context, and topic</w:t>
      </w:r>
      <w:r w:rsidR="009018D4" w:rsidRPr="00B1522E">
        <w:rPr>
          <w:rFonts w:cstheme="minorHAnsi"/>
          <w:shd w:val="clear" w:color="auto" w:fill="FFFFFF"/>
        </w:rPr>
        <w:t>,</w:t>
      </w:r>
      <w:r w:rsidRPr="00B1522E">
        <w:rPr>
          <w:rFonts w:cstheme="minorHAnsi"/>
          <w:shd w:val="clear" w:color="auto" w:fill="FFFFFF"/>
        </w:rPr>
        <w:t xml:space="preserve"> under consideration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1949-8357","author":[{"dropping-particle":"","family":"Paradis","given":"Elise","non-dropping-particle":"","parse-names":false,"suffix":""},{"dropping-particle":"","family":"O'Brien","given":"Bridget","non-dropping-particle":"","parse-names":false,"suffix":""},{"dropping-particle":"","family":"Nimmon","given":"Laura","non-dropping-particle":"","parse-names":false,"suffix":""},{"dropping-particle":"","family":"Bandiera","given":"Glen","non-dropping-particle":"","parse-names":false,"suffix":""},{"dropping-particle":"","family":"Martimianakis","given":"Maria Athina Tina","non-dropping-particle":"","parse-names":false,"suffix":""}],"container-title":"Journal of graduate medical education","id":"ITEM-1","issue":"2","issued":{"date-parts":[["2016","5"]]},"language":"eng","page":"263-264","publisher":"The Accreditation Council for Graduate Medical Education","title":"Design: Selection of Data Collection Methods","type":"article-journal","volume":"8"},"uris":["http://www.mendeley.com/documents/?uuid=71793bd2-e7b1-4279-9f69-ab4351c755cb"]}],"mendeley":{"formattedCitation":"(Paradis et al., 2016)","plainTextFormattedCitation":"(Paradis et al., 2016)","previouslyFormattedCitation":"(Paradis et al., 2016)"},"properties":{"noteIndex":0},"schema":"https://github.com/citation-style-language/schema/raw/master/csl-citation.json"}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(Paradis et al., 2016)</w:t>
      </w:r>
      <w:r w:rsidRPr="00B1522E">
        <w:rPr>
          <w:rFonts w:cstheme="minorHAnsi"/>
          <w:shd w:val="clear" w:color="auto" w:fill="FFFFFF"/>
        </w:rPr>
        <w:fldChar w:fldCharType="end"/>
      </w:r>
      <w:r w:rsidRPr="00B1522E">
        <w:rPr>
          <w:rFonts w:cstheme="minorHAnsi"/>
          <w:shd w:val="clear" w:color="auto" w:fill="FFFFFF"/>
        </w:rPr>
        <w:t>. Q</w:t>
      </w:r>
      <w:r w:rsidRPr="00B1522E">
        <w:rPr>
          <w:rFonts w:cstheme="minorHAnsi"/>
        </w:rPr>
        <w:t xml:space="preserve">ualitative research is concerned with exploring the dynamics of social relations to understand aspects of reality that are not quantifiable </w:t>
      </w:r>
      <w:r w:rsidRPr="00B1522E">
        <w:rPr>
          <w:rFonts w:cstheme="minorHAnsi"/>
        </w:rPr>
        <w:fldChar w:fldCharType="begin" w:fldLock="1"/>
      </w:r>
      <w:r w:rsidR="00DF6CCC" w:rsidRPr="00B1522E">
        <w:rPr>
          <w:rFonts w:cstheme="minorHAnsi"/>
        </w:rPr>
        <w:instrText>ADDIN CSL_CITATION {"citationItems":[{"id":"ITEM-1","itemData":{"ISSN":"2501-1111","author":[{"dropping-particle":"","family":"Queirós","given":"André","non-dropping-particle":"","parse-names":false,"suffix":""},{"dropping-particle":"","family":"Faria","given":"Daniel","non-dropping-particle":"","parse-names":false,"suffix":""},{"dropping-particle":"","family":"Almeida","given":"Fernando","non-dropping-particle":"","parse-names":false,"suffix":""}],"container-title":"European Journal of Education Studies","id":"ITEM-1","issue":"9","issued":{"date-parts":[["2017"]]},"page":"369-387","title":"Strengths and limitations of qualitative and quantitative research methods","type":"article-journal","volume":"3"},"uris":["http://www.mendeley.com/documents/?uuid=daffc3ad-2928-461f-87da-2336e4224332"]}],"mendeley":{"formattedCitation":"(Queirós et al., 2017)","plainTextFormattedCitation":"(Queirós et al., 2017)","previouslyFormattedCitation":"(Queirós et al., 2017)"},"properties":{"noteIndex":0},"schema":"https://github.com/citation-style-language/schema/raw/master/csl-citation.json"}</w:instrText>
      </w:r>
      <w:r w:rsidRPr="00B1522E">
        <w:rPr>
          <w:rFonts w:cstheme="minorHAnsi"/>
        </w:rPr>
        <w:fldChar w:fldCharType="separate"/>
      </w:r>
      <w:r w:rsidR="004B7FAF" w:rsidRPr="00B1522E">
        <w:rPr>
          <w:rFonts w:cstheme="minorHAnsi"/>
          <w:noProof/>
        </w:rPr>
        <w:t>(Queirós et al., 2017)</w:t>
      </w:r>
      <w:r w:rsidRPr="00B1522E">
        <w:rPr>
          <w:rFonts w:cstheme="minorHAnsi"/>
        </w:rPr>
        <w:fldChar w:fldCharType="end"/>
      </w:r>
      <w:r w:rsidRPr="00B1522E">
        <w:rPr>
          <w:rFonts w:cstheme="minorHAnsi"/>
        </w:rPr>
        <w:t xml:space="preserve">. Qualitative research can be used to simplify  data without removing the richness and complexity of the underlying meaning </w:t>
      </w:r>
      <w:r w:rsidRPr="00B1522E">
        <w:rPr>
          <w:rFonts w:cstheme="minorHAnsi"/>
        </w:rPr>
        <w:fldChar w:fldCharType="begin" w:fldLock="1"/>
      </w:r>
      <w:r w:rsidR="00660052" w:rsidRPr="00B1522E">
        <w:rPr>
          <w:rFonts w:cstheme="minorHAnsi"/>
        </w:rPr>
        <w:instrText>ADDIN CSL_CITATION {"citationItems":[{"id":"ITEM-1","itemData":{"ISSN":"1822-7864","author":[{"dropping-particle":"","family":"Ochieng","given":"Pamela A","non-dropping-particle":"","parse-names":false,"suffix":""}],"container-title":"Problems of Education in the 21st Century","id":"ITEM-1","issued":{"date-parts":[["2009"]]},"page":"13-19","publisher":"Scientia Socialis Ltd.","title":"An analysis of the strengths and limitation of qualitative and quantitative research paradigms","type":"article-journal","volume":"13"},"uris":["http://www.mendeley.com/documents/?uuid=d8a74c7b-e01a-4e64-8891-fb893d2c65c8"]}],"mendeley":{"formattedCitation":"(Ochieng, 2009)","plainTextFormattedCitation":"(Ochieng, 2009)","previouslyFormattedCitation":"(Ochieng, 2009)"},"properties":{"noteIndex":0},"schema":"https://github.com/citation-style-language/schema/raw/master/csl-citation.json"}</w:instrText>
      </w:r>
      <w:r w:rsidRPr="00B1522E">
        <w:rPr>
          <w:rFonts w:cstheme="minorHAnsi"/>
        </w:rPr>
        <w:fldChar w:fldCharType="separate"/>
      </w:r>
      <w:r w:rsidRPr="00B1522E">
        <w:rPr>
          <w:rFonts w:cstheme="minorHAnsi"/>
          <w:noProof/>
        </w:rPr>
        <w:t>(Ochieng, 2009)</w:t>
      </w:r>
      <w:r w:rsidRPr="00B1522E">
        <w:rPr>
          <w:rFonts w:cstheme="minorHAnsi"/>
        </w:rPr>
        <w:fldChar w:fldCharType="end"/>
      </w:r>
      <w:r w:rsidRPr="00B1522E">
        <w:rPr>
          <w:rFonts w:cstheme="minorHAnsi"/>
        </w:rPr>
        <w:t xml:space="preserve">. Nevertheless, </w:t>
      </w:r>
      <w:r w:rsidRPr="00B1522E">
        <w:rPr>
          <w:rFonts w:cstheme="minorHAnsi"/>
          <w:shd w:val="clear" w:color="auto" w:fill="FFFFFF"/>
        </w:rPr>
        <w:t xml:space="preserve">qualitative research alone tends to be inadequate to make population-level conclusions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1460-2229","author":[{"dropping-particle":"","family":"Harding","given":"G","non-dropping-particle":"","parse-names":false,"suffix":""},{"dropping-particle":"","family":"Gantley","given":"M","non-dropping-particle":"","parse-names":false,"suffix":""}],"container-title":"Family practice","id":"ITEM-1","issue":"1","issued":{"date-parts":[["1998"]]},"page":"76-79","title":"Qualitative methods: beyond the cookbook.","type":"article-journal","volume":"15"},"uris":["http://www.mendeley.com/documents/?uuid=77a5bf10-0156-4bc1-ac0f-bb1dd4b63ce8"]}],"mendeley":{"formattedCitation":"(Harding &amp; Gantley, 1998)","plainTextFormattedCitation":"(Harding &amp; Gantley, 1998)","previouslyFormattedCitation":"(Harding &amp; Gantley, 1998)"},"properties":{"noteIndex":0},"schema":"https://github.com/citation-style-language/schema/raw/master/csl-citation.json"}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(Harding &amp; Gantley, 1998)</w:t>
      </w:r>
      <w:r w:rsidRPr="00B1522E">
        <w:rPr>
          <w:rFonts w:cstheme="minorHAnsi"/>
          <w:shd w:val="clear" w:color="auto" w:fill="FFFFFF"/>
        </w:rPr>
        <w:fldChar w:fldCharType="end"/>
      </w:r>
      <w:r w:rsidRPr="00B1522E">
        <w:rPr>
          <w:rFonts w:cstheme="minorHAnsi"/>
          <w:shd w:val="clear" w:color="auto" w:fill="FFFFFF"/>
        </w:rPr>
        <w:t>.</w:t>
      </w:r>
    </w:p>
    <w:p w14:paraId="6E664656" w14:textId="47B28B7E" w:rsidR="00E639C2" w:rsidRPr="00B1522E" w:rsidRDefault="00E639C2" w:rsidP="00A86142">
      <w:pPr>
        <w:spacing w:after="0" w:line="480" w:lineRule="auto"/>
        <w:ind w:firstLine="720"/>
        <w:jc w:val="both"/>
        <w:rPr>
          <w:rFonts w:cstheme="minorHAnsi"/>
        </w:rPr>
      </w:pPr>
      <w:r w:rsidRPr="00B1522E">
        <w:rPr>
          <w:rFonts w:cstheme="minorHAnsi"/>
        </w:rPr>
        <w:t xml:space="preserve">Neither </w:t>
      </w:r>
      <w:r w:rsidRPr="00B1522E">
        <w:rPr>
          <w:rFonts w:cstheme="minorHAnsi"/>
          <w:shd w:val="clear" w:color="auto" w:fill="FFFFFF"/>
        </w:rPr>
        <w:t xml:space="preserve">qualitative nor quantitative research is superior to the other, there are strengths and weaknesses in both approaches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{"citationItems":[{"id":"ITEM-1","itemData":{"ISSN":"2075-051X","abstract":"Although relatively uncommon in health care research, qualitative research is now receiving recognition and is increasingly used in health care research with social and cultural dimensions. Unlike quantitative research, which is deductive and tends to analyze phenomena in terms of trends and frequencies, qualitative research seeks to determine the meaning of a phenomenon through description. It aims to develop concepts that aid in the understanding of natural phenomena with emphasis on the meaning, experiences and views of the participants. Differences among qualitative researchers exist on matters of ontology, epistemology, data collection methods and methods of evaluation. The aim of this article is not to act as a practical guide on how to conduct qualitative research, but is an attempt to give an introduction to qualitative research methods and their use in health-related research.","author":[{"dropping-particle":"","family":"Al-Busaidi","given":"Zakiya Q","non-dropping-particle":"","parse-names":false,"suffix":""}],"container-title":"Sultan Qaboos University medical journal","id":"ITEM-1","issue":"1","issued":{"date-parts":[["2008","3"]]},"language":"eng","page":"11-19","publisher":"Sultan Qaboos University Medical Journal, College of Medicine &amp; Health Sciences","title":"Qualitative research and its uses in health care","type":"article-journal","volume":"8"},"uris":["http://www.mendeley.com/documents/?uuid=5cefff98-19fc-46a2-be79-817a4cdbab17"]}],"mendeley":{"formattedCitation":"(Al-Busaidi, 2008)","plainTextFormattedCitation":"(Al-Busaidi, 2008)","previouslyFormattedCitation":"(Al-Busaidi, 2008)"},"properties":{"noteIndex":0},"schema":"https://github.com/citation-style-language/schema/raw/master/csl-citation.json"}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(Al-Busaidi, 2008)</w:t>
      </w:r>
      <w:r w:rsidRPr="00B1522E">
        <w:rPr>
          <w:rFonts w:cstheme="minorHAnsi"/>
          <w:shd w:val="clear" w:color="auto" w:fill="FFFFFF"/>
        </w:rPr>
        <w:fldChar w:fldCharType="end"/>
      </w:r>
      <w:r w:rsidRPr="00B1522E">
        <w:rPr>
          <w:rFonts w:cstheme="minorHAnsi"/>
          <w:shd w:val="clear" w:color="auto" w:fill="FFFFFF"/>
        </w:rPr>
        <w:t xml:space="preserve">. </w:t>
      </w:r>
      <w:r w:rsidRPr="00B1522E">
        <w:rPr>
          <w:rFonts w:cstheme="minorHAnsi"/>
        </w:rPr>
        <w:t xml:space="preserve">When used in combination, qualitative and quantitative methods work in harmony to allow for a more robust analysis, by nurturing the strengths of both approaches </w:t>
      </w:r>
      <w:r w:rsidRPr="00B1522E">
        <w:rPr>
          <w:rFonts w:cstheme="minorHAnsi"/>
        </w:rPr>
        <w:fldChar w:fldCharType="begin" w:fldLock="1"/>
      </w:r>
      <w:r w:rsidR="00F54E4D" w:rsidRPr="00B1522E">
        <w:rPr>
          <w:rFonts w:cstheme="minorHAnsi"/>
        </w:rPr>
        <w:instrText>ADDIN CSL_CITATION {"citationItems":[{"id":"ITEM-1","itemData":{"ISBN":"0761900713","author":[{"dropping-particle":"","family":"Tashakkori","given":"Abbas","non-dropping-particle":"","parse-names":false,"suffix":""},{"dropping-particle":"","family":"Teddlie","given":"Charles","non-dropping-particle":"","parse-names":false,"suffix":""},{"dropping-particle":"","family":"Teddlie","given":"Charles B","non-dropping-particle":"","parse-names":false,"suffix":""}],"id":"ITEM-1","issued":{"date-parts":[["1998"]]},"publisher":"Sage","title":"Mixed methodology: Combining qualitative and quantitative approaches","type":"book"},"uris":["http://www.mendeley.com/documents/?uuid=08ebee6b-cc9b-4f94-9e21-94814a259021"]}],"mendeley":{"formattedCitation":"(Tashakkori et al., 1998)","plainTextFormattedCitation":"(Tashakkori et al., 1998)","previouslyFormattedCitation":"(Tashakkori et al., 1998)"},"properties":{"noteIndex":0},"schema":"https://github.com/citation-style-language/schema/raw/master/csl-citation.json"}</w:instrText>
      </w:r>
      <w:r w:rsidRPr="00B1522E">
        <w:rPr>
          <w:rFonts w:cstheme="minorHAnsi"/>
        </w:rPr>
        <w:fldChar w:fldCharType="separate"/>
      </w:r>
      <w:r w:rsidRPr="00B1522E">
        <w:rPr>
          <w:rFonts w:cstheme="minorHAnsi"/>
          <w:noProof/>
        </w:rPr>
        <w:t>(Tashakkori et al., 1998)</w:t>
      </w:r>
      <w:r w:rsidRPr="00B1522E">
        <w:rPr>
          <w:rFonts w:cstheme="minorHAnsi"/>
        </w:rPr>
        <w:fldChar w:fldCharType="end"/>
      </w:r>
      <w:r w:rsidRPr="00B1522E">
        <w:rPr>
          <w:rFonts w:cstheme="minorHAnsi"/>
        </w:rPr>
        <w:t xml:space="preserve">. </w:t>
      </w:r>
      <w:r w:rsidRPr="00B1522E">
        <w:rPr>
          <w:rFonts w:eastAsia="Times New Roman" w:cstheme="minorHAnsi"/>
          <w:lang w:eastAsia="en-GB"/>
        </w:rPr>
        <w:t xml:space="preserve">For example, a </w:t>
      </w:r>
      <w:r w:rsidRPr="00B1522E">
        <w:rPr>
          <w:rFonts w:cstheme="minorHAnsi"/>
        </w:rPr>
        <w:t>qualitative</w:t>
      </w:r>
      <w:r w:rsidRPr="00B1522E">
        <w:rPr>
          <w:rFonts w:eastAsia="Times New Roman" w:cstheme="minorHAnsi"/>
          <w:lang w:eastAsia="en-GB"/>
        </w:rPr>
        <w:t xml:space="preserve"> process evaluation of an intervention could provide important insights into participant perceptions and experiences of the intervention, which may not be apparent from the quantitative outcome measures. When combined, </w:t>
      </w:r>
      <w:r w:rsidRPr="00B1522E">
        <w:rPr>
          <w:rFonts w:cstheme="minorHAnsi"/>
          <w:shd w:val="clear" w:color="auto" w:fill="FFFFFF"/>
        </w:rPr>
        <w:t xml:space="preserve">qualitative and quantitative methods can provide a more complete picture of the phenomenon under investigation </w:t>
      </w:r>
      <w:r w:rsidRPr="00B1522E">
        <w:rPr>
          <w:rFonts w:cstheme="minorHAnsi"/>
          <w:shd w:val="clear" w:color="auto" w:fill="FFFFFF"/>
        </w:rPr>
        <w:fldChar w:fldCharType="begin" w:fldLock="1"/>
      </w:r>
      <w:r w:rsidR="0063396E" w:rsidRPr="00B1522E">
        <w:rPr>
          <w:rFonts w:cstheme="minorHAnsi"/>
          <w:shd w:val="clear" w:color="auto" w:fill="FFFFFF"/>
        </w:rPr>
        <w:instrText>ADDIN CSL_CITATION {"citationItems":[{"id":"ITEM-1","itemData":{"ISSN":"2524-3489","abstract":"This paper aims to provide an overview of the use and assessment of qualitative research methods in the health sciences. Qualitative research can be defined as the study of the nature of phenomena and is especially appropriate for answering questions of why something is (not) observed, assessing complex multi-component interventions, and focussing on intervention improvement. The most common methods of data collection are document study, (non-) participant observations, semi-structured interviews and focus groups. For data analysis, field-notes and audio-recordings are transcribed into protocols and transcripts, and coded using qualitative data management software. Criteria such as checklists, reflexivity, sampling strategies, piloting, co-coding, member-checking and stakeholder involvement can be used to enhance and assess the quality of the research conducted. Using qualitative in addition to quantitative designs will equip us with better tools to address a greater range of research problems, and to fill in blind spots in current neurological research and practice.","author":[{"dropping-particle":"","family":"Busetto","given":"Loraine","non-dropping-particle":"","parse-names":false,"suffix":""},{"dropping-particle":"","family":"Wick","given":"Wolfgang","non-dropping-particle":"","parse-names":false,"suffix":""},{"dropping-particle":"","family":"Gumbinger","given":"Christoph","non-dropping-particle":"","parse-names":false,"suffix":""}],"container-title":"Neurological Research and Practice","id":"ITEM-1","issue":"1","issued":{"date-parts":[["2020"]]},"page":"14-24","title":"How to use and assess qualitative research methods","type":"article-journal","volume":"2"},"uris":["http://www.mendeley.com/documents/?uuid=11c7f654-5a25-414d-b402-41e3264193a0"]}],"mendeley":{"formattedCitation":"(Busetto et al., 2020)","plainTextFormattedCitation":"(Busetto et al., 2020)","previouslyFormattedCitation":"(Busetto et al., 2020)"},"properties":{"noteIndex":0},"schema":"https://github.com/citation-style-language/schema/raw/master/csl-citation.json"}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(Busetto et al., 2020)</w:t>
      </w:r>
      <w:r w:rsidRPr="00B1522E">
        <w:rPr>
          <w:rFonts w:cstheme="minorHAnsi"/>
          <w:shd w:val="clear" w:color="auto" w:fill="FFFFFF"/>
        </w:rPr>
        <w:fldChar w:fldCharType="end"/>
      </w:r>
      <w:r w:rsidRPr="00B1522E">
        <w:rPr>
          <w:rFonts w:cstheme="minorHAnsi"/>
          <w:shd w:val="clear" w:color="auto" w:fill="FFFFFF"/>
        </w:rPr>
        <w:t xml:space="preserve">. </w:t>
      </w:r>
    </w:p>
    <w:p w14:paraId="64A5435B" w14:textId="77777777" w:rsidR="00E639C2" w:rsidRPr="00B1522E" w:rsidRDefault="00E639C2" w:rsidP="00E639C2">
      <w:pPr>
        <w:spacing w:after="0" w:line="480" w:lineRule="auto"/>
        <w:jc w:val="both"/>
        <w:rPr>
          <w:rFonts w:cstheme="minorHAnsi"/>
        </w:rPr>
      </w:pPr>
    </w:p>
    <w:p w14:paraId="3315EC7A" w14:textId="77777777" w:rsidR="00E639C2" w:rsidRPr="00B1522E" w:rsidRDefault="00E639C2" w:rsidP="00E639C2">
      <w:pPr>
        <w:spacing w:after="0" w:line="480" w:lineRule="auto"/>
        <w:jc w:val="both"/>
        <w:rPr>
          <w:rFonts w:cstheme="minorHAnsi"/>
        </w:rPr>
      </w:pPr>
    </w:p>
    <w:bookmarkStart w:id="104" w:name="_Toc84678920"/>
    <w:p w14:paraId="6B1DC5CE" w14:textId="0A4B8EF5" w:rsidR="00E639C2" w:rsidRPr="00B1522E" w:rsidRDefault="00E8253E" w:rsidP="00A86142">
      <w:pPr>
        <w:spacing w:line="480" w:lineRule="auto"/>
      </w:pPr>
      <w:r w:rsidRPr="00B1522E">
        <w:fldChar w:fldCharType="begin"/>
      </w:r>
      <w:r w:rsidRPr="00B1522E">
        <w:instrText xml:space="preserve"> TC  "</w:instrText>
      </w:r>
      <w:bookmarkStart w:id="105" w:name="_Toc97310445"/>
      <w:r w:rsidRPr="00B1522E">
        <w:instrText>4.5 Methods</w:instrText>
      </w:r>
      <w:bookmarkEnd w:id="105"/>
      <w:r w:rsidRPr="00B1522E">
        <w:instrText xml:space="preserve">" \f x\l 2 </w:instrText>
      </w:r>
      <w:r w:rsidRPr="00B1522E">
        <w:fldChar w:fldCharType="end"/>
      </w:r>
      <w:r w:rsidR="00E639C2" w:rsidRPr="00B1522E">
        <w:rPr>
          <w:b/>
          <w:bCs/>
        </w:rPr>
        <w:t>4.5 Methods</w:t>
      </w:r>
      <w:bookmarkEnd w:id="104"/>
    </w:p>
    <w:p w14:paraId="703A6698" w14:textId="7B433F20" w:rsidR="00E639C2" w:rsidRPr="00B1522E" w:rsidRDefault="00E639C2" w:rsidP="00A86142">
      <w:pPr>
        <w:spacing w:line="480" w:lineRule="auto"/>
        <w:jc w:val="both"/>
        <w:rPr>
          <w:rFonts w:cstheme="minorHAnsi"/>
        </w:rPr>
      </w:pPr>
      <w:r w:rsidRPr="00B1522E">
        <w:rPr>
          <w:rFonts w:cstheme="minorHAnsi"/>
        </w:rPr>
        <w:t xml:space="preserve">This section outlines the specific qualitative and quantitative methodologies selected to address the thesis aim and objectives, along with justifications for the proposed studies (specific methods and procedures used for individual studies are described in more detail in the respective Chapters). Two secondary schools from the </w:t>
      </w:r>
      <w:r w:rsidRPr="00B1522E">
        <w:rPr>
          <w:rFonts w:cstheme="minorHAnsi"/>
          <w:noProof/>
        </w:rPr>
        <w:t>North and Midlands of England</w:t>
      </w:r>
      <w:r w:rsidRPr="00B1522E">
        <w:rPr>
          <w:rFonts w:cstheme="minorHAnsi"/>
        </w:rPr>
        <w:t xml:space="preserve"> were recruited to participate in this body of research; studies’ individual recruitment methods are discussed in the respective chapters. </w:t>
      </w:r>
    </w:p>
    <w:p w14:paraId="0B7ED1AE" w14:textId="77777777" w:rsidR="00E639C2" w:rsidRPr="00B1522E" w:rsidRDefault="00E639C2" w:rsidP="00A86142">
      <w:pPr>
        <w:spacing w:line="480" w:lineRule="auto"/>
        <w:jc w:val="both"/>
        <w:rPr>
          <w:rFonts w:cstheme="minorHAnsi"/>
        </w:rPr>
      </w:pPr>
    </w:p>
    <w:bookmarkStart w:id="106" w:name="_Toc84678921"/>
    <w:p w14:paraId="1B3EA873" w14:textId="5826DA42" w:rsidR="00E639C2" w:rsidRPr="00B1522E" w:rsidRDefault="00E8253E" w:rsidP="00A86142">
      <w:pPr>
        <w:spacing w:line="480" w:lineRule="auto"/>
      </w:pPr>
      <w:r w:rsidRPr="00B1522E">
        <w:fldChar w:fldCharType="begin"/>
      </w:r>
      <w:r w:rsidRPr="00B1522E">
        <w:instrText xml:space="preserve"> TC  "</w:instrText>
      </w:r>
      <w:bookmarkStart w:id="107" w:name="_Toc97310446"/>
      <w:r w:rsidRPr="00B1522E">
        <w:instrText>4.5.1 Focus groups</w:instrText>
      </w:r>
      <w:bookmarkEnd w:id="107"/>
      <w:r w:rsidRPr="00B1522E">
        <w:instrText xml:space="preserve"> " \f x\l </w:instrText>
      </w:r>
      <w:r w:rsidR="0046212A" w:rsidRPr="00B1522E">
        <w:instrText>3</w:instrText>
      </w:r>
      <w:r w:rsidRPr="00B1522E">
        <w:instrText xml:space="preserve"> </w:instrText>
      </w:r>
      <w:r w:rsidRPr="00B1522E">
        <w:fldChar w:fldCharType="end"/>
      </w:r>
      <w:r w:rsidR="00E639C2" w:rsidRPr="00B1522E">
        <w:t>4.5.</w:t>
      </w:r>
      <w:r w:rsidRPr="00B1522E">
        <w:t>1</w:t>
      </w:r>
      <w:r w:rsidR="00E639C2" w:rsidRPr="00B1522E">
        <w:t xml:space="preserve"> Focus groups</w:t>
      </w:r>
      <w:bookmarkEnd w:id="106"/>
      <w:r w:rsidR="00E639C2" w:rsidRPr="00B1522E">
        <w:t xml:space="preserve"> </w:t>
      </w:r>
    </w:p>
    <w:p w14:paraId="4DD10C02" w14:textId="2F2E7430" w:rsidR="00E639C2" w:rsidRPr="00B1522E" w:rsidRDefault="00E639C2" w:rsidP="00A86142">
      <w:pPr>
        <w:spacing w:line="480" w:lineRule="auto"/>
        <w:jc w:val="both"/>
        <w:rPr>
          <w:rFonts w:cstheme="minorHAnsi"/>
        </w:rPr>
      </w:pPr>
      <w:r w:rsidRPr="00B1522E">
        <w:rPr>
          <w:rStyle w:val="hgkelc"/>
          <w:rFonts w:cstheme="minorHAnsi"/>
        </w:rPr>
        <w:t xml:space="preserve">Focus groups are described as a qualitative approach to gain an in-depth understanding of social issues, </w:t>
      </w:r>
      <w:r w:rsidRPr="00B1522E">
        <w:rPr>
          <w:rFonts w:cstheme="minorHAnsi"/>
          <w:shd w:val="clear" w:color="auto" w:fill="FFFFFF"/>
        </w:rPr>
        <w:t xml:space="preserve">offering a platform for differing world views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{"citationItems":[{"id":"ITEM-1","itemData":{"ISBN":"0791408736","author":[{"dropping-particle":"","family":"Orr","given":"David W","non-dropping-particle":"","parse-names":false,"suffix":""}],"id":"ITEM-1","issued":{"date-parts":[["1992"]]},"publisher":"Suny Press","title":"Ecological literacy: Education and the transition to a postmodern world","type":"book"},"uris":["http://www.mendeley.com/documents/?uuid=6f9e2aab-72a7-42f2-9593-9eb2bb687537"]}],"mendeley":{"formattedCitation":"(Orr, 1992)","plainTextFormattedCitation":"(Orr, 1992)","previouslyFormattedCitation":"(Orr, 1992)"},"properties":{"noteIndex":0},"schema":"https://github.com/citation-style-language/schema/raw/master/csl-citation.json"}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(Orr, 1992)</w:t>
      </w:r>
      <w:r w:rsidRPr="00B1522E">
        <w:rPr>
          <w:rFonts w:cstheme="minorHAnsi"/>
          <w:shd w:val="clear" w:color="auto" w:fill="FFFFFF"/>
        </w:rPr>
        <w:fldChar w:fldCharType="end"/>
      </w:r>
      <w:r w:rsidRPr="00B1522E">
        <w:rPr>
          <w:rFonts w:cstheme="minorHAnsi"/>
          <w:shd w:val="clear" w:color="auto" w:fill="FFFFFF"/>
        </w:rPr>
        <w:t xml:space="preserve">. Focus groups help generate discussion and debate about a research enquiry which allows a researcher to learn about collective views and beliefs, and to consider the underlying meaning for those individuals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2041-210X","author":[{"dropping-particle":"","family":"Nyumba","given":"Tobias","non-dropping-particle":"","parse-names":false,"suffix":""},{"dropping-particle":"","family":"Wilson","given":"Kerrie","non-dropping-particle":"","parse-names":false,"suffix":""},{"dropping-particle":"","family":"Derrick","given":"Christina J","non-dropping-particle":"","parse-names":false,"suffix":""},{"dropping-particle":"","family":"Mukherjee","given":"Nibedita","non-dropping-particle":"","parse-names":false,"suffix":""}],"container-title":"Methods in Ecology and evolution","id":"ITEM-1","issue":"1","issued":{"date-parts":[["2018"]]},"page":"20-32","publisher":"Wiley Online Library","title":"The use of focus group discussion methodology: Insights from two decades of application in conservation","type":"article-journal","volume":"9"},"uris":["http://www.mendeley.com/documents/?uuid=89041d42-6259-4282-8c89-c89f0941d459"]}],"mendeley":{"formattedCitation":"(Nyumba et al., 2018)","plainTextFormattedCitation":"(Nyumba et al., 2018)","previouslyFormattedCitation":"(Nyumba et al., 2018)"},"properties":{"noteIndex":0},"schema":"https://github.com/citation-style-language/schema/raw/master/csl-citation.json"}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(Nyumba et al., 2018)</w:t>
      </w:r>
      <w:r w:rsidRPr="00B1522E">
        <w:rPr>
          <w:rFonts w:cstheme="minorHAnsi"/>
          <w:shd w:val="clear" w:color="auto" w:fill="FFFFFF"/>
        </w:rPr>
        <w:fldChar w:fldCharType="end"/>
      </w:r>
      <w:r w:rsidRPr="00B1522E">
        <w:rPr>
          <w:rFonts w:cstheme="minorHAnsi"/>
          <w:shd w:val="clear" w:color="auto" w:fill="FFFFFF"/>
        </w:rPr>
        <w:t>. A benefit of f</w:t>
      </w:r>
      <w:r w:rsidRPr="00B1522E">
        <w:rPr>
          <w:rFonts w:eastAsia="Calibri" w:cstheme="minorHAnsi"/>
        </w:rPr>
        <w:t xml:space="preserve">ocus group discussions is that they are a flexible technique and can be adapted for use at any phase of the research </w:t>
      </w:r>
      <w:r w:rsidRPr="00B1522E">
        <w:rPr>
          <w:rFonts w:eastAsia="Calibri" w:cstheme="minorHAnsi"/>
        </w:rPr>
        <w:fldChar w:fldCharType="begin" w:fldLock="1"/>
      </w:r>
      <w:r w:rsidR="00DF6CCC" w:rsidRPr="00B1522E">
        <w:rPr>
          <w:rFonts w:eastAsia="Calibri" w:cstheme="minorHAnsi"/>
        </w:rPr>
        <w:instrText>ADDIN CSL_CITATION {"citationItems":[{"id":"ITEM-1","itemData":{"ISSN":"2041-210X","author":[{"dropping-particle":"","family":"Nyumba","given":"Tobias","non-dropping-particle":"","parse-names":false,"suffix":""},{"dropping-particle":"","family":"Wilson","given":"Kerrie","non-dropping-particle":"","parse-names":false,"suffix":""},{"dropping-particle":"","family":"Derrick","given":"Christina J","non-dropping-particle":"","parse-names":false,"suffix":""},{"dropping-particle":"","family":"Mukherjee","given":"Nibedita","non-dropping-particle":"","parse-names":false,"suffix":""}],"container-title":"Methods in Ecology and evolution","id":"ITEM-1","issue":"1","issued":{"date-parts":[["2018"]]},"page":"20-32","publisher":"Wiley Online Library","title":"The use of focus group discussion methodology: Insights from two decades of application in conservation","type":"article-journal","volume":"9"},"uris":["http://www.mendeley.com/documents/?uuid=89041d42-6259-4282-8c89-c89f0941d459"]},{"id":"ITEM-2","itemData":{"ISSN":"1609-4069","author":[{"dropping-particle":"","family":"Adler","given":"Kristin","non-dropping-particle":"","parse-names":false,"suffix":""},{"dropping-particle":"","family":"Salanterä","given":"Sanna","non-dropping-particle":"","parse-names":false,"suffix":""},{"dropping-particle":"","family":"Zumstein-Shaha","given":"Maya","non-dropping-particle":"","parse-names":false,"suffix":""}],"container-title":"International Journal of Qualitative Methods","id":"ITEM-2","issued":{"date-parts":[["2019"]]},"page":"1-15","publisher":"SAGE Publications Sage CA: Los Angeles, CA","title":"Focus group interviews in child, youth, and parent research: an integrative literature review","type":"article-journal","volume":"18"},"uris":["http://www.mendeley.com/documents/?uuid=8495520d-dcb0-4ec5-8462-9bc686803cfb"]}],"mendeley":{"formattedCitation":"(Adler et al., 2019; Nyumba et al., 2018)","plainTextFormattedCitation":"(Adler et al., 2019; Nyumba et al., 2018)","previouslyFormattedCitation":"(Adler et al., 2019; Nyumba et al., 2018)"},"properties":{"noteIndex":0},"schema":"https://github.com/citation-style-language/schema/raw/master/csl-citation.json"}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(Adler et al., 2019; Nyumba et al., 2018)</w:t>
      </w:r>
      <w:r w:rsidRPr="00B1522E">
        <w:rPr>
          <w:rFonts w:eastAsia="Calibri" w:cstheme="minorHAnsi"/>
        </w:rPr>
        <w:fldChar w:fldCharType="end"/>
      </w:r>
      <w:r w:rsidRPr="00B1522E">
        <w:rPr>
          <w:rFonts w:eastAsia="Calibri" w:cstheme="minorHAnsi"/>
        </w:rPr>
        <w:t xml:space="preserve">. </w:t>
      </w:r>
      <w:r w:rsidRPr="00B1522E">
        <w:rPr>
          <w:rFonts w:cstheme="minorHAnsi"/>
          <w:shd w:val="clear" w:color="auto" w:fill="FFFFFF"/>
        </w:rPr>
        <w:t xml:space="preserve">Focus groups can be used to explore topics and gather information that can be used in later stages of research, e.g. when developing interventions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{"citationItems":[{"id":"ITEM-1","itemData":{"ISSN":"0022-4006","abstract":"OBJECTIVES: This paper introduces qualitative methods for assessing the acceptability of an intervention. METHODS: Acceptability refers to determining how well an intervention will be received by the target population and the extent to which the new intervention or its might meet the needs of the target population an d organizational setting. In this paper, we focus on two common qualitative methods for conducting acceptability research and their advantages and disadvantages: focus groups and interviews. RESULTS: We provide examples from our own research and other studies to demonstrate the use of these methods for conducting acceptability research and how one might adapt this approach for oral health research. DISCUSSION: We present emerging methods for conducting acceptability research, including the use of community-based participatory research, as well as the utility of conducting acceptability research for assessing the appropriateness of measures in intervention research.","author":[{"dropping-particle":"","family":"Ayala","given":"Guadalupe X","non-dropping-particle":"","parse-names":false,"suffix":""},{"dropping-particle":"","family":"Elder","given":"John P","non-dropping-particle":"","parse-names":false,"suffix":""}],"container-title":"Journal of public health dentistry","id":"ITEM-1","issue":"1","issued":{"date-parts":[["2011"]]},"language":"eng","page":"69-79","title":"Qualitative methods to ensure acceptability of behavioral and social interventions to the target population","type":"article-journal","volume":"71"},"uris":["http://www.mendeley.com/documents/?uuid=b809168e-b125-49e3-82f0-aae2afbd343c"]}],"mendeley":{"formattedCitation":"(Ayala &amp; Elder, 2011)","plainTextFormattedCitation":"(Ayala &amp; Elder, 2011)","previouslyFormattedCitation":"(Ayala &amp; Elder, 2011)"},"properties":{"noteIndex":0},"schema":"https://github.com/citation-style-language/schema/raw/master/csl-citation.json"}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(Ayala &amp; Elder, 2011)</w:t>
      </w:r>
      <w:r w:rsidRPr="00B1522E">
        <w:rPr>
          <w:rFonts w:cstheme="minorHAnsi"/>
          <w:shd w:val="clear" w:color="auto" w:fill="FFFFFF"/>
        </w:rPr>
        <w:fldChar w:fldCharType="end"/>
      </w:r>
      <w:r w:rsidRPr="00B1522E">
        <w:rPr>
          <w:rFonts w:cstheme="minorHAnsi"/>
          <w:shd w:val="clear" w:color="auto" w:fill="FFFFFF"/>
        </w:rPr>
        <w:t>. Information obtained from focus groups discussion can provide insight into</w:t>
      </w:r>
      <w:r w:rsidRPr="00B1522E">
        <w:rPr>
          <w:rFonts w:cstheme="minorHAnsi"/>
        </w:rPr>
        <w:t xml:space="preserve"> ‘local knowledge’ in an environment that is unfamiliar to the researcher </w:t>
      </w:r>
      <w:r w:rsidRPr="00B1522E">
        <w:rPr>
          <w:rFonts w:cstheme="minorHAnsi"/>
        </w:rPr>
        <w:fldChar w:fldCharType="begin" w:fldLock="1"/>
      </w:r>
      <w:r w:rsidRPr="00B1522E">
        <w:rPr>
          <w:rFonts w:cstheme="minorHAnsi"/>
        </w:rPr>
        <w:instrText>ADDIN CSL_CITATION {"citationItems":[{"id":"ITEM-1","itemData":{"ISSN":"0277-9536","author":[{"dropping-particle":"","family":"Cornwall","given":"Andrea","non-dropping-particle":"","parse-names":false,"suffix":""},{"dropping-particle":"","family":"Jewkes","given":"Rachel","non-dropping-particle":"","parse-names":false,"suffix":""}],"container-title":"Social science &amp; medicine","id":"ITEM-1","issue":"12","issued":{"date-parts":[["1995"]]},"page":"1667-1676","publisher":"Elsevier","title":"What is participatory research?","type":"article-journal","volume":"41"},"uris":["http://www.mendeley.com/documents/?uuid=6b289ace-6357-43fc-adb3-76aa498b7512"]}],"mendeley":{"formattedCitation":"(Cornwall &amp; Jewkes, 1995)","plainTextFormattedCitation":"(Cornwall &amp; Jewkes, 1995)","previouslyFormattedCitation":"(Cornwall &amp; Jewkes, 1995)"},"properties":{"noteIndex":0},"schema":"https://github.com/citation-style-language/schema/raw/master/csl-citation.json"}</w:instrText>
      </w:r>
      <w:r w:rsidRPr="00B1522E">
        <w:rPr>
          <w:rFonts w:cstheme="minorHAnsi"/>
        </w:rPr>
        <w:fldChar w:fldCharType="separate"/>
      </w:r>
      <w:r w:rsidRPr="00B1522E">
        <w:rPr>
          <w:rFonts w:cstheme="minorHAnsi"/>
          <w:noProof/>
        </w:rPr>
        <w:t>(Cornwall &amp; Jewkes, 1995)</w:t>
      </w:r>
      <w:r w:rsidRPr="00B1522E">
        <w:rPr>
          <w:rFonts w:cstheme="minorHAnsi"/>
        </w:rPr>
        <w:fldChar w:fldCharType="end"/>
      </w:r>
      <w:r w:rsidRPr="00B1522E">
        <w:rPr>
          <w:rFonts w:cstheme="minorHAnsi"/>
        </w:rPr>
        <w:t xml:space="preserve">. Understanding local knowledge is highly important when developing an intervention as it is essential to accurately understand problems, and aids in the construction of an effective intervention as knowledge is rooted in local context </w:t>
      </w:r>
      <w:r w:rsidRPr="00B1522E">
        <w:rPr>
          <w:rFonts w:cstheme="minorHAnsi"/>
        </w:rPr>
        <w:fldChar w:fldCharType="begin" w:fldLock="1"/>
      </w:r>
      <w:r w:rsidRPr="00B1522E">
        <w:rPr>
          <w:rFonts w:cstheme="minorHAnsi"/>
        </w:rPr>
        <w:instrText>ADDIN CSL_CITATION {"citationItems":[{"id":"ITEM-1","itemData":{"ISSN":"2372-966X","author":[{"dropping-particle":"","family":"Hughes","given":"Jan N","non-dropping-particle":"","parse-names":false,"suffix":""}],"container-title":"School Psychology Review","id":"ITEM-1","issue":"1","issued":{"date-parts":[["2003"]]},"page":"38-43","publisher":"Taylor &amp; Francis","title":"Commentary: Participatory action research leads to sustainable school and community improvement","type":"article-journal","volume":"32"},"uris":["http://www.mendeley.com/documents/?uuid=85b31209-bcf9-4cb4-bda0-d8e8e3c96e84"]}],"mendeley":{"formattedCitation":"(Hughes, 2003)","plainTextFormattedCitation":"(Hughes, 2003)","previouslyFormattedCitation":"(Hughes, 2003)"},"properties":{"noteIndex":0},"schema":"https://github.com/citation-style-language/schema/raw/master/csl-citation.json"}</w:instrText>
      </w:r>
      <w:r w:rsidRPr="00B1522E">
        <w:rPr>
          <w:rFonts w:cstheme="minorHAnsi"/>
        </w:rPr>
        <w:fldChar w:fldCharType="separate"/>
      </w:r>
      <w:r w:rsidRPr="00B1522E">
        <w:rPr>
          <w:rFonts w:cstheme="minorHAnsi"/>
          <w:noProof/>
        </w:rPr>
        <w:t>(Hughes, 2003)</w:t>
      </w:r>
      <w:r w:rsidRPr="00B1522E">
        <w:rPr>
          <w:rFonts w:cstheme="minorHAnsi"/>
        </w:rPr>
        <w:fldChar w:fldCharType="end"/>
      </w:r>
      <w:r w:rsidRPr="00B1522E">
        <w:rPr>
          <w:rFonts w:cstheme="minorHAnsi"/>
        </w:rPr>
        <w:t xml:space="preserve">. Focus groups can be also used in the latter stages of research </w:t>
      </w:r>
      <w:r w:rsidRPr="00B1522E">
        <w:rPr>
          <w:rFonts w:cstheme="minorHAnsi"/>
          <w:shd w:val="clear" w:color="auto" w:fill="FFFFFF"/>
        </w:rPr>
        <w:t xml:space="preserve">to clarify and extend findings, or evaluate research by exploring the perceptions of individuals who participated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{"citationItems":[{"id":"ITEM-1","itemData":{"ISSN":"0887-0446","author":[{"dropping-particle":"","family":"Marley","given":"S","non-dropping-particle":"","parse-names":false,"suffix":""},{"dropping-particle":"","family":"Bekker","given":"H L","non-dropping-particle":"","parse-names":false,"suffix":""},{"dropping-particle":"","family":"Bewick","given":"B M","non-dropping-particle":"","parse-names":false,"suffix":""}],"container-title":"Psychology &amp; health","id":"ITEM-1","issue":"9","issued":{"date-parts":[["2016"]]},"page":"1007-1024","publisher":"Taylor &amp; Francis","title":"Responding to personalised social norms feedback from a web-based alcohol reduction intervention for students: Analysis of think-aloud verbal protocols","type":"article-journal","volume":"31"},"uris":["http://www.mendeley.com/documents/?uuid=9599f905-bd47-41d1-82b0-e07dc6cc6d25"]}],"mendeley":{"formattedCitation":"(Marley et al., 2016)","plainTextFormattedCitation":"(Marley et al., 2016)","previouslyFormattedCitation":"(Marley et al., 2016)"},"properties":{"noteIndex":0},"schema":"https://github.com/citation-style-language/schema/raw/master/csl-citation.json"}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(Marley et al., 2016)</w:t>
      </w:r>
      <w:r w:rsidRPr="00B1522E">
        <w:rPr>
          <w:rFonts w:cstheme="minorHAnsi"/>
          <w:shd w:val="clear" w:color="auto" w:fill="FFFFFF"/>
        </w:rPr>
        <w:fldChar w:fldCharType="end"/>
      </w:r>
      <w:r w:rsidRPr="00B1522E">
        <w:rPr>
          <w:rFonts w:cstheme="minorHAnsi"/>
          <w:shd w:val="clear" w:color="auto" w:fill="FFFFFF"/>
        </w:rPr>
        <w:t xml:space="preserve">. </w:t>
      </w:r>
    </w:p>
    <w:p w14:paraId="67C68676" w14:textId="56FED282" w:rsidR="00E639C2" w:rsidRPr="00B1522E" w:rsidRDefault="00E639C2" w:rsidP="00E639C2">
      <w:pPr>
        <w:spacing w:line="480" w:lineRule="auto"/>
        <w:jc w:val="both"/>
        <w:rPr>
          <w:rFonts w:cstheme="minorHAnsi"/>
        </w:rPr>
      </w:pPr>
      <w:r w:rsidRPr="00B1522E">
        <w:rPr>
          <w:rFonts w:cstheme="minorHAnsi"/>
          <w:shd w:val="clear" w:color="auto" w:fill="FFFFFF"/>
        </w:rPr>
        <w:lastRenderedPageBreak/>
        <w:t> </w:t>
      </w:r>
      <w:r w:rsidR="00A86142" w:rsidRPr="00B1522E">
        <w:rPr>
          <w:rFonts w:cstheme="minorHAnsi"/>
          <w:shd w:val="clear" w:color="auto" w:fill="FFFFFF"/>
        </w:rPr>
        <w:tab/>
      </w:r>
      <w:r w:rsidRPr="00B1522E">
        <w:rPr>
          <w:rFonts w:cstheme="minorHAnsi"/>
        </w:rPr>
        <w:t xml:space="preserve">Focus groups were selected as the chosen method of collecting data for the studies reported in Chapters 5 and 9. Chapter 5 employed focus groups to explore students’ perceptions about the influences and barriers associated with healthy and unhealthy food choices whilst Chapter 9 focused on using focus groups to evaluate an in-school SNA intervention by exploring students’ experiences. It is acknowledged that face-to-face interviews would have allowed for a more intense in-depth consultation and could have helped gain insight into participants’ perspectives.  However, interviews neglect consideration of how the group dynamic and debate help enrich the conversation and lead to a diverse understanding of the topic </w:t>
      </w:r>
      <w:r w:rsidRPr="00B1522E">
        <w:rPr>
          <w:rFonts w:cstheme="minorHAnsi"/>
        </w:rPr>
        <w:fldChar w:fldCharType="begin" w:fldLock="1"/>
      </w:r>
      <w:r w:rsidRPr="00B1522E">
        <w:rPr>
          <w:rFonts w:cstheme="minorHAnsi"/>
        </w:rPr>
        <w:instrText>ADDIN CSL_CITATION {"citationItems":[{"id":"ITEM-1","itemData":{"ISBN":"1452299625","author":[{"dropping-particle":"","family":"Clow","given":"Kenneth E","non-dropping-particle":"","parse-names":false,"suffix":""},{"dropping-particle":"","family":"James","given":"Karen E","non-dropping-particle":"","parse-names":false,"suffix":""}],"id":"ITEM-1","issued":{"date-parts":[["2013"]]},"publisher":"Sage Publications","title":"Essentials of marketing research: Putting research into practice","type":"book"},"uris":["http://www.mendeley.com/documents/?uuid=792d53e0-0be3-4afe-b88d-6af9247370dd"]}],"mendeley":{"formattedCitation":"(Clow &amp; James, 2013)","plainTextFormattedCitation":"(Clow &amp; James, 2013)","previouslyFormattedCitation":"(Clow &amp; James, 2013)"},"properties":{"noteIndex":0},"schema":"https://github.com/citation-style-language/schema/raw/master/csl-citation.json"}</w:instrText>
      </w:r>
      <w:r w:rsidRPr="00B1522E">
        <w:rPr>
          <w:rFonts w:cstheme="minorHAnsi"/>
        </w:rPr>
        <w:fldChar w:fldCharType="separate"/>
      </w:r>
      <w:r w:rsidRPr="00B1522E">
        <w:rPr>
          <w:rFonts w:cstheme="minorHAnsi"/>
          <w:noProof/>
        </w:rPr>
        <w:t>(Clow &amp; James, 2013)</w:t>
      </w:r>
      <w:r w:rsidRPr="00B1522E">
        <w:rPr>
          <w:rFonts w:cstheme="minorHAnsi"/>
        </w:rPr>
        <w:fldChar w:fldCharType="end"/>
      </w:r>
      <w:r w:rsidRPr="00B1522E">
        <w:rPr>
          <w:rFonts w:cstheme="minorHAnsi"/>
        </w:rPr>
        <w:t xml:space="preserve">. The dynamics of sharing and comparing understanding and views in focus groups can yield more insight than the same number of interviews </w:t>
      </w:r>
      <w:r w:rsidRPr="00B1522E">
        <w:rPr>
          <w:rFonts w:cstheme="minorHAnsi"/>
        </w:rPr>
        <w:fldChar w:fldCharType="begin" w:fldLock="1"/>
      </w:r>
      <w:r w:rsidRPr="00B1522E">
        <w:rPr>
          <w:rFonts w:cstheme="minorHAnsi"/>
        </w:rPr>
        <w:instrText>ADDIN CSL_CITATION {"citationItems":[{"id":"ITEM-1","itemData":{"ISSN":"2041-210X","author":[{"dropping-particle":"","family":"Nyumba","given":"Tobias","non-dropping-particle":"","parse-names":false,"suffix":""},{"dropping-particle":"","family":"Wilson","given":"Kerrie","non-dropping-particle":"","parse-names":false,"suffix":""},{"dropping-particle":"","family":"Derrick","given":"Christina J","non-dropping-particle":"","parse-names":false,"suffix":""},{"dropping-particle":"","family":"Mukherjee","given":"Nibedita","non-dropping-particle":"","parse-names":false,"suffix":""}],"container-title":"Methods in Ecology and evolution","id":"ITEM-1","issue":"1","issued":{"date-parts":[["2018"]]},"page":"20-32","publisher":"Wiley Online Library","title":"The use of focus group discussion methodology: Insights from two decades of application in conservation","type":"article-journal","volume":"9"},"uris":["http://www.mendeley.com/documents/?uuid=89041d42-6259-4282-8c89-c89f0941d459"]}],"mendeley":{"formattedCitation":"(Nyumba et al., 2018)","plainTextFormattedCitation":"(Nyumba et al., 2018)","previouslyFormattedCitation":"(Nyumba et al., 2018)"},"properties":{"noteIndex":0},"schema":"https://github.com/citation-style-language/schema/raw/master/csl-citation.json"}</w:instrText>
      </w:r>
      <w:r w:rsidRPr="00B1522E">
        <w:rPr>
          <w:rFonts w:cstheme="minorHAnsi"/>
        </w:rPr>
        <w:fldChar w:fldCharType="separate"/>
      </w:r>
      <w:r w:rsidRPr="00B1522E">
        <w:rPr>
          <w:rFonts w:cstheme="minorHAnsi"/>
          <w:noProof/>
        </w:rPr>
        <w:t>(Nyumba et al., 2018)</w:t>
      </w:r>
      <w:r w:rsidRPr="00B1522E">
        <w:rPr>
          <w:rFonts w:cstheme="minorHAnsi"/>
        </w:rPr>
        <w:fldChar w:fldCharType="end"/>
      </w:r>
      <w:r w:rsidRPr="00B1522E">
        <w:rPr>
          <w:rFonts w:cstheme="minorHAnsi"/>
        </w:rPr>
        <w:t>.</w:t>
      </w:r>
      <w:r w:rsidRPr="00B1522E">
        <w:rPr>
          <w:rFonts w:cstheme="minorHAnsi"/>
          <w:shd w:val="clear" w:color="auto" w:fill="FFFFFF"/>
        </w:rPr>
        <w:t xml:space="preserve"> Therefore, the focus group methodology was chosen because of its flexibility to be used at different stages of the research and further, its ability to explore multiple viewpoints generated through group discussion which could not be captured in an interview</w:t>
      </w:r>
      <w:r w:rsidRPr="00B1522E">
        <w:rPr>
          <w:rFonts w:cstheme="minorHAnsi"/>
        </w:rPr>
        <w:t xml:space="preserve">.  </w:t>
      </w:r>
    </w:p>
    <w:p w14:paraId="46213F9F" w14:textId="77777777" w:rsidR="00E639C2" w:rsidRPr="00B1522E" w:rsidRDefault="00E639C2" w:rsidP="00E639C2">
      <w:pPr>
        <w:spacing w:line="480" w:lineRule="auto"/>
        <w:jc w:val="both"/>
        <w:rPr>
          <w:rFonts w:cstheme="minorHAnsi"/>
        </w:rPr>
      </w:pPr>
    </w:p>
    <w:p w14:paraId="0492A00A" w14:textId="652206D1" w:rsidR="00E639C2" w:rsidRPr="00B1522E" w:rsidRDefault="00E639C2" w:rsidP="00A86142">
      <w:pPr>
        <w:spacing w:line="480" w:lineRule="auto"/>
      </w:pPr>
      <w:r w:rsidRPr="00B1522E">
        <w:t>4.5.</w:t>
      </w:r>
      <w:r w:rsidR="00E8253E" w:rsidRPr="00B1522E">
        <w:t>1</w:t>
      </w:r>
      <w:r w:rsidRPr="00B1522E">
        <w:t xml:space="preserve">.1 Reflexive Thematic analysis </w:t>
      </w:r>
    </w:p>
    <w:p w14:paraId="08125AFB" w14:textId="0F2DD942" w:rsidR="00E639C2" w:rsidRPr="00B1522E" w:rsidRDefault="00E639C2" w:rsidP="00A86142">
      <w:pPr>
        <w:shd w:val="clear" w:color="auto" w:fill="FFFFFF"/>
        <w:spacing w:before="120" w:after="120" w:line="480" w:lineRule="auto"/>
        <w:ind w:right="120"/>
        <w:jc w:val="both"/>
        <w:rPr>
          <w:rFonts w:cstheme="minorHAnsi"/>
        </w:rPr>
      </w:pPr>
      <w:r w:rsidRPr="00B1522E">
        <w:rPr>
          <w:rFonts w:cstheme="minorHAnsi"/>
        </w:rPr>
        <w:t xml:space="preserve">Thematic analysis </w:t>
      </w:r>
      <w:r w:rsidRPr="00B1522E">
        <w:rPr>
          <w:rFonts w:cstheme="minorHAnsi"/>
          <w:shd w:val="clear" w:color="auto" w:fill="FFFFFF"/>
        </w:rPr>
        <w:t>is the process of identifying patterned meaning within qualitative data</w:t>
      </w:r>
      <w:r w:rsidRPr="00B1522E">
        <w:rPr>
          <w:rFonts w:cstheme="minorHAnsi"/>
        </w:rPr>
        <w:t xml:space="preserve"> to understand individuals’ perceptions and experiences about a given phenomenon or topic </w:t>
      </w:r>
      <w:r w:rsidRPr="00B1522E">
        <w:rPr>
          <w:rFonts w:cstheme="minorHAnsi"/>
        </w:rPr>
        <w:fldChar w:fldCharType="begin" w:fldLock="1"/>
      </w:r>
      <w:r w:rsidRPr="00B1522E">
        <w:rPr>
          <w:rFonts w:cstheme="minorHAnsi"/>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Health","id":"ITEM-1","issue":"4","issued":{"date-parts":[["2019"]]},"page":"589-597","publisher":"Taylor &amp; Francis","title":"Reflecting on reflexive thematic analysis","type":"article-journal","volume":"11"},"uris":["http://www.mendeley.com/documents/?uuid=798ba88d-c95a-4fca-ad51-5b03c86bfad3"]},{"id":"ITEM-2","itemData":{"ISSN":"1478-0887","author":[{"dropping-particle":"","family":"Braun","given":"Virginia","non-dropping-particle":"","parse-names":false,"suffix":""},{"dropping-particle":"","family":"Clarke","given":"Victoria","non-dropping-particle":"","parse-names":false,"suffix":""}],"container-title":"Qualitative research in psychology","id":"ITEM-2","issue":"2","issued":{"date-parts":[["2006"]]},"page":"77-101","publisher":"Taylor &amp; Francis","title":"Using thematic analysis in psychology","type":"article-journal","volume":"3"},"uris":["http://www.mendeley.com/documents/?uuid=7f5d2a3b-e7cc-4975-970e-584bd6a94686"]}],"mendeley":{"formattedCitation":"(Braun &amp; Clarke, 2006, 2019)","plainTextFormattedCitation":"(Braun &amp; Clarke, 2006, 2019)","previouslyFormattedCitation":"(Braun &amp; Clarke, 2006, 2019)"},"properties":{"noteIndex":0},"schema":"https://github.com/citation-style-language/schema/raw/master/csl-citation.json"}</w:instrText>
      </w:r>
      <w:r w:rsidRPr="00B1522E">
        <w:rPr>
          <w:rFonts w:cstheme="minorHAnsi"/>
        </w:rPr>
        <w:fldChar w:fldCharType="separate"/>
      </w:r>
      <w:r w:rsidRPr="00B1522E">
        <w:rPr>
          <w:rFonts w:cstheme="minorHAnsi"/>
          <w:noProof/>
        </w:rPr>
        <w:t>(Braun &amp; Clarke, 2006, 2019)</w:t>
      </w:r>
      <w:r w:rsidRPr="00B1522E">
        <w:rPr>
          <w:rFonts w:cstheme="minorHAnsi"/>
        </w:rPr>
        <w:fldChar w:fldCharType="end"/>
      </w:r>
      <w:r w:rsidRPr="00B1522E">
        <w:rPr>
          <w:rFonts w:cstheme="minorHAnsi"/>
        </w:rPr>
        <w:t xml:space="preserve">. Unlike other analytical methods that are theoretically informed, for example, grounded theory </w:t>
      </w:r>
      <w:r w:rsidRPr="00B1522E">
        <w:rPr>
          <w:rFonts w:cstheme="minorHAnsi"/>
        </w:rPr>
        <w:fldChar w:fldCharType="begin" w:fldLock="1"/>
      </w:r>
      <w:r w:rsidR="00DF6CCC" w:rsidRPr="00B1522E">
        <w:rPr>
          <w:rFonts w:cstheme="minorHAnsi"/>
        </w:rPr>
        <w:instrText>ADDIN CSL_CITATION {"citationItems":[{"id":"ITEM-1","itemData":{"author":[{"dropping-particle":"","family":"Glaser","given":"B G","non-dropping-particle":"","parse-names":false,"suffix":""},{"dropping-particle":"","family":"Strauss","given":"A L","non-dropping-particle":"","parse-names":false,"suffix":""},{"dropping-particle":"","family":"Strutzel","given":"E","non-dropping-particle":"","parse-names":false,"suffix":""}],"id":"ITEM-1","issued":{"date-parts":[["1967"]]},"publisher":"Sociology Press","publisher-place":"Mill Valley, CA","title":"The discovery of grounded theory; strategies for qualitative research","type":"book"},"uris":["http://www.mendeley.com/documents/?uuid=2f66cb9b-3646-4545-8b78-ea103f7f953c"]}],"mendeley":{"formattedCitation":"(Glaser et al., 1967)","plainTextFormattedCitation":"(Glaser et al., 1967)","previouslyFormattedCitation":"(Glaser et al., 1967)"},"properties":{"noteIndex":0},"schema":"https://github.com/citation-style-language/schema/raw/master/csl-citation.json"}</w:instrText>
      </w:r>
      <w:r w:rsidRPr="00B1522E">
        <w:rPr>
          <w:rFonts w:cstheme="minorHAnsi"/>
        </w:rPr>
        <w:fldChar w:fldCharType="separate"/>
      </w:r>
      <w:r w:rsidR="004B7FAF" w:rsidRPr="00B1522E">
        <w:rPr>
          <w:rFonts w:cstheme="minorHAnsi"/>
          <w:noProof/>
        </w:rPr>
        <w:t>(Glaser et al., 1967)</w:t>
      </w:r>
      <w:r w:rsidRPr="00B1522E">
        <w:rPr>
          <w:rFonts w:cstheme="minorHAnsi"/>
        </w:rPr>
        <w:fldChar w:fldCharType="end"/>
      </w:r>
      <w:r w:rsidRPr="00B1522E">
        <w:rPr>
          <w:rFonts w:cstheme="minorHAnsi"/>
        </w:rPr>
        <w:t xml:space="preserve"> and interpretative phenomenological analysis </w:t>
      </w:r>
      <w:r w:rsidRPr="00B1522E">
        <w:rPr>
          <w:rFonts w:cstheme="minorHAnsi"/>
        </w:rPr>
        <w:fldChar w:fldCharType="begin" w:fldLock="1"/>
      </w:r>
      <w:r w:rsidR="00850B00" w:rsidRPr="00B1522E">
        <w:rPr>
          <w:rFonts w:cstheme="minorHAnsi"/>
        </w:rPr>
        <w:instrText>ADDIN CSL_CITATION {"citationItems":[{"id":"ITEM-1","itemData":{"ISSN":"0887-0446","author":[{"dropping-particle":"","family":"Smith","given":"Jonathan A","non-dropping-particle":"","parse-names":false,"suffix":""}],"container-title":"Psychology and health","id":"ITEM-1","issue":"2","issued":{"date-parts":[["1996"]]},"page":"261-271","publisher":"Taylor &amp; Francis","title":"Beyond the divide between cognition and discourse: Using interpretative phenomenological analysis in health psychology","type":"article-journal","volume":"11"},"uris":["http://www.mendeley.com/documents/?uuid=f588ffd7-7517-44f7-89ba-b118d7933afa"]}],"mendeley":{"formattedCitation":"(J. A. Smith, 1996)","manualFormatting":"(Smith, 1996)","plainTextFormattedCitation":"(J. A. Smith, 1996)","previouslyFormattedCitation":"(J. A. Smith, 1996)"},"properties":{"noteIndex":0},"schema":"https://github.com/citation-style-language/schema/raw/master/csl-citation.json"}</w:instrText>
      </w:r>
      <w:r w:rsidRPr="00B1522E">
        <w:rPr>
          <w:rFonts w:cstheme="minorHAnsi"/>
        </w:rPr>
        <w:fldChar w:fldCharType="separate"/>
      </w:r>
      <w:r w:rsidR="00D671A4" w:rsidRPr="00B1522E">
        <w:rPr>
          <w:rFonts w:cstheme="minorHAnsi"/>
          <w:noProof/>
        </w:rPr>
        <w:t>(Smith, 1996)</w:t>
      </w:r>
      <w:r w:rsidRPr="00B1522E">
        <w:rPr>
          <w:rFonts w:cstheme="minorHAnsi"/>
        </w:rPr>
        <w:fldChar w:fldCharType="end"/>
      </w:r>
      <w:r w:rsidRPr="00B1522E">
        <w:rPr>
          <w:rFonts w:cstheme="minorHAnsi"/>
        </w:rPr>
        <w:t>, thematic analysis is a flexible approach as it can be used within different theoretical frameworks and modified f</w:t>
      </w:r>
      <w:r w:rsidRPr="00B1522E">
        <w:rPr>
          <w:rFonts w:cstheme="minorHAnsi"/>
          <w:shd w:val="clear" w:color="auto" w:fill="FFFFFF"/>
        </w:rPr>
        <w:t>or the needs of many studies</w:t>
      </w:r>
      <w:r w:rsidRPr="00B1522E">
        <w:rPr>
          <w:rFonts w:cstheme="minorHAnsi"/>
        </w:rPr>
        <w:t xml:space="preserve"> </w:t>
      </w:r>
      <w:r w:rsidRPr="00B1522E">
        <w:rPr>
          <w:rFonts w:cstheme="minorHAnsi"/>
        </w:rPr>
        <w:fldChar w:fldCharType="begin" w:fldLock="1"/>
      </w:r>
      <w:r w:rsidRPr="00B1522E">
        <w:rPr>
          <w:rFonts w:cstheme="minorHAnsi"/>
        </w:rPr>
        <w:instrText>ADDIN CSL_CITATION {"citationItems":[{"id":"ITEM-1","itemData":{"ISSN":"1478-0887","author":[{"dropping-particle":"","family":"Braun","given":"Virginia","non-dropping-particle":"","parse-names":false,"suffix":""},{"dropping-particle":"","family":"Clarke","given":"Victoria","non-dropping-particle":"","parse-names":false,"suffix":""}],"container-title":"Qualitative research in psychology","id":"ITEM-1","issue":"2","issued":{"date-parts":[["2006"]]},"page":"77-101","publisher":"Taylor &amp; Francis","title":"Using thematic analysis in psychology","type":"article-journal","volume":"3"},"uris":["http://www.mendeley.com/documents/?uuid=7f5d2a3b-e7cc-4975-970e-584bd6a94686"]}],"mendeley":{"formattedCitation":"(Braun &amp; Clarke, 2006)","plainTextFormattedCitation":"(Braun &amp; Clarke, 2006)","previouslyFormattedCitation":"(Braun &amp; Clarke, 2006)"},"properties":{"noteIndex":0},"schema":"https://github.com/citation-style-language/schema/raw/master/csl-citation.json"}</w:instrText>
      </w:r>
      <w:r w:rsidRPr="00B1522E">
        <w:rPr>
          <w:rFonts w:cstheme="minorHAnsi"/>
        </w:rPr>
        <w:fldChar w:fldCharType="separate"/>
      </w:r>
      <w:r w:rsidRPr="00B1522E">
        <w:rPr>
          <w:rFonts w:cstheme="minorHAnsi"/>
          <w:noProof/>
        </w:rPr>
        <w:t>(Braun &amp; Clarke, 2006)</w:t>
      </w:r>
      <w:r w:rsidRPr="00B1522E">
        <w:rPr>
          <w:rFonts w:cstheme="minorHAnsi"/>
        </w:rPr>
        <w:fldChar w:fldCharType="end"/>
      </w:r>
      <w:r w:rsidRPr="00B1522E">
        <w:rPr>
          <w:rFonts w:cstheme="minorHAnsi"/>
        </w:rPr>
        <w:t xml:space="preserve">.  Thematic analysis is a powerful but flexible method for analysing qualitative data </w:t>
      </w:r>
      <w:r w:rsidRPr="00B1522E">
        <w:rPr>
          <w:rFonts w:cstheme="minorHAnsi"/>
        </w:rPr>
        <w:fldChar w:fldCharType="begin" w:fldLock="1"/>
      </w:r>
      <w:r w:rsidRPr="00B1522E">
        <w:rPr>
          <w:rFonts w:cstheme="minorHAnsi"/>
        </w:rPr>
        <w:instrText>ADDIN CSL_CITATION {"citationItems":[{"id":"ITEM-1","itemData":{"ISSN":"0142-159X","author":[{"dropping-particle":"","family":"Kiger","given":"Michelle E","non-dropping-particle":"","parse-names":false,"suffix":""},{"dropping-particle":"","family":"Varpio","given":"Lara","non-dropping-particle":"","parse-names":false,"suffix":""}],"container-title":"Medical teacher","id":"ITEM-1","issue":"8","issued":{"date-parts":[["2020"]]},"page":"846-854","publisher":"Taylor &amp; Francis","title":"Thematic analysis of qualitative data: AMEE Guide No. 131","type":"article-journal","volume":"42"},"uris":["http://www.mendeley.com/documents/?uuid=66534c18-355f-43d4-be95-6b65ad94ce70"]}],"mendeley":{"formattedCitation":"(Kiger &amp; Varpio, 2020)","plainTextFormattedCitation":"(Kiger &amp; Varpio, 2020)","previouslyFormattedCitation":"(Kiger &amp; Varpio, 2020)"},"properties":{"noteIndex":0},"schema":"https://github.com/citation-style-language/schema/raw/master/csl-citation.json"}</w:instrText>
      </w:r>
      <w:r w:rsidRPr="00B1522E">
        <w:rPr>
          <w:rFonts w:cstheme="minorHAnsi"/>
        </w:rPr>
        <w:fldChar w:fldCharType="separate"/>
      </w:r>
      <w:r w:rsidRPr="00B1522E">
        <w:rPr>
          <w:rFonts w:cstheme="minorHAnsi"/>
          <w:noProof/>
        </w:rPr>
        <w:t>(Kiger &amp; Varpio, 2020)</w:t>
      </w:r>
      <w:r w:rsidRPr="00B1522E">
        <w:rPr>
          <w:rFonts w:cstheme="minorHAnsi"/>
        </w:rPr>
        <w:fldChar w:fldCharType="end"/>
      </w:r>
      <w:r w:rsidRPr="00B1522E">
        <w:rPr>
          <w:rFonts w:cstheme="minorHAnsi"/>
        </w:rPr>
        <w:t xml:space="preserve"> and because of this flexibility, this method was chosen to analyse the data in this thesis. </w:t>
      </w:r>
    </w:p>
    <w:p w14:paraId="4338FD44" w14:textId="125E3196" w:rsidR="00E639C2" w:rsidRPr="00B1522E" w:rsidRDefault="00E639C2" w:rsidP="00A86142">
      <w:pPr>
        <w:shd w:val="clear" w:color="auto" w:fill="FFFFFF"/>
        <w:spacing w:before="120" w:after="120" w:line="480" w:lineRule="auto"/>
        <w:ind w:right="120" w:firstLine="720"/>
        <w:jc w:val="both"/>
        <w:rPr>
          <w:rFonts w:cstheme="minorHAnsi"/>
        </w:rPr>
      </w:pPr>
      <w:r w:rsidRPr="00B1522E">
        <w:rPr>
          <w:rFonts w:cstheme="minorHAnsi"/>
          <w:shd w:val="clear" w:color="auto" w:fill="FCFCFC"/>
        </w:rPr>
        <w:t xml:space="preserve">There are three principal approaches to thematic analysis: (1) </w:t>
      </w:r>
      <w:r w:rsidRPr="00B1522E">
        <w:rPr>
          <w:rFonts w:cstheme="minorHAnsi"/>
        </w:rPr>
        <w:t xml:space="preserve">coding reliability; (2) </w:t>
      </w:r>
      <w:r w:rsidRPr="00B1522E">
        <w:rPr>
          <w:rFonts w:cstheme="minorHAnsi"/>
          <w:shd w:val="clear" w:color="auto" w:fill="FCFCFC"/>
        </w:rPr>
        <w:t xml:space="preserve">codebook; and (3) reflexive </w:t>
      </w:r>
      <w:r w:rsidRPr="00B1522E">
        <w:rPr>
          <w:rFonts w:cstheme="minorHAnsi"/>
          <w:shd w:val="clear" w:color="auto" w:fill="FCFCFC"/>
        </w:rPr>
        <w:fldChar w:fldCharType="begin" w:fldLock="1"/>
      </w:r>
      <w:r w:rsidRPr="00B1522E">
        <w:rPr>
          <w:rFonts w:cstheme="minorHAnsi"/>
          <w:shd w:val="clear" w:color="auto" w:fill="FCFCFC"/>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Health","id":"ITEM-1","issue":"4","issued":{"date-parts":[["2019"]]},"page":"589-597","publisher":"Taylor &amp; Francis","title":"Reflecting on reflexive thematic analysis","type":"article-journal","volume":"11"},"uris":["http://www.mendeley.com/documents/?uuid=798ba88d-c95a-4fca-ad51-5b03c86bfad3"]}],"mendeley":{"formattedCitation":"(Braun &amp; Clarke, 2019)","plainTextFormattedCitation":"(Braun &amp; Clarke, 2019)","previouslyFormattedCitation":"(Braun &amp; Clarke, 2019)"},"properties":{"noteIndex":0},"schema":"https://github.com/citation-style-language/schema/raw/master/csl-citation.json"}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(Braun &amp; Clarke, 2019)</w:t>
      </w:r>
      <w:r w:rsidRPr="00B1522E">
        <w:rPr>
          <w:rFonts w:cstheme="minorHAnsi"/>
          <w:shd w:val="clear" w:color="auto" w:fill="FCFCFC"/>
        </w:rPr>
        <w:fldChar w:fldCharType="end"/>
      </w:r>
      <w:r w:rsidRPr="00B1522E">
        <w:rPr>
          <w:rFonts w:cstheme="minorHAnsi"/>
          <w:shd w:val="clear" w:color="auto" w:fill="FCFCFC"/>
        </w:rPr>
        <w:t xml:space="preserve">. </w:t>
      </w:r>
      <w:r w:rsidRPr="00B1522E">
        <w:rPr>
          <w:rFonts w:cstheme="minorHAnsi"/>
        </w:rPr>
        <w:t>Coding reliability</w:t>
      </w:r>
      <w:r w:rsidRPr="00B1522E">
        <w:rPr>
          <w:rFonts w:cstheme="minorHAnsi"/>
          <w:shd w:val="clear" w:color="auto" w:fill="FCFCFC"/>
        </w:rPr>
        <w:t xml:space="preserve"> approaches emphasize the measurement of accuracy when coding data </w:t>
      </w:r>
      <w:r w:rsidRPr="00B1522E">
        <w:rPr>
          <w:rFonts w:cstheme="minorHAnsi"/>
          <w:shd w:val="clear" w:color="auto" w:fill="FCFCFC"/>
        </w:rPr>
        <w:fldChar w:fldCharType="begin" w:fldLock="1"/>
      </w:r>
      <w:r w:rsidR="00FD502B" w:rsidRPr="00B1522E">
        <w:rPr>
          <w:rFonts w:cstheme="minorHAnsi"/>
          <w:shd w:val="clear" w:color="auto" w:fill="FCFCFC"/>
        </w:rPr>
        <w:instrText>ADDIN CSL_CITATION {"citationItems":[{"id":"ITEM-1","itemData":{"ISSN":"1573-7845","abstract":"Since the publication of their inaugural paper on the topic in 2006, Braun and Clarke’s approach has arguably become one of the most thoroughly delineated methods of conducting thematic analysis (TA). However, confusion persists as to how to implement this specific approach to TA appropriately. The authors themselves have identified that many researchers who purport to adhere to this approach—and who reference their work as such—fail to adhere fully to the principles of ‘reflexive thematic analysis’ (RTA). Over the course of numerous publications, Braun and Clarke have elaborated significantly upon the constitution of RTA and attempted to clarify numerous misconceptions that they have found in the literature. This paper will offer a worked example of Braun and Clarke’s contemporary approach to reflexive thematic analysis with the aim of helping to dispel some of the confusion regarding the position of RTA among the numerous existing typologies of TA. While the data used in the worked example has been garnered from health and wellbeing education research and was examined to ascertain educators’ attitudes regarding such, the example offered of how to implement the RTA would be easily transferable to many other contexts and research topics.","author":[{"dropping-particle":"","family":"Byrne","given":"David","non-dropping-particle":"","parse-names":false,"suffix":""}],"container-title":"Quality &amp; Quantity","id":"ITEM-1","issue":"5","issued":{"date-parts":[["2021"]]},"page":"1-22","title":"A worked example of Braun and Clarke’s approach to reflexive thematic analysis","type":"article-journal"},"uris":["http://www.mendeley.com/documents/?uuid=cb7d07de-3d50-4805-8c81-d8846233235d"]}],"mendeley":{"formattedCitation":"(Byrne, 2021)","plainTextFormattedCitation":"(Byrne, 2021)","previouslyFormattedCitation":"(Byrne, 2021)"},"properties":{"noteIndex":0},"schema":"https://github.com/citation-style-language/schema/raw/master/csl-citation.json"}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(Byrne, 2021)</w:t>
      </w:r>
      <w:r w:rsidRPr="00B1522E">
        <w:rPr>
          <w:rFonts w:cstheme="minorHAnsi"/>
          <w:shd w:val="clear" w:color="auto" w:fill="FCFCFC"/>
        </w:rPr>
        <w:fldChar w:fldCharType="end"/>
      </w:r>
      <w:r w:rsidRPr="00B1522E">
        <w:rPr>
          <w:rFonts w:cstheme="minorHAnsi"/>
          <w:shd w:val="clear" w:color="auto" w:fill="FCFCFC"/>
        </w:rPr>
        <w:t xml:space="preserve">. Themes are typically understood to </w:t>
      </w:r>
      <w:r w:rsidRPr="00B1522E">
        <w:rPr>
          <w:rFonts w:cstheme="minorHAnsi"/>
          <w:shd w:val="clear" w:color="auto" w:fill="FCFCFC"/>
        </w:rPr>
        <w:lastRenderedPageBreak/>
        <w:t xml:space="preserve">summarize what individuals said in relation to a specific topic </w:t>
      </w:r>
      <w:r w:rsidRPr="00B1522E">
        <w:rPr>
          <w:rFonts w:cstheme="minorHAnsi"/>
          <w:shd w:val="clear" w:color="auto" w:fill="FCFCFC"/>
        </w:rPr>
        <w:fldChar w:fldCharType="begin" w:fldLock="1"/>
      </w:r>
      <w:r w:rsidRPr="00B1522E">
        <w:rPr>
          <w:rFonts w:cstheme="minorHAnsi"/>
          <w:shd w:val="clear" w:color="auto" w:fill="FCFCFC"/>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Health","id":"ITEM-1","issue":"4","issued":{"date-parts":[["2019"]]},"page":"589-597","publisher":"Taylor &amp; Francis","title":"Reflecting on reflexive thematic analysis","type":"article-journal","volume":"11"},"uris":["http://www.mendeley.com/documents/?uuid=798ba88d-c95a-4fca-ad51-5b03c86bfad3"]}],"mendeley":{"formattedCitation":"(Braun &amp; Clarke, 2019)","plainTextFormattedCitation":"(Braun &amp; Clarke, 2019)","previouslyFormattedCitation":"(Braun &amp; Clarke, 2019)"},"properties":{"noteIndex":0},"schema":"https://github.com/citation-style-language/schema/raw/master/csl-citation.json"}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(Braun &amp; Clarke, 2019)</w:t>
      </w:r>
      <w:r w:rsidRPr="00B1522E">
        <w:rPr>
          <w:rFonts w:cstheme="minorHAnsi"/>
          <w:shd w:val="clear" w:color="auto" w:fill="FCFCFC"/>
        </w:rPr>
        <w:fldChar w:fldCharType="end"/>
      </w:r>
      <w:r w:rsidRPr="00B1522E">
        <w:rPr>
          <w:rFonts w:cstheme="minorHAnsi"/>
          <w:shd w:val="clear" w:color="auto" w:fill="FCFCFC"/>
        </w:rPr>
        <w:t>.</w:t>
      </w:r>
      <w:r w:rsidRPr="00B1522E">
        <w:rPr>
          <w:rFonts w:cstheme="minorHAnsi"/>
        </w:rPr>
        <w:t xml:space="preserve"> </w:t>
      </w:r>
      <w:r w:rsidRPr="00B1522E">
        <w:rPr>
          <w:rFonts w:cstheme="minorHAnsi"/>
          <w:shd w:val="clear" w:color="auto" w:fill="FCFCFC"/>
        </w:rPr>
        <w:t xml:space="preserve">Codebook approaches, such as framework analysis </w:t>
      </w:r>
      <w:r w:rsidRPr="00B1522E">
        <w:rPr>
          <w:rFonts w:cstheme="minorHAnsi"/>
          <w:shd w:val="clear" w:color="auto" w:fill="FCFCFC"/>
        </w:rPr>
        <w:fldChar w:fldCharType="begin" w:fldLock="1"/>
      </w:r>
      <w:r w:rsidRPr="00B1522E">
        <w:rPr>
          <w:rFonts w:cstheme="minorHAnsi"/>
          <w:shd w:val="clear" w:color="auto" w:fill="FCFCFC"/>
        </w:rPr>
        <w:instrText>ADDIN CSL_CITATION {"citationItems":[{"id":"ITEM-1","itemData":{"author":[{"dropping-particle":"","family":"Ritchie. J and Spencer. L in Bryman. A and Burgess. R. G.","given":"","non-dropping-particle":"","parse-names":false,"suffix":""}],"chapter-number":"Qualitativ","container-title":"Analysing qualitative data","id":"ITEM-1","issued":{"date-parts":[["1994"]]},"page":"173-194","publisher":"Routledge","publisher-place":"London","title":"Qualitative data analysis for applied policy research","type":"chapter"},"uris":["http://www.mendeley.com/documents/?uuid=ffe16ccb-1e4a-4af8-826a-f287934de968"]}],"mendeley":{"formattedCitation":"(Ritchie. J and Spencer. L in Bryman. A and Burgess. R. G., 1994)","manualFormatting":"(Ritchie &amp; Spencer, 1994)","plainTextFormattedCitation":"(Ritchie. J and Spencer. L in Bryman. A and Burgess. R. G., 1994)","previouslyFormattedCitation":"(Ritchie. J and Spencer. L in Bryman. A and Burgess. R. G., 1994)"},"properties":{"noteIndex":0},"schema":"https://github.com/citation-style-language/schema/raw/master/csl-citation.json"}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(Ritchie &amp; Spencer, 1994)</w:t>
      </w:r>
      <w:r w:rsidRPr="00B1522E">
        <w:rPr>
          <w:rFonts w:cstheme="minorHAnsi"/>
          <w:shd w:val="clear" w:color="auto" w:fill="FCFCFC"/>
        </w:rPr>
        <w:fldChar w:fldCharType="end"/>
      </w:r>
      <w:r w:rsidRPr="00B1522E">
        <w:rPr>
          <w:rFonts w:cstheme="minorHAnsi"/>
          <w:shd w:val="clear" w:color="auto" w:fill="FCFCFC"/>
        </w:rPr>
        <w:t xml:space="preserve">, sit in between </w:t>
      </w:r>
      <w:r w:rsidRPr="00B1522E">
        <w:rPr>
          <w:rFonts w:cstheme="minorHAnsi"/>
        </w:rPr>
        <w:t xml:space="preserve">coding reliability and reflexive approaches. </w:t>
      </w:r>
      <w:r w:rsidRPr="00B1522E">
        <w:rPr>
          <w:rFonts w:cstheme="minorHAnsi"/>
          <w:shd w:val="clear" w:color="auto" w:fill="FCFCFC"/>
        </w:rPr>
        <w:t>Similar to coding reliability approaches, codebook approaches adopt the use of a structured codebook but instead consider, like reflexive approaches, the interpretive nature of data coding </w:t>
      </w:r>
      <w:r w:rsidRPr="00B1522E">
        <w:rPr>
          <w:rFonts w:cstheme="minorHAnsi"/>
          <w:shd w:val="clear" w:color="auto" w:fill="FCFCFC"/>
        </w:rPr>
        <w:fldChar w:fldCharType="begin" w:fldLock="1"/>
      </w:r>
      <w:r w:rsidRPr="00B1522E">
        <w:rPr>
          <w:rFonts w:cstheme="minorHAnsi"/>
          <w:shd w:val="clear" w:color="auto" w:fill="FCFCFC"/>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Health","id":"ITEM-1","issue":"4","issued":{"date-parts":[["2019"]]},"page":"589-597","publisher":"Taylor &amp; Francis","title":"Reflecting on reflexive thematic analysis","type":"article-journal","volume":"11"},"uris":["http://www.mendeley.com/documents/?uuid=798ba88d-c95a-4fca-ad51-5b03c86bfad3"]}],"mendeley":{"formattedCitation":"(Braun &amp; Clarke, 2019)","plainTextFormattedCitation":"(Braun &amp; Clarke, 2019)","previouslyFormattedCitation":"(Braun &amp; Clarke, 2019)"},"properties":{"noteIndex":0},"schema":"https://github.com/citation-style-language/schema/raw/master/csl-citation.json"}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(Braun &amp; Clarke, 2019)</w:t>
      </w:r>
      <w:r w:rsidRPr="00B1522E">
        <w:rPr>
          <w:rFonts w:cstheme="minorHAnsi"/>
          <w:shd w:val="clear" w:color="auto" w:fill="FCFCFC"/>
        </w:rPr>
        <w:fldChar w:fldCharType="end"/>
      </w:r>
      <w:r w:rsidRPr="00B1522E">
        <w:rPr>
          <w:rFonts w:cstheme="minorHAnsi"/>
          <w:shd w:val="clear" w:color="auto" w:fill="FCFCFC"/>
        </w:rPr>
        <w:t>. A reflexive approach emphasizes the researcher’s role in knowledge production </w:t>
      </w:r>
      <w:r w:rsidRPr="00B1522E">
        <w:rPr>
          <w:rFonts w:cstheme="minorHAnsi"/>
          <w:shd w:val="clear" w:color="auto" w:fill="FCFCFC"/>
        </w:rPr>
        <w:fldChar w:fldCharType="begin" w:fldLock="1"/>
      </w:r>
      <w:r w:rsidRPr="00B1522E">
        <w:rPr>
          <w:rFonts w:cstheme="minorHAnsi"/>
          <w:shd w:val="clear" w:color="auto" w:fill="FCFCFC"/>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Health","id":"ITEM-1","issue":"4","issued":{"date-parts":[["2019"]]},"page":"589-597","publisher":"Taylor &amp; Francis","title":"Reflecting on reflexive thematic analysis","type":"article-journal","volume":"11"},"uris":["http://www.mendeley.com/documents/?uuid=798ba88d-c95a-4fca-ad51-5b03c86bfad3"]}],"mendeley":{"formattedCitation":"(Braun &amp; Clarke, 2019)","plainTextFormattedCitation":"(Braun &amp; Clarke, 2019)","previouslyFormattedCitation":"(Braun &amp; Clarke, 2019)"},"properties":{"noteIndex":0},"schema":"https://github.com/citation-style-language/schema/raw/master/csl-citation.json"}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(Braun &amp; Clarke, 2019)</w:t>
      </w:r>
      <w:r w:rsidRPr="00B1522E">
        <w:rPr>
          <w:rFonts w:cstheme="minorHAnsi"/>
          <w:shd w:val="clear" w:color="auto" w:fill="FCFCFC"/>
        </w:rPr>
        <w:fldChar w:fldCharType="end"/>
      </w:r>
      <w:r w:rsidRPr="00B1522E">
        <w:rPr>
          <w:rFonts w:cstheme="minorHAnsi"/>
          <w:shd w:val="clear" w:color="auto" w:fill="FCFCFC"/>
        </w:rPr>
        <w:t xml:space="preserve">. Themes are considered to represent the researcher’s interpretations of the patterns of meaning evident across the dataset </w:t>
      </w:r>
      <w:r w:rsidRPr="00B1522E">
        <w:rPr>
          <w:rFonts w:cstheme="minorHAnsi"/>
          <w:shd w:val="clear" w:color="auto" w:fill="FCFCFC"/>
        </w:rPr>
        <w:fldChar w:fldCharType="begin" w:fldLock="1"/>
      </w:r>
      <w:r w:rsidR="00FD502B" w:rsidRPr="00B1522E">
        <w:rPr>
          <w:rFonts w:cstheme="minorHAnsi"/>
          <w:shd w:val="clear" w:color="auto" w:fill="FCFCFC"/>
        </w:rPr>
        <w:instrText>ADDIN CSL_CITATION {"citationItems":[{"id":"ITEM-1","itemData":{"ISSN":"1573-7845","abstract":"Since the publication of their inaugural paper on the topic in 2006, Braun and Clarke’s approach has arguably become one of the most thoroughly delineated methods of conducting thematic analysis (TA). However, confusion persists as to how to implement this specific approach to TA appropriately. The authors themselves have identified that many researchers who purport to adhere to this approach—and who reference their work as such—fail to adhere fully to the principles of ‘reflexive thematic analysis’ (RTA). Over the course of numerous publications, Braun and Clarke have elaborated significantly upon the constitution of RTA and attempted to clarify numerous misconceptions that they have found in the literature. This paper will offer a worked example of Braun and Clarke’s contemporary approach to reflexive thematic analysis with the aim of helping to dispel some of the confusion regarding the position of RTA among the numerous existing typologies of TA. While the data used in the worked example has been garnered from health and wellbeing education research and was examined to ascertain educators’ attitudes regarding such, the example offered of how to implement the RTA would be easily transferable to many other contexts and research topics.","author":[{"dropping-particle":"","family":"Byrne","given":"David","non-dropping-particle":"","parse-names":false,"suffix":""}],"container-title":"Quality &amp; Quantity","id":"ITEM-1","issue":"5","issued":{"date-parts":[["2021"]]},"page":"1-22","title":"A worked example of Braun and Clarke’s approach to reflexive thematic analysis","type":"article-journal"},"uris":["http://www.mendeley.com/documents/?uuid=cb7d07de-3d50-4805-8c81-d8846233235d"]}],"mendeley":{"formattedCitation":"(Byrne, 2021)","plainTextFormattedCitation":"(Byrne, 2021)","previouslyFormattedCitation":"(Byrne, 2021)"},"properties":{"noteIndex":0},"schema":"https://github.com/citation-style-language/schema/raw/master/csl-citation.json"}</w:instrText>
      </w:r>
      <w:r w:rsidRPr="00B1522E">
        <w:rPr>
          <w:rFonts w:cstheme="minorHAnsi"/>
          <w:shd w:val="clear" w:color="auto" w:fill="FCFCFC"/>
        </w:rPr>
        <w:fldChar w:fldCharType="separate"/>
      </w:r>
      <w:r w:rsidRPr="00B1522E">
        <w:rPr>
          <w:rFonts w:cstheme="minorHAnsi"/>
          <w:noProof/>
          <w:shd w:val="clear" w:color="auto" w:fill="FCFCFC"/>
        </w:rPr>
        <w:t>(Byrne, 2021)</w:t>
      </w:r>
      <w:r w:rsidRPr="00B1522E">
        <w:rPr>
          <w:rFonts w:cstheme="minorHAnsi"/>
          <w:shd w:val="clear" w:color="auto" w:fill="FCFCFC"/>
        </w:rPr>
        <w:fldChar w:fldCharType="end"/>
      </w:r>
      <w:r w:rsidRPr="00B1522E">
        <w:rPr>
          <w:rFonts w:cstheme="minorHAnsi"/>
          <w:shd w:val="clear" w:color="auto" w:fill="FCFCFC"/>
        </w:rPr>
        <w:t>.</w:t>
      </w:r>
      <w:r w:rsidRPr="00B1522E">
        <w:rPr>
          <w:rFonts w:cstheme="minorHAnsi"/>
        </w:rPr>
        <w:t xml:space="preserve"> A codebook approach was adopted to analyse the data in Chapter 5 in order to help retain the individual voices of students to allow for an exploration of sex differences in terms of healthy eating behaviours and perceived influences on eating behaviours. A reflexive approach was adopted to analyse the data in Chapter 9 to allow for an exploration of both students’ and teachers’ experiences and perception of the in-school SNA intervention.</w:t>
      </w:r>
    </w:p>
    <w:p w14:paraId="7C58E860" w14:textId="76B2A0EE" w:rsidR="00E639C2" w:rsidRPr="00B1522E" w:rsidRDefault="00E639C2" w:rsidP="00A86142">
      <w:pPr>
        <w:shd w:val="clear" w:color="auto" w:fill="FFFFFF"/>
        <w:spacing w:before="120" w:after="120" w:line="480" w:lineRule="auto"/>
        <w:ind w:right="120" w:firstLine="720"/>
        <w:jc w:val="both"/>
        <w:rPr>
          <w:rFonts w:cstheme="minorHAnsi"/>
        </w:rPr>
      </w:pPr>
      <w:r w:rsidRPr="00B1522E">
        <w:rPr>
          <w:rFonts w:cstheme="minorHAnsi"/>
        </w:rPr>
        <w:t xml:space="preserve">These thematic analysis approaches are flexible and can be conducted using either an inductive or deductive approach </w:t>
      </w:r>
      <w:r w:rsidRPr="00B1522E">
        <w:rPr>
          <w:rFonts w:cstheme="minorHAnsi"/>
        </w:rPr>
        <w:fldChar w:fldCharType="begin" w:fldLock="1"/>
      </w:r>
      <w:r w:rsidR="00DF6CCC" w:rsidRPr="00B1522E">
        <w:rPr>
          <w:rFonts w:cstheme="minorHAnsi"/>
        </w:rPr>
        <w:instrText>ADDIN CSL_CITATION {"citationItems":[{"id":"ITEM-1","itemData":{"ISSN":"1609-4069","author":[{"dropping-particle":"","family":"Nowell","given":"Lorelli S","non-dropping-particle":"","parse-names":false,"suffix":""},{"dropping-particle":"","family":"Norris","given":"Jill M","non-dropping-particle":"","parse-names":false,"suffix":""},{"dropping-particle":"","family":"White","given":"Deborah E","non-dropping-particle":"","parse-names":false,"suffix":""},{"dropping-particle":"","family":"Moules","given":"Nancy J","non-dropping-particle":"","parse-names":false,"suffix":""}],"container-title":"International journal of qualitative methods","id":"ITEM-1","issued":{"date-parts":[["2017"]]},"page":"1-13","publisher":"SAGE Publications Sage CA: Los Angeles, CA","title":"Thematic analysis: Striving to meet the trustworthiness criteria","type":"article-journal","volume":"16"},"uris":["http://www.mendeley.com/documents/?uuid=7c3a0d17-fb1f-4ec9-8256-5795806b1811"]}],"mendeley":{"formattedCitation":"(Nowell et al., 2017)","plainTextFormattedCitation":"(Nowell et al., 2017)","previouslyFormattedCitation":"(Nowell et al., 2017)"},"properties":{"noteIndex":0},"schema":"https://github.com/citation-style-language/schema/raw/master/csl-citation.json"}</w:instrText>
      </w:r>
      <w:r w:rsidRPr="00B1522E">
        <w:rPr>
          <w:rFonts w:cstheme="minorHAnsi"/>
        </w:rPr>
        <w:fldChar w:fldCharType="separate"/>
      </w:r>
      <w:r w:rsidR="004B7FAF" w:rsidRPr="00B1522E">
        <w:rPr>
          <w:rFonts w:cstheme="minorHAnsi"/>
          <w:noProof/>
        </w:rPr>
        <w:t>(Nowell et al., 2017)</w:t>
      </w:r>
      <w:r w:rsidRPr="00B1522E">
        <w:rPr>
          <w:rFonts w:cstheme="minorHAnsi"/>
        </w:rPr>
        <w:fldChar w:fldCharType="end"/>
      </w:r>
      <w:r w:rsidRPr="00B1522E">
        <w:rPr>
          <w:rFonts w:cstheme="minorHAnsi"/>
        </w:rPr>
        <w:t xml:space="preserve">. An </w:t>
      </w:r>
      <w:r w:rsidRPr="00B1522E">
        <w:rPr>
          <w:rFonts w:eastAsia="Times New Roman" w:cstheme="minorHAnsi"/>
          <w:lang w:eastAsia="en-GB"/>
        </w:rPr>
        <w:t xml:space="preserve">inductive approach develops codes and themes direct from the raw data, and the themes are strongly linked to the data </w:t>
      </w:r>
      <w:r w:rsidRPr="00B1522E">
        <w:rPr>
          <w:rFonts w:eastAsia="Times New Roman" w:cstheme="minorHAnsi"/>
          <w:lang w:eastAsia="en-GB"/>
        </w:rPr>
        <w:fldChar w:fldCharType="begin" w:fldLock="1"/>
      </w:r>
      <w:r w:rsidRPr="00B1522E">
        <w:rPr>
          <w:rFonts w:eastAsia="Times New Roman" w:cstheme="minorHAnsi"/>
          <w:lang w:eastAsia="en-GB"/>
        </w:rPr>
        <w:instrText>ADDIN CSL_CITATION {"citationItems":[{"id":"ITEM-1","itemData":{"ISSN":"1478-0887","author":[{"dropping-particle":"","family":"Braun","given":"Virginia","non-dropping-particle":"","parse-names":false,"suffix":""},{"dropping-particle":"","family":"Clarke","given":"Victoria","non-dropping-particle":"","parse-names":false,"suffix":""}],"container-title":"Qualitative research in psychology","id":"ITEM-1","issue":"2","issued":{"date-parts":[["2006"]]},"page":"77-101","publisher":"Taylor &amp; Francis","title":"Using thematic analysis in psychology","type":"article-journal","volume":"3"},"uris":["http://www.mendeley.com/documents/?uuid=7f5d2a3b-e7cc-4975-970e-584bd6a94686"]}],"mendeley":{"formattedCitation":"(Braun &amp; Clarke, 2006)","plainTextFormattedCitation":"(Braun &amp; Clarke, 2006)","previouslyFormattedCitation":"(Braun &amp; Clarke, 2006)"},"properties":{"noteIndex":0},"schema":"https://github.com/citation-style-language/schema/raw/master/csl-citation.json"}</w:instrText>
      </w:r>
      <w:r w:rsidRPr="00B1522E">
        <w:rPr>
          <w:rFonts w:eastAsia="Times New Roman" w:cstheme="minorHAnsi"/>
          <w:lang w:eastAsia="en-GB"/>
        </w:rPr>
        <w:fldChar w:fldCharType="separate"/>
      </w:r>
      <w:r w:rsidRPr="00B1522E">
        <w:rPr>
          <w:rFonts w:eastAsia="Times New Roman" w:cstheme="minorHAnsi"/>
          <w:noProof/>
          <w:lang w:eastAsia="en-GB"/>
        </w:rPr>
        <w:t>(Braun &amp; Clarke, 2006)</w:t>
      </w:r>
      <w:r w:rsidRPr="00B1522E">
        <w:rPr>
          <w:rFonts w:eastAsia="Times New Roman" w:cstheme="minorHAnsi"/>
          <w:lang w:eastAsia="en-GB"/>
        </w:rPr>
        <w:fldChar w:fldCharType="end"/>
      </w:r>
      <w:r w:rsidRPr="00B1522E">
        <w:rPr>
          <w:rFonts w:eastAsia="Times New Roman" w:cstheme="minorHAnsi"/>
          <w:lang w:eastAsia="en-GB"/>
        </w:rPr>
        <w:t xml:space="preserve">. </w:t>
      </w:r>
      <w:r w:rsidRPr="00B1522E">
        <w:rPr>
          <w:rFonts w:cstheme="minorHAnsi"/>
          <w:shd w:val="clear" w:color="auto" w:fill="FFFFFF"/>
        </w:rPr>
        <w:t xml:space="preserve">In contrast, </w:t>
      </w:r>
      <w:r w:rsidRPr="00B1522E">
        <w:rPr>
          <w:rFonts w:cstheme="minorHAnsi"/>
        </w:rPr>
        <w:t xml:space="preserve">a </w:t>
      </w:r>
      <w:r w:rsidRPr="00B1522E">
        <w:rPr>
          <w:rFonts w:eastAsia="Times New Roman" w:cstheme="minorHAnsi"/>
          <w:lang w:eastAsia="en-GB"/>
        </w:rPr>
        <w:t>deductive approach develops codes and themes informed by a r</w:t>
      </w:r>
      <w:r w:rsidRPr="00B1522E">
        <w:rPr>
          <w:rFonts w:cstheme="minorHAnsi"/>
          <w:shd w:val="clear" w:color="auto" w:fill="FFFFFF"/>
        </w:rPr>
        <w:t>esearcher’s theoretical interest</w:t>
      </w:r>
      <w:r w:rsidRPr="00B1522E">
        <w:rPr>
          <w:rFonts w:eastAsia="Times New Roman" w:cstheme="minorHAnsi"/>
          <w:lang w:eastAsia="en-GB"/>
        </w:rPr>
        <w:t xml:space="preserve">, so this approach </w:t>
      </w:r>
      <w:r w:rsidRPr="00B1522E">
        <w:rPr>
          <w:rFonts w:cstheme="minorHAnsi"/>
          <w:shd w:val="clear" w:color="auto" w:fill="FFFFFF"/>
        </w:rPr>
        <w:t>may provide a more detailed analysis of specific aspects of the data but often does not produce a rich description of the overall data</w:t>
      </w:r>
      <w:r w:rsidRPr="00B1522E">
        <w:rPr>
          <w:rFonts w:eastAsia="Times New Roman" w:cstheme="minorHAnsi"/>
          <w:lang w:eastAsia="en-GB"/>
        </w:rPr>
        <w:t xml:space="preserve"> </w:t>
      </w:r>
      <w:r w:rsidRPr="00B1522E">
        <w:rPr>
          <w:rFonts w:eastAsia="Times New Roman" w:cstheme="minorHAnsi"/>
          <w:lang w:eastAsia="en-GB"/>
        </w:rPr>
        <w:fldChar w:fldCharType="begin" w:fldLock="1"/>
      </w:r>
      <w:r w:rsidRPr="00B1522E">
        <w:rPr>
          <w:rFonts w:eastAsia="Times New Roman" w:cstheme="minorHAnsi"/>
          <w:lang w:eastAsia="en-GB"/>
        </w:rPr>
        <w:instrText>ADDIN CSL_CITATION {"citationItems":[{"id":"ITEM-1","itemData":{"ISSN":"1478-0887","author":[{"dropping-particle":"","family":"Braun","given":"Virginia","non-dropping-particle":"","parse-names":false,"suffix":""},{"dropping-particle":"","family":"Clarke","given":"Victoria","non-dropping-particle":"","parse-names":false,"suffix":""}],"container-title":"Qualitative research in psychology","id":"ITEM-1","issue":"2","issued":{"date-parts":[["2006"]]},"page":"77-101","publisher":"Taylor &amp; Francis","title":"Using thematic analysis in psychology","type":"article-journal","volume":"3"},"uris":["http://www.mendeley.com/documents/?uuid=7f5d2a3b-e7cc-4975-970e-584bd6a94686"]}],"mendeley":{"formattedCitation":"(Braun &amp; Clarke, 2006)","plainTextFormattedCitation":"(Braun &amp; Clarke, 2006)","previouslyFormattedCitation":"(Braun &amp; Clarke, 2006)"},"properties":{"noteIndex":0},"schema":"https://github.com/citation-style-language/schema/raw/master/csl-citation.json"}</w:instrText>
      </w:r>
      <w:r w:rsidRPr="00B1522E">
        <w:rPr>
          <w:rFonts w:eastAsia="Times New Roman" w:cstheme="minorHAnsi"/>
          <w:lang w:eastAsia="en-GB"/>
        </w:rPr>
        <w:fldChar w:fldCharType="separate"/>
      </w:r>
      <w:r w:rsidRPr="00B1522E">
        <w:rPr>
          <w:rFonts w:eastAsia="Times New Roman" w:cstheme="minorHAnsi"/>
          <w:noProof/>
          <w:lang w:eastAsia="en-GB"/>
        </w:rPr>
        <w:t>(Braun &amp; Clarke, 2006)</w:t>
      </w:r>
      <w:r w:rsidRPr="00B1522E">
        <w:rPr>
          <w:rFonts w:eastAsia="Times New Roman" w:cstheme="minorHAnsi"/>
          <w:lang w:eastAsia="en-GB"/>
        </w:rPr>
        <w:fldChar w:fldCharType="end"/>
      </w:r>
      <w:r w:rsidRPr="00B1522E">
        <w:rPr>
          <w:rFonts w:eastAsia="Times New Roman" w:cstheme="minorHAnsi"/>
          <w:lang w:eastAsia="en-GB"/>
        </w:rPr>
        <w:t xml:space="preserve">. </w:t>
      </w:r>
      <w:r w:rsidRPr="00B1522E">
        <w:rPr>
          <w:rFonts w:cstheme="minorHAnsi"/>
        </w:rPr>
        <w:t>For this reason, an inductive approach was appropriate for the qualitative data gathered in this thesis (Chapters 5 and 9).</w:t>
      </w:r>
    </w:p>
    <w:p w14:paraId="22601413" w14:textId="77777777" w:rsidR="00594AFC" w:rsidRPr="00B1522E" w:rsidRDefault="00594AFC" w:rsidP="00A86142">
      <w:pPr>
        <w:spacing w:line="480" w:lineRule="auto"/>
        <w:rPr>
          <w:rFonts w:cstheme="minorHAnsi"/>
        </w:rPr>
      </w:pPr>
      <w:bookmarkStart w:id="108" w:name="_Toc84678922"/>
    </w:p>
    <w:p w14:paraId="6032C260" w14:textId="738A7965" w:rsidR="00E639C2" w:rsidRPr="00B1522E" w:rsidRDefault="00300D33" w:rsidP="00A86142">
      <w:pPr>
        <w:spacing w:line="480" w:lineRule="auto"/>
      </w:pPr>
      <w:r w:rsidRPr="00B1522E">
        <w:fldChar w:fldCharType="begin"/>
      </w:r>
      <w:r w:rsidRPr="00B1522E">
        <w:instrText xml:space="preserve"> TC  "</w:instrText>
      </w:r>
      <w:bookmarkStart w:id="109" w:name="_Toc97310447"/>
      <w:r w:rsidRPr="00B1522E">
        <w:instrText xml:space="preserve">4.5.2 </w:instrText>
      </w:r>
      <w:r w:rsidR="0014445C" w:rsidRPr="00B1522E">
        <w:instrText>Questionnaire</w:instrText>
      </w:r>
      <w:bookmarkEnd w:id="109"/>
      <w:r w:rsidRPr="00B1522E">
        <w:instrText xml:space="preserve">" \f x\l </w:instrText>
      </w:r>
      <w:r w:rsidR="0046212A" w:rsidRPr="00B1522E">
        <w:instrText>3</w:instrText>
      </w:r>
      <w:r w:rsidRPr="00B1522E">
        <w:instrText xml:space="preserve"> </w:instrText>
      </w:r>
      <w:r w:rsidRPr="00B1522E">
        <w:fldChar w:fldCharType="end"/>
      </w:r>
      <w:r w:rsidR="00E639C2" w:rsidRPr="00B1522E">
        <w:t>4.5.</w:t>
      </w:r>
      <w:r w:rsidRPr="00B1522E">
        <w:t>2</w:t>
      </w:r>
      <w:r w:rsidR="00E639C2" w:rsidRPr="00B1522E">
        <w:t xml:space="preserve"> Questionnaires</w:t>
      </w:r>
      <w:bookmarkEnd w:id="108"/>
      <w:r w:rsidR="00E639C2" w:rsidRPr="00B1522E">
        <w:t xml:space="preserve"> </w:t>
      </w:r>
    </w:p>
    <w:p w14:paraId="1657C70D" w14:textId="6949B72D" w:rsidR="00E639C2" w:rsidRPr="00B1522E" w:rsidRDefault="00E639C2" w:rsidP="00A86142">
      <w:pPr>
        <w:spacing w:line="480" w:lineRule="auto"/>
        <w:jc w:val="both"/>
        <w:rPr>
          <w:rFonts w:cstheme="minorHAnsi"/>
        </w:rPr>
      </w:pPr>
      <w:r w:rsidRPr="00B1522E">
        <w:rPr>
          <w:rFonts w:cstheme="minorHAnsi"/>
          <w:shd w:val="clear" w:color="auto" w:fill="FFFFFF"/>
        </w:rPr>
        <w:t xml:space="preserve">Questionnaires are a well-established data collection tool that gather information from individuals  using a set of items which provide insights into a topic of interest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{"citationItems":[{"id":"ITEM-1","itemData":{"author":[{"dropping-particle":"","family":"Lavrakas","given":"Paul","non-dropping-particle":"","parse-names":false,"suffix":""}],"id":"ITEM-1","issued":{"date-parts":[["2008"]]},"publisher":"Sage Publications","publisher-place":"Thousand Oaks, California","title":"Encyclopedia of Survey Research Methods","type":"book"},"uris":["http://www.mendeley.com/documents/?uuid=90522320-4293-4615-843e-3c98ad1be4e9"]}],"mendeley":{"formattedCitation":"(Lavrakas, 2008)","plainTextFormattedCitation":"(Lavrakas, 2008)","previouslyFormattedCitation":"(Lavrakas, 2008)"},"properties":{"noteIndex":0},"schema":"https://github.com/citation-style-language/schema/raw/master/csl-citation.json"}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(Lavrakas, 2008)</w:t>
      </w:r>
      <w:r w:rsidRPr="00B1522E">
        <w:rPr>
          <w:rFonts w:cstheme="minorHAnsi"/>
          <w:shd w:val="clear" w:color="auto" w:fill="FFFFFF"/>
        </w:rPr>
        <w:fldChar w:fldCharType="end"/>
      </w:r>
      <w:r w:rsidRPr="00B1522E">
        <w:rPr>
          <w:rFonts w:cstheme="minorHAnsi"/>
          <w:shd w:val="clear" w:color="auto" w:fill="FFFFFF"/>
        </w:rPr>
        <w:t xml:space="preserve"> and are commonly used to collect information about behaviour, attitudes, and behavioural intentions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1660-5373","author":[{"dropping-particle":"","family":"Gupta","given":"Vikas","non-dropping-particle":"","parse-names":false,"suffix":""},{"dropping-particle":"","family":"Khanna","given":"Kavita","non-dropping-particle":"","parse-names":false,"suffix":""},{"dropping-particle":"","family":"Gupta","given":"Raj Kumar","non-dropping-particle":"","parse-names":false,"suffix":""}],"container-title":"Tourism Review","id":"ITEM-1","issue":"3","issued":{"date-parts":[["2018"]]},"page":"374-388","publisher":"Emerald Publishing Limited","title":"A study on the street food dimensions and its effects on consumer attitude and behavioural intentions","type":"article-journal","volume":"73"},"uris":["http://www.mendeley.com/documents/?uuid=5465376b-950d-4040-9cb1-7c604640c536"]},{"id":"ITEM-2","itemData":{"ISSN":"03051862","abstract":"Background Previous research has established that poor diets and eating patterns are associated with numerous adverse health outcomes. This study explored the relationships between two specific eating behaviours (daily junk food consumption and irregular eating) and self-reported physical and mental health of secondary school children, and their association with perceived parenting and child health. Methods 10 645 participants aged between 12 and 16 completed measures of junk food consumption, irregular eating, parental style, and mental and physical health through the use of an online survey implemented within 30 schools in a large British city. Results 2.9% of the sample reported never eating regularly and while 17.2% reported daily consumption of junk food. Young people who reported eating irregularly and consuming junk food daily were at a significantly greater risk of poorer mental ( OR 5.41, 95% confidence interval 4.03-7.25 and 2.75, 95% confidence interval 1.99-3.78) and physical health ( OR 4.56, 95% confidence interval 3.56-5.85 and 2.00, 95% confidence interval 1.63-2.47). Authoritative parenting was associated with healthier eating behaviours, and better mental and physical health in comparison to other parenting styles. Discussion A worrying proportion of secondary school children report unhealthy eating behaviours, particularly daily consumption of junk food, which may be associated with poorer mental and physical health. Parenting style may influence dietary habits. Interventions to improve diet may be more beneficial if also they address parenting strategies and issues related to mental and physical health. [ABSTRACT FROM AUTHOR]","author":[{"dropping-particle":"","family":"Zahra","given":"J","non-dropping-particle":"","parse-names":false,"suffix":""},{"dropping-particle":"","family":"Ford","given":"T","non-dropping-particle":"","parse-names":false,"suffix":""},{"dropping-particle":"","family":"Jodrell","given":"D","non-dropping-particle":"","parse-names":false,"suffix":""}],"container-title":"Child: Care, Health &amp; Development","id":"ITEM-2","issue":"4","issued":{"date-parts":[["2014","7"]]},"page":"481-491","publisher":"Wiley-Blackwell","title":"Cross-sectional survey of daily junk food consumption, irregular eating, mental and physical health and parenting style of British secondary school children.","type":"article-journal","volume":"40"},"uris":["http://www.mendeley.com/documents/?uuid=a2b3c466-dd97-4f79-8289-aa0ed5007f7b"]},{"id":"ITEM-3","itemData":{"ISSN":"0090-0036","abstract":"Objectives: In light of the alarming increase in childhood obesity and lack of evidence for the effectiveness of school programs, we studied the effects of school programs in regard to preventing excess body weight. Methods: In 2003, we surveyed 5200 grade 5 students along with their parents and school principals. We measured height and weight, assessed dietary intake, and collected information on physical and sedentary activities. We compared excess body weight, diet, and physical activity across schools with and without nutrition programs using multilevel regression methods while adjusting for gender and socioeconomic characteristics of parents and residential neighborhoods. Results: Students from schools participating in a coordinated program that incorporated recommendations for school-based healthy eating programs exhibited significantly lower rates of overweight and obesity, had healthier diets, and reported more physical activities than students from schools without nutrition programs. Conclusions: Our finding that school programs are effective in preventing childhood obesity supports the need for broader implementation of successful programs, which will reduce childhood obesity and, in the longer term, comorbid conditions and health care spending. (PsycINFO Database Record (c) 2012 APA, all rights reserved). (journal abstract)","author":[{"dropping-particle":"","family":"Veugelers","given":"Paul J","non-dropping-particle":"","parse-names":false,"suffix":""},{"dropping-particle":"","family":"Fitzgerald","given":"Angela L","non-dropping-particle":"","parse-names":false,"suffix":""}],"container-title":"American Journal of Public Health","id":"ITEM-3","issue":"3","issued":{"date-parts":[["2005","3"]]},"note":"Accession Number: 2005-02321-006. PMID: 15727972 Partial author list: First Author &amp;amp; Affiliation: Veugelers, Paul J.; Department of Community Health and Epidemiology, Dalhousie University, Halifax, NS, Canada. Release Date: 20050829. Publication Type: Journal (0100), Peer Reviewed Journal (0110). Format Covered: Electronic. Document Type: Journal Article. Language: English. Major Descriptor: After School Programs; Body Weight; Obesity; School Based Intervention; Weight Control. Classification: Educational/Vocational Counseling &amp;amp; Student Services (3580). Population: Human (10). Location: Canada. Age Group: Childhood (birth-12 yrs) (100); School Age (6-12 yrs) (180). Tests &amp;amp; Measures: Harvard Youth Adolescent Food Frequency Questionnaire; Diet Quality Index. Methodology: Empirical Study; Quantitative Study. References Available: Y. Page Count: 4. Issue Publication Date: Mar, 2005.","page":"432-435","publisher":"American Public Health Assn","publisher-place":"Veugelers, Paul J., Department of Public Health Sciences, Faculty of Medicine and Dentistry, University of Alberta, Room 13-106D, Clinical Sciences Bldg, Edmonton, AB, Canada, T6G 2G3","title":"Effectiveness of School Programs in Preventing Childhood Obesity: A Multilevel Comparison.","type":"article-journal","volume":"95"},"uris":["http://www.mendeley.com/documents/?uuid=49b781d6-317b-4772-8d41-ea666508498d"]},{"id":"ITEM-4","itemData":{"ISSN":"0195-6663","abstract":"This study evaluated the efficacy of self-regulation interventions through the use of drink-specific implementation intentions and drink-specific Go/No-Go training tasks as compensatory strategies to modify inhibitory control to reduce intake of sugar-sweetened beverages (SSB). In a between-subjects randomized manipulation of implementation intentions and Go/No-Go training to learn to inhibit sugary drink consumption, 168 adolescents reporting inhibitory control problems over sugary drinks and foods were recruited from high schools in southern California to participate. Analysis of covariance overall test of effects revealed no significant differences between the groups regarding calories consumed, calories from SSBs, grams of sugar consumed from drinks, or the number of unhealthy drinks chosen. However, subsequent contrasts revealed SSB implementation intentions significantly reduced SSB consumption following intervention while controlling for inhibitory control failure and general SSB consumption during observation in a lab setting that provided SSBs and healthy drinks, as well as healthy and unhealthy snacks. Specifically, during post-intervention observation, participants in the sugar-sweetened beverage implementation intentions (SSB-II) conditions consumed significantly fewer calories overall, fewer calories from drinks, and fewer grams of sugar. No effects were found for the drink-specific Go/No-Go training on SSB or calorie consumption. However, participants in SSB-II with an added SSB Go/No-Go training made fewer unhealthy drink choices than those in the other conditions. Implementation intentions may aid individuals with inhibitory (executive control) difficulties by intervening on pre-potent behavioral tendencies, like SSB consumption. (PsycINFO Database Record (c) 2016 APA, all rights reserved)","author":[{"dropping-particle":"","family":"Ames","given":"Susan L","non-dropping-particle":"","parse-names":false,"suffix":""},{"dropping-particle":"","family":"Wurpts","given":"Ingrid C","non-dropping-particle":"","parse-names":false,"suffix":""},{"dropping-particle":"","family":"Pike","given":"James R","non-dropping-particle":"","parse-names":false,"suffix":""},{"dropping-particle":"","family":"MacKinnon","given":"David P","non-dropping-particle":"","parse-names":false,"suffix":""},{"dropping-particle":"","family":"Reynolds","given":"Kim R","non-dropping-particle":"","parse-names":false,"suffix":""},{"dropping-particle":"","family":"Stacy","given":"Alan W","non-dropping-particle":"","parse-names":false,"suffix":""}],"container-title":"Appetite","id":"ITEM-4","issued":{"date-parts":[["2016","10","1"]]},"note":"Accession Number: 2016-39658-080. PMID: 27374899 Partial author list: First Author &amp;amp; Affiliation: Ames, Susan L.; School of Community and Global Health, Claremont Graduate University, Claremont, CA, US. Release Date: 20160919. Publication Type: Journal (0100), Peer Reviewed Journal (0110). Format Covered: Electronic. Document Type: Journal Article. Language: English. Grant Information: Pike, James R. Major Descriptor: Beverages (Nonalcoholic); Intention; Intervention; Self-Control; Sugars. Minor Descriptor: Health Promotion. Classification: Promotion &amp;amp; Maintenance of Health &amp;amp; Wellness (3365). Population: Human (10); Male (30); Female (40). Location: US. Age Group: Adolescence (13-17 yrs) (200). Tests &amp;amp; Measures: Family Affluence Scale; Youth/Adolescent Questionnaire-Modified Version; Go/No-Go Task; Acculturation, Habits, and Interests Multicultural Scale for Adolescents DOI: 10.1037/t03885-000. Methodology: Empirical Study; Quantitative Study. Supplemental Data: Other Internet. Page Count: 11. Issue Publication Date: Oct 1, 2016. Publication History: First Posted Date: Jul 1, 2016; Accepted Date: Jun 28, 2016; Revised Date: Jun 2, 2016; First Submitted Date: Nov 13, 2015. Copyright Statement: Elsevier Ltd. 2016.","page":"652-662","publisher":"Elsevier Science","publisher-place":"Ames, Susan L., School of Community and Global Health, Claremont Graduate University, 675 West Foothill Blvd. Suite 310, Claremont, CA, US, 91711-3475","title":"Self-regulation interventions to reduce consumption of sugar-sweetened beverages in adolescents.","type":"article-journal","volume":"105"},"uris":["http://www.mendeley.com/documents/?uuid=48c464c0-afa1-4b5f-b548-d3d9c17b409a"]}],"mendeley":{"formattedCitation":"(Ames et al., 2016; V. Gupta et al., 2018; Veugelers &amp; Fitzgerald, 2005; Zahra et al., 2014)","manualFormatting":"(Ames et al., 2016; Gupta et al., 2018; Veugelers &amp; Fitzgerald, 2005; Zahra et al., 2014)","plainTextFormattedCitation":"(Ames et al., 2016; V. Gupta et al., 2018; Veugelers &amp; Fitzgerald, 2005; Zahra et al., 2014)","previouslyFormattedCitation":"(Ames et al., 2016; V. Gupta et al., 2018; Veugelers &amp; Fitzgerald, 2005; Zahra et al., 2014)"},"properties":{"noteIndex":0},"schema":"https://github.com/citation-style-language/schema/raw/master/csl-citation.json"}</w:instrText>
      </w:r>
      <w:r w:rsidRPr="00B1522E">
        <w:rPr>
          <w:rFonts w:cstheme="minorHAnsi"/>
          <w:shd w:val="clear" w:color="auto" w:fill="FFFFFF"/>
        </w:rPr>
        <w:fldChar w:fldCharType="separate"/>
      </w:r>
      <w:r w:rsidR="00D671A4" w:rsidRPr="00B1522E">
        <w:rPr>
          <w:rFonts w:cstheme="minorHAnsi"/>
          <w:noProof/>
          <w:shd w:val="clear" w:color="auto" w:fill="FFFFFF"/>
          <w:lang w:val="fr-FR"/>
        </w:rPr>
        <w:t xml:space="preserve">(Ames et al., 2016; </w:t>
      </w:r>
      <w:r w:rsidR="00D671A4" w:rsidRPr="00B1522E">
        <w:rPr>
          <w:rFonts w:cstheme="minorHAnsi"/>
          <w:noProof/>
          <w:shd w:val="clear" w:color="auto" w:fill="FFFFFF"/>
          <w:lang w:val="fr-FR"/>
        </w:rPr>
        <w:lastRenderedPageBreak/>
        <w:t>Gupta et al., 2018; Veugelers &amp; Fitzgerald, 2005; Zahra et al., 2014)</w:t>
      </w:r>
      <w:r w:rsidRPr="00B1522E">
        <w:rPr>
          <w:rFonts w:cstheme="minorHAnsi"/>
          <w:shd w:val="clear" w:color="auto" w:fill="FFFFFF"/>
        </w:rPr>
        <w:fldChar w:fldCharType="end"/>
      </w:r>
      <w:r w:rsidRPr="00B1522E">
        <w:rPr>
          <w:rFonts w:cstheme="minorHAnsi"/>
          <w:shd w:val="clear" w:color="auto" w:fill="FFFFFF"/>
          <w:lang w:val="fr-FR"/>
        </w:rPr>
        <w:t xml:space="preserve">.  </w:t>
      </w:r>
      <w:r w:rsidRPr="00B1522E">
        <w:rPr>
          <w:rFonts w:cstheme="minorHAnsi"/>
          <w:shd w:val="clear" w:color="auto" w:fill="FFFFFF"/>
        </w:rPr>
        <w:t>Questionnaires are flexible and can be used not only to collect quantitative data using closed-ended responses but can also be used to collect qualitative data exploring individual experiences and perceptions using</w:t>
      </w:r>
      <w:r w:rsidRPr="00B1522E">
        <w:rPr>
          <w:rFonts w:cstheme="minorHAnsi"/>
        </w:rPr>
        <w:t xml:space="preserve"> open-ended response options </w:t>
      </w:r>
      <w:r w:rsidRPr="00B1522E">
        <w:rPr>
          <w:rFonts w:cstheme="minorHAnsi"/>
        </w:rPr>
        <w:fldChar w:fldCharType="begin" w:fldLock="1"/>
      </w:r>
      <w:r w:rsidR="00660052" w:rsidRPr="00B1522E">
        <w:rPr>
          <w:rFonts w:cstheme="minorHAnsi"/>
        </w:rPr>
        <w:instrText>ADDIN CSL_CITATION {"citationItems":[{"id":"ITEM-1","itemData":{"ISSN":"1799-2591","author":[{"dropping-particle":"","family":"Zohrabi","given":"Mohammad","non-dropping-particle":"","parse-names":false,"suffix":""}],"container-title":"Theory &amp; practice in language studies","id":"ITEM-1","issue":"2","issued":{"date-parts":[["2013"]]},"page":"254-262","title":"Mixed Method Research: Instruments, Validity, Reliability and Reporting Findings.","type":"article-journal","volume":"3"},"uris":["http://www.mendeley.com/documents/?uuid=820ea6de-5c9a-4b1f-bd53-5fd39ce13b2a"]}],"mendeley":{"formattedCitation":"(Zohrabi, 2013)","plainTextFormattedCitation":"(Zohrabi, 2013)","previouslyFormattedCitation":"(Zohrabi, 2013)"},"properties":{"noteIndex":0},"schema":"https://github.com/citation-style-language/schema/raw/master/csl-citation.json"}</w:instrText>
      </w:r>
      <w:r w:rsidRPr="00B1522E">
        <w:rPr>
          <w:rFonts w:cstheme="minorHAnsi"/>
        </w:rPr>
        <w:fldChar w:fldCharType="separate"/>
      </w:r>
      <w:r w:rsidRPr="00B1522E">
        <w:rPr>
          <w:rFonts w:cstheme="minorHAnsi"/>
          <w:noProof/>
        </w:rPr>
        <w:t>(Zohrabi, 2013)</w:t>
      </w:r>
      <w:r w:rsidRPr="00B1522E">
        <w:rPr>
          <w:rFonts w:cstheme="minorHAnsi"/>
        </w:rPr>
        <w:fldChar w:fldCharType="end"/>
      </w:r>
      <w:r w:rsidRPr="00B1522E">
        <w:rPr>
          <w:rFonts w:cstheme="minorHAnsi"/>
        </w:rPr>
        <w:t xml:space="preserve">. The advantages of questionnaires </w:t>
      </w:r>
      <w:r w:rsidRPr="00B1522E">
        <w:rPr>
          <w:rFonts w:cstheme="minorHAnsi"/>
          <w:shd w:val="clear" w:color="auto" w:fill="FFFFFF"/>
        </w:rPr>
        <w:t xml:space="preserve">are that </w:t>
      </w:r>
      <w:r w:rsidRPr="00B1522E">
        <w:rPr>
          <w:rFonts w:cstheme="minorHAnsi"/>
        </w:rPr>
        <w:t xml:space="preserve">they are simple to deliver and can be used to collect a large amount of data in a limited amount of time </w:t>
      </w:r>
      <w:r w:rsidRPr="00B1522E">
        <w:rPr>
          <w:rFonts w:cstheme="minorHAnsi"/>
        </w:rPr>
        <w:fldChar w:fldCharType="begin" w:fldLock="1"/>
      </w:r>
      <w:r w:rsidR="00DF6CCC" w:rsidRPr="00B1522E">
        <w:rPr>
          <w:rFonts w:cstheme="minorHAnsi"/>
        </w:rPr>
        <w:instrText>ADDIN CSL_CITATION {"citationItems":[{"id":"ITEM-1","itemData":{"ISSN":"1353-4505","abstract":"Survey research is sometimes regarded as an easy research approach. However, as with any other research approach and method, it is easy to conduct a survey of poor quality rather than one of high quality and real value. This paper provides a checklist of good practice in the conduct and reporting of survey research. Its purpose is to assist the novice researcher to produce survey work to a high standard, meaning a standard at which the results will be regarded as credible. The paper first provides an overview of the approach and then guides the reader step-by-step through the processes of data collection, data analysis, and reporting. It is not intended to provide a manual of how to conduct a survey, but rather to identify common pitfalls and oversights to be avoided by researchers if their work is to be valid and credible.","author":[{"dropping-particle":"","family":"Kelley","given":"Kate","non-dropping-particle":"","parse-names":false,"suffix":""},{"dropping-particle":"","family":"Clarke","given":"Belinda","non-dropping-particle":"","parse-names":false,"suffix":""},{"dropping-particle":"","family":"Brown","given":"Vivienne","non-dropping-particle":"","parse-names":false,"suffix":""},{"dropping-particle":"","family":"Sitzai","given":"John","non-dropping-particle":"","parse-names":false,"suffix":""}],"container-title":"International Journal for Quality in Health Care","id":"ITEM-1","issue":"3","issued":{"date-parts":[["2003","5","1"]]},"page":"261-266","title":"Good practice in the conduct and reporting of survey research","type":"article-journal","volume":"15"},"uris":["http://www.mendeley.com/documents/?uuid=d0ac9189-7835-4897-91c5-d27e95bb55d5"]}],"mendeley":{"formattedCitation":"(Kelley et al., 2003)","plainTextFormattedCitation":"(Kelley et al., 2003)","previouslyFormattedCitation":"(Kelley et al., 2003)"},"properties":{"noteIndex":0},"schema":"https://github.com/citation-style-language/schema/raw/master/csl-citation.json"}</w:instrText>
      </w:r>
      <w:r w:rsidRPr="00B1522E">
        <w:rPr>
          <w:rFonts w:cstheme="minorHAnsi"/>
        </w:rPr>
        <w:fldChar w:fldCharType="separate"/>
      </w:r>
      <w:r w:rsidR="004B7FAF" w:rsidRPr="00B1522E">
        <w:rPr>
          <w:rFonts w:cstheme="minorHAnsi"/>
          <w:noProof/>
        </w:rPr>
        <w:t>(Kelley et al., 2003)</w:t>
      </w:r>
      <w:r w:rsidRPr="00B1522E">
        <w:rPr>
          <w:rFonts w:cstheme="minorHAnsi"/>
        </w:rPr>
        <w:fldChar w:fldCharType="end"/>
      </w:r>
      <w:r w:rsidRPr="00B1522E">
        <w:rPr>
          <w:rFonts w:cstheme="minorHAnsi"/>
        </w:rPr>
        <w:t xml:space="preserve">. There is some discussion about whether self-report questionnaires are an accurate measurement tool since individuals can provide inaccurate responses creating bias, which may be influenced by long questionnaires and difficult-to-understand items and/or participants providing socially desirable responses </w:t>
      </w:r>
      <w:r w:rsidRPr="00B1522E">
        <w:rPr>
          <w:rFonts w:cstheme="minorHAnsi"/>
        </w:rPr>
        <w:fldChar w:fldCharType="begin" w:fldLock="1"/>
      </w:r>
      <w:r w:rsidR="00660052" w:rsidRPr="00B1522E">
        <w:rPr>
          <w:rFonts w:cstheme="minorHAnsi"/>
        </w:rPr>
        <w:instrText>ADDIN CSL_CITATION {"citationItems":[{"id":"ITEM-1","itemData":{"ISSN":"1178-2390","abstract":"As with other fields, medical sciences are subject to different sources of bias. While understanding sources of bias is a key element for drawing valid conclusions, bias in health research continues to be a very sensitive issue that can affect the focus and outcome of investigations. Information bias, otherwise known as misclassification, is one of the most common sources of bias that affects the validity of health research. It originates from the approach that is utilized to obtain or confirm study measurements. This paper seeks to raise awareness of information bias in observational and experimental research study designs as well as to enrich discussions concerning bias problems. Specifying the types of bias can be essential to limit its effects and, the use of adjustment methods might serve to improve clinical evaluation and health care practice.","author":[{"dropping-particle":"","family":"Althubaiti","given":"Alaa","non-dropping-particle":"","parse-names":false,"suffix":""}],"container-title":"Journal of multidisciplinary healthcare","id":"ITEM-1","issued":{"date-parts":[["2016","5","4"]]},"language":"eng","page":"211-217","publisher":"Dove Medical Press","title":"Information bias in health research: definition, pitfalls, and adjustment methods","type":"article-journal","volume":"9"},"uris":["http://www.mendeley.com/documents/?uuid=1d87ab80-9a65-4da3-aa07-2b2ff2f1cb32"]}],"mendeley":{"formattedCitation":"(Althubaiti, 2016)","plainTextFormattedCitation":"(Althubaiti, 2016)","previouslyFormattedCitation":"(Althubaiti, 2016)"},"properties":{"noteIndex":0},"schema":"https://github.com/citation-style-language/schema/raw/master/csl-citation.json"}</w:instrText>
      </w:r>
      <w:r w:rsidRPr="00B1522E">
        <w:rPr>
          <w:rFonts w:cstheme="minorHAnsi"/>
        </w:rPr>
        <w:fldChar w:fldCharType="separate"/>
      </w:r>
      <w:r w:rsidRPr="00B1522E">
        <w:rPr>
          <w:rFonts w:cstheme="minorHAnsi"/>
          <w:noProof/>
        </w:rPr>
        <w:t>(Althubaiti, 2016)</w:t>
      </w:r>
      <w:r w:rsidRPr="00B1522E">
        <w:rPr>
          <w:rFonts w:cstheme="minorHAnsi"/>
        </w:rPr>
        <w:fldChar w:fldCharType="end"/>
      </w:r>
      <w:r w:rsidRPr="00B1522E">
        <w:rPr>
          <w:rFonts w:cstheme="minorHAnsi"/>
        </w:rPr>
        <w:t xml:space="preserve">. When aiming to collect information about dietary behaviour, observational data might provide more accurate reflection of individual behaviour </w:t>
      </w:r>
      <w:r w:rsidRPr="00B1522E">
        <w:rPr>
          <w:rFonts w:cstheme="minorHAnsi"/>
        </w:rPr>
        <w:fldChar w:fldCharType="begin" w:fldLock="1"/>
      </w:r>
      <w:r w:rsidR="00D046DC" w:rsidRPr="00B1522E">
        <w:rPr>
          <w:rFonts w:cstheme="minorHAnsi"/>
        </w:rPr>
        <w:instrText>ADDIN CSL_CITATION {"citationItems":[{"id":"ITEM-1","itemData":{"ISSN":"1479-5868","abstract":"Behavioral coding of videotaped eating and feeding interactions can provide researchers with rich observational data and unique insights into eating behaviors, food intake, food selection as well as interpersonal and mealtime dynamics of children and their families. Unlike self-report measures of eating and feeding practices, the coding of videotaped eating and feeding behaviors can allow for the quantitative and qualitative examinations of behaviors and practices that participants may not self-report. While this methodology is increasingly more common, behavioral coding protocols and methodology are not widely shared in the literature. This has important implications for validity and reliability of coding schemes across settings. Additional guidance on how to design, implement, code and analyze videotaped eating and feeding behaviors could contribute to advancing the science of behavioral nutrition. The objectives of this narrative review are to review methodology for the design, operationalization, and coding of videotaped behavioral eating and feeding data in children and their families, and to highlight best practices.","author":[{"dropping-particle":"","family":"Pesch","given":"Megan H","non-dropping-particle":"","parse-names":false,"suffix":""},{"dropping-particle":"","family":"Lumeng","given":"Julie C","non-dropping-particle":"","parse-names":false,"suffix":""}],"container-title":"International Journal of Behavioral Nutrition and Physical Activity","id":"ITEM-1","issue":"1","issued":{"date-parts":[["2017"]]},"page":"170","title":"Methodological considerations for observational coding of eating and feeding behaviors in children and their families","type":"article-journal","volume":"14"},"uris":["http://www.mendeley.com/documents/?uuid=16da7a67-d43e-4ee1-aa9b-57ede82f71b7"]}],"mendeley":{"formattedCitation":"(Pesch &amp; Lumeng, 2017)","plainTextFormattedCitation":"(Pesch &amp; Lumeng, 2017)","previouslyFormattedCitation":"(Pesch &amp; Lumeng, 2017)"},"properties":{"noteIndex":0},"schema":"https://github.com/citation-style-language/schema/raw/master/csl-citation.json"}</w:instrText>
      </w:r>
      <w:r w:rsidRPr="00B1522E">
        <w:rPr>
          <w:rFonts w:cstheme="minorHAnsi"/>
        </w:rPr>
        <w:fldChar w:fldCharType="separate"/>
      </w:r>
      <w:r w:rsidRPr="00B1522E">
        <w:rPr>
          <w:rFonts w:cstheme="minorHAnsi"/>
          <w:noProof/>
        </w:rPr>
        <w:t>(Pesch &amp; Lumeng, 2017)</w:t>
      </w:r>
      <w:r w:rsidRPr="00B1522E">
        <w:rPr>
          <w:rFonts w:cstheme="minorHAnsi"/>
        </w:rPr>
        <w:fldChar w:fldCharType="end"/>
      </w:r>
      <w:r w:rsidRPr="00B1522E">
        <w:rPr>
          <w:rFonts w:cstheme="minorHAnsi"/>
        </w:rPr>
        <w:t xml:space="preserve">; nevertheless, this can be cumbersome especially when there is a large sample size </w:t>
      </w:r>
      <w:r w:rsidRPr="00B1522E">
        <w:rPr>
          <w:rFonts w:cstheme="minorHAnsi"/>
        </w:rPr>
        <w:fldChar w:fldCharType="begin" w:fldLock="1"/>
      </w:r>
      <w:r w:rsidR="00DF6CCC" w:rsidRPr="00B1522E">
        <w:rPr>
          <w:rFonts w:cstheme="minorHAnsi"/>
        </w:rPr>
        <w:instrText>ADDIN CSL_CITATION {"citationItems":[{"id":"ITEM-1","itemData":{"ISSN":"1752-8054","author":[{"dropping-particle":"","family":"Kaplan","given":"Robert M","non-dropping-particle":"","parse-names":false,"suffix":""},{"dropping-particle":"","family":"Chambers","given":"David A","non-dropping-particle":"","parse-names":false,"suffix":""},{"dropping-particle":"","family":"Glasgow","given":"Russell E","non-dropping-particle":"","parse-names":false,"suffix":""}],"container-title":"Clinical and translational science","id":"ITEM-1","issue":"4","issued":{"date-parts":[["2014"]]},"page":"342-346","publisher":"Wiley Online Library","title":"Big data and large sample size: a cautionary note on the potential for bias","type":"article-journal","volume":"7"},"uris":["http://www.mendeley.com/documents/?uuid=c7c367da-5553-49e7-8af7-7b3f0cb4ace4"]}],"mendeley":{"formattedCitation":"(Kaplan et al., 2014)","plainTextFormattedCitation":"(Kaplan et al., 2014)","previouslyFormattedCitation":"(Kaplan et al., 2014)"},"properties":{"noteIndex":0},"schema":"https://github.com/citation-style-language/schema/raw/master/csl-citation.json"}</w:instrText>
      </w:r>
      <w:r w:rsidRPr="00B1522E">
        <w:rPr>
          <w:rFonts w:cstheme="minorHAnsi"/>
        </w:rPr>
        <w:fldChar w:fldCharType="separate"/>
      </w:r>
      <w:r w:rsidR="004B7FAF" w:rsidRPr="00B1522E">
        <w:rPr>
          <w:rFonts w:cstheme="minorHAnsi"/>
          <w:noProof/>
        </w:rPr>
        <w:t>(Kaplan et al., 2014)</w:t>
      </w:r>
      <w:r w:rsidRPr="00B1522E">
        <w:rPr>
          <w:rFonts w:cstheme="minorHAnsi"/>
        </w:rPr>
        <w:fldChar w:fldCharType="end"/>
      </w:r>
      <w:r w:rsidRPr="00B1522E">
        <w:rPr>
          <w:rFonts w:cstheme="minorHAnsi"/>
        </w:rPr>
        <w:t xml:space="preserve"> and poses a difficulty when trying to compare changes in a specific behaviour, e.g. snacking, or fruit and vegetable consumption. Collecting data via observations may also lead to bias as individuals may alter behaviour under observation (Hawthorne effect) </w:t>
      </w:r>
      <w:r w:rsidRPr="00B1522E">
        <w:rPr>
          <w:rFonts w:cstheme="minorHAnsi"/>
        </w:rPr>
        <w:fldChar w:fldCharType="begin" w:fldLock="1"/>
      </w:r>
      <w:r w:rsidR="007463D4" w:rsidRPr="00B1522E">
        <w:rPr>
          <w:rFonts w:cstheme="minorHAnsi"/>
        </w:rPr>
        <w:instrText>ADDIN CSL_CITATION {"citationItems":[{"id":"ITEM-1","itemData":{"ISBN":"1936-4725","author":[{"dropping-particle":"","family":"Brannigan","given":"Augustine","non-dropping-particle":"","parse-names":false,"suffix":""},{"dropping-particle":"","family":"Zwerman","given":"William","non-dropping-particle":"","parse-names":false,"suffix":""}],"container-title":"Society","id":"ITEM-1","issue":"38","issued":{"date-parts":[["2001"]]},"page":"55-60","title":"The real “hawthorne effect”","type":"article-journal"},"uris":["http://www.mendeley.com/documents/?uuid=01f5df61-f738-498d-8002-5b6e055ca920"]}],"mendeley":{"formattedCitation":"(Brannigan &amp; Zwerman, 2001)","plainTextFormattedCitation":"(Brannigan &amp; Zwerman, 2001)","previouslyFormattedCitation":"(Brannigan &amp; Zwerman, 2001)"},"properties":{"noteIndex":0},"schema":"https://github.com/citation-style-language/schema/raw/master/csl-citation.json"}</w:instrText>
      </w:r>
      <w:r w:rsidRPr="00B1522E">
        <w:rPr>
          <w:rFonts w:cstheme="minorHAnsi"/>
        </w:rPr>
        <w:fldChar w:fldCharType="separate"/>
      </w:r>
      <w:r w:rsidRPr="00B1522E">
        <w:rPr>
          <w:rFonts w:cstheme="minorHAnsi"/>
          <w:noProof/>
        </w:rPr>
        <w:t>(Brannigan &amp; Zwerman, 2001)</w:t>
      </w:r>
      <w:r w:rsidRPr="00B1522E">
        <w:rPr>
          <w:rFonts w:cstheme="minorHAnsi"/>
        </w:rPr>
        <w:fldChar w:fldCharType="end"/>
      </w:r>
      <w:r w:rsidRPr="00B1522E">
        <w:rPr>
          <w:rFonts w:cstheme="minorHAnsi"/>
        </w:rPr>
        <w:t xml:space="preserve"> and this method is restrictive as it is unable to collect data on attitudes, behavioural intentions, and normative perceptions. Researchers have pointed out that if data collection methods that collect self-report data are correctly applied, they can provide a wider range of responses </w:t>
      </w:r>
      <w:r w:rsidRPr="00B1522E">
        <w:rPr>
          <w:rFonts w:cstheme="minorHAnsi"/>
        </w:rPr>
        <w:fldChar w:fldCharType="begin" w:fldLock="1"/>
      </w:r>
      <w:r w:rsidR="00DF6CCC" w:rsidRPr="00B1522E">
        <w:rPr>
          <w:rFonts w:cstheme="minorHAnsi"/>
        </w:rPr>
        <w:instrText>ADDIN CSL_CITATION {"citationItems":[{"id":"ITEM-1","itemData":{"ISSN":"1464-3685","author":[{"dropping-particle":"","family":"Zhu","given":"Khangmin","non-dropping-particle":"","parse-names":false,"suffix":""},{"dropping-particle":"","family":"McKnight","given":"Barbara","non-dropping-particle":"","parse-names":false,"suffix":""},{"dropping-particle":"","family":"Stergachis","given":"Andy","non-dropping-particle":"","parse-names":false,"suffix":""},{"dropping-particle":"","family":"Daling","given":"Janet R","non-dropping-particle":"","parse-names":false,"suffix":""},{"dropping-particle":"","family":"Levine","given":"Robert S","non-dropping-particle":"","parse-names":false,"suffix":""}],"container-title":"International journal of epidemiology","id":"ITEM-1","issue":"3","issued":{"date-parts":[["1999"]]},"page":"409-417","title":"Comparison of self-report data and medical records data: results from a case-control study on prostate cancer.","type":"article-journal","volume":"28"},"uris":["http://www.mendeley.com/documents/?uuid=4694f49c-0b2b-4287-9ec4-37b57d6e44a9"]}],"mendeley":{"formattedCitation":"(Zhu et al., 1999)","plainTextFormattedCitation":"(Zhu et al., 1999)","previouslyFormattedCitation":"(Zhu et al., 1999)"},"properties":{"noteIndex":0},"schema":"https://github.com/citation-style-language/schema/raw/master/csl-citation.json"}</w:instrText>
      </w:r>
      <w:r w:rsidRPr="00B1522E">
        <w:rPr>
          <w:rFonts w:cstheme="minorHAnsi"/>
        </w:rPr>
        <w:fldChar w:fldCharType="separate"/>
      </w:r>
      <w:r w:rsidR="004B7FAF" w:rsidRPr="00B1522E">
        <w:rPr>
          <w:rFonts w:cstheme="minorHAnsi"/>
          <w:noProof/>
        </w:rPr>
        <w:t>(Zhu et al., 1999)</w:t>
      </w:r>
      <w:r w:rsidRPr="00B1522E">
        <w:rPr>
          <w:rFonts w:cstheme="minorHAnsi"/>
        </w:rPr>
        <w:fldChar w:fldCharType="end"/>
      </w:r>
      <w:r w:rsidRPr="00B1522E">
        <w:rPr>
          <w:rFonts w:cstheme="minorHAnsi"/>
        </w:rPr>
        <w:t xml:space="preserve">, and questionnaires can be valuable in obtaining participants’ perceptions, views and opinions </w:t>
      </w:r>
      <w:r w:rsidRPr="00B1522E">
        <w:rPr>
          <w:rFonts w:cstheme="minorHAnsi"/>
        </w:rPr>
        <w:fldChar w:fldCharType="begin" w:fldLock="1"/>
      </w:r>
      <w:r w:rsidR="00660052" w:rsidRPr="00B1522E">
        <w:rPr>
          <w:rFonts w:cstheme="minorHAnsi"/>
        </w:rPr>
        <w:instrText>ADDIN CSL_CITATION {"citationItems":[{"id":"ITEM-1","itemData":{"ISSN":"1178-2390","abstract":"As with other fields, medical sciences are subject to different sources of bias. While understanding sources of bias is a key element for drawing valid conclusions, bias in health research continues to be a very sensitive issue that can affect the focus and outcome of investigations. Information bias, otherwise known as misclassification, is one of the most common sources of bias that affects the validity of health research. It originates from the approach that is utilized to obtain or confirm study measurements. This paper seeks to raise awareness of information bias in observational and experimental research study designs as well as to enrich discussions concerning bias problems. Specifying the types of bias can be essential to limit its effects and, the use of adjustment methods might serve to improve clinical evaluation and health care practice.","author":[{"dropping-particle":"","family":"Althubaiti","given":"Alaa","non-dropping-particle":"","parse-names":false,"suffix":""}],"container-title":"Journal of multidisciplinary healthcare","id":"ITEM-1","issued":{"date-parts":[["2016","5","4"]]},"language":"eng","page":"211-217","publisher":"Dove Medical Press","title":"Information bias in health research: definition, pitfalls, and adjustment methods","type":"article-journal","volume":"9"},"uris":["http://www.mendeley.com/documents/?uuid=1d87ab80-9a65-4da3-aa07-2b2ff2f1cb32"]}],"mendeley":{"formattedCitation":"(Althubaiti, 2016)","plainTextFormattedCitation":"(Althubaiti, 2016)","previouslyFormattedCitation":"(Althubaiti, 2016)"},"properties":{"noteIndex":0},"schema":"https://github.com/citation-style-language/schema/raw/master/csl-citation.json"}</w:instrText>
      </w:r>
      <w:r w:rsidRPr="00B1522E">
        <w:rPr>
          <w:rFonts w:cstheme="minorHAnsi"/>
        </w:rPr>
        <w:fldChar w:fldCharType="separate"/>
      </w:r>
      <w:r w:rsidRPr="00B1522E">
        <w:rPr>
          <w:rFonts w:cstheme="minorHAnsi"/>
          <w:noProof/>
        </w:rPr>
        <w:t>(Althubaiti, 2016)</w:t>
      </w:r>
      <w:r w:rsidRPr="00B1522E">
        <w:rPr>
          <w:rFonts w:cstheme="minorHAnsi"/>
        </w:rPr>
        <w:fldChar w:fldCharType="end"/>
      </w:r>
      <w:r w:rsidRPr="00B1522E">
        <w:rPr>
          <w:rFonts w:cstheme="minorHAnsi"/>
        </w:rPr>
        <w:t>.</w:t>
      </w:r>
    </w:p>
    <w:p w14:paraId="407BFFF6" w14:textId="33A75D25" w:rsidR="00E639C2" w:rsidRPr="00B1522E" w:rsidRDefault="00E639C2" w:rsidP="00A86142">
      <w:pPr>
        <w:spacing w:line="480" w:lineRule="auto"/>
        <w:ind w:firstLine="720"/>
        <w:jc w:val="both"/>
        <w:rPr>
          <w:rFonts w:cstheme="minorHAnsi"/>
        </w:rPr>
      </w:pPr>
      <w:r w:rsidRPr="00B1522E">
        <w:rPr>
          <w:rFonts w:cstheme="minorHAnsi"/>
          <w:shd w:val="clear" w:color="auto" w:fill="FFFFFF"/>
        </w:rPr>
        <w:t xml:space="preserve">Therefore, questionnaires were the chosen methodology </w:t>
      </w:r>
      <w:r w:rsidRPr="00B1522E">
        <w:rPr>
          <w:rFonts w:cstheme="minorHAnsi"/>
        </w:rPr>
        <w:t>for the studies reported in Chapters 7, 8 and 9</w:t>
      </w:r>
      <w:r w:rsidRPr="00B1522E">
        <w:rPr>
          <w:rFonts w:cstheme="minorHAnsi"/>
          <w:shd w:val="clear" w:color="auto" w:fill="FFFFFF"/>
        </w:rPr>
        <w:t xml:space="preserve"> as they can be used to collect both qualitative and quantitative data, and they can be used to collect a large amount of data in a short space of time about personal behaviour, attitudes, behavioural intentions, and normative perceptions.</w:t>
      </w:r>
      <w:r w:rsidRPr="00B1522E">
        <w:rPr>
          <w:rFonts w:cstheme="minorHAnsi"/>
        </w:rPr>
        <w:t xml:space="preserve"> Chapters 7 and 8 employed questionnaires to collect quantitative data about students’ dietary behaviours, related attitudes, behavioural intentions, and normative perceptions, whilst Chapter 9 used questionnaires to collect both </w:t>
      </w:r>
      <w:r w:rsidRPr="00B1522E">
        <w:rPr>
          <w:rFonts w:cstheme="minorHAnsi"/>
          <w:shd w:val="clear" w:color="auto" w:fill="FFFFFF"/>
        </w:rPr>
        <w:t>qualitative and quantitative</w:t>
      </w:r>
      <w:r w:rsidRPr="00B1522E">
        <w:rPr>
          <w:rFonts w:cstheme="minorHAnsi"/>
        </w:rPr>
        <w:t xml:space="preserve"> data on teachers’ experiences of delivering the in-school SNA intervention. </w:t>
      </w:r>
      <w:r w:rsidRPr="00B1522E">
        <w:rPr>
          <w:rFonts w:cstheme="minorHAnsi"/>
        </w:rPr>
        <w:lastRenderedPageBreak/>
        <w:t xml:space="preserve">Questionnaires were designed in collaboration with the schools to ensure items were short and unambiguous to reduce bias. As the studies’ aims and objectives differed, the data were analysed in different ways, therefore further information about the analyses employed and why can be found in the respective Chapters. </w:t>
      </w:r>
    </w:p>
    <w:p w14:paraId="701749B8" w14:textId="77777777" w:rsidR="00E639C2" w:rsidRPr="00B1522E" w:rsidRDefault="00E639C2" w:rsidP="00A86142">
      <w:pPr>
        <w:spacing w:line="480" w:lineRule="auto"/>
        <w:jc w:val="both"/>
        <w:rPr>
          <w:rFonts w:cstheme="minorHAnsi"/>
        </w:rPr>
      </w:pPr>
    </w:p>
    <w:bookmarkStart w:id="110" w:name="_Toc84678923"/>
    <w:p w14:paraId="48741161" w14:textId="1A91FFC1" w:rsidR="00E639C2" w:rsidRPr="00B1522E" w:rsidRDefault="00300D33" w:rsidP="00A86142">
      <w:pPr>
        <w:spacing w:line="480" w:lineRule="auto"/>
        <w:rPr>
          <w:b/>
          <w:bCs/>
        </w:rPr>
      </w:pPr>
      <w:r w:rsidRPr="00B1522E">
        <w:fldChar w:fldCharType="begin"/>
      </w:r>
      <w:r w:rsidRPr="00B1522E">
        <w:instrText xml:space="preserve"> TC  "</w:instrText>
      </w:r>
      <w:bookmarkStart w:id="111" w:name="_Toc97310448"/>
      <w:r w:rsidRPr="00B1522E">
        <w:instrText>4.6 Ethical considerations</w:instrText>
      </w:r>
      <w:bookmarkEnd w:id="111"/>
      <w:r w:rsidRPr="00B1522E">
        <w:instrText xml:space="preserve">" \f x\l 2 </w:instrText>
      </w:r>
      <w:r w:rsidRPr="00B1522E">
        <w:fldChar w:fldCharType="end"/>
      </w:r>
      <w:r w:rsidR="00E639C2" w:rsidRPr="00B1522E">
        <w:rPr>
          <w:b/>
          <w:bCs/>
        </w:rPr>
        <w:t>4.6 Ethical considerations</w:t>
      </w:r>
      <w:bookmarkEnd w:id="110"/>
    </w:p>
    <w:p w14:paraId="27CB81B1" w14:textId="392DAC72" w:rsidR="00E639C2" w:rsidRPr="00B1522E" w:rsidRDefault="00E639C2" w:rsidP="00A86142">
      <w:pPr>
        <w:spacing w:line="480" w:lineRule="auto"/>
        <w:jc w:val="both"/>
        <w:rPr>
          <w:rFonts w:cstheme="minorHAnsi"/>
        </w:rPr>
      </w:pPr>
      <w:r w:rsidRPr="00B1522E">
        <w:rPr>
          <w:rFonts w:cstheme="minorHAnsi"/>
          <w:shd w:val="clear" w:color="auto" w:fill="FFFFFF"/>
        </w:rPr>
        <w:t xml:space="preserve">Ethical consideration is one of the most important aspects of developing research, to protect participants from physical or emotional harm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author":[{"dropping-particle":"","family":"Shaw","given":"Catherine","non-dropping-particle":"","parse-names":false,"suffix":""},{"dropping-particle":"","family":"Brady","given":"Louca-Mai","non-dropping-particle":"","parse-names":false,"suffix":""},{"dropping-particle":"","family":"Davey","given":"Ciara","non-dropping-particle":"","parse-names":false,"suffix":""}],"container-title":"London: National Children’s Bureau","id":"ITEM-1","issued":{"date-parts":[["2011"]]},"title":"Guidelines for research with children and young people","type":"report"},"uris":["http://www.mendeley.com/documents/?uuid=12061437-2200-401c-917f-a60f16195efb"]}],"mendeley":{"formattedCitation":"(Shaw et al., 2011)","plainTextFormattedCitation":"(Shaw et al., 2011)","previouslyFormattedCitation":"(Shaw et al., 2011)"},"properties":{"noteIndex":0},"schema":"https://github.com/citation-style-language/schema/raw/master/csl-citation.json"}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(Shaw et al., 2011)</w:t>
      </w:r>
      <w:r w:rsidRPr="00B1522E">
        <w:rPr>
          <w:rFonts w:cstheme="minorHAnsi"/>
          <w:shd w:val="clear" w:color="auto" w:fill="FFFFFF"/>
        </w:rPr>
        <w:fldChar w:fldCharType="end"/>
      </w:r>
      <w:r w:rsidRPr="00B1522E">
        <w:rPr>
          <w:rFonts w:cstheme="minorHAnsi"/>
          <w:shd w:val="clear" w:color="auto" w:fill="FFFFFF"/>
        </w:rPr>
        <w:t xml:space="preserve">. </w:t>
      </w:r>
      <w:r w:rsidRPr="00B1522E">
        <w:rPr>
          <w:rFonts w:cstheme="minorHAnsi"/>
        </w:rPr>
        <w:t xml:space="preserve">When designing the studies in this thesis, thought was given to several important ethical considerations including participants’ informed </w:t>
      </w:r>
      <w:r w:rsidRPr="00646E6A">
        <w:rPr>
          <w:rFonts w:cstheme="minorHAnsi"/>
        </w:rPr>
        <w:t>consent</w:t>
      </w:r>
      <w:r w:rsidR="00001AC4" w:rsidRPr="00646E6A">
        <w:rPr>
          <w:rFonts w:cstheme="minorHAnsi"/>
        </w:rPr>
        <w:t xml:space="preserve"> or assent for children</w:t>
      </w:r>
      <w:r w:rsidR="00E17CFB" w:rsidRPr="00646E6A">
        <w:rPr>
          <w:rFonts w:cstheme="minorHAnsi"/>
        </w:rPr>
        <w:t xml:space="preserve"> (assent </w:t>
      </w:r>
      <w:r w:rsidR="007F6EA8" w:rsidRPr="00646E6A">
        <w:rPr>
          <w:rFonts w:cstheme="minorHAnsi"/>
        </w:rPr>
        <w:t xml:space="preserve">refers to the agreement by a child </w:t>
      </w:r>
      <w:r w:rsidR="00911504" w:rsidRPr="00646E6A">
        <w:rPr>
          <w:rFonts w:cstheme="minorHAnsi"/>
        </w:rPr>
        <w:t>to participate in research)</w:t>
      </w:r>
      <w:r w:rsidR="00E17CFB" w:rsidRPr="00646E6A">
        <w:rPr>
          <w:rFonts w:cstheme="minorHAnsi"/>
        </w:rPr>
        <w:t>,</w:t>
      </w:r>
      <w:r w:rsidR="00001AC4" w:rsidRPr="00646E6A">
        <w:rPr>
          <w:rFonts w:cstheme="minorHAnsi"/>
        </w:rPr>
        <w:t xml:space="preserve"> </w:t>
      </w:r>
      <w:r w:rsidRPr="00646E6A">
        <w:rPr>
          <w:rFonts w:cstheme="minorHAnsi"/>
        </w:rPr>
        <w:t xml:space="preserve">anonymity, and confidentiality. Therefore, all participants were provided with an information sheet, </w:t>
      </w:r>
      <w:r w:rsidR="00A33E63" w:rsidRPr="00646E6A">
        <w:rPr>
          <w:rFonts w:cstheme="minorHAnsi"/>
        </w:rPr>
        <w:t xml:space="preserve">a </w:t>
      </w:r>
      <w:r w:rsidRPr="00646E6A">
        <w:rPr>
          <w:rFonts w:cstheme="minorHAnsi"/>
        </w:rPr>
        <w:t>consent</w:t>
      </w:r>
      <w:r w:rsidR="00323C3C" w:rsidRPr="00646E6A">
        <w:rPr>
          <w:rFonts w:cstheme="minorHAnsi"/>
        </w:rPr>
        <w:t xml:space="preserve"> or assent</w:t>
      </w:r>
      <w:r w:rsidRPr="00646E6A">
        <w:rPr>
          <w:rFonts w:cstheme="minorHAnsi"/>
        </w:rPr>
        <w:t xml:space="preserve"> </w:t>
      </w:r>
      <w:r w:rsidR="00BC7106" w:rsidRPr="00646E6A">
        <w:rPr>
          <w:rFonts w:cstheme="minorHAnsi"/>
        </w:rPr>
        <w:t>form</w:t>
      </w:r>
      <w:r w:rsidRPr="00646E6A">
        <w:rPr>
          <w:rFonts w:cstheme="minorHAnsi"/>
        </w:rPr>
        <w:t xml:space="preserve"> and debrief form in which the purpose of the research was described, terms of consent </w:t>
      </w:r>
      <w:r w:rsidR="00BC7106" w:rsidRPr="00646E6A">
        <w:rPr>
          <w:rFonts w:cstheme="minorHAnsi"/>
        </w:rPr>
        <w:t xml:space="preserve">or assent </w:t>
      </w:r>
      <w:r w:rsidRPr="00646E6A">
        <w:rPr>
          <w:rFonts w:cstheme="minorHAnsi"/>
        </w:rPr>
        <w:t xml:space="preserve">were outlined, along with how the data were to be used. When carrying out any research with children, consideration needs to be given to how </w:t>
      </w:r>
      <w:r w:rsidR="00F73065" w:rsidRPr="00646E6A">
        <w:rPr>
          <w:rFonts w:cstheme="minorHAnsi"/>
        </w:rPr>
        <w:t>assent</w:t>
      </w:r>
      <w:r w:rsidR="001F41DD" w:rsidRPr="00646E6A">
        <w:rPr>
          <w:rFonts w:cstheme="minorHAnsi"/>
        </w:rPr>
        <w:t xml:space="preserve"> </w:t>
      </w:r>
      <w:r w:rsidRPr="00646E6A">
        <w:rPr>
          <w:rFonts w:cstheme="minorHAnsi"/>
        </w:rPr>
        <w:t>is obtained so that children fully</w:t>
      </w:r>
      <w:r w:rsidRPr="00B1522E">
        <w:rPr>
          <w:rFonts w:cstheme="minorHAnsi"/>
        </w:rPr>
        <w:t xml:space="preserve"> understand they have a choice to participate and withdraw, they understand what participating entails and how their data will be used </w:t>
      </w:r>
      <w:r w:rsidRPr="00B1522E">
        <w:rPr>
          <w:rFonts w:cstheme="minorHAnsi"/>
        </w:rPr>
        <w:fldChar w:fldCharType="begin" w:fldLock="1"/>
      </w:r>
      <w:r w:rsidR="00D046DC" w:rsidRPr="00B1522E">
        <w:rPr>
          <w:rFonts w:cstheme="minorHAnsi"/>
        </w:rPr>
        <w:instrText>ADDIN CSL_CITATION {"citationItems":[{"id":"ITEM-1","itemData":{"author":[{"dropping-particle":"","family":"Shaw","given":"Catherine","non-dropping-particle":"","parse-names":false,"suffix":""},{"dropping-particle":"","family":"Brady","given":"Louca-Mai","non-dropping-particle":"","parse-names":false,"suffix":""},{"dropping-particle":"","family":"Davey","given":"Ciara","non-dropping-particle":"","parse-names":false,"suffix":""}],"container-title":"London: National Children’s Bureau","id":"ITEM-1","issued":{"date-parts":[["2011"]]},"title":"Guidelines for research with children and young people","type":"report"},"uris":["http://www.mendeley.com/documents/?uuid=12061437-2200-401c-917f-a60f16195efb"]}],"mendeley":{"formattedCitation":"(Shaw et al., 2011)","plainTextFormattedCitation":"(Shaw et al., 2011)","previouslyFormattedCitation":"(Shaw et al., 2011)"},"properties":{"noteIndex":0},"schema":"https://github.com/citation-style-language/schema/raw/master/csl-citation.json"}</w:instrText>
      </w:r>
      <w:r w:rsidRPr="00B1522E">
        <w:rPr>
          <w:rFonts w:cstheme="minorHAnsi"/>
        </w:rPr>
        <w:fldChar w:fldCharType="separate"/>
      </w:r>
      <w:r w:rsidRPr="00B1522E">
        <w:rPr>
          <w:rFonts w:cstheme="minorHAnsi"/>
          <w:noProof/>
        </w:rPr>
        <w:t>(Shaw et al., 2011)</w:t>
      </w:r>
      <w:r w:rsidRPr="00B1522E">
        <w:rPr>
          <w:rFonts w:cstheme="minorHAnsi"/>
        </w:rPr>
        <w:fldChar w:fldCharType="end"/>
      </w:r>
      <w:r w:rsidRPr="00B1522E">
        <w:rPr>
          <w:rFonts w:cstheme="minorHAnsi"/>
        </w:rPr>
        <w:t xml:space="preserve">. This was carefully considered and discussed with the schools, and age-appropriate information sheets were created that fully informed participants of what would be asked of them and how the data would be used and their right to </w:t>
      </w:r>
      <w:r w:rsidRPr="00646E6A">
        <w:rPr>
          <w:rFonts w:cstheme="minorHAnsi"/>
        </w:rPr>
        <w:t xml:space="preserve">withdraw; participants provided </w:t>
      </w:r>
      <w:r w:rsidR="00F43951" w:rsidRPr="00646E6A">
        <w:rPr>
          <w:rFonts w:cstheme="minorHAnsi"/>
        </w:rPr>
        <w:t xml:space="preserve">assent </w:t>
      </w:r>
      <w:r w:rsidRPr="00646E6A">
        <w:rPr>
          <w:rFonts w:cstheme="minorHAnsi"/>
        </w:rPr>
        <w:t>prior to participation in the research. All resources were</w:t>
      </w:r>
      <w:r w:rsidRPr="00B1522E">
        <w:rPr>
          <w:rFonts w:cstheme="minorHAnsi"/>
        </w:rPr>
        <w:t xml:space="preserve"> reviewed by schools to ensure they were clearly written and unambiguous. </w:t>
      </w:r>
    </w:p>
    <w:p w14:paraId="453B39C5" w14:textId="2FE91CFE" w:rsidR="00E639C2" w:rsidRPr="00B1522E" w:rsidRDefault="00E639C2" w:rsidP="00A86142">
      <w:pPr>
        <w:spacing w:line="480" w:lineRule="auto"/>
        <w:ind w:firstLine="720"/>
        <w:jc w:val="both"/>
        <w:rPr>
          <w:rFonts w:cstheme="minorHAnsi"/>
        </w:rPr>
      </w:pPr>
      <w:r w:rsidRPr="00B1522E">
        <w:rPr>
          <w:rFonts w:cstheme="minorHAnsi"/>
        </w:rPr>
        <w:t xml:space="preserve">As student participants were under the age of sixteen, parents and guardians were also provided with an information letter and consent forms. Opt-in consent was sought from parents/guardians in Study 1 (Chapter 5) which led to a number of students expressing an interest in participating but they were unable to do so because parents/guardians had not returned the consent forms which impacted recruitment.  Opt-in parental consent can lead to a lower response rate and a </w:t>
      </w:r>
      <w:r w:rsidRPr="00B1522E">
        <w:rPr>
          <w:rFonts w:cstheme="minorHAnsi"/>
        </w:rPr>
        <w:lastRenderedPageBreak/>
        <w:t xml:space="preserve">more skewed sample than when using an opt-out parental consent </w:t>
      </w:r>
      <w:r w:rsidRPr="00B1522E">
        <w:rPr>
          <w:rFonts w:cstheme="minorHAnsi"/>
        </w:rPr>
        <w:fldChar w:fldCharType="begin" w:fldLock="1"/>
      </w:r>
      <w:r w:rsidR="00DF6CCC" w:rsidRPr="00B1522E">
        <w:rPr>
          <w:rFonts w:cstheme="minorHAnsi"/>
        </w:rPr>
        <w:instrText>ADDIN CSL_CITATION {"citationItems":[{"id":"ITEM-1","itemData":{"ISSN":"1364-5579","author":[{"dropping-particle":"","family":"Crow","given":"Graham","non-dropping-particle":"","parse-names":false,"suffix":""},{"dropping-particle":"","family":"Wiles","given":"Rose","non-dropping-particle":"","parse-names":false,"suffix":""},{"dropping-particle":"","family":"Heath","given":"Sue","non-dropping-particle":"","parse-names":false,"suffix":""},{"dropping-particle":"","family":"Charles","given":"Vikki","non-dropping-particle":"","parse-names":false,"suffix":""}],"container-title":"International Journal of Social Research Methodology","id":"ITEM-1","issue":"2","issued":{"date-parts":[["2006"]]},"page":"83-95","publisher":"Taylor &amp; Francis","title":"Research ethics and data quality: The implications of informed consent","type":"article-journal","volume":"9"},"uris":["http://www.mendeley.com/documents/?uuid=704873f6-5788-4d53-bbc1-3bfafed23b83"]},{"id":"ITEM-2","itemData":{"author":[{"dropping-particle":"","family":"Doumas","given":"Diana M","non-dropping-particle":"","parse-names":false,"suffix":""},{"dropping-particle":"","family":"Esp","given":"Susan","non-dropping-particle":"","parse-names":false,"suffix":""},{"dropping-particle":"","family":"Hausheer","given":"Robin","non-dropping-particle":"","parse-names":false,"suffix":""}],"container-title":"Journal of Substance Abuse and Alcoholism","id":"ITEM-2","issued":{"date-parts":[["2015"]]},"page":"1031-1035","title":"Parental consent procedures: Impact on response rates and nonresponse bias","type":"article-journal","volume":"3"},"uris":["http://www.mendeley.com/documents/?uuid=f200b419-62f4-4190-b611-3b4ba8af60e0"]}],"mendeley":{"formattedCitation":"(Crow et al., 2006; Doumas et al., 2015)","plainTextFormattedCitation":"(Crow et al., 2006; Doumas et al., 2015)","previouslyFormattedCitation":"(Crow et al., 2006; Doumas et al., 2015)"},"properties":{"noteIndex":0},"schema":"https://github.com/citation-style-language/schema/raw/master/csl-citation.json"}</w:instrText>
      </w:r>
      <w:r w:rsidRPr="00B1522E">
        <w:rPr>
          <w:rFonts w:cstheme="minorHAnsi"/>
        </w:rPr>
        <w:fldChar w:fldCharType="separate"/>
      </w:r>
      <w:r w:rsidR="004B7FAF" w:rsidRPr="00B1522E">
        <w:rPr>
          <w:rFonts w:cstheme="minorHAnsi"/>
          <w:noProof/>
        </w:rPr>
        <w:t>(Crow et al., 2006; Doumas et al., 2015)</w:t>
      </w:r>
      <w:r w:rsidRPr="00B1522E">
        <w:rPr>
          <w:rFonts w:cstheme="minorHAnsi"/>
        </w:rPr>
        <w:fldChar w:fldCharType="end"/>
      </w:r>
      <w:r w:rsidRPr="00B1522E">
        <w:rPr>
          <w:rFonts w:cstheme="minorHAnsi"/>
        </w:rPr>
        <w:t xml:space="preserve">. After consultation with the schools, the researcher believed, and the schools recommended, that parental consent forms should be opt-out since the research posed minimal risk to their students, </w:t>
      </w:r>
      <w:r w:rsidRPr="00646E6A">
        <w:rPr>
          <w:rFonts w:cstheme="minorHAnsi"/>
        </w:rPr>
        <w:t xml:space="preserve">school-parent communication can be poor, and students will be asked to provide their own </w:t>
      </w:r>
      <w:r w:rsidR="00B60E12" w:rsidRPr="00646E6A">
        <w:rPr>
          <w:rFonts w:cstheme="minorHAnsi"/>
        </w:rPr>
        <w:t>assen</w:t>
      </w:r>
      <w:r w:rsidRPr="00646E6A">
        <w:rPr>
          <w:rFonts w:cstheme="minorHAnsi"/>
        </w:rPr>
        <w:t>t.</w:t>
      </w:r>
      <w:r w:rsidRPr="00B1522E">
        <w:rPr>
          <w:rFonts w:cstheme="minorHAnsi"/>
        </w:rPr>
        <w:t xml:space="preserve"> Therefore, all subsequent studies (Chapters 7, 8 and 9) used opt-out parental consent forms (which were approved by the Research Ethics Committee </w:t>
      </w:r>
      <w:r w:rsidRPr="00B1522E">
        <w:rPr>
          <w:rFonts w:cstheme="minorHAnsi"/>
          <w:noProof/>
        </w:rPr>
        <w:t>at Staffordshire University</w:t>
      </w:r>
      <w:r w:rsidRPr="00B1522E">
        <w:rPr>
          <w:rFonts w:cstheme="minorHAnsi"/>
        </w:rPr>
        <w:t>). Ethical approval for all studies was gained prior to the i</w:t>
      </w:r>
      <w:r w:rsidRPr="00B1522E">
        <w:rPr>
          <w:rFonts w:cstheme="minorHAnsi"/>
          <w:shd w:val="clear" w:color="auto" w:fill="FFFFFF"/>
        </w:rPr>
        <w:t>mplementation of the General </w:t>
      </w:r>
      <w:r w:rsidRPr="00B1522E">
        <w:rPr>
          <w:rStyle w:val="Emphasis"/>
          <w:rFonts w:cstheme="minorHAnsi"/>
          <w:i w:val="0"/>
          <w:iCs w:val="0"/>
          <w:shd w:val="clear" w:color="auto" w:fill="FFFFFF"/>
        </w:rPr>
        <w:t>Data Protection Regulation</w:t>
      </w:r>
      <w:r w:rsidRPr="00B1522E">
        <w:rPr>
          <w:rFonts w:cstheme="minorHAnsi"/>
          <w:shd w:val="clear" w:color="auto" w:fill="FFFFFF"/>
        </w:rPr>
        <w:t> (</w:t>
      </w:r>
      <w:r w:rsidRPr="00B1522E">
        <w:rPr>
          <w:rStyle w:val="Emphasis"/>
          <w:rFonts w:cstheme="minorHAnsi"/>
          <w:i w:val="0"/>
          <w:iCs w:val="0"/>
          <w:shd w:val="clear" w:color="auto" w:fill="FFFFFF"/>
        </w:rPr>
        <w:t>GDPR</w:t>
      </w:r>
      <w:r w:rsidRPr="00B1522E">
        <w:rPr>
          <w:rFonts w:cstheme="minorHAnsi"/>
          <w:shd w:val="clear" w:color="auto" w:fill="FFFFFF"/>
        </w:rPr>
        <w:t>) 2018.</w:t>
      </w:r>
    </w:p>
    <w:p w14:paraId="0C240593" w14:textId="7FD66380" w:rsidR="00E639C2" w:rsidRPr="00B1522E" w:rsidRDefault="00E639C2" w:rsidP="00A86142">
      <w:pPr>
        <w:spacing w:line="480" w:lineRule="auto"/>
        <w:ind w:firstLine="720"/>
        <w:jc w:val="both"/>
        <w:rPr>
          <w:rFonts w:cstheme="minorHAnsi"/>
          <w:shd w:val="clear" w:color="auto" w:fill="FFFFFF"/>
        </w:rPr>
      </w:pPr>
      <w:r w:rsidRPr="00B1522E">
        <w:rPr>
          <w:rFonts w:cstheme="minorHAnsi"/>
          <w:shd w:val="clear" w:color="auto" w:fill="FFFFFF"/>
        </w:rPr>
        <w:t xml:space="preserve">Anonymity is described as one form of confidentiality, where a participant’s identity is concealed to help ensure their </w:t>
      </w:r>
      <w:r w:rsidRPr="00B1522E">
        <w:rPr>
          <w:rFonts w:cstheme="minorHAnsi"/>
        </w:rPr>
        <w:t>confidentiality</w:t>
      </w:r>
      <w:r w:rsidRPr="00B1522E">
        <w:rPr>
          <w:rFonts w:cstheme="minorHAnsi"/>
          <w:shd w:val="clear" w:color="auto" w:fill="FFFFFF"/>
        </w:rPr>
        <w:t xml:space="preserve"> so that an individual will be never connected to the data presented about them</w:t>
      </w:r>
      <w:r w:rsidRPr="00B1522E">
        <w:rPr>
          <w:rFonts w:cstheme="minorHAnsi"/>
        </w:rPr>
        <w:t xml:space="preserve"> </w:t>
      </w:r>
      <w:r w:rsidRPr="00B1522E">
        <w:rPr>
          <w:rFonts w:cstheme="minorHAnsi"/>
        </w:rPr>
        <w:fldChar w:fldCharType="begin" w:fldLock="1"/>
      </w:r>
      <w:r w:rsidR="00DF6CCC" w:rsidRPr="00B1522E">
        <w:rPr>
          <w:rFonts w:cstheme="minorHAnsi"/>
        </w:rPr>
        <w:instrText>ADDIN CSL_CITATION {"citationItems":[{"id":"ITEM-1","itemData":{"ISSN":"1468-7941","abstract":"Anonymising qualitative research data can be challenging, especially in highly sensitive contexts such as catastrophic brain injury and end-of-life decision-making. Using examples from in-depth interviews with family members of people in vegetative and minimally conscious states, this article discusses the issues we faced in trying to maximise participant anonymity alongside maintaining the integrity of our data. We discuss how we developed elaborate, context-sensitive strategies to try to preserve the richness of the interview material wherever possible while also protecting participants. This discussion of the practical and ethical details of anonymising is designed to add to the largely theoretical literature on this topic and to be of illustrative use to other researchers confronting similar dilemmas.","author":[{"dropping-particle":"","family":"Saunders","given":"Benjamin","non-dropping-particle":"","parse-names":false,"suffix":""},{"dropping-particle":"","family":"Kitzinger","given":"Jenny","non-dropping-particle":"","parse-names":false,"suffix":""},{"dropping-particle":"","family":"Kitzinger","given":"Celia","non-dropping-particle":"","parse-names":false,"suffix":""}],"container-title":"Qualitative research","id":"ITEM-1","issue":"5","issued":{"date-parts":[["2015","10"]]},"language":"eng","page":"616-632","publisher":"SAGE Publications","title":"Anonymising interview data: challenges and compromise in practice","type":"article-journal","volume":"15"},"uris":["http://www.mendeley.com/documents/?uuid=16121cda-61a8-4b5a-bf4f-b75e8d8afa40"]}],"mendeley":{"formattedCitation":"(Saunders et al., 2015)","plainTextFormattedCitation":"(Saunders et al., 2015)","previouslyFormattedCitation":"(Saunders et al., 2015)"},"properties":{"noteIndex":0},"schema":"https://github.com/citation-style-language/schema/raw/master/csl-citation.json"}</w:instrText>
      </w:r>
      <w:r w:rsidRPr="00B1522E">
        <w:rPr>
          <w:rFonts w:cstheme="minorHAnsi"/>
        </w:rPr>
        <w:fldChar w:fldCharType="separate"/>
      </w:r>
      <w:r w:rsidR="004B7FAF" w:rsidRPr="00B1522E">
        <w:rPr>
          <w:rFonts w:cstheme="minorHAnsi"/>
          <w:noProof/>
        </w:rPr>
        <w:t>(Saunders et al., 2015)</w:t>
      </w:r>
      <w:r w:rsidRPr="00B1522E">
        <w:rPr>
          <w:rFonts w:cstheme="minorHAnsi"/>
        </w:rPr>
        <w:fldChar w:fldCharType="end"/>
      </w:r>
      <w:r w:rsidRPr="00B1522E">
        <w:rPr>
          <w:rFonts w:cstheme="minorHAnsi"/>
        </w:rPr>
        <w:t xml:space="preserve">. To provide anonymity in the qualitative phases of the research (Chapter 5 and 9), </w:t>
      </w:r>
      <w:r w:rsidRPr="00B1522E">
        <w:rPr>
          <w:rFonts w:cstheme="minorHAnsi"/>
          <w:noProof/>
        </w:rPr>
        <w:t xml:space="preserve">all identifiable information relating to the participants’ personal information (e.g. names), the school, or any other organisation or individual, was removed from the transcripts and </w:t>
      </w:r>
      <w:r w:rsidRPr="00B1522E">
        <w:rPr>
          <w:rFonts w:cstheme="minorHAnsi"/>
        </w:rPr>
        <w:t xml:space="preserve">real names replaced with pseudonyms. </w:t>
      </w:r>
      <w:r w:rsidRPr="00B1522E">
        <w:rPr>
          <w:rFonts w:cstheme="minorHAnsi"/>
          <w:shd w:val="clear" w:color="auto" w:fill="FFFFFF"/>
        </w:rPr>
        <w:t xml:space="preserve">Focus group recordings alongside their corresponding transcriptions were kept on a password-protected computer. </w:t>
      </w:r>
      <w:r w:rsidRPr="00B1522E">
        <w:rPr>
          <w:rFonts w:cstheme="minorHAnsi"/>
        </w:rPr>
        <w:t xml:space="preserve">To provide anonymity and confidentiality in the qualitative phases of the research (Chapter 7 and 8), students were asked to </w:t>
      </w:r>
      <w:r w:rsidRPr="00646E6A">
        <w:rPr>
          <w:rFonts w:cstheme="minorHAnsi"/>
        </w:rPr>
        <w:t xml:space="preserve">create a password that would be used as a participant identifier and </w:t>
      </w:r>
      <w:r w:rsidRPr="00646E6A">
        <w:rPr>
          <w:rFonts w:cstheme="minorHAnsi"/>
          <w:shd w:val="clear" w:color="auto" w:fill="FFFFFF"/>
        </w:rPr>
        <w:t xml:space="preserve">paper </w:t>
      </w:r>
      <w:r w:rsidR="009D5D17" w:rsidRPr="00646E6A">
        <w:rPr>
          <w:rFonts w:cstheme="minorHAnsi"/>
          <w:shd w:val="clear" w:color="auto" w:fill="FFFFFF"/>
        </w:rPr>
        <w:t>a</w:t>
      </w:r>
      <w:r w:rsidR="00A6505D" w:rsidRPr="00646E6A">
        <w:rPr>
          <w:rFonts w:cstheme="minorHAnsi"/>
          <w:shd w:val="clear" w:color="auto" w:fill="FFFFFF"/>
        </w:rPr>
        <w:t>ssent</w:t>
      </w:r>
      <w:r w:rsidRPr="00646E6A">
        <w:rPr>
          <w:rFonts w:cstheme="minorHAnsi"/>
          <w:shd w:val="clear" w:color="auto" w:fill="FFFFFF"/>
        </w:rPr>
        <w:t xml:space="preserve"> forms were stored</w:t>
      </w:r>
      <w:r w:rsidRPr="00B1522E">
        <w:rPr>
          <w:rFonts w:cstheme="minorHAnsi"/>
          <w:shd w:val="clear" w:color="auto" w:fill="FFFFFF"/>
        </w:rPr>
        <w:t xml:space="preserve"> in a locked filing cabinet separate from any questionnaires. </w:t>
      </w:r>
    </w:p>
    <w:p w14:paraId="5CF6850F" w14:textId="77777777" w:rsidR="00E639C2" w:rsidRPr="00B1522E" w:rsidRDefault="00E639C2" w:rsidP="00A86142">
      <w:pPr>
        <w:spacing w:line="480" w:lineRule="auto"/>
        <w:ind w:firstLine="720"/>
        <w:jc w:val="both"/>
        <w:rPr>
          <w:rFonts w:cstheme="minorHAnsi"/>
        </w:rPr>
      </w:pPr>
      <w:r w:rsidRPr="00B1522E">
        <w:rPr>
          <w:rFonts w:cstheme="minorHAnsi"/>
        </w:rPr>
        <w:t>Individual schools provided permission to conduct research within the school and a</w:t>
      </w:r>
      <w:r w:rsidRPr="00B1522E">
        <w:rPr>
          <w:rFonts w:cstheme="minorHAnsi"/>
          <w:noProof/>
        </w:rPr>
        <w:t xml:space="preserve">ll phases of the research conducted in the schools were approved by the Ethics Committee at Staffordshire University prior to data collection: as the research was conducted with children, all studies were subjected to a full ethical review. </w:t>
      </w:r>
      <w:r w:rsidRPr="00B1522E">
        <w:rPr>
          <w:rFonts w:cstheme="minorHAnsi"/>
        </w:rPr>
        <w:t>To further ensure the safety and wellbeing of the students, the researcher was also subject to an enhanced DBS check.</w:t>
      </w:r>
    </w:p>
    <w:p w14:paraId="785B742D" w14:textId="77777777" w:rsidR="00E639C2" w:rsidRPr="00B1522E" w:rsidRDefault="00E639C2" w:rsidP="00E639C2">
      <w:pPr>
        <w:spacing w:line="480" w:lineRule="auto"/>
        <w:jc w:val="both"/>
        <w:rPr>
          <w:rFonts w:cstheme="minorHAnsi"/>
        </w:rPr>
      </w:pPr>
    </w:p>
    <w:bookmarkStart w:id="112" w:name="_Toc84678924"/>
    <w:p w14:paraId="6784D97B" w14:textId="774D34F5" w:rsidR="00E639C2" w:rsidRPr="00B1522E" w:rsidRDefault="00300D33" w:rsidP="004F0A92">
      <w:pPr>
        <w:spacing w:line="480" w:lineRule="auto"/>
        <w:rPr>
          <w:b/>
          <w:bCs/>
        </w:rPr>
      </w:pPr>
      <w:r w:rsidRPr="00B1522E">
        <w:fldChar w:fldCharType="begin"/>
      </w:r>
      <w:r w:rsidRPr="00B1522E">
        <w:instrText xml:space="preserve"> TC  "</w:instrText>
      </w:r>
      <w:bookmarkStart w:id="113" w:name="_Toc97310449"/>
      <w:r w:rsidRPr="00B1522E">
        <w:instrText>4.7 Summary</w:instrText>
      </w:r>
      <w:bookmarkEnd w:id="113"/>
      <w:r w:rsidRPr="00B1522E">
        <w:instrText xml:space="preserve"> " \f x\l 2 </w:instrText>
      </w:r>
      <w:r w:rsidRPr="00B1522E">
        <w:fldChar w:fldCharType="end"/>
      </w:r>
      <w:r w:rsidR="00E639C2" w:rsidRPr="00B1522E">
        <w:rPr>
          <w:b/>
          <w:bCs/>
        </w:rPr>
        <w:t>4.7 Summary</w:t>
      </w:r>
      <w:bookmarkEnd w:id="112"/>
    </w:p>
    <w:p w14:paraId="6E983CB1" w14:textId="77777777" w:rsidR="00E639C2" w:rsidRPr="00B1522E" w:rsidRDefault="00E639C2" w:rsidP="004F0A92">
      <w:pPr>
        <w:spacing w:line="480" w:lineRule="auto"/>
        <w:jc w:val="both"/>
        <w:rPr>
          <w:rFonts w:cstheme="minorHAnsi"/>
        </w:rPr>
      </w:pPr>
      <w:r w:rsidRPr="00B1522E">
        <w:rPr>
          <w:rFonts w:cstheme="minorHAnsi"/>
        </w:rPr>
        <w:lastRenderedPageBreak/>
        <w:t>A mixed-methods approach was adopted to address the main aim of the thesis through meeting the objectives (Section 4.2). The research paradigm, methods of data collection, analysis and ethical considerations have also been discussed in consideration of the scope of this research. Full details of the methods, procedures, and analysis of data for the individual studies are described in full in the respective Chapters.</w:t>
      </w:r>
    </w:p>
    <w:p w14:paraId="3A8C17F8" w14:textId="2B804D8D" w:rsidR="0006775C" w:rsidRPr="00B1522E" w:rsidRDefault="0006775C" w:rsidP="00DD5BC7">
      <w:pPr>
        <w:rPr>
          <w:b/>
          <w:bCs/>
        </w:rPr>
      </w:pPr>
    </w:p>
    <w:p w14:paraId="742BE67F" w14:textId="533692E4" w:rsidR="0006775C" w:rsidRPr="00B1522E" w:rsidRDefault="0006775C" w:rsidP="00DD5BC7">
      <w:pPr>
        <w:rPr>
          <w:b/>
          <w:bCs/>
        </w:rPr>
      </w:pPr>
    </w:p>
    <w:p w14:paraId="6FAE1F4C" w14:textId="05F3AB16" w:rsidR="0006775C" w:rsidRPr="00B1522E" w:rsidRDefault="0006775C" w:rsidP="00DD5BC7">
      <w:pPr>
        <w:rPr>
          <w:b/>
          <w:bCs/>
        </w:rPr>
      </w:pPr>
    </w:p>
    <w:p w14:paraId="6FF723DC" w14:textId="7727A9F3" w:rsidR="0006775C" w:rsidRPr="00B1522E" w:rsidRDefault="0006775C" w:rsidP="00DD5BC7">
      <w:pPr>
        <w:rPr>
          <w:b/>
          <w:bCs/>
        </w:rPr>
      </w:pPr>
    </w:p>
    <w:p w14:paraId="47AFD95F" w14:textId="4032E25C" w:rsidR="0006775C" w:rsidRPr="00B1522E" w:rsidRDefault="0006775C" w:rsidP="00DD5BC7">
      <w:pPr>
        <w:rPr>
          <w:b/>
          <w:bCs/>
        </w:rPr>
      </w:pPr>
    </w:p>
    <w:p w14:paraId="7B22BCE2" w14:textId="7EB525A8" w:rsidR="0006775C" w:rsidRPr="00B1522E" w:rsidRDefault="0006775C" w:rsidP="00DD5BC7">
      <w:pPr>
        <w:rPr>
          <w:b/>
          <w:bCs/>
        </w:rPr>
      </w:pPr>
    </w:p>
    <w:p w14:paraId="06728C1B" w14:textId="737594D6" w:rsidR="0006775C" w:rsidRPr="00B1522E" w:rsidRDefault="0006775C" w:rsidP="00DD5BC7">
      <w:pPr>
        <w:rPr>
          <w:b/>
          <w:bCs/>
        </w:rPr>
      </w:pPr>
    </w:p>
    <w:p w14:paraId="00DBDC51" w14:textId="0D9FCB99" w:rsidR="0006775C" w:rsidRPr="00B1522E" w:rsidRDefault="0006775C" w:rsidP="00DD5BC7">
      <w:pPr>
        <w:rPr>
          <w:b/>
          <w:bCs/>
        </w:rPr>
      </w:pPr>
    </w:p>
    <w:p w14:paraId="46525A97" w14:textId="606A2610" w:rsidR="0006775C" w:rsidRPr="00B1522E" w:rsidRDefault="0006775C" w:rsidP="00DD5BC7">
      <w:pPr>
        <w:rPr>
          <w:b/>
          <w:bCs/>
        </w:rPr>
      </w:pPr>
    </w:p>
    <w:p w14:paraId="634315D1" w14:textId="1FA8E33F" w:rsidR="0006775C" w:rsidRPr="00B1522E" w:rsidRDefault="0006775C" w:rsidP="00DD5BC7">
      <w:pPr>
        <w:rPr>
          <w:b/>
          <w:bCs/>
        </w:rPr>
      </w:pPr>
    </w:p>
    <w:p w14:paraId="2D22A614" w14:textId="254A1DF7" w:rsidR="0006775C" w:rsidRPr="00B1522E" w:rsidRDefault="0006775C" w:rsidP="00DD5BC7">
      <w:pPr>
        <w:rPr>
          <w:b/>
          <w:bCs/>
        </w:rPr>
      </w:pPr>
    </w:p>
    <w:p w14:paraId="75778411" w14:textId="051273B8" w:rsidR="0006775C" w:rsidRPr="00B1522E" w:rsidRDefault="0006775C" w:rsidP="00DD5BC7">
      <w:pPr>
        <w:rPr>
          <w:b/>
          <w:bCs/>
        </w:rPr>
      </w:pPr>
    </w:p>
    <w:p w14:paraId="0B722558" w14:textId="1921588D" w:rsidR="00C610CB" w:rsidRPr="00B1522E" w:rsidRDefault="00C610CB" w:rsidP="00C610CB">
      <w:pPr>
        <w:jc w:val="center"/>
        <w:rPr>
          <w:sz w:val="44"/>
          <w:szCs w:val="44"/>
        </w:rPr>
      </w:pPr>
    </w:p>
    <w:p w14:paraId="2F4ED551" w14:textId="7E5A51D3" w:rsidR="00852BC6" w:rsidRPr="00B1522E" w:rsidRDefault="00852BC6" w:rsidP="00C610CB">
      <w:pPr>
        <w:jc w:val="center"/>
        <w:rPr>
          <w:sz w:val="44"/>
          <w:szCs w:val="44"/>
        </w:rPr>
      </w:pPr>
    </w:p>
    <w:p w14:paraId="6A01FDD7" w14:textId="77777777" w:rsidR="00852BC6" w:rsidRPr="00B1522E" w:rsidRDefault="00852BC6" w:rsidP="00C610CB">
      <w:pPr>
        <w:jc w:val="center"/>
        <w:rPr>
          <w:sz w:val="44"/>
          <w:szCs w:val="44"/>
        </w:rPr>
      </w:pPr>
    </w:p>
    <w:p w14:paraId="3685ECEA" w14:textId="6F6E722B" w:rsidR="00BE12D3" w:rsidRPr="00B1522E" w:rsidRDefault="00BE12D3" w:rsidP="00C610CB">
      <w:pPr>
        <w:jc w:val="center"/>
        <w:rPr>
          <w:sz w:val="44"/>
          <w:szCs w:val="44"/>
        </w:rPr>
      </w:pPr>
    </w:p>
    <w:p w14:paraId="26263145" w14:textId="223CF8F6" w:rsidR="00852BC6" w:rsidRPr="00B1522E" w:rsidRDefault="00852BC6" w:rsidP="00C610CB">
      <w:pPr>
        <w:jc w:val="center"/>
        <w:rPr>
          <w:sz w:val="44"/>
          <w:szCs w:val="44"/>
        </w:rPr>
      </w:pPr>
    </w:p>
    <w:p w14:paraId="1827C77E" w14:textId="491CE33F" w:rsidR="00852BC6" w:rsidRPr="00B1522E" w:rsidRDefault="00852BC6" w:rsidP="00C610CB">
      <w:pPr>
        <w:jc w:val="center"/>
        <w:rPr>
          <w:sz w:val="44"/>
          <w:szCs w:val="44"/>
        </w:rPr>
      </w:pPr>
    </w:p>
    <w:p w14:paraId="7446C3BF" w14:textId="59D06AC0" w:rsidR="00852BC6" w:rsidRPr="00B1522E" w:rsidRDefault="00852BC6" w:rsidP="00C610CB">
      <w:pPr>
        <w:jc w:val="center"/>
        <w:rPr>
          <w:sz w:val="44"/>
          <w:szCs w:val="44"/>
        </w:rPr>
      </w:pPr>
    </w:p>
    <w:p w14:paraId="2B9C250A" w14:textId="2045A995" w:rsidR="00852BC6" w:rsidRPr="00B1522E" w:rsidRDefault="00852BC6" w:rsidP="00C610CB">
      <w:pPr>
        <w:jc w:val="center"/>
        <w:rPr>
          <w:sz w:val="44"/>
          <w:szCs w:val="44"/>
        </w:rPr>
      </w:pPr>
    </w:p>
    <w:p w14:paraId="2B876E68" w14:textId="77777777" w:rsidR="00852BC6" w:rsidRPr="00B1522E" w:rsidRDefault="00852BC6" w:rsidP="00C610CB">
      <w:pPr>
        <w:jc w:val="center"/>
        <w:rPr>
          <w:sz w:val="44"/>
          <w:szCs w:val="44"/>
        </w:rPr>
      </w:pPr>
    </w:p>
    <w:p w14:paraId="58D679F9" w14:textId="69741A6A" w:rsidR="00BE12D3" w:rsidRPr="00B1522E" w:rsidRDefault="00AC29C0" w:rsidP="00C610CB">
      <w:pPr>
        <w:jc w:val="center"/>
        <w:rPr>
          <w:sz w:val="44"/>
          <w:szCs w:val="44"/>
        </w:rPr>
      </w:pPr>
      <w:r w:rsidRPr="00B1522E">
        <w:rPr>
          <w:noProof/>
          <w:sz w:val="44"/>
          <w:szCs w:val="44"/>
        </w:rPr>
        <mc:AlternateContent>
          <mc:Choice Requires="wps">
            <w:drawing>
              <wp:anchor distT="91440" distB="91440" distL="114300" distR="114300" simplePos="0" relativeHeight="251698176" behindDoc="0" locked="0" layoutInCell="1" allowOverlap="1" wp14:anchorId="1E9721AA" wp14:editId="762AC65B">
                <wp:simplePos x="0" y="0"/>
                <wp:positionH relativeFrom="page">
                  <wp:posOffset>730250</wp:posOffset>
                </wp:positionH>
                <wp:positionV relativeFrom="paragraph">
                  <wp:posOffset>240030</wp:posOffset>
                </wp:positionV>
                <wp:extent cx="5908675" cy="1403985"/>
                <wp:effectExtent l="0" t="0" r="15875" b="26670"/>
                <wp:wrapTopAndBottom/>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25788283" w14:textId="14D9F939" w:rsidR="00AC29C0" w:rsidRPr="00C8067C" w:rsidRDefault="00AC29C0" w:rsidP="00AC29C0">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114" w:name="_Toc97310450"/>
                            <w:r w:rsidRPr="00300D33">
                              <w:rPr>
                                <w:b/>
                                <w:bCs/>
                              </w:rPr>
                              <w:instrText>Chapter 5. A qualitative study investigating food choices and perceived psychosocial influences on eating behaviours in secondary school students</w:instrText>
                            </w:r>
                            <w:bookmarkEnd w:id="114"/>
                            <w:r>
                              <w:instrText xml:space="preserve"> " \f x\l 1 </w:instrText>
                            </w:r>
                            <w:r>
                              <w:fldChar w:fldCharType="end"/>
                            </w:r>
                            <w:r>
                              <w:t xml:space="preserve"> </w:t>
                            </w:r>
                            <w:r w:rsidRPr="00C8067C">
                              <w:rPr>
                                <w:sz w:val="48"/>
                                <w:szCs w:val="48"/>
                              </w:rPr>
                              <w:t xml:space="preserve">Chapter </w:t>
                            </w:r>
                            <w:r>
                              <w:rPr>
                                <w:sz w:val="48"/>
                                <w:szCs w:val="48"/>
                              </w:rPr>
                              <w:t>5</w:t>
                            </w:r>
                          </w:p>
                          <w:p w14:paraId="1B33ADA4" w14:textId="09A2AA88" w:rsidR="00AC29C0" w:rsidRPr="00AC29C0" w:rsidRDefault="00AC29C0" w:rsidP="00AC29C0">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AC29C0">
                              <w:rPr>
                                <w:sz w:val="32"/>
                                <w:szCs w:val="32"/>
                              </w:rPr>
                              <w:t>A qualitative study investigating food choices and perceived psychosocial influences on eating behaviours in secondary school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721AA" id="_x0000_s1032" type="#_x0000_t202" style="position:absolute;left:0;text-align:left;margin-left:57.5pt;margin-top:18.9pt;width:465.25pt;height:110.55pt;z-index:2516981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" filled="f" strokecolor="white [3212]">
                <v:textbox style="mso-fit-shape-to-text:t">
                  <w:txbxContent>
                    <w:p w14:paraId="25788283" w14:textId="14D9F939" w:rsidR="00AC29C0" w:rsidRPr="00C8067C" w:rsidRDefault="00AC29C0" w:rsidP="00AC29C0">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115" w:name="_Toc97310450"/>
                      <w:r w:rsidRPr="00300D33">
                        <w:rPr>
                          <w:b/>
                          <w:bCs/>
                        </w:rPr>
                        <w:instrText>Chapter 5. A qualitative study investigating food choices and perceived psychosocial influences on eating behaviours in secondary school students</w:instrText>
                      </w:r>
                      <w:bookmarkEnd w:id="115"/>
                      <w:r>
                        <w:instrText xml:space="preserve"> " \f x\l 1 </w:instrText>
                      </w:r>
                      <w:r>
                        <w:fldChar w:fldCharType="end"/>
                      </w:r>
                      <w:r>
                        <w:t xml:space="preserve"> </w:t>
                      </w:r>
                      <w:r w:rsidRPr="00C8067C">
                        <w:rPr>
                          <w:sz w:val="48"/>
                          <w:szCs w:val="48"/>
                        </w:rPr>
                        <w:t xml:space="preserve">Chapter </w:t>
                      </w:r>
                      <w:r>
                        <w:rPr>
                          <w:sz w:val="48"/>
                          <w:szCs w:val="48"/>
                        </w:rPr>
                        <w:t>5</w:t>
                      </w:r>
                    </w:p>
                    <w:p w14:paraId="1B33ADA4" w14:textId="09A2AA88" w:rsidR="00AC29C0" w:rsidRPr="00AC29C0" w:rsidRDefault="00AC29C0" w:rsidP="00AC29C0">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AC29C0">
                        <w:rPr>
                          <w:sz w:val="32"/>
                          <w:szCs w:val="32"/>
                        </w:rPr>
                        <w:t>A qualitative study investigating food choices and perceived psychosocial influences on eating behaviours in secondary school students</w:t>
                      </w:r>
                    </w:p>
                  </w:txbxContent>
                </v:textbox>
                <w10:wrap type="topAndBottom" anchorx="page"/>
              </v:shape>
            </w:pict>
          </mc:Fallback>
        </mc:AlternateContent>
      </w:r>
    </w:p>
    <w:p w14:paraId="28991C16" w14:textId="3EC5799A" w:rsidR="00AC29C0" w:rsidRPr="00B1522E" w:rsidRDefault="00AC29C0" w:rsidP="00AC29C0"/>
    <w:p w14:paraId="14D7319D" w14:textId="77777777" w:rsidR="00AC29C0" w:rsidRPr="00B1522E" w:rsidRDefault="00AC29C0" w:rsidP="00AC29C0"/>
    <w:p w14:paraId="26E299B4" w14:textId="2E54A445" w:rsidR="00C610CB" w:rsidRPr="00B1522E" w:rsidRDefault="00C610CB" w:rsidP="00C610CB">
      <w:pPr>
        <w:jc w:val="center"/>
        <w:rPr>
          <w:sz w:val="44"/>
          <w:szCs w:val="44"/>
        </w:rPr>
      </w:pPr>
    </w:p>
    <w:p w14:paraId="5E0E40BC" w14:textId="77777777" w:rsidR="00AC29C0" w:rsidRPr="00B1522E" w:rsidRDefault="00AC29C0" w:rsidP="00C610CB">
      <w:pPr>
        <w:jc w:val="center"/>
      </w:pPr>
    </w:p>
    <w:p w14:paraId="56B98AEA" w14:textId="77777777" w:rsidR="00C610CB" w:rsidRPr="00B1522E" w:rsidRDefault="00C610CB" w:rsidP="00C610CB">
      <w:pPr>
        <w:jc w:val="center"/>
      </w:pPr>
    </w:p>
    <w:p w14:paraId="27130D13" w14:textId="77777777" w:rsidR="00C610CB" w:rsidRPr="00B1522E" w:rsidRDefault="00C610CB" w:rsidP="00C610CB">
      <w:pPr>
        <w:jc w:val="center"/>
      </w:pPr>
    </w:p>
    <w:p w14:paraId="20E9521E" w14:textId="77777777" w:rsidR="00C610CB" w:rsidRPr="00B1522E" w:rsidRDefault="00C610CB" w:rsidP="00C610CB">
      <w:pPr>
        <w:jc w:val="center"/>
      </w:pPr>
    </w:p>
    <w:p w14:paraId="1B64A24B" w14:textId="1AE7727E" w:rsidR="00C610CB" w:rsidRPr="00B1522E" w:rsidRDefault="00C610CB" w:rsidP="008D66FA"/>
    <w:p w14:paraId="27DAFC33" w14:textId="16823298" w:rsidR="00947BFD" w:rsidRPr="00B1522E" w:rsidRDefault="00947BFD" w:rsidP="00C610CB">
      <w:pPr>
        <w:spacing w:line="480" w:lineRule="auto"/>
        <w:rPr>
          <w:rFonts w:cstheme="minorHAnsi"/>
        </w:rPr>
      </w:pPr>
    </w:p>
    <w:p w14:paraId="1BDBB8B4" w14:textId="77777777" w:rsidR="00885B44" w:rsidRPr="00B1522E" w:rsidRDefault="00885B44" w:rsidP="00C610CB">
      <w:pPr>
        <w:spacing w:line="480" w:lineRule="auto"/>
        <w:rPr>
          <w:rFonts w:cstheme="minorHAnsi"/>
        </w:rPr>
      </w:pPr>
    </w:p>
    <w:p w14:paraId="17A944D9" w14:textId="77777777" w:rsidR="0016417D" w:rsidRPr="00B1522E" w:rsidRDefault="0016417D" w:rsidP="00C610CB">
      <w:pPr>
        <w:spacing w:line="480" w:lineRule="auto"/>
        <w:rPr>
          <w:rFonts w:cstheme="minorHAnsi"/>
        </w:rPr>
      </w:pPr>
    </w:p>
    <w:p w14:paraId="71E942EA" w14:textId="77777777" w:rsidR="0005172C" w:rsidRPr="00B1522E" w:rsidRDefault="0005172C" w:rsidP="00C610CB">
      <w:pPr>
        <w:spacing w:line="480" w:lineRule="auto"/>
        <w:rPr>
          <w:rFonts w:cstheme="minorHAnsi"/>
        </w:rPr>
      </w:pPr>
    </w:p>
    <w:p w14:paraId="07847C47" w14:textId="1F7F4E3D" w:rsidR="00C610CB" w:rsidRPr="00B1522E" w:rsidRDefault="00C610CB" w:rsidP="00C610CB">
      <w:pPr>
        <w:spacing w:line="480" w:lineRule="auto"/>
        <w:rPr>
          <w:rFonts w:cstheme="minorHAnsi"/>
        </w:rPr>
      </w:pPr>
      <w:r w:rsidRPr="00B1522E">
        <w:rPr>
          <w:rFonts w:cstheme="minorHAnsi"/>
        </w:rPr>
        <w:t xml:space="preserve">This chapter </w:t>
      </w:r>
      <w:r w:rsidR="00D94653" w:rsidRPr="00B1522E">
        <w:rPr>
          <w:rFonts w:cstheme="minorHAnsi"/>
        </w:rPr>
        <w:t>has been published</w:t>
      </w:r>
      <w:r w:rsidRPr="00B1522E">
        <w:rPr>
          <w:rFonts w:cstheme="minorHAnsi"/>
        </w:rPr>
        <w:t xml:space="preserve"> as:</w:t>
      </w:r>
    </w:p>
    <w:p w14:paraId="413BD7FB" w14:textId="3C756F3E" w:rsidR="00B07823" w:rsidRPr="00B1522E" w:rsidRDefault="00C610CB" w:rsidP="001F0164">
      <w:pPr>
        <w:spacing w:line="240" w:lineRule="auto"/>
        <w:jc w:val="both"/>
        <w:rPr>
          <w:rFonts w:cstheme="minorHAnsi"/>
          <w:shd w:val="clear" w:color="auto" w:fill="FFFFFF"/>
        </w:rPr>
      </w:pPr>
      <w:r w:rsidRPr="00B1522E">
        <w:rPr>
          <w:rFonts w:cstheme="minorHAnsi"/>
          <w:shd w:val="clear" w:color="auto" w:fill="FFFFFF"/>
        </w:rPr>
        <w:t xml:space="preserve">Calvert, S., Dempsey, R. C. &amp; Povey, R. (2020). A qualitative study investigating food choices and </w:t>
      </w:r>
      <w:r w:rsidRPr="00646E6A">
        <w:rPr>
          <w:rFonts w:cstheme="minorHAnsi"/>
          <w:shd w:val="clear" w:color="auto" w:fill="FFFFFF"/>
        </w:rPr>
        <w:t>perceived psychosocial influences on eating behaviours in secondary school students. </w:t>
      </w:r>
      <w:r w:rsidRPr="00646E6A">
        <w:rPr>
          <w:rFonts w:cstheme="minorHAnsi"/>
          <w:i/>
          <w:iCs/>
          <w:shd w:val="clear" w:color="auto" w:fill="FFFFFF"/>
        </w:rPr>
        <w:t>British Food Journal</w:t>
      </w:r>
      <w:r w:rsidR="001261F5" w:rsidRPr="00646E6A">
        <w:rPr>
          <w:rFonts w:cstheme="minorHAnsi"/>
          <w:shd w:val="clear" w:color="auto" w:fill="FFFFFF"/>
        </w:rPr>
        <w:t>,</w:t>
      </w:r>
      <w:r w:rsidRPr="00646E6A">
        <w:rPr>
          <w:rFonts w:cstheme="minorHAnsi"/>
        </w:rPr>
        <w:t xml:space="preserve"> </w:t>
      </w:r>
      <w:r w:rsidRPr="00646E6A">
        <w:rPr>
          <w:rFonts w:cstheme="minorHAnsi"/>
          <w:shd w:val="clear" w:color="auto" w:fill="FFFFFF"/>
        </w:rPr>
        <w:t>122</w:t>
      </w:r>
      <w:r w:rsidR="00EA1B3F" w:rsidRPr="00646E6A">
        <w:rPr>
          <w:rFonts w:cstheme="minorHAnsi"/>
          <w:shd w:val="clear" w:color="auto" w:fill="FFFFFF"/>
        </w:rPr>
        <w:t>(</w:t>
      </w:r>
      <w:r w:rsidRPr="00646E6A">
        <w:rPr>
          <w:rFonts w:cstheme="minorHAnsi"/>
          <w:shd w:val="clear" w:color="auto" w:fill="FFFFFF"/>
        </w:rPr>
        <w:t>4</w:t>
      </w:r>
      <w:r w:rsidR="00EA1B3F" w:rsidRPr="00646E6A">
        <w:rPr>
          <w:rFonts w:cstheme="minorHAnsi"/>
          <w:shd w:val="clear" w:color="auto" w:fill="FFFFFF"/>
        </w:rPr>
        <w:t>)</w:t>
      </w:r>
      <w:r w:rsidRPr="00646E6A">
        <w:rPr>
          <w:rFonts w:cstheme="minorHAnsi"/>
          <w:shd w:val="clear" w:color="auto" w:fill="FFFFFF"/>
        </w:rPr>
        <w:t>, 1027-1039.</w:t>
      </w:r>
      <w:bookmarkStart w:id="116" w:name="_Toc84678926"/>
    </w:p>
    <w:p w14:paraId="4855ADA7" w14:textId="77777777" w:rsidR="00D94653" w:rsidRPr="00B1522E" w:rsidRDefault="00D94653" w:rsidP="001F0164">
      <w:pPr>
        <w:spacing w:line="240" w:lineRule="auto"/>
        <w:jc w:val="both"/>
        <w:rPr>
          <w:rFonts w:cstheme="minorHAnsi"/>
          <w:shd w:val="clear" w:color="auto" w:fill="FFFFFF"/>
        </w:rPr>
      </w:pPr>
    </w:p>
    <w:p w14:paraId="07C858E2" w14:textId="0CEBB7AC" w:rsidR="00E3666D" w:rsidRPr="00B1522E" w:rsidRDefault="00947BFD" w:rsidP="00B07823">
      <w:pPr>
        <w:spacing w:line="480" w:lineRule="auto"/>
        <w:jc w:val="both"/>
        <w:rPr>
          <w:rFonts w:cstheme="minorHAnsi"/>
          <w:b/>
          <w:bCs/>
          <w:shd w:val="clear" w:color="auto" w:fill="FFFFFF"/>
        </w:rPr>
      </w:pPr>
      <w:r w:rsidRPr="00B1522E">
        <w:fldChar w:fldCharType="begin"/>
      </w:r>
      <w:r w:rsidRPr="00B1522E">
        <w:instrText xml:space="preserve"> TC  "</w:instrText>
      </w:r>
      <w:bookmarkStart w:id="117" w:name="_Toc97310451"/>
      <w:r w:rsidRPr="00B1522E">
        <w:instrText>5.1 Chapter overview</w:instrText>
      </w:r>
      <w:bookmarkEnd w:id="117"/>
      <w:r w:rsidRPr="00B1522E">
        <w:instrText xml:space="preserve"> " \f x\l 2 </w:instrText>
      </w:r>
      <w:r w:rsidRPr="00B1522E">
        <w:fldChar w:fldCharType="end"/>
      </w:r>
      <w:r w:rsidR="00C610CB" w:rsidRPr="00B1522E">
        <w:rPr>
          <w:b/>
          <w:bCs/>
        </w:rPr>
        <w:t>5.1 Chapter overview</w:t>
      </w:r>
      <w:bookmarkEnd w:id="116"/>
    </w:p>
    <w:p w14:paraId="12124743" w14:textId="41B1A77D" w:rsidR="00C610CB" w:rsidRPr="00B1522E" w:rsidRDefault="00973507" w:rsidP="00B07823">
      <w:pPr>
        <w:spacing w:after="0" w:line="480" w:lineRule="auto"/>
        <w:jc w:val="both"/>
        <w:rPr>
          <w:rFonts w:cstheme="minorHAnsi"/>
        </w:rPr>
      </w:pPr>
      <w:r w:rsidRPr="00B1522E">
        <w:rPr>
          <w:rFonts w:eastAsia="Calibri"/>
        </w:rPr>
        <w:t>The research presented in this Chapter sets out</w:t>
      </w:r>
      <w:r w:rsidR="009674F3" w:rsidRPr="00B1522E">
        <w:rPr>
          <w:rFonts w:cstheme="minorHAnsi"/>
        </w:rPr>
        <w:t xml:space="preserve"> to</w:t>
      </w:r>
      <w:r w:rsidR="00C610CB" w:rsidRPr="00B1522E">
        <w:rPr>
          <w:rFonts w:cstheme="minorHAnsi"/>
        </w:rPr>
        <w:t xml:space="preserve"> explore</w:t>
      </w:r>
      <w:r w:rsidR="005D0504" w:rsidRPr="00B1522E">
        <w:rPr>
          <w:rFonts w:cstheme="minorHAnsi"/>
        </w:rPr>
        <w:t xml:space="preserve"> the perceived influences and barriers associated with healthy and unhealthy food choices amongst </w:t>
      </w:r>
      <w:r w:rsidR="00183ADE" w:rsidRPr="00B1522E">
        <w:rPr>
          <w:rFonts w:cstheme="minorHAnsi"/>
        </w:rPr>
        <w:t>11-</w:t>
      </w:r>
      <w:r w:rsidR="005B01B5" w:rsidRPr="00B1522E">
        <w:rPr>
          <w:rFonts w:cstheme="minorHAnsi"/>
        </w:rPr>
        <w:t xml:space="preserve"> </w:t>
      </w:r>
      <w:r w:rsidR="00183ADE" w:rsidRPr="00B1522E">
        <w:rPr>
          <w:rFonts w:cstheme="minorHAnsi"/>
        </w:rPr>
        <w:t>to</w:t>
      </w:r>
      <w:r w:rsidR="00776F82" w:rsidRPr="00B1522E">
        <w:rPr>
          <w:rFonts w:cstheme="minorHAnsi"/>
        </w:rPr>
        <w:t xml:space="preserve"> </w:t>
      </w:r>
      <w:r w:rsidR="00183ADE" w:rsidRPr="00B1522E">
        <w:rPr>
          <w:rFonts w:cstheme="minorHAnsi"/>
        </w:rPr>
        <w:t>13-year-old secondary school students.</w:t>
      </w:r>
      <w:r w:rsidR="00B16561" w:rsidRPr="00B1522E">
        <w:rPr>
          <w:rFonts w:cstheme="minorHAnsi"/>
        </w:rPr>
        <w:t xml:space="preserve"> </w:t>
      </w:r>
      <w:r w:rsidR="00EE6CC5" w:rsidRPr="00B1522E">
        <w:rPr>
          <w:rFonts w:cstheme="minorHAnsi"/>
        </w:rPr>
        <w:t xml:space="preserve"> </w:t>
      </w:r>
      <w:r w:rsidR="004F6CDE" w:rsidRPr="00B1522E">
        <w:rPr>
          <w:rFonts w:cstheme="minorHAnsi"/>
        </w:rPr>
        <w:t>It is</w:t>
      </w:r>
      <w:r w:rsidR="00EE6CC5" w:rsidRPr="00B1522E">
        <w:rPr>
          <w:rFonts w:cstheme="minorHAnsi"/>
        </w:rPr>
        <w:t xml:space="preserve"> important</w:t>
      </w:r>
      <w:r w:rsidR="004F6CDE" w:rsidRPr="00B1522E">
        <w:rPr>
          <w:rFonts w:cstheme="minorHAnsi"/>
        </w:rPr>
        <w:t xml:space="preserve"> to understand </w:t>
      </w:r>
      <w:r w:rsidR="00F7159B" w:rsidRPr="00B1522E">
        <w:rPr>
          <w:rFonts w:cstheme="minorHAnsi"/>
        </w:rPr>
        <w:t>adolescents’</w:t>
      </w:r>
      <w:r w:rsidR="00B16561" w:rsidRPr="00B1522E">
        <w:rPr>
          <w:rFonts w:cstheme="minorHAnsi"/>
        </w:rPr>
        <w:t xml:space="preserve"> </w:t>
      </w:r>
      <w:r w:rsidR="00F7159B" w:rsidRPr="00B1522E">
        <w:rPr>
          <w:rFonts w:eastAsia="Calibri" w:cstheme="minorHAnsi"/>
        </w:rPr>
        <w:t>views and motivations for engaging in certain eating behaviours</w:t>
      </w:r>
      <w:r w:rsidR="00776F82" w:rsidRPr="00B1522E">
        <w:rPr>
          <w:rFonts w:eastAsia="Calibri" w:cstheme="minorHAnsi"/>
        </w:rPr>
        <w:t>,</w:t>
      </w:r>
      <w:r w:rsidR="00F7159B" w:rsidRPr="00B1522E">
        <w:rPr>
          <w:rFonts w:cstheme="minorHAnsi"/>
        </w:rPr>
        <w:t xml:space="preserve"> </w:t>
      </w:r>
      <w:r w:rsidR="004F6CDE" w:rsidRPr="00B1522E">
        <w:rPr>
          <w:rFonts w:cstheme="minorHAnsi"/>
        </w:rPr>
        <w:t xml:space="preserve">to identify effective ways of improving their dietary behaviours.  </w:t>
      </w:r>
    </w:p>
    <w:p w14:paraId="55FE480A" w14:textId="77777777" w:rsidR="00C82B2F" w:rsidRPr="00B1522E" w:rsidRDefault="00C82B2F" w:rsidP="00B07823">
      <w:pPr>
        <w:spacing w:line="480" w:lineRule="auto"/>
        <w:ind w:right="-611"/>
        <w:jc w:val="both"/>
        <w:rPr>
          <w:rFonts w:cstheme="minorHAnsi"/>
        </w:rPr>
      </w:pPr>
    </w:p>
    <w:bookmarkStart w:id="118" w:name="_Toc84678927"/>
    <w:p w14:paraId="79287BFD" w14:textId="77777777" w:rsidR="00C438EA" w:rsidRPr="00B1522E" w:rsidRDefault="00B94823" w:rsidP="00B07823">
      <w:pPr>
        <w:spacing w:line="480" w:lineRule="auto"/>
        <w:rPr>
          <w:b/>
          <w:bCs/>
        </w:rPr>
      </w:pPr>
      <w:r w:rsidRPr="00B1522E">
        <w:fldChar w:fldCharType="begin"/>
      </w:r>
      <w:r w:rsidRPr="00B1522E">
        <w:instrText xml:space="preserve"> TC  "</w:instrText>
      </w:r>
      <w:bookmarkStart w:id="119" w:name="_Toc97310452"/>
      <w:r w:rsidRPr="00B1522E">
        <w:instrText>5.2 Introduction</w:instrText>
      </w:r>
      <w:bookmarkEnd w:id="119"/>
      <w:r w:rsidRPr="00B1522E">
        <w:instrText xml:space="preserve"> " \f x\l 2 </w:instrText>
      </w:r>
      <w:r w:rsidRPr="00B1522E">
        <w:fldChar w:fldCharType="end"/>
      </w:r>
      <w:r w:rsidR="00C610CB" w:rsidRPr="00B1522E">
        <w:rPr>
          <w:b/>
          <w:bCs/>
        </w:rPr>
        <w:t>5.2 Introduction</w:t>
      </w:r>
      <w:bookmarkEnd w:id="118"/>
    </w:p>
    <w:p w14:paraId="0CF5EE14" w14:textId="2C697A30" w:rsidR="00C610CB" w:rsidRPr="00B1522E" w:rsidRDefault="00C610CB" w:rsidP="00B07823">
      <w:pPr>
        <w:spacing w:line="480" w:lineRule="auto"/>
        <w:jc w:val="both"/>
        <w:rPr>
          <w:rFonts w:cstheme="minorHAnsi"/>
        </w:rPr>
      </w:pPr>
      <w:r w:rsidRPr="00B1522E">
        <w:rPr>
          <w:rFonts w:cstheme="minorHAnsi"/>
        </w:rPr>
        <w:t xml:space="preserve">Childhood obesity is one of the most serious global public health challenges for the 21st Century according to the World Health Organisation </w:t>
      </w:r>
      <w:r w:rsidRPr="00B1522E">
        <w:rPr>
          <w:rFonts w:cstheme="minorHAnsi"/>
        </w:rPr>
        <w:fldChar w:fldCharType="begin" w:fldLock="1"/>
      </w:r>
      <w:r w:rsidRPr="00B1522E">
        <w:rPr>
          <w:rFonts w:cstheme="minorHAnsi"/>
        </w:rPr>
        <w:instrText>ADDIN CSL_CITATION {"citationItems":[{"id":"ITEM-1","itemData":{"URL":"https://www.gov.uk/government/publications/childhood-obesity-a-plan-for-action/childhood-obesity-a-plan-for-action","author":[{"dropping-particle":"","family":"Public Health England","given":"","non-dropping-particle":"","parse-names":false,"suffix":""}],"id":"ITEM-1","issued":{"date-parts":[["2016"]]},"title":"Child obesity","type":"webpage"},"uris":["http://www.mendeley.com/documents/?uuid=8a4cbcc5-16fd-42d8-98e0-36bfd955fee3"]}],"mendeley":{"formattedCitation":"(Public Health England, 2016)","plainTextFormattedCitation":"(Public Health England, 2016)","previouslyFormattedCitation":"(Public Health England, 2016)"},"properties":{"noteIndex":0},"schema":"https://github.com/citation-style-language/schema/raw/master/csl-citation.json"}</w:instrText>
      </w:r>
      <w:r w:rsidRPr="00B1522E">
        <w:rPr>
          <w:rFonts w:cstheme="minorHAnsi"/>
        </w:rPr>
        <w:fldChar w:fldCharType="separate"/>
      </w:r>
      <w:r w:rsidRPr="00B1522E">
        <w:rPr>
          <w:rFonts w:cstheme="minorHAnsi"/>
          <w:noProof/>
        </w:rPr>
        <w:t>(Public Health England, 2016)</w:t>
      </w:r>
      <w:r w:rsidRPr="00B1522E">
        <w:rPr>
          <w:rFonts w:cstheme="minorHAnsi"/>
        </w:rPr>
        <w:fldChar w:fldCharType="end"/>
      </w:r>
      <w:r w:rsidRPr="00B1522E">
        <w:rPr>
          <w:rFonts w:cstheme="minorHAnsi"/>
        </w:rPr>
        <w:t xml:space="preserve">. Recent research has indicated that 63 % of adults in England are either obese or overweight, with 34% of children being overweight or obese by the age of 11 </w:t>
      </w:r>
      <w:r w:rsidRPr="00B1522E">
        <w:rPr>
          <w:rFonts w:cstheme="minorHAnsi"/>
        </w:rPr>
        <w:fldChar w:fldCharType="begin" w:fldLock="1"/>
      </w:r>
      <w:r w:rsidRPr="00B1522E">
        <w:rPr>
          <w:rFonts w:cstheme="minorHAnsi"/>
        </w:rPr>
        <w:instrText>ADDIN CSL_CITATION {"citationItems":[{"id":"ITEM-1","itemData":{"URL":"https://digital.nhs.uk/data-and-information/publications/statistical/statistics-on-obesity-physical-activity-and-diet/statistics-on-obesity-physical-activity-and-diet-england-2018","abstract":"Statistics on Obesity, Physical Activity and Diet: England, January 2008","author":[{"dropping-particle":"","family":"NHS","given":"","non-dropping-particle":"","parse-names":false,"suffix":""}],"id":"ITEM-1","issue":"April","issued":{"date-parts":[["2018"]]},"page":"112","title":"Statistics on obesity , physical activity and diet","type":"webpage","volume":"1"},"uris":["http://www.mendeley.com/documents/?uuid=881a6035-9d05-4227-9b8e-2f6181f8a3c6"]}],"mendeley":{"formattedCitation":"(NHS, 2018)","plainTextFormattedCitation":"(NHS, 2018)","previouslyFormattedCitation":"(NHS, 2018)"},"properties":{"noteIndex":0},"schema":"https://github.com/citation-style-language/schema/raw/master/csl-citation.json"}</w:instrText>
      </w:r>
      <w:r w:rsidRPr="00B1522E">
        <w:rPr>
          <w:rFonts w:cstheme="minorHAnsi"/>
        </w:rPr>
        <w:fldChar w:fldCharType="separate"/>
      </w:r>
      <w:r w:rsidRPr="00B1522E">
        <w:rPr>
          <w:rFonts w:cstheme="minorHAnsi"/>
          <w:noProof/>
        </w:rPr>
        <w:t>(NHS, 2018)</w:t>
      </w:r>
      <w:r w:rsidRPr="00B1522E">
        <w:rPr>
          <w:rFonts w:cstheme="minorHAnsi"/>
        </w:rPr>
        <w:fldChar w:fldCharType="end"/>
      </w:r>
      <w:r w:rsidRPr="00B1522E">
        <w:rPr>
          <w:rFonts w:cstheme="minorHAnsi"/>
        </w:rPr>
        <w:t xml:space="preserve">. Younger generations are becoming obese at an earlier age and remaining obese for longer </w:t>
      </w:r>
      <w:r w:rsidRPr="00B1522E">
        <w:rPr>
          <w:rFonts w:cstheme="minorHAnsi"/>
        </w:rPr>
        <w:fldChar w:fldCharType="begin" w:fldLock="1"/>
      </w:r>
      <w:r w:rsidR="00DF6CCC" w:rsidRPr="00B1522E">
        <w:rPr>
          <w:rFonts w:cstheme="minorHAnsi"/>
        </w:rPr>
        <w:instrText>ADDIN CSL_CITATION {"citationItems":[{"id":"ITEM-1","itemData":{"ISSN":"1549-1676","author":[{"dropping-particle":"","family":"Johnson","given":"William","non-dropping-particle":"","parse-names":false,"suffix":""},{"dropping-particle":"","family":"Li","given":"Leah","non-dropping-particle":"","parse-names":false,"suffix":""},{"dropping-particle":"","family":"Kuh","given":"Diana","non-dropping-particle":"","parse-names":false,"suffix":""},{"dropping-particle":"","family":"Hardy","given":"Rebecca","non-dropping-particle":"","parse-names":false,"suffix":""}],"container-title":"PLoS medicine","id":"ITEM-1","issue":"5","issued":{"date-parts":[["2015"]]},"page":"e1001828","publisher":"Public Library of Science","title":"How has the age-related process of overweight or obesity development changed over time? Co-ordinated analyses of individual participant data from five United Kingdom birth cohorts","type":"article-journal","volume":"12"},"uris":["http://www.mendeley.com/documents/?uuid=0b527545-50e5-4d2e-a871-cc32f7b9e9f5"]}],"mendeley":{"formattedCitation":"(Johnson et al., 2015)","plainTextFormattedCitation":"(Johnson et al., 2015)","previouslyFormattedCitation":"(Johnson et al., 2015)"},"properties":{"noteIndex":0},"schema":"https://github.com/citation-style-language/schema/raw/master/csl-citation.json"}</w:instrText>
      </w:r>
      <w:r w:rsidRPr="00B1522E">
        <w:rPr>
          <w:rFonts w:cstheme="minorHAnsi"/>
        </w:rPr>
        <w:fldChar w:fldCharType="separate"/>
      </w:r>
      <w:r w:rsidR="004B7FAF" w:rsidRPr="00B1522E">
        <w:rPr>
          <w:rFonts w:cstheme="minorHAnsi"/>
          <w:noProof/>
        </w:rPr>
        <w:t>(Johnson et al., 2015)</w:t>
      </w:r>
      <w:r w:rsidRPr="00B1522E">
        <w:rPr>
          <w:rFonts w:cstheme="minorHAnsi"/>
        </w:rPr>
        <w:fldChar w:fldCharType="end"/>
      </w:r>
      <w:r w:rsidRPr="00B1522E">
        <w:rPr>
          <w:rFonts w:cstheme="minorHAnsi"/>
        </w:rPr>
        <w:t xml:space="preserve">, this can have associated risks later in life, including an increased risk of heart disease, diabetes, and liver disease </w:t>
      </w:r>
      <w:r w:rsidRPr="00B1522E">
        <w:rPr>
          <w:rFonts w:cstheme="minorHAnsi"/>
        </w:rPr>
        <w:fldChar w:fldCharType="begin" w:fldLock="1"/>
      </w:r>
      <w:r w:rsidR="00990068" w:rsidRPr="00B1522E">
        <w:rPr>
          <w:rFonts w:cstheme="minorHAnsi"/>
        </w:rPr>
        <w:instrText>ADDIN CSL_CITATION {"citationItems":[{"id":"ITEM-1","itemData":{"author":[{"dropping-particle":"","family":"Gatineau","given":"M","non-dropping-particle":"","parse-names":false,"suffix":""},{"dropping-particle":"","family":"Dent","given":"M","non-dropping-particle":"","parse-names":false,"suffix":""}],"id":"ITEM-1","issued":{"date-parts":[["2011"]]},"publisher":"Oxford","title":"Obesity and Mental Health. National Obesity Observatory","type":"article"},"uris":["http://www.mendeley.com/documents/?uuid=449d899c-e2f5-4a80-aa8a-dd978dafa943"]},{"id":"ITEM-2","itemData":{"author":[{"dropping-particle":"","family":"Ipsos","given":"MORI","non-dropping-particle":"","parse-names":false,"suffix":""}],"id":"ITEM-2","issued":{"date-parts":[["2014"]]},"publisher":"Survey","title":"Health and Wellbeing of 15 year olds in England: Smoking prevalence–findings from the What About YOUth","type":"article"},"uris":["http://www.mendeley.com/documents/?uuid=fd7f207e-6f34-467f-9a4b-93fec3be2116"]},{"id":"ITEM-3","itemData":{"URL":"https://digital.nhs.uk/data-and-information/publications/statistical/statistics-on-obesity-physical-activity-and-diet/statistics-on-obesity-physical-activity-and-diet-england-2018","abstract":"Statistics on Obesity, Physical Activity and Diet: England, January 2008","author":[{"dropping-particle":"","family":"NHS","given":"","non-dropping-particle":"","parse-names":false,"suffix":""}],"id":"ITEM-3","issue":"April","issued":{"date-parts":[["2018"]]},"page":"112","title":"Statistics on obesity , physical activity and diet","type":"webpage","volume":"1"},"uris":["http://www.mendeley.com/documents/?uuid=881a6035-9d05-4227-9b8e-2f6181f8a3c6"]}],"mendeley":{"formattedCitation":"(Gatineau &amp; Dent, 2011; Ipsos, 2014; NHS, 2018)","manualFormatting":"(Ipsos, 2014; NHS, 2018)","plainTextFormattedCitation":"(Gatineau &amp; Dent, 2011; Ipsos, 2014; NHS, 2018)","previouslyFormattedCitation":"(Gatineau &amp; Dent, 2011; Ipsos, 2014; NHS, 2018)"},"properties":{"noteIndex":0},"schema":"https://github.com/citation-style-language/schema/raw/master/csl-citation.json"}</w:instrText>
      </w:r>
      <w:r w:rsidRPr="00B1522E">
        <w:rPr>
          <w:rFonts w:cstheme="minorHAnsi"/>
        </w:rPr>
        <w:fldChar w:fldCharType="separate"/>
      </w:r>
      <w:r w:rsidRPr="00B1522E">
        <w:rPr>
          <w:rFonts w:cstheme="minorHAnsi"/>
          <w:noProof/>
        </w:rPr>
        <w:t>(Ipsos, 2014; NHS, 2018)</w:t>
      </w:r>
      <w:r w:rsidRPr="00B1522E">
        <w:rPr>
          <w:rFonts w:cstheme="minorHAnsi"/>
        </w:rPr>
        <w:fldChar w:fldCharType="end"/>
      </w:r>
      <w:r w:rsidRPr="00B1522E">
        <w:rPr>
          <w:rFonts w:cstheme="minorHAnsi"/>
        </w:rPr>
        <w:t xml:space="preserve">. Eating behaviours that are formed in adolescence and continue into adulthood can become resistant to change </w:t>
      </w:r>
      <w:r w:rsidRPr="00B1522E">
        <w:rPr>
          <w:rFonts w:cstheme="minorHAnsi"/>
        </w:rPr>
        <w:fldChar w:fldCharType="begin" w:fldLock="1"/>
      </w:r>
      <w:r w:rsidR="00DF6CCC" w:rsidRPr="00B1522E">
        <w:rPr>
          <w:rFonts w:cstheme="minorHAnsi"/>
        </w:rPr>
        <w:instrText>ADDIN CSL_CITATION {"citationItems":[{"id":"ITEM-1","itemData":{"ISSN":"1479-5868","abstract":"BACKGROUND: Late adolescence to early adulthood is a period of lifestyle change and personal development which may influence dietary behaviour. Understanding dietary trajectories across this age range may help in targeting interventions appropriately. This scoping review aimed to assess how longitudinal change in diet is conceptualised and measured between the ages of 13 to 30. METHODS: We searched Medline, SCOPUS, Embase, PsycInfo (EBSCO), ASSIA, Sportdiscus, and Web of Science Core Collection (January 2016) using search terms combining diet outcomes, longitudinal methods and indicators of adolescent or young adult age. Titles and abstracts were screened and data extracted following published guidelines for scoping reviews. Data were analysed to summarize key data on each study and map availability of longitudinal data on macronutrients and food groups by age of study participants. RESULTS: We identified 98 papers reporting on 40 studies. Longitudinal dietary data were available on intake of energy, key macronutrients and several food groups, but this data had significant gaps and limitations. Most studies provided only two or three waves of data within the age range of interest and few studies reported data collected beyond the early twenties. A range of dietary assessment methods were used, with greater use of less comprehensive dietary assessment methods among studies reporting food group intakes. CONCLUSION: Despite limited availability of longitudinal data to aid understanding of dietary trajectories across this age range, this scoping review identified areas with scope for further evidence synthesis. We identified a paucity of longitudinal data continuing into the mid and late twenties, variability in (quality of) dietary assessment methods, and a large variety of macronutrients and food groups studied. Advances in dietary assessment methodologies as well as increased use of social media may facilitate new data collection to further understanding of changing diet across this life stage. ELECTRONIC SUPPLEMENTARY MATERIAL: The online version of this article (doi:10.1186/s12966-017-0518-7) contains supplementary material, which is available to authorized users.","author":[{"dropping-particle":"","family":"Winpenny","given":"Eleanor M","non-dropping-particle":"","parse-names":false,"suffix":""},{"dropping-particle":"","family":"Penney","given":"Tarra L","non-dropping-particle":"","parse-names":false,"suffix":""},{"dropping-particle":"","family":"Corder","given":"Kirsten","non-dropping-particle":"","parse-names":false,"suffix":""},{"dropping-particle":"","family":"White","given":"Martin","non-dropping-particle":"","parse-names":false,"suffix":""},{"dropping-particle":"","family":"Sluijs","given":"Esther M F","non-dropping-particle":"van","parse-names":false,"suffix":""}],"container-title":"The International Journal of Behavioral Nutrition and Physical Activity","id":"ITEM-1","issued":{"date-parts":[["2017","5"]]},"page":"60","publisher":"BioMed Central","publisher-place":"London","title":"Change in diet in the period from adolescence to early adulthood: a systematic scoping review of longitudinal studies","type":"article-journal","volume":"14"},"uris":["http://www.mendeley.com/documents/?uuid=ef497883-d641-4b7d-aee2-aba1f6aa2f77"]}],"mendeley":{"formattedCitation":"(Winpenny et al., 2017)","plainTextFormattedCitation":"(Winpenny et al., 2017)","previouslyFormattedCitation":"(Winpenny et al., 2017)"},"properties":{"noteIndex":0},"schema":"https://github.com/citation-style-language/schema/raw/master/csl-citation.json"}</w:instrText>
      </w:r>
      <w:r w:rsidRPr="00B1522E">
        <w:rPr>
          <w:rFonts w:cstheme="minorHAnsi"/>
        </w:rPr>
        <w:fldChar w:fldCharType="separate"/>
      </w:r>
      <w:r w:rsidR="004B7FAF" w:rsidRPr="00B1522E">
        <w:rPr>
          <w:rFonts w:cstheme="minorHAnsi"/>
          <w:noProof/>
        </w:rPr>
        <w:t>(Winpenny et al., 2017)</w:t>
      </w:r>
      <w:r w:rsidRPr="00B1522E">
        <w:rPr>
          <w:rFonts w:cstheme="minorHAnsi"/>
        </w:rPr>
        <w:fldChar w:fldCharType="end"/>
      </w:r>
      <w:r w:rsidRPr="00B1522E">
        <w:rPr>
          <w:rFonts w:cstheme="minorHAnsi"/>
        </w:rPr>
        <w:t xml:space="preserve">. Adult weight problems may stem from problematic eating behaviours that start in childhood; therefore, interventions and research should focus on improving childhood eating behaviours to minimise longer-term negative health outcomes </w:t>
      </w:r>
      <w:r w:rsidRPr="00B1522E">
        <w:rPr>
          <w:rFonts w:cstheme="minorHAnsi"/>
        </w:rPr>
        <w:fldChar w:fldCharType="begin" w:fldLock="1"/>
      </w:r>
      <w:r w:rsidR="00DF6CCC" w:rsidRPr="00B1522E">
        <w:rPr>
          <w:rFonts w:cstheme="minorHAnsi"/>
        </w:rPr>
        <w:instrText>ADDIN CSL_CITATION {"citationItems":[{"id":"ITEM-1","itemData":{"ISSN":"1550-8579","author":[{"dropping-particle":"","family":"Wisniewski","given":"Amy B","non-dropping-particle":"","parse-names":false,"suffix":""},{"dropping-particle":"","family":"Chernausek","given":"Steven D","non-dropping-particle":"","parse-names":false,"suffix":""}],"container-title":"Gender Medicine","id":"ITEM-1","issued":{"date-parts":[["2009"]]},"page":"76-85","publisher":"Elsevier","title":"Gender in childhood obesity: family environment, hormones, and genes","type":"article-journal","volume":"6"},"uris":["http://www.mendeley.com/documents/?uuid=3026cd33-dbea-4b0b-a172-7390aa59c9cf"]},{"id":"ITEM-2","itemData":{"ISSN":"0378-5122","author":[{"dropping-particle":"","family":"Craigie","given":"Angela M","non-dropping-particle":"","parse-names":false,"suffix":""},{"dropping-particle":"","family":"Lake","given":"Amelia A","non-dropping-particle":"","parse-names":false,"suffix":""},{"dropping-particle":"","family":"Kelly","given":"Sarah A","non-dropping-particle":"","parse-names":false,"suffix":""},{"dropping-particle":"","family":"Adamson","given":"Ashley J","non-dropping-particle":"","parse-names":false,"suffix":""},{"dropping-particle":"","family":"Mathers","given":"John C","non-dropping-particle":"","parse-names":false,"suffix":""}],"container-title":"Maturitas","id":"ITEM-2","issue":"3","issued":{"date-parts":[["2011"]]},"page":"266-284","publisher":"Elsevier","title":"Tracking of obesity-related behaviours from childhood to adulthood: a systematic review","type":"article-journal","volume":"70"},"uris":["http://www.mendeley.com/documents/?uuid=4b140d83-52d3-4f08-b4e6-f4e9123f8e80"]}],"mendeley":{"formattedCitation":"(Craigie et al., 2011; Wisniewski &amp; Chernausek, 2009)","plainTextFormattedCitation":"(Craigie et al., 2011; Wisniewski &amp; Chernausek, 2009)","previouslyFormattedCitation":"(Craigie et al., 2011; Wisniewski &amp; Chernausek, 2009)"},"properties":{"noteIndex":0},"schema":"https://github.com/citation-style-language/schema/raw/master/csl-citation.json"}</w:instrText>
      </w:r>
      <w:r w:rsidRPr="00B1522E">
        <w:rPr>
          <w:rFonts w:cstheme="minorHAnsi"/>
        </w:rPr>
        <w:fldChar w:fldCharType="separate"/>
      </w:r>
      <w:r w:rsidR="004B7FAF" w:rsidRPr="00B1522E">
        <w:rPr>
          <w:rFonts w:cstheme="minorHAnsi"/>
          <w:noProof/>
        </w:rPr>
        <w:t>(Craigie et al., 2011; Wisniewski &amp; Chernausek, 2009)</w:t>
      </w:r>
      <w:r w:rsidRPr="00B1522E">
        <w:rPr>
          <w:rFonts w:cstheme="minorHAnsi"/>
        </w:rPr>
        <w:fldChar w:fldCharType="end"/>
      </w:r>
      <w:r w:rsidRPr="00B1522E">
        <w:rPr>
          <w:rFonts w:cstheme="minorHAnsi"/>
        </w:rPr>
        <w:t xml:space="preserve">. It is crucial to understand why adolescents make unhealthy food choices to identify effective ways of improving their dietary behaviours.  </w:t>
      </w:r>
    </w:p>
    <w:p w14:paraId="51BB236C" w14:textId="1526F3FF" w:rsidR="00C610CB" w:rsidRPr="00B1522E" w:rsidRDefault="00C610CB" w:rsidP="00B07823">
      <w:pPr>
        <w:spacing w:line="480" w:lineRule="auto"/>
        <w:ind w:firstLine="720"/>
        <w:jc w:val="both"/>
        <w:rPr>
          <w:rFonts w:cstheme="minorHAnsi"/>
        </w:rPr>
      </w:pPr>
      <w:r w:rsidRPr="00B1522E">
        <w:rPr>
          <w:rFonts w:cstheme="minorHAnsi"/>
        </w:rPr>
        <w:t xml:space="preserve">Children who are progressing to secondary education (typically aged between 11-12 years old in the UK) are at a stage in their lives where they have increasing independence, including greater control over their own diets and eating behaviours </w:t>
      </w:r>
      <w:r w:rsidRPr="00B1522E">
        <w:rPr>
          <w:rFonts w:cstheme="minorHAnsi"/>
        </w:rPr>
        <w:fldChar w:fldCharType="begin" w:fldLock="1"/>
      </w:r>
      <w:r w:rsidR="00DF6CCC" w:rsidRPr="00B1522E">
        <w:rPr>
          <w:rFonts w:cstheme="minorHAnsi"/>
        </w:rPr>
        <w:instrText>ADDIN CSL_CITATION {"citationItems":[{"id":"ITEM-1","itemData":{"ISBN":"1449610161","author":[{"dropping-particle":"","family":"Contento","given":"Isobel R","non-dropping-particle":"","parse-names":false,"suffix":""}],"id":"ITEM-1","issued":{"date-parts":[["2010"]]},"publisher":"Jones &amp; Bartlett Publishers","title":"Nutrition education: linking research, theory, and practice","type":"book"},"uris":["http://www.mendeley.com/documents/?uuid=393cc26e-0257-4fce-81a6-4f2af2fbb8d8"]},{"id":"ITEM-2","itemData":{"ISBN":"0195-6663","ISSN":"0195-6663 (Print)","PMID":"17936413","abstract":"We explored how adolescents and parents negotiate adolescents' increasing food choice autonomy in European Canadian, Punjabi Canadian and African Canadian families. Data were collected through semi-structured interviews with 47 adolescents and their parents, participant observation at a family meal and a grocery shopping trip with the family shopper(s). Thematic and constant comparative analyses were used. Adolescents exercised considerable autonomy over much of their food choice and their parents monitored and controlled the environment within which adolescents were given independence and responsibility. Parents used strategies of coaxing, coaching and coercing, while teens responded by complaining, ignoring and refusing their parents' advice. At the same time, teens took responsibility and reflected on their behaviours while keeping in mind their parents' advice, even if in some cases they were as yet unable to act upon it. Food choice autonomy is not simply a negative act of teenage defiance. Instead, it is actively co-constructed by both teens and their parents as each resists and responds to the others. Studies of adolescent autonomy related to food choices, and interventions based on nutritional autonomy as a risk factor for poor nutrition would do well to take account of the co-constructive parent-adolescent process of teen autonomy.","author":[{"dropping-particle":"","family":"Bassett","given":"Raewyn","non-dropping-particle":"","parse-names":false,"suffix":""},{"dropping-particle":"","family":"Chapman","given":"Gwen E.","non-dropping-particle":"","parse-names":false,"suffix":""},{"dropping-particle":"","family":"Beagan","given":"Brenda L.","non-dropping-particle":"","parse-names":false,"suffix":""}],"container-title":"Appetite","id":"ITEM-2","issue":"2-3","issued":{"date-parts":[["2008"]]},"language":"eng","page":"325-332","title":"Autonomy and control: the co-construction of adolescent food choice.","type":"article-journal","volume":"50"},"uris":["http://www.mendeley.com/documents/?uuid=0c6a82f1-4f8c-4f06-b4a9-009adfa60323"]}],"mendeley":{"formattedCitation":"(Bassett et al., 2008; Contento, 2010)","plainTextFormattedCitation":"(Bassett et al., 2008; Contento, 2010)","previouslyFormattedCitation":"(Bassett et al., 2008; Contento, 2010)"},"properties":{"noteIndex":0},"schema":"https://github.com/citation-style-language/schema/raw/master/csl-citation.json"}</w:instrText>
      </w:r>
      <w:r w:rsidRPr="00B1522E">
        <w:rPr>
          <w:rFonts w:cstheme="minorHAnsi"/>
        </w:rPr>
        <w:fldChar w:fldCharType="separate"/>
      </w:r>
      <w:r w:rsidR="004B7FAF" w:rsidRPr="00B1522E">
        <w:rPr>
          <w:rFonts w:cstheme="minorHAnsi"/>
          <w:noProof/>
        </w:rPr>
        <w:t>(Bassett et al., 2008; Contento, 2010)</w:t>
      </w:r>
      <w:r w:rsidRPr="00B1522E">
        <w:rPr>
          <w:rFonts w:cstheme="minorHAnsi"/>
        </w:rPr>
        <w:fldChar w:fldCharType="end"/>
      </w:r>
      <w:r w:rsidRPr="00B1522E">
        <w:rPr>
          <w:rFonts w:cstheme="minorHAnsi"/>
        </w:rPr>
        <w:t xml:space="preserve">. Research suggests that transitioning into early adolescence can be accompanied by undesirable changes in eating behaviours </w:t>
      </w:r>
      <w:r w:rsidRPr="00B1522E">
        <w:rPr>
          <w:rFonts w:cstheme="minorHAnsi"/>
        </w:rPr>
        <w:fldChar w:fldCharType="begin" w:fldLock="1"/>
      </w:r>
      <w:r w:rsidR="00DF6CCC" w:rsidRPr="00B1522E">
        <w:rPr>
          <w:rFonts w:cstheme="minorHAnsi"/>
        </w:rPr>
        <w:instrText>ADDIN CSL_CITATION {"citationItems":[{"id":"ITEM-1","itemData":{"ISSN":"0890-1171","author":[{"dropping-particle":"","family":"Lytle","given":"Leslie A","non-dropping-particle":"","parse-names":false,"suffix":""},{"dropping-particle":"","family":"Seifert","given":"Sara","non-dropping-particle":"","parse-names":false,"suffix":""},{"dropping-particle":"","family":"Greenstein","given":"Jessica","non-dropping-particle":"","parse-names":false,"suffix":""},{"dropping-particle":"","family":"McGovern","given":"Paul","non-dropping-particle":"","parse-names":false,"suffix":""}],"container-title":"American Journal of Health Promotion","id":"ITEM-1","issue":"4","issued":{"date-parts":[["2000"]]},"page":"222-228","publisher":"SAGE Publications Sage CA: Los Angeles, CA","title":"How do children's eating patterns and food choices change over time? Results from a cohort study","type":"article-journal","volume":"14"},"uris":["http://www.mendeley.com/documents/?uuid=85e56c19-3b8f-429d-a957-6500d6cac084"]}],"mendeley":{"formattedCitation":"(Lytle et al., 2000)","plainTextFormattedCitation":"(Lytle et al., 2000)","previouslyFormattedCitation":"(Lytle et al., 2000)"},"properties":{"noteIndex":0},"schema":"https://github.com/citation-style-language/schema/raw/master/csl-citation.json"}</w:instrText>
      </w:r>
      <w:r w:rsidRPr="00B1522E">
        <w:rPr>
          <w:rFonts w:cstheme="minorHAnsi"/>
        </w:rPr>
        <w:fldChar w:fldCharType="separate"/>
      </w:r>
      <w:r w:rsidR="004B7FAF" w:rsidRPr="00B1522E">
        <w:rPr>
          <w:rFonts w:cstheme="minorHAnsi"/>
          <w:noProof/>
        </w:rPr>
        <w:t>(Lytle et al., 2000)</w:t>
      </w:r>
      <w:r w:rsidRPr="00B1522E">
        <w:rPr>
          <w:rFonts w:cstheme="minorHAnsi"/>
        </w:rPr>
        <w:fldChar w:fldCharType="end"/>
      </w:r>
      <w:r w:rsidRPr="00B1522E">
        <w:rPr>
          <w:rFonts w:cstheme="minorHAnsi"/>
        </w:rPr>
        <w:t xml:space="preserve">, for example, the increased consumption of sugary-sweet </w:t>
      </w:r>
      <w:r w:rsidRPr="00B1522E">
        <w:rPr>
          <w:rFonts w:cstheme="minorHAnsi"/>
        </w:rPr>
        <w:lastRenderedPageBreak/>
        <w:t xml:space="preserve">beverages and nutritionally-poor snacks </w:t>
      </w:r>
      <w:r w:rsidRPr="00B1522E">
        <w:rPr>
          <w:rFonts w:cstheme="minorHAnsi"/>
        </w:rPr>
        <w:fldChar w:fldCharType="begin" w:fldLock="1"/>
      </w:r>
      <w:r w:rsidR="00DF6CCC" w:rsidRPr="00B1522E">
        <w:rPr>
          <w:rFonts w:cstheme="minorHAnsi"/>
        </w:rPr>
        <w:instrText>ADDIN CSL_CITATION {"citationItems":[{"id":"ITEM-1","itemData":{"ISSN":"1475-2727","author":[{"dropping-particle":"","family":"Bauer","given":"Katherine W","non-dropping-particle":"","parse-names":false,"suffix":""},{"dropping-particle":"","family":"Larson","given":"Nicole I","non-dropping-particle":"","parse-names":false,"suffix":""},{"dropping-particle":"","family":"Nelson","given":"Melissa C","non-dropping-particle":"","parse-names":false,"suffix":""},{"dropping-particle":"","family":"Story","given":"Mary","non-dropping-particle":"","parse-names":false,"suffix":""},{"dropping-particle":"","family":"Neumark-Sztainer","given":"Dianne","non-dropping-particle":"","parse-names":false,"suffix":""}],"container-title":"Public Health Nutrition","id":"ITEM-1","issue":"10","issued":{"date-parts":[["2009"]]},"page":"1767-1774","publisher":"Cambridge University Press","title":"Socio-environmental, personal and behavioural predictors of fast-food intake among adolescents","type":"article-journal","volume":"12"},"uris":["http://www.mendeley.com/documents/?uuid=bd3b483e-87da-40f2-a1ef-57a8b024cc65"]},{"id":"ITEM-2","itemData":{"ISSN":"1054-139X","author":[{"dropping-particle":"","family":"Siega-Riz","given":"Anna Maria","non-dropping-particle":"","parse-names":false,"suffix":""},{"dropping-particle":"","family":"Carson","given":"Terri","non-dropping-particle":"","parse-names":false,"suffix":""},{"dropping-particle":"","family":"Popkin","given":"Barry","non-dropping-particle":"","parse-names":false,"suffix":""}],"container-title":"Journal of Adolescent Health","id":"ITEM-2","issue":"1","issued":{"date-parts":[["1998"]]},"page":"29-36","publisher":"Elsevier","title":"Three squares or mostly snacks—What do teens really eat?: A sociodemographic study of meal patterns","type":"article-journal","volume":"22"},"uris":["http://www.mendeley.com/documents/?uuid=5c3ad726-3f51-4592-87b8-b5b3715be3ff"]}],"mendeley":{"formattedCitation":"(Bauer et al., 2009; Siega-Riz et al., 1998)","plainTextFormattedCitation":"(Bauer et al., 2009; Siega-Riz et al., 1998)","previouslyFormattedCitation":"(Bauer et al., 2009; Siega-Riz et al., 1998)"},"properties":{"noteIndex":0},"schema":"https://github.com/citation-style-language/schema/raw/master/csl-citation.json"}</w:instrText>
      </w:r>
      <w:r w:rsidRPr="00B1522E">
        <w:rPr>
          <w:rFonts w:cstheme="minorHAnsi"/>
        </w:rPr>
        <w:fldChar w:fldCharType="separate"/>
      </w:r>
      <w:r w:rsidR="004B7FAF" w:rsidRPr="00B1522E">
        <w:rPr>
          <w:rFonts w:cstheme="minorHAnsi"/>
          <w:noProof/>
        </w:rPr>
        <w:t>(Bauer et al., 2009; Siega-Riz et al., 1998)</w:t>
      </w:r>
      <w:r w:rsidRPr="00B1522E">
        <w:rPr>
          <w:rFonts w:cstheme="minorHAnsi"/>
        </w:rPr>
        <w:fldChar w:fldCharType="end"/>
      </w:r>
      <w:r w:rsidRPr="00B1522E">
        <w:rPr>
          <w:rFonts w:cstheme="minorHAnsi"/>
        </w:rPr>
        <w:t xml:space="preserve"> and the lack of consumption of healthy foodstuffs, i.e. fruit and vegetables </w:t>
      </w:r>
      <w:r w:rsidRPr="00B1522E">
        <w:rPr>
          <w:rFonts w:cstheme="minorHAnsi"/>
        </w:rPr>
        <w:fldChar w:fldCharType="begin" w:fldLock="1"/>
      </w:r>
      <w:r w:rsidR="00DF6CCC" w:rsidRPr="00B1522E">
        <w:rPr>
          <w:rFonts w:cstheme="minorHAnsi"/>
        </w:rPr>
        <w:instrText>ADDIN CSL_CITATION {"citationItems":[{"id":"ITEM-1","itemData":{"ISSN":"0002-8223","author":[{"dropping-particle":"","family":"Larson","given":"Nicole I","non-dropping-particle":"","parse-names":false,"suffix":""},{"dropping-particle":"","family":"Neumark-Sztainer","given":"Dianne","non-dropping-particle":"","parse-names":false,"suffix":""},{"dropping-particle":"","family":"Hannan","given":"Peter J","non-dropping-particle":"","parse-names":false,"suffix":""},{"dropping-particle":"","family":"Story","given":"Mary","non-dropping-particle":"","parse-names":false,"suffix":""}],"container-title":"Journal of the American Dietetic Association","id":"ITEM-1","issue":"9","issued":{"date-parts":[["2007"]]},"page":"1502-1510","publisher":"Elsevier","title":"Family meals during adolescence are associated with higher diet quality and healthful meal patterns during young adulthood","type":"article-journal","volume":"107"},"uris":["http://www.mendeley.com/documents/?uuid=81bf1168-ddb1-496c-884d-f68ba6db982f"]}],"mendeley":{"formattedCitation":"(N. I. Larson et al., 2007)","manualFormatting":"(Larson et al., 2007)","plainTextFormattedCitation":"(N. I. Larson et al., 2007)","previouslyFormattedCitation":"(N. I. Larson et al., 2007)"},"properties":{"noteIndex":0},"schema":"https://github.com/citation-style-language/schema/raw/master/csl-citation.json"}</w:instrText>
      </w:r>
      <w:r w:rsidRPr="00B1522E">
        <w:rPr>
          <w:rFonts w:cstheme="minorHAnsi"/>
        </w:rPr>
        <w:fldChar w:fldCharType="separate"/>
      </w:r>
      <w:r w:rsidR="0048570A" w:rsidRPr="00B1522E">
        <w:rPr>
          <w:rFonts w:cstheme="minorHAnsi"/>
          <w:noProof/>
        </w:rPr>
        <w:t>(Larson et al., 2007)</w:t>
      </w:r>
      <w:r w:rsidRPr="00B1522E">
        <w:rPr>
          <w:rFonts w:cstheme="minorHAnsi"/>
        </w:rPr>
        <w:fldChar w:fldCharType="end"/>
      </w:r>
      <w:r w:rsidRPr="00B1522E">
        <w:rPr>
          <w:rFonts w:cstheme="minorHAnsi"/>
        </w:rPr>
        <w:t xml:space="preserve">. Teenagers in England are one of the heaviest consumers of sugar-sweetened beverages compared to the rest of Europe </w:t>
      </w:r>
      <w:r w:rsidRPr="00B1522E">
        <w:rPr>
          <w:rFonts w:cstheme="minorHAnsi"/>
        </w:rPr>
        <w:fldChar w:fldCharType="begin" w:fldLock="1"/>
      </w:r>
      <w:r w:rsidR="00DF6CCC" w:rsidRPr="00B1522E">
        <w:rPr>
          <w:rFonts w:cstheme="minorHAnsi"/>
        </w:rPr>
        <w:instrText>ADDIN CSL_CITATION {"citationItems":[{"id":"ITEM-1","itemData":{"author":[{"dropping-particle":"","family":"Hagell","given":"Ann","non-dropping-particle":"","parse-names":false,"suffix":""},{"dropping-particle":"","family":"Coleman","given":"John","non-dropping-particle":"","parse-names":false,"suffix":""},{"dropping-particle":"","family":"Brooks","given":"Fiona","non-dropping-particle":"","parse-names":false,"suffix":""}],"container-title":"London: Association for Young People’s Health","id":"ITEM-1","issued":{"date-parts":[["2013"]]},"title":"Key data on adolescence 2013","type":"article-journal"},"uris":["http://www.mendeley.com/documents/?uuid=04ca65a9-e2f8-4367-9b41-00821e910169"]}],"mendeley":{"formattedCitation":"(Hagell et al., 2013)","plainTextFormattedCitation":"(Hagell et al., 2013)","previouslyFormattedCitation":"(Hagell et al., 2013)"},"properties":{"noteIndex":0},"schema":"https://github.com/citation-style-language/schema/raw/master/csl-citation.json"}</w:instrText>
      </w:r>
      <w:r w:rsidRPr="00B1522E">
        <w:rPr>
          <w:rFonts w:cstheme="minorHAnsi"/>
        </w:rPr>
        <w:fldChar w:fldCharType="separate"/>
      </w:r>
      <w:r w:rsidR="004B7FAF" w:rsidRPr="00B1522E">
        <w:rPr>
          <w:rFonts w:cstheme="minorHAnsi"/>
          <w:noProof/>
        </w:rPr>
        <w:t>(Hagell et al., 2013)</w:t>
      </w:r>
      <w:r w:rsidRPr="00B1522E">
        <w:rPr>
          <w:rFonts w:cstheme="minorHAnsi"/>
        </w:rPr>
        <w:fldChar w:fldCharType="end"/>
      </w:r>
      <w:r w:rsidRPr="00B1522E">
        <w:rPr>
          <w:rFonts w:cstheme="minorHAnsi"/>
        </w:rPr>
        <w:t xml:space="preserve"> and as many as 17% of secondary school students consume foods high in fat, salt and sugar and low in nutritional value on a daily basis </w:t>
      </w:r>
      <w:r w:rsidRPr="00B1522E">
        <w:rPr>
          <w:rFonts w:cstheme="minorHAnsi"/>
        </w:rPr>
        <w:fldChar w:fldCharType="begin" w:fldLock="1"/>
      </w:r>
      <w:r w:rsidRPr="00B1522E">
        <w:rPr>
          <w:rFonts w:cstheme="minorHAnsi"/>
        </w:rPr>
        <w:instrText>ADDIN CSL_CITATION {"citationItems":[{"id":"ITEM-1","itemData":{"ISSN":"03051862","abstract":"Background Previous research has established that poor diets and eating patterns are associated with numerous adverse health outcomes. This study explored the relationships between two specific eating behaviours (daily junk food consumption and irregular eating) and self-reported physical and mental health of secondary school children, and their association with perceived parenting and child health. Methods 10 645 participants aged between 12 and 16 completed measures of junk food consumption, irregular eating, parental style, and mental and physical health through the use of an online survey implemented within 30 schools in a large British city. Results 2.9% of the sample reported never eating regularly and while 17.2% reported daily consumption of junk food. Young people who reported eating irregularly and consuming junk food daily were at a significantly greater risk of poorer mental ( OR 5.41, 95% confidence interval 4.03-7.25 and 2.75, 95% confidence interval 1.99-3.78) and physical health ( OR 4.56, 95% confidence interval 3.56-5.85 and 2.00, 95% confidence interval 1.63-2.47). Authoritative parenting was associated with healthier eating behaviours, and better mental and physical health in comparison to other parenting styles. Discussion A worrying proportion of secondary school children report unhealthy eating behaviours, particularly daily consumption of junk food, which may be associated with poorer mental and physical health. Parenting style may influence dietary habits. Interventions to improve diet may be more beneficial if also they address parenting strategies and issues related to mental and physical health. [ABSTRACT FROM AUTHOR]","author":[{"dropping-particle":"","family":"Zahra","given":"J","non-dropping-particle":"","parse-names":false,"suffix":""},{"dropping-particle":"","family":"Ford","given":"T","non-dropping-particle":"","parse-names":false,"suffix":""},{"dropping-particle":"","family":"Jodrell","given":"D","non-dropping-particle":"","parse-names":false,"suffix":""}],"container-title":"Child: Care, Health &amp; Development","id":"ITEM-1","issue":"4","issued":{"date-parts":[["2014","7"]]},"page":"481-491","publisher":"Wiley-Blackwell","title":"Cross-sectional survey of daily junk food consumption, irregular eating, mental and physical health and parenting style of British secondary school children.","type":"article-journal","volume":"40"},"uris":["http://www.mendeley.com/documents/?uuid=a2b3c466-dd97-4f79-8289-aa0ed5007f7b"]}],"mendeley":{"formattedCitation":"(Zahra et al., 2014)","plainTextFormattedCitation":"(Zahra et al., 2014)","previouslyFormattedCitation":"(Zahra et al., 2014)"},"properties":{"noteIndex":0},"schema":"https://github.com/citation-style-language/schema/raw/master/csl-citation.json"}</w:instrText>
      </w:r>
      <w:r w:rsidRPr="00B1522E">
        <w:rPr>
          <w:rFonts w:cstheme="minorHAnsi"/>
        </w:rPr>
        <w:fldChar w:fldCharType="separate"/>
      </w:r>
      <w:r w:rsidRPr="00B1522E">
        <w:rPr>
          <w:rFonts w:cstheme="minorHAnsi"/>
          <w:noProof/>
        </w:rPr>
        <w:t>(Zahra et al., 2014)</w:t>
      </w:r>
      <w:r w:rsidRPr="00B1522E">
        <w:rPr>
          <w:rFonts w:cstheme="minorHAnsi"/>
        </w:rPr>
        <w:fldChar w:fldCharType="end"/>
      </w:r>
      <w:r w:rsidRPr="00B1522E">
        <w:rPr>
          <w:rFonts w:cstheme="minorHAnsi"/>
        </w:rPr>
        <w:t xml:space="preserve">. British adolescents regularly do not meet national nutritional guidelines, for example just under half (48%) of adolescents do not eat the recommended five portions of fruit and vegetables a day </w:t>
      </w:r>
      <w:r w:rsidRPr="00B1522E">
        <w:rPr>
          <w:rFonts w:cstheme="minorHAnsi"/>
        </w:rPr>
        <w:fldChar w:fldCharType="begin" w:fldLock="1"/>
      </w:r>
      <w:r w:rsidR="00DF6CCC" w:rsidRPr="00B1522E">
        <w:rPr>
          <w:rFonts w:cstheme="minorHAnsi"/>
        </w:rPr>
        <w:instrText>ADDIN CSL_CITATION {"citationItems":[{"id":"ITEM-1","itemData":{"ISSN":"0140-1971","author":[{"dropping-particle":"","family":"Stevenson","given":"Clifford","non-dropping-particle":"","parse-names":false,"suffix":""},{"dropping-particle":"","family":"Doherty","given":"Glenda","non-dropping-particle":"","parse-names":false,"suffix":""},{"dropping-particle":"","family":"Barnett","given":"Julie","non-dropping-particle":"","parse-names":false,"suffix":""},{"dropping-particle":"","family":"Muldoon","given":"Orla T","non-dropping-particle":"","parse-names":false,"suffix":""},{"dropping-particle":"","family":"Trew","given":"Karen","non-dropping-particle":"","parse-names":false,"suffix":""}],"container-title":"Journal of adolescence","id":"ITEM-1","issue":"3","issued":{"date-parts":[["2007"]]},"page":"417-434","publisher":"Elsevier","title":"Adolescents’ views of food and eating: Identifying barriers to healthy eating","type":"article-journal","volume":"30"},"uris":["http://www.mendeley.com/documents/?uuid=f0be57bc-0359-43ae-978f-c688a2cc615d"]}],"mendeley":{"formattedCitation":"(Stevenson et al., 2007)","plainTextFormattedCitation":"(Stevenson et al., 2007)","previouslyFormattedCitation":"(Stevenson et al., 2007)"},"properties":{"noteIndex":0},"schema":"https://github.com/citation-style-language/schema/raw/master/csl-citation.json"}</w:instrText>
      </w:r>
      <w:r w:rsidRPr="00B1522E">
        <w:rPr>
          <w:rFonts w:cstheme="minorHAnsi"/>
        </w:rPr>
        <w:fldChar w:fldCharType="separate"/>
      </w:r>
      <w:r w:rsidR="004B7FAF" w:rsidRPr="00B1522E">
        <w:rPr>
          <w:rFonts w:cstheme="minorHAnsi"/>
          <w:noProof/>
        </w:rPr>
        <w:t>(Stevenson et al., 2007)</w:t>
      </w:r>
      <w:r w:rsidRPr="00B1522E">
        <w:rPr>
          <w:rFonts w:cstheme="minorHAnsi"/>
        </w:rPr>
        <w:fldChar w:fldCharType="end"/>
      </w:r>
      <w:r w:rsidRPr="00B1522E">
        <w:rPr>
          <w:rFonts w:cstheme="minorHAnsi"/>
        </w:rPr>
        <w:t xml:space="preserve">. Studies have shown that although adolescents have the correct knowledge of which behaviours constitute healthy eating, for example eating the recommended five-a-day portions, they do not necessarily practise these behaviours </w:t>
      </w:r>
      <w:r w:rsidRPr="00B1522E">
        <w:rPr>
          <w:rFonts w:cstheme="minorHAnsi"/>
        </w:rPr>
        <w:fldChar w:fldCharType="begin" w:fldLock="1"/>
      </w:r>
      <w:r w:rsidRPr="00B1522E">
        <w:rPr>
          <w:rFonts w:cstheme="minorHAnsi"/>
        </w:rPr>
        <w:instrText>ADDIN CSL_CITATION {"citationItems":[{"id":"ITEM-1","itemData":{"author":[{"dropping-particle":"","family":"British Nutrition Foundation","given":"","non-dropping-particle":"","parse-names":false,"suffix":""}],"id":"ITEM-1","issued":{"date-parts":[["2015"]]},"page":"1-24","title":"National Pupil and Teacher Survey 2015: UK Survey Results","type":"article-journal"},"uris":["http://www.mendeley.com/documents/?uuid=f0d40835-3fc1-47ec-a9af-d45dbbe5cd7b"]}],"mendeley":{"formattedCitation":"(British Nutrition Foundation, 2015)","plainTextFormattedCitation":"(British Nutrition Foundation, 2015)","previouslyFormattedCitation":"(British Nutrition Foundation, 2015)"},"properties":{"noteIndex":0},"schema":"https://github.com/citation-style-language/schema/raw/master/csl-citation.json"}</w:instrText>
      </w:r>
      <w:r w:rsidRPr="00B1522E">
        <w:rPr>
          <w:rFonts w:cstheme="minorHAnsi"/>
        </w:rPr>
        <w:fldChar w:fldCharType="separate"/>
      </w:r>
      <w:r w:rsidRPr="00B1522E">
        <w:rPr>
          <w:rFonts w:cstheme="minorHAnsi"/>
          <w:noProof/>
        </w:rPr>
        <w:t>(British Nutrition Foundation, 2015)</w:t>
      </w:r>
      <w:r w:rsidRPr="00B1522E">
        <w:rPr>
          <w:rFonts w:cstheme="minorHAnsi"/>
        </w:rPr>
        <w:fldChar w:fldCharType="end"/>
      </w:r>
      <w:r w:rsidRPr="00B1522E">
        <w:rPr>
          <w:rFonts w:cstheme="minorHAnsi"/>
        </w:rPr>
        <w:t xml:space="preserve">, suggesting that there could be other influences on dietary behaviour aside from food knowledge. There are also some sex differences in food preferences and dietary behaviours in this age group </w:t>
      </w:r>
      <w:r w:rsidRPr="00B1522E">
        <w:rPr>
          <w:rFonts w:cstheme="minorHAnsi"/>
        </w:rPr>
        <w:fldChar w:fldCharType="begin" w:fldLock="1"/>
      </w:r>
      <w:r w:rsidR="00DF6CCC" w:rsidRPr="00B1522E">
        <w:rPr>
          <w:rFonts w:cstheme="minorHAnsi"/>
        </w:rPr>
        <w:instrText>ADDIN CSL_CITATION {"citationItems":[{"id":"ITEM-1","itemData":{"ISSN":"0950-3293","author":[{"dropping-particle":"","family":"Feeney","given":"Emma L","non-dropping-particle":"","parse-names":false,"suffix":""},{"dropping-particle":"","family":"O’Brien","given":"Sinead A","non-dropping-particle":"","parse-names":false,"suffix":""},{"dropping-particle":"","family":"Scannell","given":"Amalia G M","non-dropping-particle":"","parse-names":false,"suffix":""},{"dropping-particle":"","family":"Markey","given":"Anne","non-dropping-particle":"","parse-names":false,"suffix":""},{"dropping-particle":"","family":"Gibney","given":"Eileen R","non-dropping-particle":"","parse-names":false,"suffix":""}],"container-title":"Food Quality and Preference","id":"ITEM-1","issued":{"date-parts":[["2014"]]},"page":"253-263","publisher":"Elsevier","title":"Genetic and environmental influences on liking and reported intakes of vegetables in Irish children","type":"article-journal","volume":"32"},"uris":["http://www.mendeley.com/documents/?uuid=8ddc8f12-e704-4692-9fca-e3437c3aef7b"]},{"id":"ITEM-2","itemData":{"ISSN":"0098-7484","abstract":"Context The prevalence of childhood obesity increased in the 1980s and 1990s but there were no significant changes in prevalence between 1999-2000 and 2007-2008 in the United States.Objectives To present the most recent estimates of obesity prevalence in US children and adolescents for 2009-2010 and to investigate trends in obesity prevalence and body mass index (BMI) among children and adolescents between 1999-2000 and 2009-2010.Design, Setting, and Participants Cross-sectional analyses of a representative sample (N = 4111) of the US child and adolescent population (birth through 19 years of age) with measured heights and weights from the National Health and Nutrition Examination Survey 2009-2010.Main Outcome Measures Prevalence of high weight-for-recumbent length (≥95th percentile on the growth charts) among infants and toddlers from birth to 2 years of age and obesity (BMI ≥95th percentile of the BMI-for-age growth charts) among children and adolescents aged 2 through 19 years. Analyses of trends in obesity by sex and race/ethnicity, and analyses of trends in BMI within sex-specific age groups for 6 survey periods (1999-2000, 2001-2002, 2003-2004, 2005-2006, 2007-2008, and 2009-2010) over 12 years.Results In 2009-2010, 9.7% (95% CI, 7.6%-12.3%) of infants and toddlers had a high weight-for-recumbent length and 16.9% (95% CI, 15.4%-18.4%) of children and adolescents from 2 through 19 years of age were obese. There was no difference in obesity prevalence among males (P = .62) or females (P = .65) between 2007-2008 and 2009-2010. However, trend analyses over a 12-year period indicated a significant increase in obesity prevalence between 1999-2000 and 2009-2010 in males aged 2 through 19 years (odds ratio, 1.05; 95% CI, 1.01-1.10) but not in females (odds ratio, 1.02; 95% CI, 0.98-1.07) per 2-year survey cycle. There was a significant increase in BMI among adolescent males aged 12 through 19 years (P = .04) but not among any other age group or among females.Conclusion In 2009-2010, the prevalence of obesity in children and adolescents was 16.9%; this was not changed compared with 2007-2008. JAMA. 2012;307(5):483-490 Published online January 17, 2012. doi:10.1001/jama.2012.40www.jama.com","author":[{"dropping-particle":"","family":"Ogden, C.L., Carroll, M.D., Kit, B.K., Flegal","given":"K.M.","non-dropping-particle":"","parse-names":false,"suffix":""}],"container-title":"JAMA","id":"ITEM-2","issue":"5","issued":{"date-parts":[["2012","2","1"]]},"note":"10.1001/jama.2012.40","page":"483-490","title":"Prevalence of obesity and trends in body mass index among us children and adolescents, 1999-2010","type":"article-journal","volume":"307"},"uris":["http://www.mendeley.com/documents/?uuid=15df8eb1-3cb8-488a-9138-4e7a59cf5ada"]}],"mendeley":{"formattedCitation":"(Feeney et al., 2014; Ogden, C.L., Carroll, M.D., Kit, B.K., Flegal, 2012)","manualFormatting":"(Feeney et al., 2014; Ogden et al., 2012)","plainTextFormattedCitation":"(Feeney et al., 2014; Ogden, C.L., Carroll, M.D., Kit, B.K., Flegal, 2012)","previouslyFormattedCitation":"(Feeney et al., 2014; Ogden, C.L., Carroll, M.D., Kit, B.K., Flegal, 2012)"},"properties":{"noteIndex":0},"schema":"https://github.com/citation-style-language/schema/raw/master/csl-citation.json"}</w:instrText>
      </w:r>
      <w:r w:rsidRPr="00B1522E">
        <w:rPr>
          <w:rFonts w:cstheme="minorHAnsi"/>
        </w:rPr>
        <w:fldChar w:fldCharType="separate"/>
      </w:r>
      <w:r w:rsidRPr="00B1522E">
        <w:rPr>
          <w:rFonts w:cstheme="minorHAnsi"/>
          <w:noProof/>
        </w:rPr>
        <w:t>(Feeney et al., 2014; Ogden et al., 2012)</w:t>
      </w:r>
      <w:r w:rsidRPr="00B1522E">
        <w:rPr>
          <w:rFonts w:cstheme="minorHAnsi"/>
        </w:rPr>
        <w:fldChar w:fldCharType="end"/>
      </w:r>
      <w:r w:rsidRPr="00B1522E">
        <w:rPr>
          <w:rFonts w:cstheme="minorHAnsi"/>
        </w:rPr>
        <w:t xml:space="preserve">, such as adolescent girls having a higher liking for fruit and vegetables compared to boys </w:t>
      </w:r>
      <w:r w:rsidRPr="00B1522E">
        <w:rPr>
          <w:rFonts w:cstheme="minorHAnsi"/>
        </w:rPr>
        <w:fldChar w:fldCharType="begin" w:fldLock="1"/>
      </w:r>
      <w:r w:rsidRPr="00B1522E">
        <w:rPr>
          <w:rFonts w:cstheme="minorHAnsi"/>
        </w:rPr>
        <w:instrText>ADDIN CSL_CITATION {"citationItems":[{"id":"ITEM-1","itemData":{"ISSN":"1465-3648","author":[{"dropping-particle":"","family":"Wind","given":"Marianne","non-dropping-particle":"","parse-names":false,"suffix":""},{"dropping-particle":"","family":"Bjelland","given":"M","non-dropping-particle":"","parse-names":false,"suffix":""},{"dropping-particle":"","family":"Perez-Rodrigo","given":"Carmen","non-dropping-particle":"","parse-names":false,"suffix":""},{"dropping-particle":"","family":"Velde","given":"S J","non-dropping-particle":"Te","parse-names":false,"suffix":""},{"dropping-particle":"","family":"Hildonen","given":"C","non-dropping-particle":"","parse-names":false,"suffix":""},{"dropping-particle":"","family":"Bere","given":"Elling","non-dropping-particle":"","parse-names":false,"suffix":""},{"dropping-particle":"","family":"Klepp","given":"K-I","non-dropping-particle":"","parse-names":false,"suffix":""},{"dropping-particle":"","family":"Brug","given":"J","non-dropping-particle":"","parse-names":false,"suffix":""}],"container-title":"Health education research","id":"ITEM-1","issue":"6","issued":{"date-parts":[["2007"]]},"page":"997-1007","publisher":"Oxford University Press","title":"Appreciation and implementation of a school-based intervention are associated with changes in fruit and vegetable intake in 10-to 13-year old schoolchildren—the Pro Children study","type":"article-journal","volume":"23"},"uris":["http://www.mendeley.com/documents/?uuid=9fa0e9a6-76ac-47d6-b4cc-21723d730cdc"]}],"mendeley":{"formattedCitation":"(Wind et al., 2007)","plainTextFormattedCitation":"(Wind et al., 2007)","previouslyFormattedCitation":"(Wind et al., 2007)"},"properties":{"noteIndex":0},"schema":"https://github.com/citation-style-language/schema/raw/master/csl-citation.json"}</w:instrText>
      </w:r>
      <w:r w:rsidRPr="00B1522E">
        <w:rPr>
          <w:rFonts w:cstheme="minorHAnsi"/>
        </w:rPr>
        <w:fldChar w:fldCharType="separate"/>
      </w:r>
      <w:r w:rsidRPr="00B1522E">
        <w:rPr>
          <w:rFonts w:cstheme="minorHAnsi"/>
          <w:noProof/>
        </w:rPr>
        <w:t>(Wind et al., 2007)</w:t>
      </w:r>
      <w:r w:rsidRPr="00B1522E">
        <w:rPr>
          <w:rFonts w:cstheme="minorHAnsi"/>
        </w:rPr>
        <w:fldChar w:fldCharType="end"/>
      </w:r>
      <w:r w:rsidRPr="00B1522E">
        <w:rPr>
          <w:rFonts w:cstheme="minorHAnsi"/>
        </w:rPr>
        <w:t xml:space="preserve">, and boys tending to eat fewer fruit, vegetables, low-fat foods, and drink more sugar-sweetened beverages, than girls </w:t>
      </w:r>
      <w:r w:rsidRPr="00B1522E">
        <w:rPr>
          <w:rFonts w:cstheme="minorHAnsi"/>
        </w:rPr>
        <w:fldChar w:fldCharType="begin" w:fldLock="1"/>
      </w:r>
      <w:r w:rsidR="0063396E" w:rsidRPr="00B1522E">
        <w:rPr>
          <w:rFonts w:cstheme="minorHAnsi"/>
        </w:rPr>
        <w:instrText>ADDIN CSL_CITATION {"citationItems":[{"id":"ITEM-1","itemData":{"ISSN":"0002-8223","author":[{"dropping-particle":"","family":"Neumark-Sztainer","given":"Dianne","non-dropping-particle":"","parse-names":false,"suffix":""},{"dropping-particle":"","family":"Story","given":"Mary","non-dropping-particle":"","parse-names":false,"suffix":""},{"dropping-particle":"","family":"D RESNICK","given":"MICHAEL","non-dropping-particle":"","parse-names":false,"suffix":""},{"dropping-particle":"","family":"Blum","given":"Robert W","non-dropping-particle":"","parse-names":false,"suffix":""}],"container-title":"Journal of the American Dietetic Association","id":"ITEM-1","issue":"12","issued":{"date-parts":[["1998"]]},"page":"1449-1456","publisher":"Elsevier","title":"Lessons learned about adolescent nutrition from the Minnesota Adolescent Health Survey","type":"article-journal","volume":"98"},"uris":["http://www.mendeley.com/documents/?uuid=4581220c-17d3-4270-8126-fb560755285e"]},{"id":"ITEM-2","itemData":{"ISSN":"1476-5640","author":[{"dropping-particle":"","family":"Beer-Borst","given":"S","non-dropping-particle":"","parse-names":false,"suffix":""},{"dropping-particle":"","family":"Hercberg","given":"S","non-dropping-particle":"","parse-names":false,"suffix":""},{"dropping-particle":"","family":"Morabia","given":"A","non-dropping-particle":"","parse-names":false,"suffix":""},{"dropping-particle":"","family":"Bernstein","given":"M S","non-dropping-particle":"","parse-names":false,"suffix":""},{"dropping-particle":"","family":"Galan","given":"P","non-dropping-particle":"","parse-names":false,"suffix":""},{"dropping-particle":"","family":"Galasso","given":"R","non-dropping-particle":"","parse-names":false,"suffix":""},{"dropping-particle":"","family":"Giampaoli","given":"S","non-dropping-particle":"","parse-names":false,"suffix":""},{"dropping-particle":"","family":"McCrum","given":"E","non-dropping-particle":"","parse-names":false,"suffix":""},{"dropping-particle":"","family":"Panico","given":"S","non-dropping-particle":"","parse-names":false,"suffix":""},{"dropping-particle":"","family":"Preziosi","given":"P","non-dropping-particle":"","parse-names":false,"suffix":""}],"container-title":"European journal of clinical nutrition","id":"ITEM-2","issue":"3","issued":{"date-parts":[["2000"]]},"page":"253-262","publisher":"Nature Publishing Group","title":"Dietary patterns in six European populations: results from EURALIM, a collaborative European data harmonization and information campaign","type":"article-journal","volume":"54"},"uris":["http://www.mendeley.com/documents/?uuid=94428635-d71f-4abf-b1a5-3a8f9dc6b010"]}],"mendeley":{"formattedCitation":"(Beer-Borst et al., 2000; Neumark-Sztainer et al., 1998)","plainTextFormattedCitation":"(Beer-Borst et al., 2000; Neumark-Sztainer et al., 1998)","previouslyFormattedCitation":"(Beer-Borst et al., 2000; Neumark-Sztainer et al., 1998)"},"properties":{"noteIndex":0},"schema":"https://github.com/citation-style-language/schema/raw/master/csl-citation.json"}</w:instrText>
      </w:r>
      <w:r w:rsidRPr="00B1522E">
        <w:rPr>
          <w:rFonts w:cstheme="minorHAnsi"/>
        </w:rPr>
        <w:fldChar w:fldCharType="separate"/>
      </w:r>
      <w:r w:rsidR="004B7FAF" w:rsidRPr="00B1522E">
        <w:rPr>
          <w:rFonts w:cstheme="minorHAnsi"/>
          <w:noProof/>
        </w:rPr>
        <w:t>(Beer-Borst et al., 2000; Neumark-Sztainer et al., 1998)</w:t>
      </w:r>
      <w:r w:rsidRPr="00B1522E">
        <w:rPr>
          <w:rFonts w:cstheme="minorHAnsi"/>
        </w:rPr>
        <w:fldChar w:fldCharType="end"/>
      </w:r>
      <w:r w:rsidRPr="00B1522E">
        <w:rPr>
          <w:rFonts w:cstheme="minorHAnsi"/>
        </w:rPr>
        <w:t xml:space="preserve">. </w:t>
      </w:r>
    </w:p>
    <w:p w14:paraId="134ABBE1" w14:textId="5C4FAAC8" w:rsidR="00C610CB" w:rsidRPr="00B1522E" w:rsidRDefault="00C610CB" w:rsidP="00B07823">
      <w:pPr>
        <w:spacing w:line="480" w:lineRule="auto"/>
        <w:ind w:firstLine="720"/>
        <w:jc w:val="both"/>
        <w:rPr>
          <w:rFonts w:eastAsia="Calibri" w:cstheme="minorHAnsi"/>
        </w:rPr>
      </w:pPr>
      <w:r w:rsidRPr="00B1522E">
        <w:rPr>
          <w:rFonts w:eastAsia="Calibri" w:cstheme="minorHAnsi"/>
        </w:rPr>
        <w:t xml:space="preserve">Factors influencing obesity can include societal, economics, cultural, environmental and genetic factors </w:t>
      </w:r>
      <w:r w:rsidRPr="00B1522E">
        <w:rPr>
          <w:rFonts w:eastAsia="Calibri" w:cstheme="minorHAnsi"/>
        </w:rPr>
        <w:fldChar w:fldCharType="begin" w:fldLock="1"/>
      </w:r>
      <w:r w:rsidR="00041A9F" w:rsidRPr="00B1522E">
        <w:rPr>
          <w:rFonts w:eastAsia="Calibri" w:cstheme="minorHAnsi"/>
        </w:rPr>
        <w:instrText>ADDIN CSL_CITATION {"citationItems":[{"id":"ITEM-1","itemData":{"abstract":"Obesity is a global health problem mainly attributed to lifestyle changes such as diet, low physical activity or socioeconomics factors. However, several evidences consistently showed that genetics contributes significantly to the weight-gain susceptibility.A systematic literature search of most relevant original, review and meta-analysis, restricted to English was conducted in PubMed, Web of Science and Google scholar up to May 2017 concerning the contribution of genetics and environmental factors to obesity.Several evidences suggest that obesogenic environments contribute to the development of an obese phenotype. However, not every individual from the same population, despite sharing the same obesogenic environment, develop obesity.After more than 10 years of investigation on the genetics of obesity, the variants found associated with obesity represent only 3% of the estimated BMI-heritability, which is around 47–80%. Moreover, genetic factors per se were unable to explain the rapid spread of obesity prevalence.The integration of multi-omics data enables scientists having a better picture and to elucidate unknown pathways contributing to obesity.New studies based on case–control or gene candidate approach will be important to identify new variants associated with obesity susceptibility and consequently unveiling its genetic architecture. This will lead to an improvement of our understanding about underlying mechanisms involved in development and origin of the actual obesity epidemic. The integration of several omics will also provide insights about the interplay between genes and environments contributing to the obese phenotype.","author":[{"dropping-particle":"","family":"Albuquerque","given":"David","non-dropping-particle":"","parse-names":false,"suffix":""},{"dropping-particle":"","family":"Nóbrega","given":"Clévio","non-dropping-particle":"","parse-names":false,"suffix":""},{"dropping-particle":"","family":"Manco","given":"Licínio","non-dropping-particle":"","parse-names":false,"suffix":""},{"dropping-particle":"","family":"Padez","given":"Cristina","non-dropping-particle":"","parse-names":false,"suffix":""}],"container-title":"British Medical Bulletin","id":"ITEM-1","issue":"1","issued":{"date-parts":[["2017","7","7"]]},"page":"159-173","title":"The contribution of genetics and environment to obesity","type":"article-journal","volume":"123"},"uris":["http://www.mendeley.com/documents/?uuid=a2cda085-48bb-44ae-be15-185c90aa30a4"]}],"mendeley":{"formattedCitation":"(Albuquerque et al., 2017)","plainTextFormattedCitation":"(Albuquerque et al., 2017)","previouslyFormattedCitation":"(Albuquerque et al., 2017)"},"properties":{"noteIndex":0},"schema":"https://github.com/citation-style-language/schema/raw/master/csl-citation.json"}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(Albuquerque et al., 2017)</w:t>
      </w:r>
      <w:r w:rsidRPr="00B1522E">
        <w:rPr>
          <w:rFonts w:eastAsia="Calibri" w:cstheme="minorHAnsi"/>
        </w:rPr>
        <w:fldChar w:fldCharType="end"/>
      </w:r>
      <w:r w:rsidRPr="00B1522E">
        <w:rPr>
          <w:rFonts w:eastAsia="Calibri" w:cstheme="minorHAnsi"/>
        </w:rPr>
        <w:t xml:space="preserve">. Obesity levels in children have been strongly related to socioeconomic status (SES) </w:t>
      </w:r>
      <w:r w:rsidRPr="00B1522E">
        <w:rPr>
          <w:rFonts w:eastAsia="Calibri" w:cstheme="minorHAnsi"/>
        </w:rPr>
        <w:fldChar w:fldCharType="begin" w:fldLock="1"/>
      </w:r>
      <w:r w:rsidR="00DF6CCC" w:rsidRPr="00B1522E">
        <w:rPr>
          <w:rFonts w:eastAsia="Calibri" w:cstheme="minorHAnsi"/>
        </w:rPr>
        <w:instrText>ADDIN CSL_CITATION {"citationItems":[{"id":"ITEM-1","itemData":{"ISSN":"1662-4025","abstract":"Childhood obesity is a major public health challenge worldwide. There is a growing literature documenting socioeconomic inequalities in childhood obesity risk. Here we draw inference from the literature about inequalities in childhood obesity risk in the UK. We summarize and appraise the extant peer-reviewed literature about socioeconomic inequalities in childhood obesity in the UK. Common area-level indices of socioeconomic position, including the Carstairs Deprivation Index, the Index of Multiple Deprivation and the Townsend Deprivation Index, as well as common household and individual-level metrics of childhood socioeconomic position, including head-of-household social class and maternal education, were generally inversely associated with childhood obesity in the UK. We summarize key methodological limitations to the extant literature and suggest avenues for future research.","author":[{"dropping-particle":"","family":"El-Sayed","given":"A M","non-dropping-particle":"","parse-names":false,"suffix":""},{"dropping-particle":"","family":"Scarborough","given":"P","non-dropping-particle":"","parse-names":false,"suffix":""},{"dropping-particle":"","family":"Galea","given":"S","non-dropping-particle":"","parse-names":false,"suffix":""}],"container-title":"Obesity Facts","id":"ITEM-1","issue":"5","issued":{"date-parts":[["2012"]]},"page":"671-692","title":"Socioeconomic Inequalities in Childhood Obesity in the United Kingdom: A Systematic Review of the Literature","type":"article-journal","volume":"5"},"uris":["http://www.mendeley.com/documents/?uuid=e7534faf-4cc3-475b-84b2-a5dcc244e666"]}],"mendeley":{"formattedCitation":"(El-Sayed et al., 2012)","plainTextFormattedCitation":"(El-Sayed et al., 2012)","previouslyFormattedCitation":"(El-Sayed et al., 2012)"},"properties":{"noteIndex":0},"schema":"https://github.com/citation-style-language/schema/raw/master/csl-citation.json"}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(El-Sayed et al., 2012)</w:t>
      </w:r>
      <w:r w:rsidRPr="00B1522E">
        <w:rPr>
          <w:rFonts w:eastAsia="Calibri" w:cstheme="minorHAnsi"/>
        </w:rPr>
        <w:fldChar w:fldCharType="end"/>
      </w:r>
      <w:r w:rsidRPr="00B1522E">
        <w:rPr>
          <w:rFonts w:eastAsia="Calibri" w:cstheme="minorHAnsi"/>
        </w:rPr>
        <w:t xml:space="preserve">, with obesity prevalence among children in the UK increasing in accordance with the increase of socioeconomic deprivation </w:t>
      </w:r>
      <w:r w:rsidRPr="00B1522E">
        <w:rPr>
          <w:rFonts w:eastAsia="Calibri" w:cstheme="minorHAnsi"/>
        </w:rPr>
        <w:fldChar w:fldCharType="begin" w:fldLock="1"/>
      </w:r>
      <w:r w:rsidRPr="00B1522E">
        <w:rPr>
          <w:rFonts w:eastAsia="Calibri" w:cstheme="minorHAnsi"/>
        </w:rPr>
        <w:instrText>ADDIN CSL_CITATION {"citationItems":[{"id":"ITEM-1","itemData":{"URL":"https://digital.nhs.uk/data-and-information/publications/statistical/statistics-on-obesity-physical-activity-and-diet/statistics-on-obesity-physical-activity-and-diet-england-2019","author":[{"dropping-particle":"","family":"NHS","given":"","non-dropping-particle":"","parse-names":false,"suffix":""}],"id":"ITEM-1","issued":{"date-parts":[["2019"]]},"title":"Statistics on Obesity, Physical Activity and Diet, England, 2019","type":"webpage"},"uris":["http://www.mendeley.com/documents/?uuid=1c8cec11-c594-4e00-9bc4-b58ca154eb06"]}],"mendeley":{"formattedCitation":"(NHS, 2019)","plainTextFormattedCitation":"(NHS, 2019)","previouslyFormattedCitation":"(NHS, 2019)"},"properties":{"noteIndex":0},"schema":"https://github.com/citation-style-language/schema/raw/master/csl-citation.json"}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(NHS, 2019)</w:t>
      </w:r>
      <w:r w:rsidRPr="00B1522E">
        <w:rPr>
          <w:rFonts w:eastAsia="Calibri" w:cstheme="minorHAnsi"/>
        </w:rPr>
        <w:fldChar w:fldCharType="end"/>
      </w:r>
      <w:r w:rsidRPr="00B1522E">
        <w:rPr>
          <w:rFonts w:eastAsia="Calibri" w:cstheme="minorHAnsi"/>
        </w:rPr>
        <w:t xml:space="preserve">. The prevalence of overweight and obese 11-15 year olds is nearly double in the most deprived areas of the UK compared to the areas with the lowest levels of deprivation </w:t>
      </w:r>
      <w:r w:rsidRPr="00B1522E">
        <w:rPr>
          <w:rFonts w:eastAsia="Calibri" w:cstheme="minorHAnsi"/>
          <w:b/>
        </w:rPr>
        <w:fldChar w:fldCharType="begin" w:fldLock="1"/>
      </w:r>
      <w:r w:rsidRPr="00B1522E">
        <w:rPr>
          <w:rFonts w:eastAsia="Calibri" w:cstheme="minorHAnsi"/>
          <w:b/>
        </w:rPr>
        <w:instrText>ADDIN CSL_CITATION {"citationItems":[{"id":"ITEM-1","itemData":{"author":[{"dropping-particle":"","family":"McLennan","given":"David","non-dropping-particle":"","parse-names":false,"suffix":""},{"dropping-particle":"","family":"Barnes","given":"Helen","non-dropping-particle":"","parse-names":false,"suffix":""},{"dropping-particle":"","family":"Noble","given":"Michael","non-dropping-particle":"","parse-names":false,"suffix":""},{"dropping-particle":"","family":"Davies","given":"Joanna","non-dropping-particle":"","parse-names":false,"suffix":""},{"dropping-particle":"","family":"Garratt","given":"Elisabeth","non-dropping-particle":"","parse-names":false,"suffix":""},{"dropping-particle":"","family":"Dibben","given":"Chris","non-dropping-particle":"","parse-names":false,"suffix":""}],"container-title":"London: Department for Communities and Local Government","id":"ITEM-1","issued":{"date-parts":[["2011"]]},"title":"The English indices of deprivation 2010","type":"article-journal"},"uris":["http://www.mendeley.com/documents/?uuid=5b5b6640-b3e6-4714-9d82-e8d685a2a67e"]},{"id":"ITEM-2","itemData":{"URL":"https://digital.nhs.uk/data-and-information/publications/statistical/statistics-on-obesity-physical-activity-and-diet/statistics-on-obesity-physical-activity-and-diet-england-2018","abstract":"Statistics on Obesity, Physical Activity and Diet: England, January 2008","author":[{"dropping-particle":"","family":"NHS","given":"","non-dropping-particle":"","parse-names":false,"suffix":""}],"id":"ITEM-2","issue":"April","issued":{"date-parts":[["2018"]]},"page":"112","title":"Statistics on obesity , physical activity and diet","type":"webpage","volume":"1"},"uris":["http://www.mendeley.com/documents/?uuid=881a6035-9d05-4227-9b8e-2f6181f8a3c6"]}],"mendeley":{"formattedCitation":"(McLennan et al., 2011; NHS, 2018)","plainTextFormattedCitation":"(McLennan et al., 2011; NHS, 2018)","previouslyFormattedCitation":"(McLennan et al., 2011; NHS, 2018)"},"properties":{"noteIndex":0},"schema":"https://github.com/citation-style-language/schema/raw/master/csl-citation.json"}</w:instrText>
      </w:r>
      <w:r w:rsidRPr="00B1522E">
        <w:rPr>
          <w:rFonts w:eastAsia="Calibri" w:cstheme="minorHAnsi"/>
          <w:b/>
        </w:rPr>
        <w:fldChar w:fldCharType="separate"/>
      </w:r>
      <w:r w:rsidRPr="00B1522E">
        <w:rPr>
          <w:rFonts w:eastAsia="Calibri" w:cstheme="minorHAnsi"/>
          <w:noProof/>
        </w:rPr>
        <w:t>(McLennan et al., 2011; NHS, 2018)</w:t>
      </w:r>
      <w:r w:rsidRPr="00B1522E">
        <w:rPr>
          <w:rFonts w:eastAsia="Calibri" w:cstheme="minorHAnsi"/>
          <w:b/>
        </w:rPr>
        <w:fldChar w:fldCharType="end"/>
      </w:r>
      <w:r w:rsidRPr="00B1522E">
        <w:rPr>
          <w:rFonts w:eastAsia="Calibri" w:cstheme="minorHAnsi"/>
          <w:b/>
        </w:rPr>
        <w:t xml:space="preserve">. </w:t>
      </w:r>
      <w:r w:rsidRPr="00B1522E">
        <w:rPr>
          <w:rFonts w:eastAsia="Calibri" w:cstheme="minorHAnsi"/>
        </w:rPr>
        <w:t xml:space="preserve">Adolescents living in deprived areas of the UK are more likely to report frequently consuming a large amount of fast food and sugary-sweetened beverages, and consuming a limited number of fruit and vegetables </w:t>
      </w:r>
      <w:r w:rsidRPr="00B1522E">
        <w:rPr>
          <w:rFonts w:eastAsia="Calibri" w:cstheme="minorHAnsi"/>
        </w:rPr>
        <w:fldChar w:fldCharType="begin" w:fldLock="1"/>
      </w:r>
      <w:r w:rsidRPr="00B1522E">
        <w:rPr>
          <w:rFonts w:eastAsia="Calibri" w:cstheme="minorHAnsi"/>
        </w:rPr>
        <w:instrText>ADDIN CSL_CITATION {"citationItems":[{"id":"ITEM-1","itemData":{"author":[{"dropping-particle":"","family":"Noonan","given":"Robert","non-dropping-particle":"","parse-names":false,"suffix":""}],"container-title":"International journal of environmental research and public health","id":"ITEM-1","issue":"6","issued":{"date-parts":[["2018"]]},"page":"1224","publisher":"Multidisciplinary Digital Publishing Institute","title":"Poverty, Weight Status, and Dietary Intake among UK Adolescents","type":"article-journal","volume":"15"},"uris":["http://www.mendeley.com/documents/?uuid=4ae093a3-83e2-4a82-83f3-a595a6f07377"]}],"mendeley":{"formattedCitation":"(Noonan, 2018)","plainTextFormattedCitation":"(Noonan, 2018)","previouslyFormattedCitation":"(Noonan, 2018)"},"properties":{"noteIndex":0},"schema":"https://github.com/citation-style-language/schema/raw/master/csl-citation.json"}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(Noonan, 2018)</w:t>
      </w:r>
      <w:r w:rsidRPr="00B1522E">
        <w:rPr>
          <w:rFonts w:eastAsia="Calibri" w:cstheme="minorHAnsi"/>
        </w:rPr>
        <w:fldChar w:fldCharType="end"/>
      </w:r>
      <w:r w:rsidRPr="00B1522E">
        <w:rPr>
          <w:rFonts w:eastAsia="Calibri" w:cstheme="minorHAnsi"/>
        </w:rPr>
        <w:t xml:space="preserve">. </w:t>
      </w:r>
      <w:r w:rsidRPr="00B1522E">
        <w:rPr>
          <w:rFonts w:cstheme="minorHAnsi"/>
          <w:shd w:val="clear" w:color="auto" w:fill="FFFFFF"/>
        </w:rPr>
        <w:t xml:space="preserve">Adolescence is an important time in which to develop and maintain a healthy diet, particularly as this is a key stage of growth and development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author":[{"dropping-particle":"","family":"Conolly","given":"A","non-dropping-particle":"","parse-names":false,"suffix":""},{"dropping-particle":"","family":"Davies","given":"B","non-dropping-particle":"","parse-names":false,"suffix":""}],"container-title":"NHS Digital, NHS: Leeds, UK","id":"ITEM-1","issued":{"date-parts":[["2018"]]},"title":"Health Survey for England 2017—Adult and Child Overweight and Obesity","type":"report"},"uris":["http://www.mendeley.com/documents/?uuid=efe12a02-3d4c-4ca4-877f-7baaf30b52ee"]}],"mendeley":{"formattedCitation":"(Conolly &amp; Davies, 2018)","plainTextFormattedCitation":"(Conolly &amp; Davies, 2018)","previouslyFormattedCitation":"(Conolly &amp; Davies, 2018)"},"properties":{"noteIndex":0},"schema":"https://github.com/citation-style-language/schema/raw/master/csl-citation.json"}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(Conolly &amp; Davies, 2018)</w:t>
      </w:r>
      <w:r w:rsidRPr="00B1522E">
        <w:rPr>
          <w:rFonts w:cstheme="minorHAnsi"/>
          <w:shd w:val="clear" w:color="auto" w:fill="FFFFFF"/>
        </w:rPr>
        <w:fldChar w:fldCharType="end"/>
      </w:r>
      <w:r w:rsidRPr="00B1522E">
        <w:rPr>
          <w:rFonts w:cstheme="minorHAnsi"/>
          <w:shd w:val="clear" w:color="auto" w:fill="FFFFFF"/>
        </w:rPr>
        <w:t>.</w:t>
      </w:r>
      <w:r w:rsidRPr="00B1522E">
        <w:rPr>
          <w:rFonts w:eastAsia="Calibri" w:cstheme="minorHAnsi"/>
        </w:rPr>
        <w:t xml:space="preserve"> </w:t>
      </w:r>
      <w:r w:rsidRPr="00B1522E">
        <w:rPr>
          <w:rFonts w:eastAsia="Calibri" w:cstheme="minorHAnsi"/>
        </w:rPr>
        <w:lastRenderedPageBreak/>
        <w:t xml:space="preserve">Therefore, more research is needed to understand barriers and influences to having healthy dietary behaviours in this population.   </w:t>
      </w:r>
    </w:p>
    <w:p w14:paraId="391938EA" w14:textId="2D9DC1C4" w:rsidR="00C610CB" w:rsidRPr="00B1522E" w:rsidRDefault="00C610CB" w:rsidP="00B07823">
      <w:pPr>
        <w:spacing w:line="480" w:lineRule="auto"/>
        <w:ind w:firstLine="720"/>
        <w:jc w:val="both"/>
        <w:rPr>
          <w:rFonts w:cstheme="minorHAnsi"/>
        </w:rPr>
      </w:pPr>
      <w:r w:rsidRPr="00B1522E">
        <w:rPr>
          <w:rFonts w:cstheme="minorHAnsi"/>
        </w:rPr>
        <w:t>There is a distinct lack of qualitative research investigating the influences on 11-13-year olds’ eating behaviours despite the importance of understanding the influences on healthy eating behaviours in this key age group, especially in socioeconomic deprived areas. Previous research has tended to sample either primary school-aged children (aged up to 11 years) or participants who are aged 16 years and older</w:t>
      </w:r>
      <w:r w:rsidR="00F62378" w:rsidRPr="00B1522E">
        <w:rPr>
          <w:rFonts w:cstheme="minorHAnsi"/>
        </w:rPr>
        <w:t>,</w:t>
      </w:r>
      <w:r w:rsidRPr="00B1522E">
        <w:rPr>
          <w:rFonts w:cstheme="minorHAnsi"/>
        </w:rPr>
        <w:t xml:space="preserve"> with limited research focusing on secondary schools in deprived areas in the UK. Therefore, the purpose of the current qualitative study was to explore the perceived psychosocial influences associated with healthy and unhealthy food choices amongst secondary school students living in socially deprived areas in England. In addition, the study explored the perceived barriers to healthy eating and investigated possible sex-specific differences in students’ opinions and perceptions related to eating behaviours.  </w:t>
      </w:r>
    </w:p>
    <w:p w14:paraId="0111F889" w14:textId="77777777" w:rsidR="00C82B2F" w:rsidRPr="00B1522E" w:rsidRDefault="00C82B2F" w:rsidP="00B07823">
      <w:pPr>
        <w:spacing w:line="480" w:lineRule="auto"/>
        <w:jc w:val="both"/>
        <w:rPr>
          <w:rFonts w:cstheme="minorHAnsi"/>
          <w:b/>
          <w:bCs/>
        </w:rPr>
      </w:pPr>
    </w:p>
    <w:bookmarkStart w:id="120" w:name="_Toc84678928"/>
    <w:p w14:paraId="04C5F19F" w14:textId="3128EDAF" w:rsidR="00693AED" w:rsidRPr="00B1522E" w:rsidRDefault="00B94823" w:rsidP="00B07823">
      <w:pPr>
        <w:spacing w:line="480" w:lineRule="auto"/>
        <w:rPr>
          <w:b/>
          <w:bCs/>
        </w:rPr>
      </w:pPr>
      <w:r w:rsidRPr="00B1522E">
        <w:fldChar w:fldCharType="begin"/>
      </w:r>
      <w:r w:rsidRPr="00B1522E">
        <w:instrText xml:space="preserve"> TC  "</w:instrText>
      </w:r>
      <w:bookmarkStart w:id="121" w:name="_Toc97310453"/>
      <w:r w:rsidRPr="00B1522E">
        <w:instrText>5.3 Methods</w:instrText>
      </w:r>
      <w:bookmarkEnd w:id="121"/>
      <w:r w:rsidRPr="00B1522E">
        <w:instrText xml:space="preserve"> " \f x\l 2 </w:instrText>
      </w:r>
      <w:r w:rsidRPr="00B1522E">
        <w:fldChar w:fldCharType="end"/>
      </w:r>
      <w:r w:rsidR="00C610CB" w:rsidRPr="00B1522E">
        <w:rPr>
          <w:b/>
          <w:bCs/>
        </w:rPr>
        <w:t>5.3 Methods</w:t>
      </w:r>
      <w:bookmarkEnd w:id="120"/>
    </w:p>
    <w:bookmarkStart w:id="122" w:name="_Toc84678929"/>
    <w:p w14:paraId="5453A68B" w14:textId="435D651E" w:rsidR="00C610CB" w:rsidRPr="00B1522E" w:rsidRDefault="00B94823" w:rsidP="00B07823">
      <w:pPr>
        <w:spacing w:line="480" w:lineRule="auto"/>
      </w:pPr>
      <w:r w:rsidRPr="00B1522E">
        <w:fldChar w:fldCharType="begin"/>
      </w:r>
      <w:r w:rsidRPr="00B1522E">
        <w:instrText xml:space="preserve"> TC  "</w:instrText>
      </w:r>
      <w:bookmarkStart w:id="123" w:name="_Toc97310454"/>
      <w:r w:rsidRPr="00B1522E">
        <w:instrText>5.3.</w:instrText>
      </w:r>
      <w:r w:rsidR="00A01A4E" w:rsidRPr="00B1522E">
        <w:instrText>1 Design</w:instrText>
      </w:r>
      <w:bookmarkEnd w:id="123"/>
      <w:r w:rsidRPr="00B1522E">
        <w:instrText xml:space="preserve"> " \f x\l </w:instrText>
      </w:r>
      <w:r w:rsidR="00A01A4E" w:rsidRPr="00B1522E">
        <w:instrText>3</w:instrText>
      </w:r>
      <w:r w:rsidRPr="00B1522E">
        <w:instrText xml:space="preserve"> </w:instrText>
      </w:r>
      <w:r w:rsidRPr="00B1522E">
        <w:fldChar w:fldCharType="end"/>
      </w:r>
      <w:r w:rsidR="00990068" w:rsidRPr="00B1522E">
        <w:t xml:space="preserve">5.3.1 </w:t>
      </w:r>
      <w:r w:rsidR="00C610CB" w:rsidRPr="00B1522E">
        <w:t>Design</w:t>
      </w:r>
      <w:bookmarkEnd w:id="122"/>
    </w:p>
    <w:p w14:paraId="282917D6" w14:textId="3E59E10E" w:rsidR="00C610CB" w:rsidRPr="00B1522E" w:rsidRDefault="00C610CB" w:rsidP="00B07823">
      <w:pPr>
        <w:spacing w:line="480" w:lineRule="auto"/>
        <w:jc w:val="both"/>
        <w:rPr>
          <w:rFonts w:cstheme="minorHAnsi"/>
          <w:i/>
        </w:rPr>
      </w:pPr>
      <w:r w:rsidRPr="00B1522E">
        <w:rPr>
          <w:rFonts w:cstheme="minorHAnsi"/>
        </w:rPr>
        <w:t xml:space="preserve">This study took a qualitative approach using focus groups and thematic framework analysis </w:t>
      </w:r>
      <w:r w:rsidRPr="00B1522E">
        <w:rPr>
          <w:rFonts w:cstheme="minorHAnsi"/>
        </w:rPr>
        <w:fldChar w:fldCharType="begin" w:fldLock="1"/>
      </w:r>
      <w:r w:rsidR="009B19D0" w:rsidRPr="00B1522E">
        <w:rPr>
          <w:rFonts w:cstheme="minorHAnsi"/>
        </w:rPr>
        <w:instrText>ADDIN CSL_CITATION {"citationItems":[{"id":"ITEM-1","itemData":{"author":[{"dropping-particle":"","family":"Ritchie. J and Spencer. L in Bryman. A and Burgess. R. G.","given":"","non-dropping-particle":"","parse-names":false,"suffix":""}],"chapter-number":"Qualitativ","container-title":"Analysing qualitative data","id":"ITEM-1","issued":{"date-parts":[["1994"]]},"page":"173-194","publisher":"Routledge","publisher-place":"London","title":"Qualitative data analysis for applied policy research","type":"chapter"},"uris":["http://www.mendeley.com/documents/?uuid=ffe16ccb-1e4a-4af8-826a-f287934de968"]}],"mendeley":{"formattedCitation":"(Ritchie. J and Spencer. L in Bryman. A and Burgess. R. G., 1994)","manualFormatting":"(Ritchie &amp; Spencer, 1994)","plainTextFormattedCitation":"(Ritchie. J and Spencer. L in Bryman. A and Burgess. R. G., 1994)","previouslyFormattedCitation":"(Ritchie. J and Spencer. L in Bryman. A and Burgess. R. G., 1994)"},"properties":{"noteIndex":0},"schema":"https://github.com/citation-style-language/schema/raw/master/csl-citation.json"}</w:instrText>
      </w:r>
      <w:r w:rsidRPr="00B1522E">
        <w:rPr>
          <w:rFonts w:cstheme="minorHAnsi"/>
        </w:rPr>
        <w:fldChar w:fldCharType="separate"/>
      </w:r>
      <w:r w:rsidR="00C654DE" w:rsidRPr="00B1522E">
        <w:rPr>
          <w:rFonts w:cstheme="minorHAnsi"/>
          <w:noProof/>
        </w:rPr>
        <w:t xml:space="preserve">(Ritchie </w:t>
      </w:r>
      <w:r w:rsidR="009B19D0" w:rsidRPr="00B1522E">
        <w:rPr>
          <w:rFonts w:cstheme="minorHAnsi"/>
          <w:noProof/>
        </w:rPr>
        <w:t>&amp;</w:t>
      </w:r>
      <w:r w:rsidR="00C654DE" w:rsidRPr="00B1522E">
        <w:rPr>
          <w:rFonts w:cstheme="minorHAnsi"/>
          <w:noProof/>
        </w:rPr>
        <w:t xml:space="preserve"> Spencer, 1994)</w:t>
      </w:r>
      <w:r w:rsidRPr="00B1522E">
        <w:rPr>
          <w:rFonts w:cstheme="minorHAnsi"/>
        </w:rPr>
        <w:fldChar w:fldCharType="end"/>
      </w:r>
      <w:r w:rsidRPr="00B1522E">
        <w:rPr>
          <w:rFonts w:cstheme="minorHAnsi"/>
        </w:rPr>
        <w:t xml:space="preserve"> to analyse the data and to allow an exploration of possible differences in views between sexes. Nine semi-structured focus groups (5 girls-only and 4 boys-only) were conducted with secondary school students from May to July 2016. A focus group design was employed to help obtain a greater level of understanding of perceptions of students through the flow of conversation.</w:t>
      </w:r>
      <w:r w:rsidR="00990068" w:rsidRPr="00B1522E">
        <w:rPr>
          <w:rFonts w:cstheme="minorHAnsi"/>
        </w:rPr>
        <w:fldChar w:fldCharType="begin" w:fldLock="1"/>
      </w:r>
      <w:r w:rsidR="00D046DC" w:rsidRPr="00B1522E">
        <w:rPr>
          <w:rFonts w:cstheme="minorHAnsi"/>
        </w:rPr>
        <w:instrText>ADDIN CSL_CITATION {"citationItems":[{"id":"ITEM-1","itemData":{"author":[{"dropping-particle":"","family":"Krueger","given":"Richard A","non-dropping-particle":"","parse-names":false,"suffix":""},{"dropping-particle":"","family":"Casey","given":"Mary Anne","non-dropping-particle":"","parse-names":false,"suffix":""}],"id":"ITEM-1","issued":{"date-parts":[["2002"]]},"number-of-pages":"1-18","title":"Designing and conducting focus group interviews","type":"report"},"uris":["http://www.mendeley.com/documents/?uuid=f93bd339-8b28-426b-9d59-b99f2deacf5a"]}],"mendeley":{"formattedCitation":"(Krueger &amp; Casey, 2002)","manualFormatting":" Krueger and Casey (2002)","plainTextFormattedCitation":"(Krueger &amp; Casey, 2002)","previouslyFormattedCitation":"(Krueger &amp; Casey, 2002)"},"properties":{"noteIndex":0},"schema":"https://github.com/citation-style-language/schema/raw/master/csl-citation.json"}</w:instrText>
      </w:r>
      <w:r w:rsidR="00990068" w:rsidRPr="00B1522E">
        <w:rPr>
          <w:rFonts w:cstheme="minorHAnsi"/>
        </w:rPr>
        <w:fldChar w:fldCharType="separate"/>
      </w:r>
      <w:r w:rsidR="00990068" w:rsidRPr="00B1522E">
        <w:rPr>
          <w:rFonts w:cstheme="minorHAnsi"/>
          <w:noProof/>
        </w:rPr>
        <w:t xml:space="preserve"> Krueger and Casey (2002)</w:t>
      </w:r>
      <w:r w:rsidR="00990068" w:rsidRPr="00B1522E">
        <w:rPr>
          <w:rFonts w:cstheme="minorHAnsi"/>
        </w:rPr>
        <w:fldChar w:fldCharType="end"/>
      </w:r>
      <w:r w:rsidRPr="00B1522E">
        <w:rPr>
          <w:rFonts w:cstheme="minorHAnsi"/>
        </w:rPr>
        <w:t xml:space="preserve"> suggest collecting data via focus groups is beneficial because it allows participants to interact, which leads to a greater depth of conversation allowing for a better understanding of the topic.  Ethics approval was gained from the Ethics Committee at Staffordshire University</w:t>
      </w:r>
      <w:r w:rsidR="009674F3" w:rsidRPr="00B1522E">
        <w:rPr>
          <w:rFonts w:cstheme="minorHAnsi"/>
        </w:rPr>
        <w:t xml:space="preserve"> (Appendix </w:t>
      </w:r>
      <w:r w:rsidR="00A677FA" w:rsidRPr="00B1522E">
        <w:rPr>
          <w:rFonts w:cstheme="minorHAnsi"/>
        </w:rPr>
        <w:t>2</w:t>
      </w:r>
      <w:r w:rsidR="009674F3" w:rsidRPr="00B1522E">
        <w:rPr>
          <w:rFonts w:cstheme="minorHAnsi"/>
        </w:rPr>
        <w:t>)</w:t>
      </w:r>
      <w:r w:rsidRPr="00B1522E">
        <w:rPr>
          <w:rFonts w:cstheme="minorHAnsi"/>
        </w:rPr>
        <w:t xml:space="preserve">. </w:t>
      </w:r>
    </w:p>
    <w:p w14:paraId="6BE2C2E7" w14:textId="77777777" w:rsidR="008636A2" w:rsidRPr="00B1522E" w:rsidRDefault="008636A2" w:rsidP="00B07823">
      <w:pPr>
        <w:spacing w:line="480" w:lineRule="auto"/>
        <w:jc w:val="both"/>
        <w:rPr>
          <w:rFonts w:cstheme="minorHAnsi"/>
          <w:i/>
        </w:rPr>
      </w:pPr>
    </w:p>
    <w:bookmarkStart w:id="124" w:name="_Toc84678930"/>
    <w:p w14:paraId="2969F846" w14:textId="1AF3320B" w:rsidR="00C610CB" w:rsidRPr="00B1522E" w:rsidRDefault="00A01A4E" w:rsidP="00B07823">
      <w:pPr>
        <w:spacing w:line="480" w:lineRule="auto"/>
      </w:pPr>
      <w:r w:rsidRPr="00B1522E">
        <w:lastRenderedPageBreak/>
        <w:fldChar w:fldCharType="begin"/>
      </w:r>
      <w:r w:rsidRPr="00B1522E">
        <w:instrText xml:space="preserve"> TC  "</w:instrText>
      </w:r>
      <w:bookmarkStart w:id="125" w:name="_Toc97310455"/>
      <w:r w:rsidRPr="00B1522E">
        <w:instrText>5.3.2 Participants</w:instrText>
      </w:r>
      <w:bookmarkEnd w:id="125"/>
      <w:r w:rsidRPr="00B1522E">
        <w:instrText xml:space="preserve"> " \f x\l 3 </w:instrText>
      </w:r>
      <w:r w:rsidRPr="00B1522E">
        <w:fldChar w:fldCharType="end"/>
      </w:r>
      <w:r w:rsidR="00990068" w:rsidRPr="00B1522E">
        <w:t xml:space="preserve">5.3.2 </w:t>
      </w:r>
      <w:r w:rsidR="00C610CB" w:rsidRPr="00B1522E">
        <w:t>Participants</w:t>
      </w:r>
      <w:bookmarkEnd w:id="124"/>
    </w:p>
    <w:p w14:paraId="616653B2" w14:textId="75228FCE" w:rsidR="00C610CB" w:rsidRPr="00B1522E" w:rsidRDefault="00C610CB" w:rsidP="00B07823">
      <w:pPr>
        <w:spacing w:line="480" w:lineRule="auto"/>
        <w:jc w:val="both"/>
        <w:rPr>
          <w:rFonts w:cstheme="minorHAnsi"/>
        </w:rPr>
      </w:pPr>
      <w:r w:rsidRPr="00B1522E">
        <w:rPr>
          <w:rFonts w:cstheme="minorHAnsi"/>
        </w:rPr>
        <w:t>Students from two secondary schools in deprived areas of the</w:t>
      </w:r>
      <w:r w:rsidRPr="00B1522E">
        <w:rPr>
          <w:rFonts w:cstheme="minorHAnsi"/>
          <w:b/>
        </w:rPr>
        <w:t xml:space="preserve"> </w:t>
      </w:r>
      <w:r w:rsidRPr="00B1522E">
        <w:rPr>
          <w:rFonts w:cstheme="minorHAnsi"/>
        </w:rPr>
        <w:t xml:space="preserve">North (School A) and Midlands (School B) of England were recruited for this study. Unemployment rates for the surrounding areas of the schools were 35.3% and 30.8% respectively and both schools’ surrounding areas fell within the 30% most deprived areas of England </w:t>
      </w:r>
      <w:r w:rsidRPr="00B1522E">
        <w:rPr>
          <w:rFonts w:cstheme="minorHAnsi"/>
        </w:rPr>
        <w:fldChar w:fldCharType="begin" w:fldLock="1"/>
      </w:r>
      <w:r w:rsidR="00FC379D" w:rsidRPr="00B1522E">
        <w:rPr>
          <w:rFonts w:cstheme="minorHAnsi"/>
        </w:rPr>
        <w:instrText>ADDIN CSL_CITATION {"citationItems":[{"id":"ITEM-1","itemData":{"author":[{"dropping-particle":"","family":"Smith","given":"Tom","non-dropping-particle":"","parse-names":false,"suffix":""},{"dropping-particle":"","family":"Noble","given":"Michael","non-dropping-particle":"","parse-names":false,"suffix":""},{"dropping-particle":"","family":"Noble","given":"Stefan","non-dropping-particle":"","parse-names":false,"suffix":""},{"dropping-particle":"","family":"Wright","given":"Gemma","non-dropping-particle":"","parse-names":false,"suffix":""},{"dropping-particle":"","family":"McLennan","given":"David","non-dropping-particle":"","parse-names":false,"suffix":""},{"dropping-particle":"","family":"Plunkett","given":"Emma","non-dropping-particle":"","parse-names":false,"suffix":""}],"id":"ITEM-1","issued":{"date-parts":[["2015"]]},"title":"The English indices of deprivation 2015","type":"report"},"uris":["http://www.mendeley.com/documents/?uuid=57cb2e9c-e3ee-41dd-8d5e-8870b7827f46"]}],"mendeley":{"formattedCitation":"(T. Smith et al., 2015)","manualFormatting":"(Smith et al., 2015)","plainTextFormattedCitation":"(T. Smith et al., 2015)","previouslyFormattedCitation":"(T. Smith et al., 2015)"},"properties":{"noteIndex":0},"schema":"https://github.com/citation-style-language/schema/raw/master/csl-citation.json"}</w:instrText>
      </w:r>
      <w:r w:rsidRPr="00B1522E">
        <w:rPr>
          <w:rFonts w:cstheme="minorHAnsi"/>
        </w:rPr>
        <w:fldChar w:fldCharType="separate"/>
      </w:r>
      <w:r w:rsidR="00D671A4" w:rsidRPr="00B1522E">
        <w:rPr>
          <w:rFonts w:cstheme="minorHAnsi"/>
          <w:noProof/>
        </w:rPr>
        <w:t>(Smith et al., 2015)</w:t>
      </w:r>
      <w:r w:rsidRPr="00B1522E">
        <w:rPr>
          <w:rFonts w:cstheme="minorHAnsi"/>
        </w:rPr>
        <w:fldChar w:fldCharType="end"/>
      </w:r>
      <w:r w:rsidRPr="00B1522E">
        <w:rPr>
          <w:rFonts w:cstheme="minorHAnsi"/>
        </w:rPr>
        <w:t xml:space="preserve">. Students </w:t>
      </w:r>
      <w:bookmarkStart w:id="126" w:name="_Hlk25572275"/>
      <w:r w:rsidRPr="00B1522E">
        <w:rPr>
          <w:rFonts w:cstheme="minorHAnsi"/>
        </w:rPr>
        <w:t>aged 11-13 years old (within the English schooling system these students will be in years (grade) 7 or 8)</w:t>
      </w:r>
      <w:bookmarkEnd w:id="126"/>
      <w:r w:rsidRPr="00B1522E">
        <w:rPr>
          <w:rFonts w:cstheme="minorHAnsi"/>
        </w:rPr>
        <w:t xml:space="preserve"> with opt-in parental or guardian written consent took part in the study. Nine focus groups (6 x School A and 3 x School B) with a total number of 46 participants (21 boys and 25 girls) were conducted, with focus groups ranging in size from 4-7 participants.</w:t>
      </w:r>
    </w:p>
    <w:p w14:paraId="2DA5AB55" w14:textId="77777777" w:rsidR="00C610CB" w:rsidRPr="00B1522E" w:rsidRDefault="00C610CB" w:rsidP="00B07823">
      <w:pPr>
        <w:spacing w:line="480" w:lineRule="auto"/>
        <w:jc w:val="both"/>
        <w:rPr>
          <w:rFonts w:cstheme="minorHAnsi"/>
          <w:i/>
        </w:rPr>
      </w:pPr>
    </w:p>
    <w:bookmarkStart w:id="127" w:name="_Toc84678931"/>
    <w:p w14:paraId="47AAA349" w14:textId="10872D51" w:rsidR="00C610CB" w:rsidRPr="00B1522E" w:rsidRDefault="00A01A4E" w:rsidP="00B07823">
      <w:pPr>
        <w:spacing w:line="480" w:lineRule="auto"/>
      </w:pPr>
      <w:r w:rsidRPr="00B1522E">
        <w:fldChar w:fldCharType="begin"/>
      </w:r>
      <w:r w:rsidRPr="00B1522E">
        <w:instrText xml:space="preserve"> TC  "</w:instrText>
      </w:r>
      <w:bookmarkStart w:id="128" w:name="_Toc97310456"/>
      <w:r w:rsidRPr="00B1522E">
        <w:instrText>5.3.3 Materials</w:instrText>
      </w:r>
      <w:bookmarkEnd w:id="128"/>
      <w:r w:rsidRPr="00B1522E">
        <w:instrText xml:space="preserve"> " \f x\l 3 </w:instrText>
      </w:r>
      <w:r w:rsidRPr="00B1522E">
        <w:fldChar w:fldCharType="end"/>
      </w:r>
      <w:r w:rsidR="00990068" w:rsidRPr="00B1522E">
        <w:t xml:space="preserve">5.3.3 </w:t>
      </w:r>
      <w:r w:rsidR="00C610CB" w:rsidRPr="00B1522E">
        <w:t>Materials</w:t>
      </w:r>
      <w:bookmarkEnd w:id="127"/>
    </w:p>
    <w:p w14:paraId="78470554" w14:textId="3D9FDCA2" w:rsidR="00C610CB" w:rsidRPr="00B1522E" w:rsidRDefault="00C610CB" w:rsidP="00B07823">
      <w:pPr>
        <w:spacing w:line="480" w:lineRule="auto"/>
        <w:jc w:val="both"/>
        <w:rPr>
          <w:rFonts w:cstheme="minorHAnsi"/>
        </w:rPr>
      </w:pPr>
      <w:r w:rsidRPr="00B1522E">
        <w:rPr>
          <w:rFonts w:cstheme="minorHAnsi"/>
        </w:rPr>
        <w:t>A set of standardised open-ended questions and prompts were used to guide the discussions</w:t>
      </w:r>
      <w:r w:rsidR="00990068" w:rsidRPr="00B1522E">
        <w:rPr>
          <w:rFonts w:cstheme="minorHAnsi"/>
        </w:rPr>
        <w:t xml:space="preserve"> (Appendix </w:t>
      </w:r>
      <w:r w:rsidR="00D25668" w:rsidRPr="00B1522E">
        <w:rPr>
          <w:rFonts w:cstheme="minorHAnsi"/>
        </w:rPr>
        <w:t>7</w:t>
      </w:r>
      <w:r w:rsidR="00990068" w:rsidRPr="00B1522E">
        <w:rPr>
          <w:rFonts w:cstheme="minorHAnsi"/>
        </w:rPr>
        <w:t>)</w:t>
      </w:r>
      <w:r w:rsidRPr="00B1522E">
        <w:rPr>
          <w:rFonts w:cstheme="minorHAnsi"/>
        </w:rPr>
        <w:t xml:space="preserve">. The questions helped to investigate the perception of the students’ barriers, influences and facilitators to healthy eating, and, potentially, how unhealthy behaviours could be improved. </w:t>
      </w:r>
    </w:p>
    <w:p w14:paraId="57A4513D" w14:textId="77777777" w:rsidR="00C610CB" w:rsidRPr="00B1522E" w:rsidRDefault="00C610CB" w:rsidP="00B07823">
      <w:pPr>
        <w:spacing w:line="480" w:lineRule="auto"/>
        <w:jc w:val="both"/>
        <w:rPr>
          <w:rFonts w:cstheme="minorHAnsi"/>
          <w:i/>
        </w:rPr>
      </w:pPr>
    </w:p>
    <w:bookmarkStart w:id="129" w:name="_Toc84678932"/>
    <w:p w14:paraId="55CD7663" w14:textId="513058CB" w:rsidR="00C610CB" w:rsidRPr="00B1522E" w:rsidRDefault="00A01A4E" w:rsidP="00B07823">
      <w:pPr>
        <w:spacing w:line="480" w:lineRule="auto"/>
      </w:pPr>
      <w:r w:rsidRPr="00B1522E">
        <w:fldChar w:fldCharType="begin"/>
      </w:r>
      <w:r w:rsidRPr="00B1522E">
        <w:instrText xml:space="preserve"> TC  "</w:instrText>
      </w:r>
      <w:bookmarkStart w:id="130" w:name="_Toc97310457"/>
      <w:r w:rsidRPr="00B1522E">
        <w:instrText>5.3.4 Pr</w:instrText>
      </w:r>
      <w:r w:rsidR="007B00B0" w:rsidRPr="00B1522E">
        <w:instrText>ocedure</w:instrText>
      </w:r>
      <w:bookmarkEnd w:id="130"/>
      <w:r w:rsidRPr="00B1522E">
        <w:instrText xml:space="preserve"> " \f x\l 3 </w:instrText>
      </w:r>
      <w:r w:rsidRPr="00B1522E">
        <w:fldChar w:fldCharType="end"/>
      </w:r>
      <w:r w:rsidR="00990068" w:rsidRPr="00B1522E">
        <w:t xml:space="preserve">5.3.4 </w:t>
      </w:r>
      <w:r w:rsidR="00C610CB" w:rsidRPr="00B1522E">
        <w:t>Procedure</w:t>
      </w:r>
      <w:bookmarkEnd w:id="129"/>
    </w:p>
    <w:p w14:paraId="46439D04" w14:textId="217FC25F" w:rsidR="00C610CB" w:rsidRPr="00B1522E" w:rsidRDefault="00C610CB" w:rsidP="00B07823">
      <w:pPr>
        <w:spacing w:line="480" w:lineRule="auto"/>
        <w:jc w:val="both"/>
        <w:rPr>
          <w:rFonts w:cstheme="minorHAnsi"/>
        </w:rPr>
      </w:pPr>
      <w:r w:rsidRPr="00B1522E">
        <w:rPr>
          <w:rFonts w:cstheme="minorHAnsi"/>
        </w:rPr>
        <w:t>Both schools sent letters and opt-in consent forms explaining the nature of the study to parents of all students aged 11-13 years old (those in years (grade) 7 or 8)</w:t>
      </w:r>
      <w:r w:rsidR="009674F3" w:rsidRPr="00B1522E">
        <w:rPr>
          <w:rFonts w:cstheme="minorHAnsi"/>
        </w:rPr>
        <w:t xml:space="preserve"> (Appendix </w:t>
      </w:r>
      <w:r w:rsidR="00D25668" w:rsidRPr="00B1522E">
        <w:rPr>
          <w:rFonts w:cstheme="minorHAnsi"/>
        </w:rPr>
        <w:t>3</w:t>
      </w:r>
      <w:r w:rsidR="009674F3" w:rsidRPr="00B1522E">
        <w:rPr>
          <w:rFonts w:cstheme="minorHAnsi"/>
        </w:rPr>
        <w:t>)</w:t>
      </w:r>
      <w:r w:rsidRPr="00B1522E">
        <w:rPr>
          <w:rFonts w:cstheme="minorHAnsi"/>
        </w:rPr>
        <w:t>. The schools allocated a classroom to be used to conduct the focus groups. Prior to the commencement of the discussions, participants were asked to read an information sheet</w:t>
      </w:r>
      <w:r w:rsidR="009674F3" w:rsidRPr="00B1522E">
        <w:rPr>
          <w:rFonts w:cstheme="minorHAnsi"/>
        </w:rPr>
        <w:t xml:space="preserve"> (Appendix </w:t>
      </w:r>
      <w:r w:rsidR="00D25668" w:rsidRPr="00B1522E">
        <w:rPr>
          <w:rFonts w:cstheme="minorHAnsi"/>
        </w:rPr>
        <w:t>4</w:t>
      </w:r>
      <w:r w:rsidR="009674F3" w:rsidRPr="00B1522E">
        <w:rPr>
          <w:rFonts w:cstheme="minorHAnsi"/>
        </w:rPr>
        <w:t>)</w:t>
      </w:r>
      <w:r w:rsidRPr="00B1522E">
        <w:rPr>
          <w:rFonts w:cstheme="minorHAnsi"/>
        </w:rPr>
        <w:t xml:space="preserve"> outlining the topic area to be discussed. Following this, participants were asked to agree to a set of guidelines</w:t>
      </w:r>
      <w:r w:rsidR="009674F3" w:rsidRPr="00B1522E">
        <w:rPr>
          <w:rFonts w:cstheme="minorHAnsi"/>
        </w:rPr>
        <w:t xml:space="preserve"> (Appendix </w:t>
      </w:r>
      <w:r w:rsidR="00F56066" w:rsidRPr="00B1522E">
        <w:rPr>
          <w:rFonts w:cstheme="minorHAnsi"/>
        </w:rPr>
        <w:t>5</w:t>
      </w:r>
      <w:r w:rsidR="009674F3" w:rsidRPr="00B1522E">
        <w:rPr>
          <w:rFonts w:cstheme="minorHAnsi"/>
        </w:rPr>
        <w:t>)</w:t>
      </w:r>
      <w:r w:rsidRPr="00B1522E">
        <w:rPr>
          <w:rFonts w:cstheme="minorHAnsi"/>
        </w:rPr>
        <w:t xml:space="preserve"> pertaining to the confidential nature of the group discussion and the conduct of the discussions. Prior </w:t>
      </w:r>
      <w:r w:rsidRPr="00646E6A">
        <w:rPr>
          <w:rFonts w:cstheme="minorHAnsi"/>
        </w:rPr>
        <w:t xml:space="preserve">to starting the discussions, the students were asked to </w:t>
      </w:r>
      <w:r w:rsidR="0060256B" w:rsidRPr="00646E6A">
        <w:rPr>
          <w:rFonts w:cstheme="minorHAnsi"/>
        </w:rPr>
        <w:t>give</w:t>
      </w:r>
      <w:r w:rsidRPr="00646E6A">
        <w:rPr>
          <w:rFonts w:cstheme="minorHAnsi"/>
        </w:rPr>
        <w:t xml:space="preserve"> </w:t>
      </w:r>
      <w:r w:rsidR="00E577AF" w:rsidRPr="00646E6A">
        <w:rPr>
          <w:rFonts w:cstheme="minorHAnsi"/>
        </w:rPr>
        <w:t xml:space="preserve">assent </w:t>
      </w:r>
      <w:r w:rsidR="009674F3" w:rsidRPr="00646E6A">
        <w:rPr>
          <w:rFonts w:cstheme="minorHAnsi"/>
        </w:rPr>
        <w:t xml:space="preserve">(Appendix </w:t>
      </w:r>
      <w:r w:rsidR="00F56066" w:rsidRPr="00646E6A">
        <w:rPr>
          <w:rFonts w:cstheme="minorHAnsi"/>
        </w:rPr>
        <w:t>6</w:t>
      </w:r>
      <w:r w:rsidR="009674F3" w:rsidRPr="00646E6A">
        <w:rPr>
          <w:rFonts w:cstheme="minorHAnsi"/>
        </w:rPr>
        <w:t>)</w:t>
      </w:r>
      <w:r w:rsidRPr="00646E6A">
        <w:rPr>
          <w:rFonts w:cstheme="minorHAnsi"/>
        </w:rPr>
        <w:t xml:space="preserve"> in addition to the</w:t>
      </w:r>
      <w:r w:rsidRPr="00B1522E">
        <w:rPr>
          <w:rFonts w:cstheme="minorHAnsi"/>
        </w:rPr>
        <w:t xml:space="preserve"> parent/guardian opt-in consent forms. The focus group discussions lasted an average (mean) time of </w:t>
      </w:r>
      <w:r w:rsidRPr="00B1522E">
        <w:rPr>
          <w:rFonts w:cstheme="minorHAnsi"/>
        </w:rPr>
        <w:lastRenderedPageBreak/>
        <w:t>26 minutes.</w:t>
      </w:r>
      <w:r w:rsidR="00D63202" w:rsidRPr="00B1522E">
        <w:t xml:space="preserve"> Following the focus groups, participants were thanked for participating in the research and were provided with a debriefing form (Appendix </w:t>
      </w:r>
      <w:r w:rsidR="0060256B" w:rsidRPr="00B1522E">
        <w:t>8</w:t>
      </w:r>
      <w:r w:rsidR="00D63202" w:rsidRPr="00B1522E">
        <w:t>).</w:t>
      </w:r>
      <w:r w:rsidRPr="00B1522E">
        <w:rPr>
          <w:rFonts w:cstheme="minorHAnsi"/>
        </w:rPr>
        <w:t xml:space="preserve"> The focus groups were recorded with a Dictaphone and transcribed verbatim, with all identifying information removed and real names replaced with </w:t>
      </w:r>
      <w:r w:rsidRPr="00B1522E">
        <w:rPr>
          <w:rFonts w:cstheme="minorHAnsi"/>
          <w:bCs/>
        </w:rPr>
        <w:t>pseudonyms</w:t>
      </w:r>
      <w:r w:rsidRPr="00B1522E">
        <w:rPr>
          <w:rFonts w:cstheme="minorHAnsi"/>
        </w:rPr>
        <w:t>.</w:t>
      </w:r>
    </w:p>
    <w:p w14:paraId="2AEB6F42" w14:textId="77777777" w:rsidR="00C610CB" w:rsidRPr="00B1522E" w:rsidRDefault="00C610CB" w:rsidP="00B07823">
      <w:pPr>
        <w:spacing w:line="480" w:lineRule="auto"/>
        <w:jc w:val="both"/>
        <w:rPr>
          <w:rFonts w:cstheme="minorHAnsi"/>
        </w:rPr>
      </w:pPr>
    </w:p>
    <w:bookmarkStart w:id="131" w:name="_Toc84678933"/>
    <w:p w14:paraId="2517F16C" w14:textId="21D836FD" w:rsidR="00C610CB" w:rsidRPr="00B1522E" w:rsidRDefault="007B00B0" w:rsidP="00B07823">
      <w:pPr>
        <w:spacing w:line="480" w:lineRule="auto"/>
      </w:pPr>
      <w:r w:rsidRPr="00B1522E">
        <w:fldChar w:fldCharType="begin"/>
      </w:r>
      <w:r w:rsidRPr="00B1522E">
        <w:instrText xml:space="preserve"> TC  "</w:instrText>
      </w:r>
      <w:bookmarkStart w:id="132" w:name="_Toc97310458"/>
      <w:r w:rsidRPr="00B1522E">
        <w:instrText>5.3.5 Data Analysis</w:instrText>
      </w:r>
      <w:bookmarkEnd w:id="132"/>
      <w:r w:rsidRPr="00B1522E">
        <w:instrText xml:space="preserve"> " \f x\l 3 </w:instrText>
      </w:r>
      <w:r w:rsidRPr="00B1522E">
        <w:fldChar w:fldCharType="end"/>
      </w:r>
      <w:r w:rsidR="00990068" w:rsidRPr="00B1522E">
        <w:t xml:space="preserve">5.3.5 </w:t>
      </w:r>
      <w:r w:rsidR="00C610CB" w:rsidRPr="00B1522E">
        <w:t>Data Analysis</w:t>
      </w:r>
      <w:bookmarkEnd w:id="131"/>
    </w:p>
    <w:p w14:paraId="5DD3BDC8" w14:textId="7B0DAE27" w:rsidR="00C610CB" w:rsidRPr="00B1522E" w:rsidRDefault="00C610CB" w:rsidP="00B07823">
      <w:pPr>
        <w:spacing w:line="480" w:lineRule="auto"/>
        <w:jc w:val="both"/>
        <w:rPr>
          <w:rFonts w:cstheme="minorHAnsi"/>
        </w:rPr>
      </w:pPr>
      <w:r w:rsidRPr="00B1522E">
        <w:rPr>
          <w:rFonts w:cstheme="minorHAnsi"/>
        </w:rPr>
        <w:t xml:space="preserve">The transcripts were entered into NVivo Pro 11 software </w:t>
      </w:r>
      <w:r w:rsidRPr="00B1522E">
        <w:rPr>
          <w:rFonts w:cstheme="minorHAnsi"/>
        </w:rPr>
        <w:fldChar w:fldCharType="begin" w:fldLock="1"/>
      </w:r>
      <w:r w:rsidRPr="00B1522E">
        <w:rPr>
          <w:rFonts w:cstheme="minorHAnsi"/>
        </w:rPr>
        <w:instrText>ADDIN CSL_CITATION {"citationItems":[{"id":"ITEM-1","itemData":{"author":[{"dropping-particle":"","family":"QSR International Pty Ltd","given":"","non-dropping-particle":"","parse-names":false,"suffix":""}],"id":"ITEM-1","issued":{"date-parts":[["2016"]]},"number":"11 Pro","title":"QSR International Pty Ltd","type":"article"},"uris":["http://www.mendeley.com/documents/?uuid=1f2b42b7-7637-491b-8fda-69d1140c099d"]}],"mendeley":{"formattedCitation":"(QSR International Pty Ltd, 2016)","plainTextFormattedCitation":"(QSR International Pty Ltd, 2016)","previouslyFormattedCitation":"(QSR International Pty Ltd, 2016)"},"properties":{"noteIndex":0},"schema":"https://github.com/citation-style-language/schema/raw/master/csl-citation.json"}</w:instrText>
      </w:r>
      <w:r w:rsidRPr="00B1522E">
        <w:rPr>
          <w:rFonts w:cstheme="minorHAnsi"/>
        </w:rPr>
        <w:fldChar w:fldCharType="separate"/>
      </w:r>
      <w:r w:rsidRPr="00B1522E">
        <w:rPr>
          <w:rFonts w:cstheme="minorHAnsi"/>
          <w:noProof/>
        </w:rPr>
        <w:t>(QSR International Pty Ltd, 2016)</w:t>
      </w:r>
      <w:r w:rsidRPr="00B1522E">
        <w:rPr>
          <w:rFonts w:cstheme="minorHAnsi"/>
        </w:rPr>
        <w:fldChar w:fldCharType="end"/>
      </w:r>
      <w:r w:rsidRPr="00B1522E">
        <w:rPr>
          <w:rFonts w:cstheme="minorHAnsi"/>
        </w:rPr>
        <w:t xml:space="preserve">. The analysis was guided by Framework Analysis stages </w:t>
      </w:r>
      <w:r w:rsidRPr="00B1522E">
        <w:rPr>
          <w:rFonts w:cstheme="minorHAnsi"/>
        </w:rPr>
        <w:fldChar w:fldCharType="begin" w:fldLock="1"/>
      </w:r>
      <w:r w:rsidR="00671B13" w:rsidRPr="00B1522E">
        <w:rPr>
          <w:rFonts w:cstheme="minorHAnsi"/>
        </w:rPr>
        <w:instrText>ADDIN CSL_CITATION {"citationItems":[{"id":"ITEM-1","itemData":{"author":[{"dropping-particle":"","family":"Ritchie. J and Spencer. L in Bryman. A and Burgess. R. G.","given":"","non-dropping-particle":"","parse-names":false,"suffix":""}],"chapter-number":"Qualitativ","container-title":"Analysing qualitative data","id":"ITEM-1","issued":{"date-parts":[["1994"]]},"page":"173-194","publisher":"Routledge","publisher-place":"London","title":"Qualitative data analysis for applied policy research","type":"chapter"},"uris":["http://www.mendeley.com/documents/?uuid=ffe16ccb-1e4a-4af8-826a-f287934de968"]}],"mendeley":{"formattedCitation":"(Ritchie. J and Spencer. L in Bryman. A and Burgess. R. G., 1994)","manualFormatting":"(Ritchie &amp; Spencer, 1994)","plainTextFormattedCitation":"(Ritchie. J and Spencer. L in Bryman. A and Burgess. R. G., 1994)","previouslyFormattedCitation":"(Ritchie. J and Spencer. L in Bryman. A and Burgess. R. G., 1994)"},"properties":{"noteIndex":0},"schema":"https://github.com/citation-style-language/schema/raw/master/csl-citation.json"}</w:instrText>
      </w:r>
      <w:r w:rsidRPr="00B1522E">
        <w:rPr>
          <w:rFonts w:cstheme="minorHAnsi"/>
        </w:rPr>
        <w:fldChar w:fldCharType="separate"/>
      </w:r>
      <w:r w:rsidRPr="00B1522E">
        <w:rPr>
          <w:rFonts w:cstheme="minorHAnsi"/>
          <w:noProof/>
        </w:rPr>
        <w:t xml:space="preserve">(Ritchie </w:t>
      </w:r>
      <w:r w:rsidR="00FE77D9" w:rsidRPr="00B1522E">
        <w:rPr>
          <w:rFonts w:cstheme="minorHAnsi"/>
          <w:noProof/>
        </w:rPr>
        <w:t>&amp;</w:t>
      </w:r>
      <w:r w:rsidRPr="00B1522E">
        <w:rPr>
          <w:rFonts w:cstheme="minorHAnsi"/>
          <w:noProof/>
        </w:rPr>
        <w:t xml:space="preserve"> Spencer, 1994)</w:t>
      </w:r>
      <w:r w:rsidRPr="00B1522E">
        <w:rPr>
          <w:rFonts w:cstheme="minorHAnsi"/>
        </w:rPr>
        <w:fldChar w:fldCharType="end"/>
      </w:r>
      <w:r w:rsidRPr="00B1522E">
        <w:rPr>
          <w:rFonts w:cstheme="minorHAnsi"/>
        </w:rPr>
        <w:t xml:space="preserve"> which were: </w:t>
      </w:r>
      <w:r w:rsidRPr="00B1522E">
        <w:rPr>
          <w:rFonts w:cstheme="minorHAnsi"/>
          <w:i/>
        </w:rPr>
        <w:t>familiarization,</w:t>
      </w:r>
      <w:r w:rsidRPr="00B1522E">
        <w:rPr>
          <w:rFonts w:cstheme="minorHAnsi"/>
        </w:rPr>
        <w:t xml:space="preserve"> this required immersion in the data; </w:t>
      </w:r>
      <w:r w:rsidRPr="00B1522E">
        <w:rPr>
          <w:rFonts w:cstheme="minorHAnsi"/>
          <w:i/>
        </w:rPr>
        <w:t>identifying a thematic framework</w:t>
      </w:r>
      <w:r w:rsidRPr="00B1522E">
        <w:rPr>
          <w:rFonts w:cstheme="minorHAnsi"/>
        </w:rPr>
        <w:t xml:space="preserve">, involved returning to the data to identify key issues, concepts, and themes, by which the data could then be referenced; </w:t>
      </w:r>
      <w:r w:rsidRPr="00B1522E">
        <w:rPr>
          <w:rFonts w:cstheme="minorHAnsi"/>
          <w:i/>
        </w:rPr>
        <w:t>indexing</w:t>
      </w:r>
      <w:r w:rsidRPr="00B1522E">
        <w:rPr>
          <w:rFonts w:cstheme="minorHAnsi"/>
        </w:rPr>
        <w:t xml:space="preserve">, is the process of applying the framework to the data; </w:t>
      </w:r>
      <w:r w:rsidRPr="00B1522E">
        <w:rPr>
          <w:rFonts w:cstheme="minorHAnsi"/>
          <w:i/>
        </w:rPr>
        <w:t>charting</w:t>
      </w:r>
      <w:r w:rsidRPr="00B1522E">
        <w:rPr>
          <w:rFonts w:cstheme="minorHAnsi"/>
        </w:rPr>
        <w:t xml:space="preserve">, charts were created to help to start to understand the range of attitudes and experiences for each issue or theme; and </w:t>
      </w:r>
      <w:r w:rsidRPr="00B1522E">
        <w:rPr>
          <w:rFonts w:cstheme="minorHAnsi"/>
          <w:i/>
        </w:rPr>
        <w:t>mapping and interpretation</w:t>
      </w:r>
      <w:r w:rsidRPr="00B1522E">
        <w:rPr>
          <w:rFonts w:cstheme="minorHAnsi"/>
        </w:rPr>
        <w:t xml:space="preserve">, reviewing all the charts and the notes as a way of interpreting the data as a whole. The </w:t>
      </w:r>
      <w:r w:rsidR="00F321F9" w:rsidRPr="00B1522E">
        <w:rPr>
          <w:rFonts w:cstheme="minorHAnsi"/>
        </w:rPr>
        <w:t>researcher</w:t>
      </w:r>
      <w:r w:rsidRPr="00B1522E">
        <w:rPr>
          <w:rFonts w:cstheme="minorHAnsi"/>
        </w:rPr>
        <w:t xml:space="preserve"> (SC) developed the initial broad framework. At the indexing stage, an independent researcher reviewed the broad framework and applied it to a proportion of transcripts independently. The findings were then discussed to check for consistency in application of the framework and understanding of the descriptions of individual constructs. No changes to the framework were made at this stage. Once the final framework was developed, construct names and descriptions, along with corresponding quotes, were checked again by </w:t>
      </w:r>
      <w:r w:rsidR="00E46F67" w:rsidRPr="00B1522E">
        <w:rPr>
          <w:rFonts w:cstheme="minorHAnsi"/>
        </w:rPr>
        <w:t xml:space="preserve">the researcher (SC) and both supervisors (RD and RP) </w:t>
      </w:r>
      <w:r w:rsidRPr="00B1522E">
        <w:rPr>
          <w:rFonts w:cstheme="minorHAnsi"/>
        </w:rPr>
        <w:t xml:space="preserve">for meaning and consistency. Some of the names of the main constructs were changed to ensure they reflected the construct content. </w:t>
      </w:r>
    </w:p>
    <w:p w14:paraId="079B0853" w14:textId="5A790D06" w:rsidR="00E04367" w:rsidRPr="00B1522E" w:rsidRDefault="00E04367" w:rsidP="00B07823">
      <w:pPr>
        <w:spacing w:line="480" w:lineRule="auto"/>
        <w:jc w:val="both"/>
        <w:rPr>
          <w:rFonts w:cstheme="minorHAnsi"/>
        </w:rPr>
      </w:pPr>
    </w:p>
    <w:p w14:paraId="70F5806F" w14:textId="132964A5" w:rsidR="008636A2" w:rsidRPr="00B1522E" w:rsidRDefault="008636A2" w:rsidP="00B07823">
      <w:pPr>
        <w:spacing w:line="480" w:lineRule="auto"/>
        <w:jc w:val="both"/>
        <w:rPr>
          <w:rFonts w:cstheme="minorHAnsi"/>
        </w:rPr>
      </w:pPr>
    </w:p>
    <w:p w14:paraId="3606D234" w14:textId="77777777" w:rsidR="008636A2" w:rsidRPr="00B1522E" w:rsidRDefault="008636A2" w:rsidP="00B07823">
      <w:pPr>
        <w:spacing w:line="480" w:lineRule="auto"/>
        <w:jc w:val="both"/>
        <w:rPr>
          <w:rFonts w:cstheme="minorHAnsi"/>
        </w:rPr>
      </w:pPr>
    </w:p>
    <w:bookmarkStart w:id="133" w:name="_Toc84678934"/>
    <w:p w14:paraId="72232CF1" w14:textId="5AC38D8F" w:rsidR="00E3666D" w:rsidRPr="00B1522E" w:rsidRDefault="007B00B0" w:rsidP="00B07823">
      <w:pPr>
        <w:spacing w:line="480" w:lineRule="auto"/>
        <w:rPr>
          <w:b/>
          <w:bCs/>
        </w:rPr>
      </w:pPr>
      <w:r w:rsidRPr="00B1522E">
        <w:lastRenderedPageBreak/>
        <w:fldChar w:fldCharType="begin"/>
      </w:r>
      <w:r w:rsidRPr="00B1522E">
        <w:instrText xml:space="preserve"> TC  "</w:instrText>
      </w:r>
      <w:bookmarkStart w:id="134" w:name="_Toc97310459"/>
      <w:r w:rsidRPr="00B1522E">
        <w:instrText>5.4 Results</w:instrText>
      </w:r>
      <w:bookmarkEnd w:id="134"/>
      <w:r w:rsidRPr="00B1522E">
        <w:instrText xml:space="preserve"> " \f x\l 2 </w:instrText>
      </w:r>
      <w:r w:rsidRPr="00B1522E">
        <w:fldChar w:fldCharType="end"/>
      </w:r>
      <w:r w:rsidR="00990068" w:rsidRPr="00B1522E">
        <w:rPr>
          <w:b/>
          <w:bCs/>
        </w:rPr>
        <w:t xml:space="preserve">5.4 </w:t>
      </w:r>
      <w:r w:rsidR="00C610CB" w:rsidRPr="00B1522E">
        <w:rPr>
          <w:b/>
          <w:bCs/>
        </w:rPr>
        <w:t>Results</w:t>
      </w:r>
      <w:bookmarkEnd w:id="133"/>
    </w:p>
    <w:p w14:paraId="75D335A5" w14:textId="77777777" w:rsidR="00DB2525" w:rsidRPr="00B1522E" w:rsidRDefault="00C610CB" w:rsidP="00B07823">
      <w:pPr>
        <w:spacing w:line="480" w:lineRule="auto"/>
        <w:jc w:val="both"/>
        <w:rPr>
          <w:rFonts w:cstheme="minorHAnsi"/>
        </w:rPr>
      </w:pPr>
      <w:r w:rsidRPr="00B1522E">
        <w:rPr>
          <w:rFonts w:cstheme="minorHAnsi"/>
        </w:rPr>
        <w:t xml:space="preserve">The study’s results are presented according to the three main constructs of the framework, which are: (1) </w:t>
      </w:r>
      <w:r w:rsidRPr="00B1522E">
        <w:rPr>
          <w:rFonts w:cstheme="minorHAnsi"/>
          <w:i/>
        </w:rPr>
        <w:t>eating patterns and lifestyle;</w:t>
      </w:r>
      <w:r w:rsidRPr="00B1522E">
        <w:rPr>
          <w:rFonts w:cstheme="minorHAnsi"/>
        </w:rPr>
        <w:t xml:space="preserve"> (2) </w:t>
      </w:r>
      <w:r w:rsidRPr="00B1522E">
        <w:rPr>
          <w:rFonts w:cstheme="minorHAnsi"/>
          <w:i/>
        </w:rPr>
        <w:t>social influences</w:t>
      </w:r>
      <w:r w:rsidRPr="00B1522E">
        <w:rPr>
          <w:rFonts w:cstheme="minorHAnsi"/>
        </w:rPr>
        <w:t xml:space="preserve">; (3) </w:t>
      </w:r>
      <w:r w:rsidRPr="00B1522E">
        <w:rPr>
          <w:rFonts w:cstheme="minorHAnsi"/>
          <w:i/>
        </w:rPr>
        <w:t>environmental influences</w:t>
      </w:r>
      <w:r w:rsidR="00DB2525" w:rsidRPr="00B1522E">
        <w:rPr>
          <w:rFonts w:cstheme="minorHAnsi"/>
        </w:rPr>
        <w:t>.</w:t>
      </w:r>
    </w:p>
    <w:p w14:paraId="0D612BE1" w14:textId="77777777" w:rsidR="00DB2525" w:rsidRPr="00B1522E" w:rsidRDefault="00DB2525" w:rsidP="00B07823">
      <w:pPr>
        <w:spacing w:line="480" w:lineRule="auto"/>
        <w:jc w:val="both"/>
        <w:rPr>
          <w:rFonts w:cstheme="minorHAnsi"/>
        </w:rPr>
      </w:pPr>
    </w:p>
    <w:p w14:paraId="57FA9293" w14:textId="0E6CB86B" w:rsidR="00C610CB" w:rsidRPr="00B1522E" w:rsidRDefault="007B00B0" w:rsidP="00B07823">
      <w:pPr>
        <w:spacing w:line="480" w:lineRule="auto"/>
      </w:pPr>
      <w:r w:rsidRPr="00B1522E">
        <w:fldChar w:fldCharType="begin"/>
      </w:r>
      <w:r w:rsidRPr="00B1522E">
        <w:instrText xml:space="preserve"> TC  "</w:instrText>
      </w:r>
      <w:bookmarkStart w:id="135" w:name="_Toc97310460"/>
      <w:r w:rsidRPr="00B1522E">
        <w:instrText>5.4.1 Eating patterns and lifestyle</w:instrText>
      </w:r>
      <w:bookmarkEnd w:id="135"/>
      <w:r w:rsidRPr="00B1522E">
        <w:instrText xml:space="preserve"> " \f x\l 3 </w:instrText>
      </w:r>
      <w:r w:rsidRPr="00B1522E">
        <w:fldChar w:fldCharType="end"/>
      </w:r>
      <w:r w:rsidR="00990068" w:rsidRPr="00B1522E">
        <w:t xml:space="preserve">5.4.1 </w:t>
      </w:r>
      <w:r w:rsidR="00C610CB" w:rsidRPr="00B1522E">
        <w:t>Eating patterns and lifestyle</w:t>
      </w:r>
    </w:p>
    <w:p w14:paraId="2585E5FD" w14:textId="1715616C" w:rsidR="00C610CB" w:rsidRPr="00B1522E" w:rsidRDefault="00C610CB" w:rsidP="00B07823">
      <w:pPr>
        <w:spacing w:after="0" w:line="480" w:lineRule="auto"/>
        <w:jc w:val="both"/>
        <w:rPr>
          <w:rFonts w:cstheme="minorHAnsi"/>
        </w:rPr>
      </w:pPr>
      <w:r w:rsidRPr="00B1522E">
        <w:rPr>
          <w:rFonts w:cstheme="minorHAnsi"/>
        </w:rPr>
        <w:t xml:space="preserve">This main construct describes the participants’ understanding of healthy eating patterns and the potential benefits of these behaviours. This construct has two sub-constructs relating to </w:t>
      </w:r>
      <w:r w:rsidRPr="00B1522E">
        <w:rPr>
          <w:rFonts w:cstheme="minorHAnsi"/>
          <w:i/>
        </w:rPr>
        <w:t>eating patterns</w:t>
      </w:r>
      <w:r w:rsidRPr="00B1522E">
        <w:rPr>
          <w:rFonts w:cstheme="minorHAnsi"/>
        </w:rPr>
        <w:t xml:space="preserve"> and </w:t>
      </w:r>
      <w:r w:rsidRPr="00B1522E">
        <w:rPr>
          <w:rFonts w:cstheme="minorHAnsi"/>
          <w:i/>
        </w:rPr>
        <w:t>lifestyle benefits</w:t>
      </w:r>
      <w:r w:rsidRPr="00B1522E">
        <w:rPr>
          <w:rFonts w:cstheme="minorHAnsi"/>
        </w:rPr>
        <w:t xml:space="preserve">. </w:t>
      </w:r>
    </w:p>
    <w:p w14:paraId="1CD4DCA0" w14:textId="77777777" w:rsidR="00C610CB" w:rsidRPr="00B1522E" w:rsidRDefault="00C610CB" w:rsidP="00B07823">
      <w:pPr>
        <w:spacing w:after="0" w:line="480" w:lineRule="auto"/>
        <w:jc w:val="both"/>
        <w:rPr>
          <w:rFonts w:cstheme="minorHAnsi"/>
        </w:rPr>
      </w:pPr>
    </w:p>
    <w:p w14:paraId="2D20A511" w14:textId="1B5A905E" w:rsidR="00C610CB" w:rsidRPr="00B1522E" w:rsidRDefault="00312B5A" w:rsidP="00B07823">
      <w:pPr>
        <w:spacing w:after="0" w:line="480" w:lineRule="auto"/>
        <w:jc w:val="both"/>
        <w:rPr>
          <w:rFonts w:cstheme="minorHAnsi"/>
          <w:bCs/>
          <w:iCs/>
        </w:rPr>
      </w:pPr>
      <w:r w:rsidRPr="00B1522E">
        <w:rPr>
          <w:rFonts w:cstheme="minorHAnsi"/>
          <w:bCs/>
          <w:iCs/>
        </w:rPr>
        <w:t xml:space="preserve">5.4.1.2 </w:t>
      </w:r>
      <w:r w:rsidR="00C610CB" w:rsidRPr="00B1522E">
        <w:rPr>
          <w:rFonts w:cstheme="minorHAnsi"/>
          <w:bCs/>
          <w:iCs/>
        </w:rPr>
        <w:t>Eating patterns</w:t>
      </w:r>
    </w:p>
    <w:p w14:paraId="586946D4" w14:textId="77777777" w:rsidR="00C610CB" w:rsidRPr="00B1522E" w:rsidRDefault="00C610CB" w:rsidP="00B07823">
      <w:pPr>
        <w:spacing w:after="0" w:line="480" w:lineRule="auto"/>
        <w:jc w:val="both"/>
        <w:rPr>
          <w:rFonts w:cstheme="minorHAnsi"/>
        </w:rPr>
      </w:pPr>
      <w:r w:rsidRPr="00B1522E">
        <w:rPr>
          <w:rFonts w:cstheme="minorHAnsi"/>
        </w:rPr>
        <w:t xml:space="preserve">The participants typically discussed healthy eating behaviours in terms of how much food was consumed and that having a balanced diet was considered a healthy pattern of behaviour: </w:t>
      </w:r>
      <w:r w:rsidRPr="00B1522E">
        <w:rPr>
          <w:rFonts w:cstheme="minorHAnsi"/>
          <w:i/>
        </w:rPr>
        <w:t>“Like a balanced diet and stuff like”</w:t>
      </w:r>
      <w:r w:rsidRPr="00B1522E">
        <w:rPr>
          <w:rFonts w:cstheme="minorHAnsi"/>
        </w:rPr>
        <w:t xml:space="preserve"> (Liam, Year 7). Consequently, the participants believed that to improve eating behaviours they should reduce the amount of unhealthy food that they consume: </w:t>
      </w:r>
      <w:r w:rsidRPr="00B1522E">
        <w:rPr>
          <w:rFonts w:cstheme="minorHAnsi"/>
          <w:i/>
        </w:rPr>
        <w:t xml:space="preserve">“I think we need to control it” </w:t>
      </w:r>
      <w:r w:rsidRPr="00B1522E">
        <w:rPr>
          <w:rFonts w:cstheme="minorHAnsi"/>
        </w:rPr>
        <w:t xml:space="preserve">(Emily, Year 8). Whilst the participants expressed these views, they also reported that they did not always demonstrate these behaviours, with many reporting that they do not have a well-balanced diet, which included not eating regular healthy meals: </w:t>
      </w:r>
    </w:p>
    <w:p w14:paraId="59CF220F" w14:textId="77777777" w:rsidR="00C610CB" w:rsidRPr="00B1522E" w:rsidRDefault="00C610CB" w:rsidP="00B07823">
      <w:pPr>
        <w:spacing w:after="0" w:line="480" w:lineRule="auto"/>
        <w:jc w:val="both"/>
        <w:rPr>
          <w:rFonts w:cstheme="minorHAnsi"/>
        </w:rPr>
      </w:pPr>
    </w:p>
    <w:p w14:paraId="7A5A7AA1" w14:textId="77777777" w:rsidR="00C610CB" w:rsidRPr="00B1522E" w:rsidRDefault="00C610CB" w:rsidP="00B07823">
      <w:pPr>
        <w:spacing w:after="0" w:line="480" w:lineRule="auto"/>
        <w:ind w:left="720"/>
        <w:jc w:val="both"/>
        <w:rPr>
          <w:rFonts w:cstheme="minorHAnsi"/>
          <w:i/>
        </w:rPr>
      </w:pPr>
      <w:r w:rsidRPr="00B1522E">
        <w:rPr>
          <w:rFonts w:cstheme="minorHAnsi"/>
        </w:rPr>
        <w:t xml:space="preserve">Mia, Year 7: </w:t>
      </w:r>
      <w:r w:rsidRPr="00B1522E">
        <w:rPr>
          <w:rFonts w:cstheme="minorHAnsi"/>
          <w:i/>
        </w:rPr>
        <w:t>“‘cause they have already ate something in the morning like pack of crisps.”</w:t>
      </w:r>
    </w:p>
    <w:p w14:paraId="7C1F62E1" w14:textId="77777777" w:rsidR="00C610CB" w:rsidRPr="00B1522E" w:rsidRDefault="00C610CB" w:rsidP="00B07823">
      <w:pPr>
        <w:spacing w:after="0" w:line="480" w:lineRule="auto"/>
        <w:ind w:left="720"/>
        <w:jc w:val="both"/>
        <w:rPr>
          <w:rFonts w:cstheme="minorHAnsi"/>
          <w:i/>
        </w:rPr>
      </w:pPr>
      <w:r w:rsidRPr="00B1522E">
        <w:rPr>
          <w:rFonts w:cstheme="minorHAnsi"/>
        </w:rPr>
        <w:t xml:space="preserve">Researcher: </w:t>
      </w:r>
      <w:r w:rsidRPr="00B1522E">
        <w:rPr>
          <w:rFonts w:cstheme="minorHAnsi"/>
          <w:i/>
        </w:rPr>
        <w:t>“So they already ate something in the morning, so they are not hungry?”</w:t>
      </w:r>
    </w:p>
    <w:p w14:paraId="5B213D42" w14:textId="77777777" w:rsidR="00C610CB" w:rsidRPr="00B1522E" w:rsidRDefault="00C610CB" w:rsidP="00B07823">
      <w:pPr>
        <w:spacing w:after="0" w:line="480" w:lineRule="auto"/>
        <w:ind w:left="720"/>
        <w:jc w:val="both"/>
        <w:rPr>
          <w:rFonts w:cstheme="minorHAnsi"/>
        </w:rPr>
      </w:pPr>
      <w:r w:rsidRPr="00B1522E">
        <w:rPr>
          <w:rFonts w:cstheme="minorHAnsi"/>
        </w:rPr>
        <w:t xml:space="preserve">Mia, Year 7: </w:t>
      </w:r>
      <w:r w:rsidRPr="00B1522E">
        <w:rPr>
          <w:rFonts w:cstheme="minorHAnsi"/>
          <w:i/>
        </w:rPr>
        <w:t>“Yeah it has made them really hyper.”</w:t>
      </w:r>
    </w:p>
    <w:p w14:paraId="2537FFFE" w14:textId="77777777" w:rsidR="00C610CB" w:rsidRPr="00B1522E" w:rsidRDefault="00C610CB" w:rsidP="00B07823">
      <w:pPr>
        <w:spacing w:after="0" w:line="480" w:lineRule="auto"/>
        <w:ind w:left="720"/>
        <w:jc w:val="both"/>
        <w:rPr>
          <w:rFonts w:cstheme="minorHAnsi"/>
          <w:i/>
        </w:rPr>
      </w:pPr>
      <w:r w:rsidRPr="00B1522E">
        <w:rPr>
          <w:rFonts w:cstheme="minorHAnsi"/>
        </w:rPr>
        <w:t xml:space="preserve">Charlotte, Year 7: </w:t>
      </w:r>
      <w:r w:rsidRPr="00B1522E">
        <w:rPr>
          <w:rFonts w:cstheme="minorHAnsi"/>
          <w:i/>
        </w:rPr>
        <w:t>“I don’t eat anything all day and when I get home all I eat is a packet of noodles”</w:t>
      </w:r>
    </w:p>
    <w:p w14:paraId="7EA38704" w14:textId="77777777" w:rsidR="00990068" w:rsidRPr="00B1522E" w:rsidRDefault="00990068" w:rsidP="00B07823">
      <w:pPr>
        <w:spacing w:after="0" w:line="480" w:lineRule="auto"/>
        <w:jc w:val="both"/>
        <w:rPr>
          <w:rFonts w:cstheme="minorHAnsi"/>
          <w:i/>
        </w:rPr>
      </w:pPr>
    </w:p>
    <w:p w14:paraId="5B7B0F3C" w14:textId="0A5D736F" w:rsidR="00C610CB" w:rsidRPr="00B1522E" w:rsidRDefault="00C610CB" w:rsidP="00B07823">
      <w:pPr>
        <w:spacing w:after="0" w:line="480" w:lineRule="auto"/>
        <w:jc w:val="both"/>
        <w:rPr>
          <w:rFonts w:cstheme="minorHAnsi"/>
        </w:rPr>
      </w:pPr>
      <w:r w:rsidRPr="00B1522E">
        <w:rPr>
          <w:rFonts w:cstheme="minorHAnsi"/>
        </w:rPr>
        <w:lastRenderedPageBreak/>
        <w:t xml:space="preserve">Regular unhealthy snacking had a </w:t>
      </w:r>
      <w:r w:rsidR="003E4B7A" w:rsidRPr="00B1522E">
        <w:rPr>
          <w:rFonts w:cstheme="minorHAnsi"/>
        </w:rPr>
        <w:t>seemingly negative</w:t>
      </w:r>
      <w:r w:rsidRPr="00B1522E">
        <w:rPr>
          <w:rFonts w:cstheme="minorHAnsi"/>
        </w:rPr>
        <w:t xml:space="preserve"> effect on the consumption of regular meals for participants of this age; “</w:t>
      </w:r>
      <w:r w:rsidRPr="00B1522E">
        <w:rPr>
          <w:rFonts w:cstheme="minorHAnsi"/>
          <w:i/>
        </w:rPr>
        <w:t>They will go [to the] shop in the morning and buy their dinner it is just like loads like massive packs of crisps</w:t>
      </w:r>
      <w:r w:rsidRPr="00B1522E">
        <w:rPr>
          <w:rFonts w:cstheme="minorHAnsi"/>
        </w:rPr>
        <w:t>” (Charlotte, Year 7). Not only did participants suggest they do not eat regular meals, but sometimes they do not eat anything at all:</w:t>
      </w:r>
    </w:p>
    <w:p w14:paraId="1B0449E4" w14:textId="77777777" w:rsidR="00C610CB" w:rsidRPr="00B1522E" w:rsidRDefault="00C610CB" w:rsidP="00B07823">
      <w:pPr>
        <w:spacing w:after="0" w:line="480" w:lineRule="auto"/>
        <w:jc w:val="both"/>
        <w:rPr>
          <w:rFonts w:cstheme="minorHAnsi"/>
        </w:rPr>
      </w:pPr>
    </w:p>
    <w:p w14:paraId="0E93622F" w14:textId="77777777" w:rsidR="00C610CB" w:rsidRPr="00B1522E" w:rsidRDefault="00C610CB" w:rsidP="00B07823">
      <w:pPr>
        <w:spacing w:after="0" w:line="480" w:lineRule="auto"/>
        <w:ind w:left="720"/>
        <w:jc w:val="both"/>
        <w:rPr>
          <w:rFonts w:cstheme="minorHAnsi"/>
          <w:i/>
        </w:rPr>
      </w:pPr>
      <w:r w:rsidRPr="00B1522E">
        <w:rPr>
          <w:rFonts w:cstheme="minorHAnsi"/>
        </w:rPr>
        <w:t>Niles, Year 8: “</w:t>
      </w:r>
      <w:r w:rsidRPr="00B1522E">
        <w:rPr>
          <w:rFonts w:cstheme="minorHAnsi"/>
          <w:i/>
        </w:rPr>
        <w:t>Some people actually don’t get anything they just go to the football pitch straight away.”</w:t>
      </w:r>
    </w:p>
    <w:p w14:paraId="472A5AF3" w14:textId="77777777" w:rsidR="00C610CB" w:rsidRPr="00B1522E" w:rsidRDefault="00C610CB" w:rsidP="00B07823">
      <w:pPr>
        <w:spacing w:after="0" w:line="480" w:lineRule="auto"/>
        <w:ind w:left="720"/>
        <w:jc w:val="both"/>
        <w:rPr>
          <w:rFonts w:cstheme="minorHAnsi"/>
        </w:rPr>
      </w:pPr>
      <w:r w:rsidRPr="00B1522E">
        <w:rPr>
          <w:rFonts w:cstheme="minorHAnsi"/>
        </w:rPr>
        <w:t>Reuben, Year 8: “</w:t>
      </w:r>
      <w:r w:rsidRPr="00B1522E">
        <w:rPr>
          <w:rFonts w:cstheme="minorHAnsi"/>
          <w:i/>
        </w:rPr>
        <w:t>Sometimes I don’t”</w:t>
      </w:r>
    </w:p>
    <w:p w14:paraId="3EEFE6C2" w14:textId="77777777" w:rsidR="00C610CB" w:rsidRPr="00B1522E" w:rsidRDefault="00C610CB" w:rsidP="00B07823">
      <w:pPr>
        <w:spacing w:after="0" w:line="480" w:lineRule="auto"/>
        <w:ind w:left="720"/>
        <w:jc w:val="both"/>
        <w:rPr>
          <w:rFonts w:cstheme="minorHAnsi"/>
          <w:i/>
        </w:rPr>
      </w:pPr>
      <w:r w:rsidRPr="00B1522E">
        <w:rPr>
          <w:rFonts w:cstheme="minorHAnsi"/>
        </w:rPr>
        <w:t>Nathan, Year 7: “</w:t>
      </w:r>
      <w:r w:rsidRPr="00B1522E">
        <w:rPr>
          <w:rFonts w:cstheme="minorHAnsi"/>
          <w:i/>
        </w:rPr>
        <w:t>I eat nothing”</w:t>
      </w:r>
    </w:p>
    <w:p w14:paraId="563B6E6F" w14:textId="77777777" w:rsidR="00990068" w:rsidRPr="00B1522E" w:rsidRDefault="00990068" w:rsidP="00B07823">
      <w:pPr>
        <w:spacing w:after="0" w:line="480" w:lineRule="auto"/>
        <w:jc w:val="both"/>
        <w:rPr>
          <w:rFonts w:cstheme="minorHAnsi"/>
          <w:i/>
        </w:rPr>
      </w:pPr>
    </w:p>
    <w:p w14:paraId="50F024D8" w14:textId="627FA720" w:rsidR="00C610CB" w:rsidRPr="00B1522E" w:rsidRDefault="00C610CB" w:rsidP="00B07823">
      <w:pPr>
        <w:spacing w:after="0" w:line="480" w:lineRule="auto"/>
        <w:jc w:val="both"/>
        <w:rPr>
          <w:rFonts w:cstheme="minorHAnsi"/>
        </w:rPr>
      </w:pPr>
      <w:r w:rsidRPr="00B1522E">
        <w:rPr>
          <w:rFonts w:cstheme="minorHAnsi"/>
        </w:rPr>
        <w:t xml:space="preserve">It seems that within this age group regular meal consumption is affected by unhealthy snacking; however, this needs to be further investigated to understand why this is the case and whether encouraging regular meals would help reduce unhealthy snacking.  </w:t>
      </w:r>
    </w:p>
    <w:p w14:paraId="27C2409F"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6235D88B" w14:textId="5E71A109" w:rsidR="00C610CB" w:rsidRPr="00B1522E" w:rsidRDefault="003E4B7A" w:rsidP="00671B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iCs/>
        </w:rPr>
      </w:pPr>
      <w:r w:rsidRPr="00B1522E">
        <w:rPr>
          <w:rFonts w:cstheme="minorHAnsi"/>
          <w:bCs/>
          <w:iCs/>
        </w:rPr>
        <w:t xml:space="preserve">5.4.1.2 </w:t>
      </w:r>
      <w:r w:rsidR="00C610CB" w:rsidRPr="00B1522E">
        <w:rPr>
          <w:rFonts w:cstheme="minorHAnsi"/>
          <w:bCs/>
          <w:iCs/>
        </w:rPr>
        <w:t xml:space="preserve">Lifestyle benefits </w:t>
      </w:r>
    </w:p>
    <w:p w14:paraId="7F329182" w14:textId="43B14B14" w:rsidR="00C610CB" w:rsidRPr="00B1522E" w:rsidRDefault="00C610CB" w:rsidP="00671B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Participants identified several short-term lifestyle benefits associated with a healthy diet: “</w:t>
      </w:r>
      <w:r w:rsidRPr="00B1522E">
        <w:rPr>
          <w:rFonts w:cstheme="minorHAnsi"/>
          <w:i/>
        </w:rPr>
        <w:t xml:space="preserve">See like if I like eat fruit and that in the </w:t>
      </w:r>
      <w:r w:rsidR="00AB0A8E" w:rsidRPr="00B1522E">
        <w:rPr>
          <w:rFonts w:cstheme="minorHAnsi"/>
          <w:i/>
        </w:rPr>
        <w:t>morning,</w:t>
      </w:r>
      <w:r w:rsidRPr="00B1522E">
        <w:rPr>
          <w:rFonts w:cstheme="minorHAnsi"/>
          <w:i/>
        </w:rPr>
        <w:t xml:space="preserve"> I would probably eat I would probably be more energetic ... erm ... yeah” </w:t>
      </w:r>
      <w:r w:rsidRPr="00B1522E">
        <w:rPr>
          <w:rFonts w:cstheme="minorHAnsi"/>
        </w:rPr>
        <w:t>(Chung, Year 7)</w:t>
      </w:r>
      <w:r w:rsidRPr="00B1522E">
        <w:rPr>
          <w:rFonts w:cstheme="minorHAnsi"/>
          <w:i/>
        </w:rPr>
        <w:t xml:space="preserve">. </w:t>
      </w:r>
      <w:r w:rsidRPr="00B1522E">
        <w:rPr>
          <w:rFonts w:cstheme="minorHAnsi"/>
        </w:rPr>
        <w:t xml:space="preserve">Boys discussed that the benefits to eating more healthily would be that they would be better at sport and exercise-related activities, for example, Nathan and Archie in Year 7 stated that they would </w:t>
      </w:r>
      <w:r w:rsidRPr="00B1522E">
        <w:rPr>
          <w:rFonts w:cstheme="minorHAnsi"/>
          <w:i/>
        </w:rPr>
        <w:t xml:space="preserve">“Play sports better” </w:t>
      </w:r>
      <w:r w:rsidRPr="00B1522E">
        <w:rPr>
          <w:rFonts w:cstheme="minorHAnsi"/>
        </w:rPr>
        <w:t xml:space="preserve">and </w:t>
      </w:r>
      <w:r w:rsidRPr="00B1522E">
        <w:rPr>
          <w:rFonts w:cstheme="minorHAnsi"/>
          <w:i/>
        </w:rPr>
        <w:t>“You get fitter”</w:t>
      </w:r>
      <w:r w:rsidRPr="00B1522E">
        <w:rPr>
          <w:rFonts w:cstheme="minorHAnsi"/>
          <w:b/>
          <w:i/>
        </w:rPr>
        <w:t xml:space="preserve">, </w:t>
      </w:r>
      <w:r w:rsidRPr="00B1522E">
        <w:rPr>
          <w:rFonts w:cstheme="minorHAnsi"/>
        </w:rPr>
        <w:t>whereas Paul (Year 7) suggested that you would improve academically: “</w:t>
      </w:r>
      <w:r w:rsidRPr="00B1522E">
        <w:rPr>
          <w:rFonts w:cstheme="minorHAnsi"/>
          <w:i/>
        </w:rPr>
        <w:t>You get better in lessons because your brain works well on healthy food than it does on like chocolate”</w:t>
      </w:r>
      <w:r w:rsidRPr="00B1522E">
        <w:rPr>
          <w:rFonts w:cstheme="minorHAnsi"/>
        </w:rPr>
        <w:t>.</w:t>
      </w:r>
      <w:r w:rsidRPr="00B1522E">
        <w:rPr>
          <w:rFonts w:cstheme="minorHAnsi"/>
          <w:i/>
        </w:rPr>
        <w:t xml:space="preserve"> </w:t>
      </w:r>
      <w:r w:rsidRPr="00B1522E">
        <w:rPr>
          <w:rFonts w:cstheme="minorHAnsi"/>
        </w:rPr>
        <w:t xml:space="preserve">In contrast, girls discussed the benefits of healthy eating in terms of not gaining weight, </w:t>
      </w:r>
      <w:r w:rsidRPr="00B1522E">
        <w:rPr>
          <w:rFonts w:cstheme="minorHAnsi"/>
          <w:i/>
        </w:rPr>
        <w:t xml:space="preserve">“You won’t be fat” </w:t>
      </w:r>
      <w:r w:rsidRPr="00B1522E">
        <w:rPr>
          <w:rFonts w:cstheme="minorHAnsi"/>
        </w:rPr>
        <w:t xml:space="preserve">(Sadie, Year 7), </w:t>
      </w:r>
      <w:r w:rsidRPr="00B1522E">
        <w:rPr>
          <w:rFonts w:cstheme="minorHAnsi"/>
          <w:i/>
        </w:rPr>
        <w:t xml:space="preserve">“So if you eat healthy you get skinny” </w:t>
      </w:r>
      <w:r w:rsidRPr="00B1522E">
        <w:rPr>
          <w:rFonts w:cstheme="minorHAnsi"/>
        </w:rPr>
        <w:t>(Ashia, Year 7), and not being</w:t>
      </w:r>
      <w:r w:rsidRPr="00B1522E">
        <w:rPr>
          <w:rFonts w:cstheme="minorHAnsi"/>
          <w:i/>
        </w:rPr>
        <w:t xml:space="preserve"> </w:t>
      </w:r>
      <w:r w:rsidRPr="00B1522E">
        <w:rPr>
          <w:rFonts w:cstheme="minorHAnsi"/>
        </w:rPr>
        <w:t>bullied due to being overweight,</w:t>
      </w:r>
      <w:r w:rsidRPr="00B1522E">
        <w:rPr>
          <w:rFonts w:cstheme="minorHAnsi"/>
          <w:i/>
        </w:rPr>
        <w:t xml:space="preserve"> “You don’t get picked on” </w:t>
      </w:r>
      <w:r w:rsidRPr="00B1522E">
        <w:rPr>
          <w:rFonts w:cstheme="minorHAnsi"/>
        </w:rPr>
        <w:t>(Sophie, Year 8). Participants suggested unhealthy eating habits could be improved by increasing their awareness of the associated lifestyle benefits. For example, “</w:t>
      </w:r>
      <w:r w:rsidRPr="00B1522E">
        <w:rPr>
          <w:rFonts w:cstheme="minorHAnsi"/>
          <w:i/>
        </w:rPr>
        <w:t xml:space="preserve">I think if people knew what, what the benefits of eating </w:t>
      </w:r>
      <w:r w:rsidRPr="00B1522E">
        <w:rPr>
          <w:rFonts w:cstheme="minorHAnsi"/>
          <w:i/>
        </w:rPr>
        <w:lastRenderedPageBreak/>
        <w:t>healthy would … have on them maybe they wouldn’t eat so much bad food or junk food”</w:t>
      </w:r>
      <w:r w:rsidRPr="00B1522E">
        <w:rPr>
          <w:rFonts w:cstheme="minorHAnsi"/>
        </w:rPr>
        <w:t xml:space="preserve"> (Noah, Year 7) and </w:t>
      </w:r>
      <w:r w:rsidRPr="00B1522E">
        <w:rPr>
          <w:rFonts w:cstheme="minorHAnsi"/>
          <w:i/>
        </w:rPr>
        <w:t>“Being able to see like what it does for your body…food… what the advantages of eating healthy”</w:t>
      </w:r>
      <w:r w:rsidRPr="00B1522E">
        <w:rPr>
          <w:rFonts w:cstheme="minorHAnsi"/>
        </w:rPr>
        <w:t xml:space="preserve"> (Liam, Year 7).</w:t>
      </w:r>
    </w:p>
    <w:p w14:paraId="04B26524" w14:textId="55A57BC0" w:rsidR="00DB2525"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b/>
        </w:rPr>
        <w:tab/>
      </w:r>
      <w:r w:rsidRPr="00B1522E">
        <w:rPr>
          <w:rFonts w:cstheme="minorHAnsi"/>
        </w:rPr>
        <w:t xml:space="preserve">However, both sexes were seemingly aware of the lifestyle benefits related to maintaining a healthy diet, </w:t>
      </w:r>
      <w:r w:rsidR="007D734F" w:rsidRPr="00B1522E">
        <w:rPr>
          <w:rFonts w:cstheme="minorHAnsi"/>
        </w:rPr>
        <w:t>e.g.,</w:t>
      </w:r>
      <w:r w:rsidRPr="00B1522E">
        <w:rPr>
          <w:rFonts w:cstheme="minorHAnsi"/>
        </w:rPr>
        <w:t xml:space="preserve"> </w:t>
      </w:r>
      <w:r w:rsidRPr="00B1522E">
        <w:rPr>
          <w:rFonts w:cstheme="minorHAnsi"/>
          <w:i/>
        </w:rPr>
        <w:t xml:space="preserve">“Wouldn’t feel ill all the time” </w:t>
      </w:r>
      <w:r w:rsidRPr="00B1522E">
        <w:rPr>
          <w:rFonts w:cstheme="minorHAnsi"/>
        </w:rPr>
        <w:t xml:space="preserve">(Hazel, Year 8), as well as an understanding of how unhealthy eating behaviours could lead to ill-health. For </w:t>
      </w:r>
      <w:r w:rsidR="00AB0A8E" w:rsidRPr="00B1522E">
        <w:rPr>
          <w:rFonts w:cstheme="minorHAnsi"/>
        </w:rPr>
        <w:t>example,</w:t>
      </w:r>
      <w:r w:rsidRPr="00B1522E">
        <w:rPr>
          <w:rFonts w:cstheme="minorHAnsi"/>
          <w:i/>
        </w:rPr>
        <w:t xml:space="preserve"> “You get ... erm ... what’s it called now like high blood pressure” </w:t>
      </w:r>
      <w:r w:rsidRPr="00B1522E">
        <w:rPr>
          <w:rFonts w:cstheme="minorHAnsi"/>
        </w:rPr>
        <w:t>(Reuben, Year 8),</w:t>
      </w:r>
      <w:r w:rsidRPr="00B1522E">
        <w:rPr>
          <w:rFonts w:cstheme="minorHAnsi"/>
          <w:i/>
        </w:rPr>
        <w:t xml:space="preserve"> “You have got a chance of not becoming ill so if you like eat and eat, eat like really unhealthy food then you have got a chance of becoming more ill” </w:t>
      </w:r>
      <w:r w:rsidRPr="00B1522E">
        <w:rPr>
          <w:rFonts w:cstheme="minorHAnsi"/>
        </w:rPr>
        <w:t>(Alison, Year 7)</w:t>
      </w:r>
      <w:r w:rsidRPr="00B1522E">
        <w:rPr>
          <w:rFonts w:cstheme="minorHAnsi"/>
          <w:i/>
        </w:rPr>
        <w:t xml:space="preserve">. </w:t>
      </w:r>
      <w:r w:rsidRPr="00B1522E">
        <w:rPr>
          <w:rFonts w:cstheme="minorHAnsi"/>
        </w:rPr>
        <w:t>The potential threat of future ill health did not seem to be enough of a motivator to discourage unhealthy eating behaviours amongst this age group. For example, the students also discussed eating unhealthy foodstuffs in their diets which became part of their everyday routine:</w:t>
      </w:r>
      <w:r w:rsidRPr="00B1522E">
        <w:rPr>
          <w:rFonts w:cstheme="minorHAnsi"/>
          <w:i/>
        </w:rPr>
        <w:t xml:space="preserve"> “Boys at the school - not mentioning any names – go [to the fast-food outlet name] before school and go afterwards that’s like their daily routine” (Toby, Year 8). </w:t>
      </w:r>
      <w:r w:rsidRPr="00B1522E">
        <w:rPr>
          <w:rFonts w:cstheme="minorHAnsi"/>
        </w:rPr>
        <w:t xml:space="preserve">Students showed an awareness of the short-term lifestyle benefits of having a healthy diet and the potential long-term consequences of an unhealthy diet; however, possessing this knowledge did not seem to affect current eating behaviours in this age group. </w:t>
      </w:r>
    </w:p>
    <w:p w14:paraId="64ED3E24" w14:textId="2104D44C" w:rsidR="00DB2525" w:rsidRPr="00B1522E" w:rsidRDefault="00DB2525"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51513216" w14:textId="77777777" w:rsidR="002E29A4" w:rsidRPr="00B1522E" w:rsidRDefault="002E29A4"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bookmarkStart w:id="136" w:name="_Toc84678935"/>
    <w:p w14:paraId="11A5DAC7" w14:textId="38CAF02D" w:rsidR="00C610CB" w:rsidRPr="00B1522E" w:rsidRDefault="001E3D36" w:rsidP="00B07823">
      <w:pPr>
        <w:spacing w:line="480" w:lineRule="auto"/>
      </w:pPr>
      <w:r w:rsidRPr="00B1522E">
        <w:fldChar w:fldCharType="begin"/>
      </w:r>
      <w:r w:rsidRPr="00B1522E">
        <w:instrText xml:space="preserve"> TC  "</w:instrText>
      </w:r>
      <w:bookmarkStart w:id="137" w:name="_Toc97310461"/>
      <w:r w:rsidRPr="00B1522E">
        <w:instrText>5.4.2 Social inlfluences</w:instrText>
      </w:r>
      <w:bookmarkEnd w:id="137"/>
      <w:r w:rsidRPr="00B1522E">
        <w:instrText xml:space="preserve"> " \f x\l 3 </w:instrText>
      </w:r>
      <w:r w:rsidRPr="00B1522E">
        <w:fldChar w:fldCharType="end"/>
      </w:r>
      <w:r w:rsidR="00990068" w:rsidRPr="00B1522E">
        <w:t xml:space="preserve">5.4.2 </w:t>
      </w:r>
      <w:r w:rsidR="00C610CB" w:rsidRPr="00B1522E">
        <w:t>Social influences</w:t>
      </w:r>
      <w:bookmarkEnd w:id="136"/>
    </w:p>
    <w:p w14:paraId="22C6B1DA"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 xml:space="preserve">This construct describes what participants perceived to be the social factors that influence their eating behaviours. This has three sub-constructs, which discuss </w:t>
      </w:r>
      <w:r w:rsidRPr="00B1522E">
        <w:rPr>
          <w:rFonts w:cstheme="minorHAnsi"/>
          <w:i/>
        </w:rPr>
        <w:t>family influences</w:t>
      </w:r>
      <w:r w:rsidRPr="00B1522E">
        <w:rPr>
          <w:rFonts w:cstheme="minorHAnsi"/>
        </w:rPr>
        <w:t xml:space="preserve">, </w:t>
      </w:r>
      <w:r w:rsidRPr="00B1522E">
        <w:rPr>
          <w:rFonts w:cstheme="minorHAnsi"/>
          <w:i/>
        </w:rPr>
        <w:t>peer influences</w:t>
      </w:r>
      <w:r w:rsidRPr="00B1522E">
        <w:rPr>
          <w:rFonts w:cstheme="minorHAnsi"/>
        </w:rPr>
        <w:t xml:space="preserve"> and </w:t>
      </w:r>
      <w:r w:rsidRPr="00B1522E">
        <w:rPr>
          <w:rFonts w:cstheme="minorHAnsi"/>
          <w:i/>
        </w:rPr>
        <w:t>teasing</w:t>
      </w:r>
      <w:r w:rsidRPr="00B1522E">
        <w:rPr>
          <w:rFonts w:cstheme="minorHAnsi"/>
        </w:rPr>
        <w:t xml:space="preserve">. </w:t>
      </w:r>
    </w:p>
    <w:p w14:paraId="3BA1BC75"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 xml:space="preserve"> </w:t>
      </w:r>
    </w:p>
    <w:p w14:paraId="46C79A30" w14:textId="3C3502CF" w:rsidR="00C610CB" w:rsidRPr="00B1522E" w:rsidRDefault="00394986" w:rsidP="004A5E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iCs/>
        </w:rPr>
      </w:pPr>
      <w:r w:rsidRPr="00B1522E">
        <w:rPr>
          <w:rFonts w:cstheme="minorHAnsi"/>
          <w:bCs/>
          <w:iCs/>
        </w:rPr>
        <w:t xml:space="preserve">5.4.2.1 </w:t>
      </w:r>
      <w:r w:rsidR="00C610CB" w:rsidRPr="00B1522E">
        <w:rPr>
          <w:rFonts w:cstheme="minorHAnsi"/>
          <w:bCs/>
          <w:iCs/>
        </w:rPr>
        <w:t xml:space="preserve">Family influences </w:t>
      </w:r>
    </w:p>
    <w:p w14:paraId="7272FA6D" w14:textId="63D9650A" w:rsidR="00C610CB" w:rsidRPr="00B1522E" w:rsidRDefault="00C610CB" w:rsidP="004A5E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r w:rsidRPr="00B1522E">
        <w:rPr>
          <w:rFonts w:cstheme="minorHAnsi"/>
        </w:rPr>
        <w:t xml:space="preserve">The initiation and maintenance of unhealthy eating behaviours was viewed as being influenced by family, specifically the food obtainable at home: </w:t>
      </w:r>
      <w:r w:rsidRPr="00B1522E">
        <w:rPr>
          <w:rFonts w:cstheme="minorHAnsi"/>
          <w:i/>
        </w:rPr>
        <w:t xml:space="preserve">“If the parents kept buying loads of food like loads of chocolate and all that” </w:t>
      </w:r>
      <w:r w:rsidRPr="00B1522E">
        <w:rPr>
          <w:rFonts w:cstheme="minorHAnsi"/>
        </w:rPr>
        <w:t xml:space="preserve">(Alexa, Year 8); also by the food parents provided for students to take to school: </w:t>
      </w:r>
      <w:r w:rsidRPr="00B1522E">
        <w:rPr>
          <w:rFonts w:cstheme="minorHAnsi"/>
          <w:i/>
        </w:rPr>
        <w:lastRenderedPageBreak/>
        <w:t xml:space="preserve">“If your mum and dad only put unhealthy stuff in your lunch box” </w:t>
      </w:r>
      <w:r w:rsidRPr="00B1522E">
        <w:rPr>
          <w:rFonts w:cstheme="minorHAnsi"/>
        </w:rPr>
        <w:t xml:space="preserve">(Rashida, Year 7). Participants also suggested it was influenced by family lifestyle and culture: </w:t>
      </w:r>
      <w:r w:rsidRPr="00B1522E">
        <w:rPr>
          <w:rFonts w:cstheme="minorHAnsi"/>
          <w:i/>
        </w:rPr>
        <w:t xml:space="preserve">“I think it depends how you been brought up because if the rest of your family is fat like or really chubby or obese like you might want to follow them and they don’t really buy healthy stuff” </w:t>
      </w:r>
      <w:r w:rsidRPr="00B1522E">
        <w:rPr>
          <w:rFonts w:cstheme="minorHAnsi"/>
        </w:rPr>
        <w:t xml:space="preserve">(Tasmin, Year 8) and also if </w:t>
      </w:r>
      <w:r w:rsidRPr="00B1522E">
        <w:rPr>
          <w:rFonts w:cstheme="minorHAnsi"/>
          <w:i/>
        </w:rPr>
        <w:t xml:space="preserve">“You’re the only one eating healthy while everyone is eating fatty foods” </w:t>
      </w:r>
      <w:r w:rsidRPr="00B1522E">
        <w:rPr>
          <w:rFonts w:cstheme="minorHAnsi"/>
        </w:rPr>
        <w:t>(Logan, Year 7)</w:t>
      </w:r>
      <w:r w:rsidRPr="00B1522E">
        <w:rPr>
          <w:rFonts w:cstheme="minorHAnsi"/>
          <w:i/>
        </w:rPr>
        <w:t xml:space="preserve">. </w:t>
      </w:r>
      <w:r w:rsidRPr="00B1522E">
        <w:rPr>
          <w:rFonts w:cstheme="minorHAnsi"/>
        </w:rPr>
        <w:t xml:space="preserve">The participants tended to discuss the negative impact of their family on their dietary behaviours and that their own eating behaviours could be improved if their families’ behaviours were healthier: </w:t>
      </w:r>
      <w:r w:rsidRPr="00B1522E">
        <w:rPr>
          <w:rFonts w:cstheme="minorHAnsi"/>
          <w:i/>
        </w:rPr>
        <w:t xml:space="preserve">“I would probably get encouraged by seeing my friends and family eat healthy” </w:t>
      </w:r>
      <w:r w:rsidRPr="00B1522E">
        <w:rPr>
          <w:rFonts w:cstheme="minorHAnsi"/>
        </w:rPr>
        <w:t xml:space="preserve">(Layla, Year 7); </w:t>
      </w:r>
      <w:r w:rsidRPr="00B1522E">
        <w:rPr>
          <w:rFonts w:cstheme="minorHAnsi"/>
          <w:i/>
        </w:rPr>
        <w:t xml:space="preserve">“Probably if you get your mum and dad to help </w:t>
      </w:r>
      <w:r w:rsidR="007D734F" w:rsidRPr="00B1522E">
        <w:rPr>
          <w:rFonts w:cstheme="minorHAnsi"/>
          <w:i/>
        </w:rPr>
        <w:t>you,</w:t>
      </w:r>
      <w:r w:rsidRPr="00B1522E">
        <w:rPr>
          <w:rFonts w:cstheme="minorHAnsi"/>
          <w:i/>
        </w:rPr>
        <w:t xml:space="preserve"> they would know” </w:t>
      </w:r>
      <w:r w:rsidRPr="00B1522E">
        <w:rPr>
          <w:rFonts w:cstheme="minorHAnsi"/>
        </w:rPr>
        <w:t xml:space="preserve">(Ellie, Year 7). </w:t>
      </w:r>
    </w:p>
    <w:p w14:paraId="13A01CC7" w14:textId="284AE0E9"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
          <w:iCs/>
        </w:rPr>
      </w:pPr>
      <w:r w:rsidRPr="00B1522E">
        <w:rPr>
          <w:rFonts w:cstheme="minorHAnsi"/>
          <w:b/>
          <w:iCs/>
        </w:rPr>
        <w:tab/>
      </w:r>
    </w:p>
    <w:p w14:paraId="007CBE49" w14:textId="753A9F98" w:rsidR="00C610CB" w:rsidRPr="00B1522E" w:rsidRDefault="00C02D28"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iCs/>
        </w:rPr>
      </w:pPr>
      <w:r w:rsidRPr="00B1522E">
        <w:rPr>
          <w:rFonts w:cstheme="minorHAnsi"/>
          <w:bCs/>
          <w:iCs/>
        </w:rPr>
        <w:t xml:space="preserve">5.4.2.2 </w:t>
      </w:r>
      <w:r w:rsidR="00C610CB" w:rsidRPr="00B1522E">
        <w:rPr>
          <w:rFonts w:cstheme="minorHAnsi"/>
          <w:bCs/>
          <w:iCs/>
        </w:rPr>
        <w:t>Peer influences</w:t>
      </w:r>
    </w:p>
    <w:p w14:paraId="4C9CAEA4" w14:textId="18D8E778"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u w:val="single"/>
        </w:rPr>
      </w:pPr>
      <w:r w:rsidRPr="00B1522E">
        <w:rPr>
          <w:rFonts w:cstheme="minorHAnsi"/>
        </w:rPr>
        <w:t>Participants discussed at length about peers’ behaviours and how they affected their own dietary behaviours. Participants suggested that because their peers had unhealthy eating behaviours, and that they wanted to be like their peers, many wanted to avoid feeling excluded because of their dietary behaviours: “</w:t>
      </w:r>
      <w:r w:rsidRPr="00B1522E">
        <w:rPr>
          <w:rFonts w:cstheme="minorHAnsi"/>
          <w:i/>
        </w:rPr>
        <w:t xml:space="preserve">Others, their friends want to eat unhealthy and they feel left out if they eat healthy… they…” </w:t>
      </w:r>
      <w:r w:rsidRPr="00B1522E">
        <w:rPr>
          <w:rFonts w:cstheme="minorHAnsi"/>
        </w:rPr>
        <w:t xml:space="preserve">(Tasmin, Year 8); </w:t>
      </w:r>
      <w:r w:rsidRPr="00B1522E">
        <w:rPr>
          <w:rFonts w:cstheme="minorHAnsi"/>
          <w:i/>
        </w:rPr>
        <w:t xml:space="preserve">“Some people eating fatty foods around them and they would feel left out so then they would eat fatty foods as well” </w:t>
      </w:r>
      <w:r w:rsidRPr="00B1522E">
        <w:rPr>
          <w:rFonts w:cstheme="minorHAnsi"/>
        </w:rPr>
        <w:t>(Logan, Year 7)</w:t>
      </w:r>
      <w:r w:rsidRPr="00B1522E">
        <w:rPr>
          <w:rFonts w:cstheme="minorHAnsi"/>
          <w:i/>
        </w:rPr>
        <w:t>.</w:t>
      </w:r>
      <w:r w:rsidRPr="00B1522E">
        <w:rPr>
          <w:rFonts w:cstheme="minorHAnsi"/>
        </w:rPr>
        <w:t xml:space="preserve"> Furthermore, the participants felt that if their friends were enjoying unhealthy food so should they: </w:t>
      </w:r>
      <w:r w:rsidRPr="00B1522E">
        <w:rPr>
          <w:rFonts w:cstheme="minorHAnsi"/>
          <w:i/>
        </w:rPr>
        <w:t xml:space="preserve">“Why don’t I go and get one ‘cause obviously clearly my mates are enjoying it why shouldn’t I?” </w:t>
      </w:r>
      <w:r w:rsidRPr="00B1522E">
        <w:rPr>
          <w:rFonts w:cstheme="minorHAnsi"/>
        </w:rPr>
        <w:t xml:space="preserve">(Liam, Year 7). Conversely, the participants suggested that if everyone else ate healthily then they would be encouraged to do the same: </w:t>
      </w:r>
      <w:r w:rsidRPr="00B1522E">
        <w:rPr>
          <w:rFonts w:cstheme="minorHAnsi"/>
          <w:i/>
        </w:rPr>
        <w:t xml:space="preserve">“If people around you started to eat healthier that would encourage you to eat healthy” </w:t>
      </w:r>
      <w:r w:rsidRPr="00B1522E">
        <w:rPr>
          <w:rFonts w:cstheme="minorHAnsi"/>
        </w:rPr>
        <w:t>(Aza, Year 7)</w:t>
      </w:r>
      <w:r w:rsidRPr="00B1522E">
        <w:rPr>
          <w:rFonts w:cstheme="minorHAnsi"/>
          <w:i/>
        </w:rPr>
        <w:t xml:space="preserve">. </w:t>
      </w:r>
      <w:r w:rsidRPr="00B1522E">
        <w:rPr>
          <w:rFonts w:cstheme="minorHAnsi"/>
        </w:rPr>
        <w:t xml:space="preserve"> It seems that </w:t>
      </w:r>
      <w:r w:rsidR="00C02D28" w:rsidRPr="00B1522E">
        <w:rPr>
          <w:rFonts w:cstheme="minorHAnsi"/>
        </w:rPr>
        <w:t>11–13-year-old</w:t>
      </w:r>
      <w:r w:rsidRPr="00B1522E">
        <w:rPr>
          <w:rFonts w:cstheme="minorHAnsi"/>
        </w:rPr>
        <w:t xml:space="preserve"> individuals are influenced by what they think are socially acceptable behaviours, and if peers adjusted their </w:t>
      </w:r>
      <w:r w:rsidR="007D734F" w:rsidRPr="00B1522E">
        <w:rPr>
          <w:rFonts w:cstheme="minorHAnsi"/>
        </w:rPr>
        <w:t>behaviour,</w:t>
      </w:r>
      <w:r w:rsidRPr="00B1522E">
        <w:rPr>
          <w:rFonts w:cstheme="minorHAnsi"/>
        </w:rPr>
        <w:t xml:space="preserve"> it would encourage an individual’s behaviour to change: </w:t>
      </w:r>
      <w:r w:rsidRPr="00B1522E">
        <w:rPr>
          <w:rFonts w:cstheme="minorHAnsi"/>
          <w:i/>
        </w:rPr>
        <w:t xml:space="preserve">“If you see your friends eating something healthy and like they are enjoying it, so you would think… oh they’re enjoying it, so I will try </w:t>
      </w:r>
      <w:r w:rsidR="007D734F" w:rsidRPr="00B1522E">
        <w:rPr>
          <w:rFonts w:cstheme="minorHAnsi"/>
          <w:i/>
        </w:rPr>
        <w:t>it “</w:t>
      </w:r>
      <w:r w:rsidR="007D734F" w:rsidRPr="00B1522E">
        <w:rPr>
          <w:rFonts w:cstheme="minorHAnsi"/>
        </w:rPr>
        <w:t>(</w:t>
      </w:r>
      <w:r w:rsidRPr="00B1522E">
        <w:rPr>
          <w:rFonts w:cstheme="minorHAnsi"/>
        </w:rPr>
        <w:t xml:space="preserve">Ashia, Year 7). Therefore, it may be that secondary school students’ </w:t>
      </w:r>
      <w:r w:rsidRPr="00B1522E">
        <w:rPr>
          <w:rFonts w:cstheme="minorHAnsi"/>
        </w:rPr>
        <w:lastRenderedPageBreak/>
        <w:t>perceptions of healthy eating needs reframing to make such behaviours be perceived as more socially acceptable and to promote healthier food choices.</w:t>
      </w:r>
    </w:p>
    <w:p w14:paraId="2BA5F9C6"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196BFE5E" w14:textId="3DFA17C2" w:rsidR="00C610CB" w:rsidRPr="00B1522E" w:rsidRDefault="00BD7B77"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iCs/>
        </w:rPr>
      </w:pPr>
      <w:r w:rsidRPr="00B1522E">
        <w:rPr>
          <w:rFonts w:cstheme="minorHAnsi"/>
          <w:bCs/>
          <w:iCs/>
        </w:rPr>
        <w:t xml:space="preserve">5.4.2.3 </w:t>
      </w:r>
      <w:r w:rsidR="00C610CB" w:rsidRPr="00B1522E">
        <w:rPr>
          <w:rFonts w:cstheme="minorHAnsi"/>
          <w:bCs/>
          <w:iCs/>
        </w:rPr>
        <w:t xml:space="preserve">Teasing </w:t>
      </w:r>
    </w:p>
    <w:p w14:paraId="5F0A2307"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 xml:space="preserve">Interestingly, only girls, not the boys, discussed the influence of teasing on their dietary behaviours. Girls discussed how they found it difficult to have a healthy diet because they felt uncomfortable if they choose to eat healthily, and that they may be socially excluded if they ate more healthily than their male peers: </w:t>
      </w:r>
    </w:p>
    <w:p w14:paraId="22EEBD4E"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3BE1132E"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ind w:left="720"/>
        <w:jc w:val="both"/>
        <w:rPr>
          <w:rFonts w:cstheme="minorHAnsi"/>
        </w:rPr>
      </w:pPr>
      <w:r w:rsidRPr="00B1522E">
        <w:rPr>
          <w:rFonts w:cstheme="minorHAnsi"/>
        </w:rPr>
        <w:t xml:space="preserve">Laura, Year 8: </w:t>
      </w:r>
      <w:r w:rsidRPr="00B1522E">
        <w:rPr>
          <w:rFonts w:cstheme="minorHAnsi"/>
          <w:i/>
        </w:rPr>
        <w:t>“Boys are the main ones that take the mick out of people, like, basically…weight… by their weight and how they look and everything…”</w:t>
      </w:r>
      <w:r w:rsidRPr="00B1522E">
        <w:rPr>
          <w:rFonts w:cstheme="minorHAnsi"/>
        </w:rPr>
        <w:t xml:space="preserve"> </w:t>
      </w:r>
    </w:p>
    <w:p w14:paraId="44A9AE3E"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ind w:left="720"/>
        <w:jc w:val="both"/>
        <w:rPr>
          <w:rFonts w:cstheme="minorHAnsi"/>
        </w:rPr>
      </w:pPr>
      <w:r w:rsidRPr="00B1522E">
        <w:rPr>
          <w:rFonts w:cstheme="minorHAnsi"/>
        </w:rPr>
        <w:t xml:space="preserve">Emily, Year 8: </w:t>
      </w:r>
      <w:r w:rsidRPr="00B1522E">
        <w:rPr>
          <w:rFonts w:cstheme="minorHAnsi"/>
          <w:i/>
        </w:rPr>
        <w:t>“I don’t think they think about what they are saying it really hurts.”</w:t>
      </w:r>
      <w:r w:rsidRPr="00B1522E">
        <w:rPr>
          <w:rFonts w:cstheme="minorHAnsi"/>
        </w:rPr>
        <w:t xml:space="preserve"> </w:t>
      </w:r>
    </w:p>
    <w:p w14:paraId="3C8E54E5"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3B5B9CE6" w14:textId="28C1B23C" w:rsidR="00C610CB" w:rsidRPr="00B1522E" w:rsidRDefault="009674F3"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ab/>
      </w:r>
      <w:r w:rsidR="00C610CB" w:rsidRPr="00B1522E">
        <w:rPr>
          <w:rFonts w:cstheme="minorHAnsi"/>
        </w:rPr>
        <w:t xml:space="preserve">Girls also talked about finding it difficult to eat healthy foods because they felt judged by the boys: </w:t>
      </w:r>
      <w:r w:rsidR="00C610CB" w:rsidRPr="00B1522E">
        <w:rPr>
          <w:rFonts w:cstheme="minorHAnsi"/>
          <w:i/>
        </w:rPr>
        <w:t xml:space="preserve">“If there was a boy around then they wouldn’t [eat healthy food] because, they, the boys just go “Uurgh why you eating that? That is disgusting!” </w:t>
      </w:r>
      <w:r w:rsidR="00C610CB" w:rsidRPr="00B1522E">
        <w:rPr>
          <w:rFonts w:cstheme="minorHAnsi"/>
        </w:rPr>
        <w:t>(Hayley, Year 8)</w:t>
      </w:r>
      <w:r w:rsidR="00C610CB" w:rsidRPr="00B1522E">
        <w:rPr>
          <w:rFonts w:cstheme="minorHAnsi"/>
          <w:i/>
        </w:rPr>
        <w:t xml:space="preserve">. </w:t>
      </w:r>
      <w:r w:rsidR="00C610CB" w:rsidRPr="00B1522E">
        <w:rPr>
          <w:rFonts w:cstheme="minorHAnsi"/>
        </w:rPr>
        <w:t xml:space="preserve">Boys were perceived to set the precedent on what the acceptable eating norms are at their school, and if the girls do not conform to these, then they are made to feel uncomfortable. </w:t>
      </w:r>
    </w:p>
    <w:p w14:paraId="449EF6E0"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p>
    <w:p w14:paraId="2171C89E" w14:textId="79076E89"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ind w:left="720"/>
        <w:jc w:val="both"/>
        <w:rPr>
          <w:rFonts w:cstheme="minorHAnsi"/>
          <w:i/>
        </w:rPr>
      </w:pPr>
      <w:r w:rsidRPr="00B1522E">
        <w:rPr>
          <w:rFonts w:cstheme="minorHAnsi"/>
        </w:rPr>
        <w:t>Harper, Year 7:</w:t>
      </w:r>
      <w:r w:rsidRPr="00B1522E">
        <w:rPr>
          <w:rFonts w:cstheme="minorHAnsi"/>
          <w:i/>
        </w:rPr>
        <w:t xml:space="preserve"> “They leave all the </w:t>
      </w:r>
      <w:r w:rsidR="007D734F" w:rsidRPr="00B1522E">
        <w:rPr>
          <w:rFonts w:cstheme="minorHAnsi"/>
          <w:i/>
        </w:rPr>
        <w:t>rubbish,</w:t>
      </w:r>
      <w:r w:rsidRPr="00B1522E">
        <w:rPr>
          <w:rFonts w:cstheme="minorHAnsi"/>
          <w:i/>
        </w:rPr>
        <w:t xml:space="preserve"> and they like they chuck it at the Year 7’s” </w:t>
      </w:r>
    </w:p>
    <w:p w14:paraId="252A15B0"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ind w:left="720"/>
        <w:jc w:val="both"/>
        <w:rPr>
          <w:rFonts w:cstheme="minorHAnsi"/>
        </w:rPr>
      </w:pPr>
      <w:r w:rsidRPr="00B1522E">
        <w:rPr>
          <w:rFonts w:cstheme="minorHAnsi"/>
        </w:rPr>
        <w:t xml:space="preserve">Sadie, Year 7: </w:t>
      </w:r>
      <w:r w:rsidRPr="00B1522E">
        <w:rPr>
          <w:rFonts w:cstheme="minorHAnsi"/>
          <w:i/>
        </w:rPr>
        <w:t>“They always throw energy drinks”</w:t>
      </w:r>
      <w:r w:rsidRPr="00B1522E">
        <w:rPr>
          <w:rFonts w:cstheme="minorHAnsi"/>
        </w:rPr>
        <w:t xml:space="preserve"> </w:t>
      </w:r>
    </w:p>
    <w:p w14:paraId="5A8ED4EE"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ind w:left="720"/>
        <w:jc w:val="both"/>
        <w:rPr>
          <w:rFonts w:cstheme="minorHAnsi"/>
        </w:rPr>
      </w:pPr>
      <w:r w:rsidRPr="00B1522E">
        <w:rPr>
          <w:rFonts w:cstheme="minorHAnsi"/>
        </w:rPr>
        <w:t>Harper, Year 7:</w:t>
      </w:r>
      <w:r w:rsidRPr="00B1522E">
        <w:rPr>
          <w:rFonts w:cstheme="minorHAnsi"/>
          <w:i/>
        </w:rPr>
        <w:t xml:space="preserve"> “Bottles, wrappers, tip crisps over us”</w:t>
      </w:r>
      <w:r w:rsidRPr="00B1522E">
        <w:rPr>
          <w:rFonts w:cstheme="minorHAnsi"/>
        </w:rPr>
        <w:t xml:space="preserve"> </w:t>
      </w:r>
    </w:p>
    <w:p w14:paraId="348BA00E"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6B87FAA5" w14:textId="0305C759" w:rsidR="00C610CB" w:rsidRPr="00B1522E" w:rsidRDefault="009674F3"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ab/>
      </w:r>
      <w:r w:rsidR="00C610CB" w:rsidRPr="00B1522E">
        <w:rPr>
          <w:rFonts w:cstheme="minorHAnsi"/>
        </w:rPr>
        <w:t>In addition to teasing, the girls discussed how they were forced to eat unhealthy foods by the boys; “</w:t>
      </w:r>
      <w:r w:rsidR="00C610CB" w:rsidRPr="00B1522E">
        <w:rPr>
          <w:rFonts w:cstheme="minorHAnsi"/>
          <w:i/>
        </w:rPr>
        <w:t xml:space="preserve">Sometimes eat chocolate because you are forced to, people just force them </w:t>
      </w:r>
      <w:r w:rsidR="007D734F" w:rsidRPr="00B1522E">
        <w:rPr>
          <w:rFonts w:cstheme="minorHAnsi"/>
          <w:i/>
        </w:rPr>
        <w:t>into</w:t>
      </w:r>
      <w:r w:rsidR="00C610CB" w:rsidRPr="00B1522E">
        <w:rPr>
          <w:rFonts w:cstheme="minorHAnsi"/>
          <w:i/>
        </w:rPr>
        <w:t xml:space="preserve"> your pockets and everything” </w:t>
      </w:r>
      <w:r w:rsidR="00C610CB" w:rsidRPr="00B1522E">
        <w:rPr>
          <w:rFonts w:cstheme="minorHAnsi"/>
        </w:rPr>
        <w:t>(Tasmin, Year 8)</w:t>
      </w:r>
      <w:r w:rsidR="00C610CB" w:rsidRPr="00B1522E">
        <w:rPr>
          <w:rFonts w:cstheme="minorHAnsi"/>
          <w:i/>
        </w:rPr>
        <w:t>.</w:t>
      </w:r>
      <w:r w:rsidR="00C610CB" w:rsidRPr="00B1522E">
        <w:rPr>
          <w:rFonts w:cstheme="minorHAnsi"/>
        </w:rPr>
        <w:t xml:space="preserve"> The girls suggested that they would choose to eat more healthily if </w:t>
      </w:r>
      <w:r w:rsidR="00C610CB" w:rsidRPr="00B1522E">
        <w:rPr>
          <w:rFonts w:cstheme="minorHAnsi"/>
        </w:rPr>
        <w:lastRenderedPageBreak/>
        <w:t xml:space="preserve">they did not feel that the boys disapproved: </w:t>
      </w:r>
      <w:r w:rsidR="00C610CB" w:rsidRPr="00B1522E">
        <w:rPr>
          <w:rFonts w:cstheme="minorHAnsi"/>
          <w:i/>
        </w:rPr>
        <w:t xml:space="preserve">“If everyone like did it, boys and girls, if everyone did it especially the boys” </w:t>
      </w:r>
      <w:r w:rsidR="00C610CB" w:rsidRPr="00B1522E">
        <w:rPr>
          <w:rFonts w:cstheme="minorHAnsi"/>
        </w:rPr>
        <w:t>(Isla, Year 8)</w:t>
      </w:r>
      <w:r w:rsidR="00C610CB" w:rsidRPr="00B1522E">
        <w:rPr>
          <w:rFonts w:cstheme="minorHAnsi"/>
          <w:i/>
        </w:rPr>
        <w:t xml:space="preserve">. </w:t>
      </w:r>
      <w:r w:rsidR="00C610CB" w:rsidRPr="00B1522E">
        <w:rPr>
          <w:rFonts w:cstheme="minorHAnsi"/>
        </w:rPr>
        <w:t>The girls discussed being tormented by the boys in their school if they do not conform to the eating practices set by the boys. There was no indication in the group discussions that the boys themselves experienced teasing if they ate healthy foods at school.</w:t>
      </w:r>
    </w:p>
    <w:p w14:paraId="5AA789AB"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p>
    <w:p w14:paraId="68595D87" w14:textId="77777777" w:rsidR="00C610CB" w:rsidRPr="00B1522E" w:rsidRDefault="00C610CB" w:rsidP="00B0782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ind w:left="0"/>
        <w:jc w:val="both"/>
        <w:rPr>
          <w:rFonts w:cstheme="minorHAnsi"/>
          <w:i/>
        </w:rPr>
      </w:pPr>
    </w:p>
    <w:bookmarkStart w:id="138" w:name="_Toc84678936"/>
    <w:p w14:paraId="47660046" w14:textId="3FE8FA52" w:rsidR="00C610CB" w:rsidRPr="00B1522E" w:rsidRDefault="001E3D36" w:rsidP="00B07823">
      <w:pPr>
        <w:spacing w:line="480" w:lineRule="auto"/>
      </w:pPr>
      <w:r w:rsidRPr="00B1522E">
        <w:fldChar w:fldCharType="begin"/>
      </w:r>
      <w:r w:rsidRPr="00B1522E">
        <w:instrText xml:space="preserve"> TC  "</w:instrText>
      </w:r>
      <w:bookmarkStart w:id="139" w:name="_Toc97310462"/>
      <w:r w:rsidRPr="00B1522E">
        <w:instrText>5.3.3 Environmental factors</w:instrText>
      </w:r>
      <w:bookmarkEnd w:id="139"/>
      <w:r w:rsidRPr="00B1522E">
        <w:instrText xml:space="preserve"> " \f x\l 3 </w:instrText>
      </w:r>
      <w:r w:rsidRPr="00B1522E">
        <w:fldChar w:fldCharType="end"/>
      </w:r>
      <w:r w:rsidR="00990068" w:rsidRPr="00B1522E">
        <w:t xml:space="preserve">5.4.3 </w:t>
      </w:r>
      <w:r w:rsidR="00C610CB" w:rsidRPr="00B1522E">
        <w:t>Environmental factors</w:t>
      </w:r>
      <w:bookmarkEnd w:id="138"/>
    </w:p>
    <w:p w14:paraId="2F255D6A" w14:textId="18530665" w:rsidR="00C610CB" w:rsidRPr="00B1522E" w:rsidRDefault="00C610CB" w:rsidP="00B07823">
      <w:pPr>
        <w:spacing w:after="0" w:line="480" w:lineRule="auto"/>
        <w:jc w:val="both"/>
        <w:rPr>
          <w:rFonts w:cstheme="minorHAnsi"/>
        </w:rPr>
      </w:pPr>
      <w:r w:rsidRPr="00B1522E">
        <w:rPr>
          <w:rFonts w:cstheme="minorHAnsi"/>
        </w:rPr>
        <w:t xml:space="preserve">This construct describes what the participants perceived to be the environmental factors that influenced their dietary choices. This main construct has three sub-constructs, which discuss </w:t>
      </w:r>
      <w:r w:rsidRPr="00B1522E">
        <w:rPr>
          <w:rFonts w:cstheme="minorHAnsi"/>
          <w:i/>
        </w:rPr>
        <w:t>unhealthy food cues</w:t>
      </w:r>
      <w:r w:rsidRPr="00B1522E">
        <w:rPr>
          <w:rFonts w:cstheme="minorHAnsi"/>
        </w:rPr>
        <w:t xml:space="preserve">, </w:t>
      </w:r>
      <w:r w:rsidRPr="00B1522E">
        <w:rPr>
          <w:rFonts w:cstheme="minorHAnsi"/>
          <w:i/>
        </w:rPr>
        <w:t>perceived</w:t>
      </w:r>
      <w:r w:rsidRPr="00B1522E">
        <w:rPr>
          <w:rFonts w:cstheme="minorHAnsi"/>
        </w:rPr>
        <w:t xml:space="preserve"> </w:t>
      </w:r>
      <w:r w:rsidRPr="00B1522E">
        <w:rPr>
          <w:rFonts w:cstheme="minorHAnsi"/>
          <w:i/>
        </w:rPr>
        <w:t>food availability</w:t>
      </w:r>
      <w:r w:rsidR="005E5B6C" w:rsidRPr="00B1522E">
        <w:rPr>
          <w:rFonts w:cstheme="minorHAnsi"/>
          <w:iCs/>
        </w:rPr>
        <w:t>,</w:t>
      </w:r>
      <w:r w:rsidRPr="00B1522E">
        <w:rPr>
          <w:rFonts w:cstheme="minorHAnsi"/>
        </w:rPr>
        <w:t xml:space="preserve"> and </w:t>
      </w:r>
      <w:r w:rsidRPr="00B1522E">
        <w:rPr>
          <w:rFonts w:cstheme="minorHAnsi"/>
          <w:i/>
        </w:rPr>
        <w:t>price</w:t>
      </w:r>
      <w:r w:rsidRPr="00B1522E">
        <w:rPr>
          <w:rFonts w:cstheme="minorHAnsi"/>
        </w:rPr>
        <w:t xml:space="preserve">. </w:t>
      </w:r>
    </w:p>
    <w:p w14:paraId="477D7922" w14:textId="77777777" w:rsidR="00C610CB" w:rsidRPr="00B1522E" w:rsidRDefault="00C610CB" w:rsidP="00B07823">
      <w:pPr>
        <w:spacing w:after="0" w:line="480" w:lineRule="auto"/>
        <w:jc w:val="both"/>
        <w:rPr>
          <w:rFonts w:cstheme="minorHAnsi"/>
          <w:b/>
          <w:i/>
        </w:rPr>
      </w:pPr>
    </w:p>
    <w:p w14:paraId="339CEE16" w14:textId="54675BE4" w:rsidR="00C610CB" w:rsidRPr="00B1522E" w:rsidRDefault="00AA5317"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rPr>
      </w:pPr>
      <w:r w:rsidRPr="00B1522E">
        <w:t xml:space="preserve">5.4.3.1 </w:t>
      </w:r>
      <w:r w:rsidR="00C610CB" w:rsidRPr="00B1522E">
        <w:rPr>
          <w:rFonts w:cstheme="minorHAnsi"/>
          <w:bCs/>
        </w:rPr>
        <w:t>Unhealthy food cues</w:t>
      </w:r>
    </w:p>
    <w:p w14:paraId="26668894" w14:textId="44F47E52"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 xml:space="preserve">Seeing other people eat unhealthy food was discussed as being a strong influence on personal consumption of unhealthy food: </w:t>
      </w:r>
      <w:r w:rsidRPr="00B1522E">
        <w:rPr>
          <w:rFonts w:cstheme="minorHAnsi"/>
          <w:i/>
        </w:rPr>
        <w:t xml:space="preserve">“If you see a load of people eating chips you just know you want some” </w:t>
      </w:r>
      <w:r w:rsidRPr="00B1522E">
        <w:rPr>
          <w:rFonts w:cstheme="minorHAnsi"/>
        </w:rPr>
        <w:t>(Nathan, Year 7). Just the mere sight of unhealthy food had a strong influence on eating choices,</w:t>
      </w:r>
      <w:r w:rsidRPr="00B1522E">
        <w:rPr>
          <w:rFonts w:cstheme="minorHAnsi"/>
          <w:i/>
        </w:rPr>
        <w:t xml:space="preserve"> “Just see chocolate” </w:t>
      </w:r>
      <w:r w:rsidRPr="00B1522E">
        <w:rPr>
          <w:rFonts w:cstheme="minorHAnsi"/>
        </w:rPr>
        <w:t xml:space="preserve">(Emma, Year 7); </w:t>
      </w:r>
      <w:r w:rsidRPr="00B1522E">
        <w:rPr>
          <w:rFonts w:cstheme="minorHAnsi"/>
          <w:i/>
        </w:rPr>
        <w:t xml:space="preserve">“Seeing slushies” </w:t>
      </w:r>
      <w:r w:rsidRPr="00B1522E">
        <w:rPr>
          <w:rFonts w:cstheme="minorHAnsi"/>
        </w:rPr>
        <w:t>(Mia, Year 7), and so could the sight of empty junk food wrappers:</w:t>
      </w:r>
      <w:r w:rsidRPr="00B1522E">
        <w:rPr>
          <w:rFonts w:cstheme="minorHAnsi"/>
          <w:i/>
        </w:rPr>
        <w:t xml:space="preserve"> “keeping seeing wrappers all over the place” </w:t>
      </w:r>
      <w:r w:rsidRPr="00B1522E">
        <w:rPr>
          <w:rFonts w:cstheme="minorHAnsi"/>
        </w:rPr>
        <w:t xml:space="preserve">(Layla, Year 7). The smell of certain unhealthy foods was also a cue that would influence the participants’ eating behaviours: </w:t>
      </w:r>
      <w:r w:rsidRPr="00B1522E">
        <w:rPr>
          <w:rFonts w:cstheme="minorHAnsi"/>
          <w:i/>
        </w:rPr>
        <w:t xml:space="preserve">“Smelling it” </w:t>
      </w:r>
      <w:r w:rsidRPr="00B1522E">
        <w:rPr>
          <w:rFonts w:cstheme="minorHAnsi"/>
        </w:rPr>
        <w:t>(Layla, Year 7)</w:t>
      </w:r>
      <w:r w:rsidRPr="00B1522E">
        <w:rPr>
          <w:rFonts w:cstheme="minorHAnsi"/>
          <w:i/>
        </w:rPr>
        <w:t>.</w:t>
      </w:r>
      <w:r w:rsidRPr="00B1522E">
        <w:rPr>
          <w:rFonts w:cstheme="minorHAnsi"/>
        </w:rPr>
        <w:t xml:space="preserve"> The media, predominantly television adverts, were discussed as having a significant effect on food choices: </w:t>
      </w:r>
      <w:r w:rsidRPr="00B1522E">
        <w:rPr>
          <w:rFonts w:cstheme="minorHAnsi"/>
          <w:i/>
        </w:rPr>
        <w:t xml:space="preserve">“Advertisements [television] can cause you to stop eating healthy ‘cause if you’re sat eating a banana then you see a really nice McDonalds you are going to eat in </w:t>
      </w:r>
      <w:r w:rsidR="007D734F" w:rsidRPr="00B1522E">
        <w:rPr>
          <w:rFonts w:cstheme="minorHAnsi"/>
          <w:i/>
        </w:rPr>
        <w:t>McDonalds,</w:t>
      </w:r>
      <w:r w:rsidRPr="00B1522E">
        <w:rPr>
          <w:rFonts w:cstheme="minorHAnsi"/>
          <w:i/>
        </w:rPr>
        <w:t xml:space="preserve"> aren’t you?” </w:t>
      </w:r>
      <w:r w:rsidRPr="00B1522E">
        <w:rPr>
          <w:rFonts w:cstheme="minorHAnsi"/>
        </w:rPr>
        <w:t xml:space="preserve">(Noah, Year 7). Not only did television adverts influence the participants’ eating behaviour, some felt that they were being directly targeted by these adverts: </w:t>
      </w:r>
      <w:r w:rsidRPr="00B1522E">
        <w:rPr>
          <w:rFonts w:cstheme="minorHAnsi"/>
          <w:i/>
        </w:rPr>
        <w:t xml:space="preserve">“Like the adverts are aiming [at] us young children” </w:t>
      </w:r>
      <w:r w:rsidRPr="00B1522E">
        <w:rPr>
          <w:rFonts w:cstheme="minorHAnsi"/>
        </w:rPr>
        <w:t>(Niles, Year 8)</w:t>
      </w:r>
      <w:r w:rsidRPr="00B1522E">
        <w:rPr>
          <w:rFonts w:cstheme="minorHAnsi"/>
          <w:i/>
        </w:rPr>
        <w:t xml:space="preserve">. </w:t>
      </w:r>
      <w:r w:rsidRPr="00B1522E">
        <w:rPr>
          <w:rFonts w:cstheme="minorHAnsi"/>
        </w:rPr>
        <w:t xml:space="preserve">The students discussed how they thought adverts for unhealthy foods were trying to demonstrate what is acceptable for children to eat, and what is affordable and appealing to children. </w:t>
      </w:r>
    </w:p>
    <w:p w14:paraId="75ABDA35" w14:textId="258FB805" w:rsidR="00C610CB" w:rsidRPr="00B1522E" w:rsidRDefault="009C5383"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rPr>
      </w:pPr>
      <w:r w:rsidRPr="00B1522E">
        <w:lastRenderedPageBreak/>
        <w:t xml:space="preserve">5.4.3.2 </w:t>
      </w:r>
      <w:r w:rsidR="00C610CB" w:rsidRPr="00B1522E">
        <w:rPr>
          <w:rFonts w:cstheme="minorHAnsi"/>
          <w:bCs/>
        </w:rPr>
        <w:t>Perceived food availability</w:t>
      </w:r>
    </w:p>
    <w:p w14:paraId="15EA5A1D" w14:textId="369E676F"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r w:rsidRPr="00B1522E">
        <w:rPr>
          <w:rFonts w:cstheme="minorHAnsi"/>
        </w:rPr>
        <w:t>The participants believed that they had lots of unhealthy food available to them in their immediate environment including at school, their local shops and at home, compared to healthy alternatives: “</w:t>
      </w:r>
      <w:r w:rsidRPr="00B1522E">
        <w:rPr>
          <w:rFonts w:cstheme="minorHAnsi"/>
          <w:i/>
        </w:rPr>
        <w:t xml:space="preserve">They don’t really have healthy stuff anymore you have like baguette pizzas - the healthiest thing here [at school] is probably a sandwich” </w:t>
      </w:r>
      <w:r w:rsidRPr="00B1522E">
        <w:rPr>
          <w:rFonts w:cstheme="minorHAnsi"/>
        </w:rPr>
        <w:t>(Luca, year 8)</w:t>
      </w:r>
      <w:r w:rsidRPr="00B1522E">
        <w:rPr>
          <w:rFonts w:cstheme="minorHAnsi"/>
          <w:i/>
        </w:rPr>
        <w:t xml:space="preserve"> </w:t>
      </w:r>
      <w:r w:rsidRPr="00B1522E">
        <w:rPr>
          <w:rFonts w:cstheme="minorHAnsi"/>
        </w:rPr>
        <w:t>and participants also suggested</w:t>
      </w:r>
      <w:r w:rsidRPr="00B1522E">
        <w:rPr>
          <w:rFonts w:cstheme="minorHAnsi"/>
          <w:i/>
        </w:rPr>
        <w:t xml:space="preserve"> “If school sold healthy foods and sold less fatty foods” </w:t>
      </w:r>
      <w:r w:rsidRPr="00B1522E">
        <w:rPr>
          <w:rFonts w:cstheme="minorHAnsi"/>
        </w:rPr>
        <w:t>(Logan, Year 7)</w:t>
      </w:r>
      <w:r w:rsidRPr="00B1522E">
        <w:rPr>
          <w:rFonts w:cstheme="minorHAnsi"/>
          <w:i/>
        </w:rPr>
        <w:t xml:space="preserve">. </w:t>
      </w:r>
      <w:r w:rsidRPr="00B1522E">
        <w:rPr>
          <w:rFonts w:cstheme="minorHAnsi"/>
        </w:rPr>
        <w:t xml:space="preserve">The healthy food provided at school was less accessible compared to the unhealthy options: </w:t>
      </w:r>
      <w:r w:rsidRPr="00B1522E">
        <w:rPr>
          <w:rFonts w:cstheme="minorHAnsi"/>
          <w:i/>
        </w:rPr>
        <w:t xml:space="preserve">“They have these pots of fruit salads and… but they have them right at the very back in the fridge yeah” </w:t>
      </w:r>
      <w:r w:rsidRPr="00B1522E">
        <w:rPr>
          <w:rFonts w:cstheme="minorHAnsi"/>
        </w:rPr>
        <w:t xml:space="preserve">(Ashia, Year 7). This is not just at school but also at the supermarket and shops as well: </w:t>
      </w:r>
      <w:r w:rsidRPr="00B1522E">
        <w:rPr>
          <w:rFonts w:cstheme="minorHAnsi"/>
          <w:i/>
        </w:rPr>
        <w:t xml:space="preserve">“Sometimes I think that when you go to a supermarket, they put the fruit at the </w:t>
      </w:r>
      <w:r w:rsidR="007D734F" w:rsidRPr="00B1522E">
        <w:rPr>
          <w:rFonts w:cstheme="minorHAnsi"/>
          <w:i/>
        </w:rPr>
        <w:t>bottom,</w:t>
      </w:r>
      <w:r w:rsidRPr="00B1522E">
        <w:rPr>
          <w:rFonts w:cstheme="minorHAnsi"/>
          <w:i/>
        </w:rPr>
        <w:t xml:space="preserve"> so you don’t see it very well and the junk food at the top ‘cause you look there” </w:t>
      </w:r>
      <w:r w:rsidRPr="00B1522E">
        <w:rPr>
          <w:rFonts w:cstheme="minorHAnsi"/>
        </w:rPr>
        <w:t xml:space="preserve">(Alison, Year 7).  Participants were making unhealthier choices because unhealthy foodstuffs were perceived to be more available, more visually accessible, and because healthy alternatives are harder to obtain. There was the perception amongst participants that they had limited choice in their diets as there are no, or few, healthy options available at school or at home: </w:t>
      </w:r>
      <w:r w:rsidRPr="00B1522E">
        <w:rPr>
          <w:rFonts w:cstheme="minorHAnsi"/>
          <w:i/>
        </w:rPr>
        <w:t xml:space="preserve">“Yeah there is only like a little place where they are and the rest is all the fatty food” </w:t>
      </w:r>
      <w:r w:rsidRPr="00B1522E">
        <w:rPr>
          <w:rFonts w:cstheme="minorHAnsi"/>
        </w:rPr>
        <w:t xml:space="preserve">(Harper, Year 7) and </w:t>
      </w:r>
      <w:r w:rsidRPr="00B1522E">
        <w:rPr>
          <w:rFonts w:cstheme="minorHAnsi"/>
          <w:i/>
        </w:rPr>
        <w:t>“Then you have got all like the junk food like pizza, garlic bread and all that on the right in front of you”</w:t>
      </w:r>
      <w:r w:rsidRPr="00B1522E">
        <w:rPr>
          <w:rFonts w:cstheme="minorHAnsi"/>
        </w:rPr>
        <w:t xml:space="preserve"> (Ashia, Year 7).    Participants discussed that they have less restriction regarding their eating behaviours outside of the school environment and more autonomy to choose what they want to eat or drink: </w:t>
      </w:r>
    </w:p>
    <w:p w14:paraId="75F2DC5F" w14:textId="77777777" w:rsidR="00571CCA" w:rsidRPr="00B1522E" w:rsidRDefault="00571CCA"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p>
    <w:p w14:paraId="72D92B6E" w14:textId="13416782" w:rsidR="00A86142" w:rsidRPr="00B1522E" w:rsidRDefault="00C610CB" w:rsidP="00A861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jc w:val="both"/>
        <w:rPr>
          <w:rFonts w:cstheme="minorHAnsi"/>
          <w:i/>
        </w:rPr>
      </w:pPr>
      <w:r w:rsidRPr="00B1522E">
        <w:rPr>
          <w:rFonts w:cstheme="minorHAnsi"/>
        </w:rPr>
        <w:t xml:space="preserve">Hayley, Year 8: </w:t>
      </w:r>
      <w:r w:rsidRPr="00B1522E">
        <w:rPr>
          <w:rFonts w:cstheme="minorHAnsi"/>
          <w:i/>
        </w:rPr>
        <w:t xml:space="preserve">“Well in school we do have these policies, where you are not allowed to drink energy drinks, but outside of school you are just like 'oh I am not in school </w:t>
      </w:r>
      <w:r w:rsidR="007D734F" w:rsidRPr="00B1522E">
        <w:rPr>
          <w:rFonts w:cstheme="minorHAnsi"/>
          <w:i/>
        </w:rPr>
        <w:t>anymore</w:t>
      </w:r>
      <w:r w:rsidRPr="00B1522E">
        <w:rPr>
          <w:rFonts w:cstheme="minorHAnsi"/>
          <w:i/>
        </w:rPr>
        <w:t>, you can't tell me what to do’, so I can do what I want and go the shop to buy energy drinks”.</w:t>
      </w:r>
    </w:p>
    <w:p w14:paraId="4F2CA52A" w14:textId="77777777" w:rsidR="00A86142" w:rsidRPr="00B1522E" w:rsidRDefault="00A86142" w:rsidP="00A861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jc w:val="both"/>
        <w:rPr>
          <w:rFonts w:cstheme="minorHAnsi"/>
          <w:i/>
        </w:rPr>
      </w:pPr>
    </w:p>
    <w:p w14:paraId="0E06767E" w14:textId="72443158" w:rsidR="00C610CB" w:rsidRPr="00B1522E" w:rsidRDefault="009674F3"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B1522E">
        <w:rPr>
          <w:rFonts w:cstheme="minorHAnsi"/>
        </w:rPr>
        <w:tab/>
      </w:r>
      <w:r w:rsidR="00C610CB" w:rsidRPr="00B1522E">
        <w:rPr>
          <w:rFonts w:cstheme="minorHAnsi"/>
        </w:rPr>
        <w:t>The convenience and ease of obtaining unhealthy foods aided these choices: “</w:t>
      </w:r>
      <w:r w:rsidR="00C610CB" w:rsidRPr="00B1522E">
        <w:rPr>
          <w:rFonts w:cstheme="minorHAnsi"/>
          <w:i/>
        </w:rPr>
        <w:t xml:space="preserve">Yeah there is literally just a shop at the end of the road” </w:t>
      </w:r>
      <w:r w:rsidR="00C610CB" w:rsidRPr="00B1522E">
        <w:rPr>
          <w:rFonts w:cstheme="minorHAnsi"/>
        </w:rPr>
        <w:t xml:space="preserve">(Piper, Year 8) and </w:t>
      </w:r>
      <w:r w:rsidR="00C610CB" w:rsidRPr="00B1522E">
        <w:rPr>
          <w:rFonts w:cstheme="minorHAnsi"/>
          <w:i/>
        </w:rPr>
        <w:t xml:space="preserve">“‘Cause that is the only thing that they </w:t>
      </w:r>
      <w:r w:rsidR="00C610CB" w:rsidRPr="00B1522E">
        <w:rPr>
          <w:rFonts w:cstheme="minorHAnsi"/>
          <w:i/>
        </w:rPr>
        <w:lastRenderedPageBreak/>
        <w:t xml:space="preserve">can just like eat and go” </w:t>
      </w:r>
      <w:r w:rsidR="00C610CB" w:rsidRPr="00B1522E">
        <w:rPr>
          <w:rFonts w:cstheme="minorHAnsi"/>
        </w:rPr>
        <w:t>(Mia, Year 7)</w:t>
      </w:r>
      <w:r w:rsidR="00C610CB" w:rsidRPr="00B1522E">
        <w:rPr>
          <w:rFonts w:cstheme="minorHAnsi"/>
          <w:i/>
        </w:rPr>
        <w:t xml:space="preserve">. </w:t>
      </w:r>
      <w:r w:rsidR="00C610CB" w:rsidRPr="00B1522E">
        <w:rPr>
          <w:rFonts w:cstheme="minorHAnsi"/>
        </w:rPr>
        <w:t xml:space="preserve">The lack of restrictions, and the apparent availability and convenience of unhealthy foods outside of school, lead to the increased consumption of unhealthy foods. Unhealthy foods were seen as being more accessible and considerably cheaper than healthier options, but if healthy foods were more within the participants’ immediate </w:t>
      </w:r>
      <w:r w:rsidR="007D734F" w:rsidRPr="00B1522E">
        <w:rPr>
          <w:rFonts w:cstheme="minorHAnsi"/>
        </w:rPr>
        <w:t>attention,</w:t>
      </w:r>
      <w:r w:rsidR="00C610CB" w:rsidRPr="00B1522E">
        <w:rPr>
          <w:rFonts w:cstheme="minorHAnsi"/>
        </w:rPr>
        <w:t xml:space="preserve"> they may be more inclined to choose them: </w:t>
      </w:r>
      <w:r w:rsidR="00C610CB" w:rsidRPr="00B1522E">
        <w:rPr>
          <w:rFonts w:cstheme="minorHAnsi"/>
          <w:i/>
        </w:rPr>
        <w:t xml:space="preserve">“Like when you walk in the door instead of it being a chocolate the first thing you see, be fruit the first thing you see” </w:t>
      </w:r>
      <w:r w:rsidR="00C610CB" w:rsidRPr="00B1522E">
        <w:rPr>
          <w:rFonts w:cstheme="minorHAnsi"/>
        </w:rPr>
        <w:t>(Rashida, Year 7).</w:t>
      </w:r>
      <w:r w:rsidR="00C610CB" w:rsidRPr="00B1522E">
        <w:rPr>
          <w:rFonts w:cstheme="minorHAnsi"/>
          <w:b/>
          <w:i/>
        </w:rPr>
        <w:t xml:space="preserve"> </w:t>
      </w:r>
      <w:r w:rsidR="00C610CB" w:rsidRPr="00B1522E">
        <w:rPr>
          <w:rFonts w:cstheme="minorHAnsi"/>
        </w:rPr>
        <w:t xml:space="preserve"> </w:t>
      </w:r>
    </w:p>
    <w:p w14:paraId="28FC80D0"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ab/>
        <w:t xml:space="preserve">Furthermore, having a wider variety of healthy alternatives at school was discussed as a way of encouraging healthier eating behaviours: </w:t>
      </w:r>
      <w:r w:rsidRPr="00B1522E">
        <w:rPr>
          <w:rFonts w:cstheme="minorHAnsi"/>
          <w:i/>
        </w:rPr>
        <w:t xml:space="preserve">“Yeah if it was healthy stuff, then yeah, more people would probably eat healthier” </w:t>
      </w:r>
      <w:r w:rsidRPr="00B1522E">
        <w:rPr>
          <w:rFonts w:cstheme="minorHAnsi"/>
        </w:rPr>
        <w:t>(Toby, Year 8)</w:t>
      </w:r>
      <w:r w:rsidRPr="00B1522E">
        <w:rPr>
          <w:rFonts w:cstheme="minorHAnsi"/>
          <w:i/>
        </w:rPr>
        <w:t xml:space="preserve"> </w:t>
      </w:r>
      <w:r w:rsidRPr="00B1522E">
        <w:rPr>
          <w:rFonts w:cstheme="minorHAnsi"/>
        </w:rPr>
        <w:t>and also trying to make healthier choices when there is the option:</w:t>
      </w:r>
      <w:r w:rsidRPr="00B1522E">
        <w:rPr>
          <w:rFonts w:cstheme="minorHAnsi"/>
          <w:i/>
        </w:rPr>
        <w:t xml:space="preserve"> “When you see shortbreads on the counter then you see an apple next to it, pick up the apple” (</w:t>
      </w:r>
      <w:r w:rsidRPr="00B1522E">
        <w:rPr>
          <w:rFonts w:cstheme="minorHAnsi"/>
        </w:rPr>
        <w:t xml:space="preserve">Tim, Year 7).  However, participants also discussed the perception that unhealthy foods are more desirable as they taste better than a healthier alternate: </w:t>
      </w:r>
      <w:r w:rsidRPr="00B1522E">
        <w:rPr>
          <w:rFonts w:cstheme="minorHAnsi"/>
          <w:i/>
        </w:rPr>
        <w:t xml:space="preserve">The taste, or things like cake, for me like, cake’s really nice - if there was an apple or a cake, I would obviously choose the cake” </w:t>
      </w:r>
      <w:r w:rsidRPr="00B1522E">
        <w:rPr>
          <w:rFonts w:cstheme="minorHAnsi"/>
        </w:rPr>
        <w:t xml:space="preserve">(Liam, Year 7). Seemingly, the perceived and anticipated taste of these unhealthy foods over healthier choices influenced choice and potential consumption. </w:t>
      </w:r>
      <w:r w:rsidRPr="00B1522E">
        <w:rPr>
          <w:rFonts w:cstheme="minorHAnsi"/>
          <w:i/>
        </w:rPr>
        <w:t xml:space="preserve">“You are obviously are going to go for the one that tastes better, I would say bacon obviously” </w:t>
      </w:r>
      <w:r w:rsidRPr="00B1522E">
        <w:rPr>
          <w:rFonts w:cstheme="minorHAnsi"/>
        </w:rPr>
        <w:t>(Liam, Year 7)</w:t>
      </w:r>
      <w:r w:rsidRPr="00B1522E">
        <w:rPr>
          <w:rFonts w:cstheme="minorHAnsi"/>
          <w:i/>
        </w:rPr>
        <w:t xml:space="preserve">. </w:t>
      </w:r>
      <w:r w:rsidRPr="00B1522E">
        <w:rPr>
          <w:rFonts w:cstheme="minorHAnsi"/>
        </w:rPr>
        <w:t xml:space="preserve">Providing a healthy alternative alone may not improve eating behaviours, as the perceived taste and desirability of certain foods seems to be associated with their preferred consumption not necessarily the availability. </w:t>
      </w:r>
    </w:p>
    <w:p w14:paraId="79E67883"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p>
    <w:p w14:paraId="19AA2856" w14:textId="4E6CD11A" w:rsidR="00C610CB" w:rsidRPr="00B1522E" w:rsidRDefault="005E6D8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bCs/>
        </w:rPr>
      </w:pPr>
      <w:r w:rsidRPr="00B1522E">
        <w:t xml:space="preserve">5.4.3.3 </w:t>
      </w:r>
      <w:r w:rsidR="00C610CB" w:rsidRPr="00B1522E">
        <w:rPr>
          <w:rFonts w:cstheme="minorHAnsi"/>
          <w:bCs/>
        </w:rPr>
        <w:t>Price</w:t>
      </w:r>
    </w:p>
    <w:p w14:paraId="2FDA30B4" w14:textId="77777777" w:rsidR="00C610CB"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B1522E">
        <w:rPr>
          <w:rFonts w:cstheme="minorHAnsi"/>
        </w:rPr>
        <w:t>Unhealthy food was discussed as being cheaper compared to healthy foods,</w:t>
      </w:r>
      <w:r w:rsidRPr="00B1522E">
        <w:rPr>
          <w:rFonts w:cstheme="minorHAnsi"/>
          <w:i/>
        </w:rPr>
        <w:t xml:space="preserve"> “Healthy food is more expensive than sweets” </w:t>
      </w:r>
      <w:r w:rsidRPr="00B1522E">
        <w:rPr>
          <w:rFonts w:cstheme="minorHAnsi"/>
        </w:rPr>
        <w:t>(Sadie, Year 7), and only what the participants could afford to buy,</w:t>
      </w:r>
      <w:r w:rsidRPr="00B1522E">
        <w:rPr>
          <w:rFonts w:cstheme="minorHAnsi"/>
          <w:b/>
        </w:rPr>
        <w:t xml:space="preserve"> </w:t>
      </w:r>
      <w:r w:rsidRPr="00B1522E">
        <w:rPr>
          <w:rFonts w:cstheme="minorHAnsi"/>
          <w:i/>
        </w:rPr>
        <w:t xml:space="preserve">“Maybe like ... erm ... you have only got enough money to buy that sort of thing and you are really hungry so you have got to eat it” </w:t>
      </w:r>
      <w:r w:rsidRPr="00B1522E">
        <w:rPr>
          <w:rFonts w:cstheme="minorHAnsi"/>
        </w:rPr>
        <w:t>(Reuben, Year 8),</w:t>
      </w:r>
      <w:r w:rsidRPr="00B1522E">
        <w:rPr>
          <w:rFonts w:cstheme="minorHAnsi"/>
          <w:i/>
        </w:rPr>
        <w:t xml:space="preserve"> </w:t>
      </w:r>
      <w:r w:rsidRPr="00B1522E">
        <w:rPr>
          <w:rFonts w:cstheme="minorHAnsi"/>
        </w:rPr>
        <w:t xml:space="preserve">particularly as unhealthier foods were more likely to be on sale as a ‘special offer’: </w:t>
      </w:r>
      <w:r w:rsidRPr="00B1522E">
        <w:rPr>
          <w:rFonts w:cstheme="minorHAnsi"/>
          <w:i/>
        </w:rPr>
        <w:t xml:space="preserve">“Yeah ‘cause when you go like to the shops you see big bags of crisps for a £1 you think aww yeah” </w:t>
      </w:r>
      <w:r w:rsidRPr="00B1522E">
        <w:rPr>
          <w:rFonts w:cstheme="minorHAnsi"/>
        </w:rPr>
        <w:t xml:space="preserve">(Niles, Year 8). Unhealthy food choices were typically rationalised in relation to </w:t>
      </w:r>
      <w:r w:rsidRPr="00B1522E">
        <w:rPr>
          <w:rFonts w:cstheme="minorHAnsi"/>
        </w:rPr>
        <w:lastRenderedPageBreak/>
        <w:t xml:space="preserve">healthy alternatives being too expensive, with sweets and junk food seen as being cheaper because the prices were aimed at children: </w:t>
      </w:r>
      <w:r w:rsidRPr="00B1522E">
        <w:rPr>
          <w:rFonts w:cstheme="minorHAnsi"/>
          <w:i/>
        </w:rPr>
        <w:t>“‘Cause they know they [children] will buy it”</w:t>
      </w:r>
      <w:r w:rsidRPr="00B1522E">
        <w:rPr>
          <w:rFonts w:cstheme="minorHAnsi"/>
        </w:rPr>
        <w:t xml:space="preserve"> (Layla, Year 7). However, it was unclear if the participants would actually search for a healthy alternative if these discounted unhealthy snacks were the first thing that they see when they enter a shop: “</w:t>
      </w:r>
      <w:r w:rsidRPr="00B1522E">
        <w:rPr>
          <w:rFonts w:cstheme="minorHAnsi"/>
          <w:i/>
        </w:rPr>
        <w:t xml:space="preserve">I used to walk with some mates and they were on offer for a quid - they used to get them every day” </w:t>
      </w:r>
      <w:r w:rsidRPr="00B1522E">
        <w:rPr>
          <w:rFonts w:cstheme="minorHAnsi"/>
        </w:rPr>
        <w:t>(Alison, Year 7).</w:t>
      </w:r>
      <w:r w:rsidRPr="00B1522E">
        <w:rPr>
          <w:rFonts w:cstheme="minorHAnsi"/>
          <w:i/>
        </w:rPr>
        <w:t xml:space="preserve"> </w:t>
      </w:r>
    </w:p>
    <w:p w14:paraId="715D0B94" w14:textId="77777777" w:rsidR="002E29A4" w:rsidRPr="00B1522E" w:rsidRDefault="002E29A4" w:rsidP="00E36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p>
    <w:p w14:paraId="50CD006F" w14:textId="32FB64F6" w:rsidR="00E3666D" w:rsidRPr="00B1522E" w:rsidRDefault="00C610CB" w:rsidP="00B078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i/>
        </w:rPr>
      </w:pPr>
      <w:r w:rsidRPr="00B1522E">
        <w:rPr>
          <w:rFonts w:cstheme="minorHAnsi"/>
          <w:i/>
        </w:rPr>
        <w:t xml:space="preserve"> </w:t>
      </w:r>
    </w:p>
    <w:bookmarkStart w:id="140" w:name="_Toc84678937"/>
    <w:p w14:paraId="1F096A3A" w14:textId="57EEF4F4" w:rsidR="00E3666D" w:rsidRPr="00B1522E" w:rsidRDefault="001E3D36" w:rsidP="00B07823">
      <w:pPr>
        <w:spacing w:line="480" w:lineRule="auto"/>
        <w:rPr>
          <w:b/>
          <w:bCs/>
        </w:rPr>
      </w:pPr>
      <w:r w:rsidRPr="00B1522E">
        <w:fldChar w:fldCharType="begin"/>
      </w:r>
      <w:r w:rsidRPr="00B1522E">
        <w:instrText xml:space="preserve"> TC  "</w:instrText>
      </w:r>
      <w:bookmarkStart w:id="141" w:name="_Toc97310463"/>
      <w:r w:rsidRPr="00B1522E">
        <w:instrText>5.5 Discussion</w:instrText>
      </w:r>
      <w:bookmarkEnd w:id="141"/>
      <w:r w:rsidRPr="00B1522E">
        <w:instrText xml:space="preserve"> " \f x\l 2 </w:instrText>
      </w:r>
      <w:r w:rsidRPr="00B1522E">
        <w:fldChar w:fldCharType="end"/>
      </w:r>
      <w:r w:rsidR="00990068" w:rsidRPr="00B1522E">
        <w:rPr>
          <w:b/>
          <w:bCs/>
        </w:rPr>
        <w:t xml:space="preserve">5.5 </w:t>
      </w:r>
      <w:r w:rsidR="00C610CB" w:rsidRPr="00B1522E">
        <w:rPr>
          <w:b/>
          <w:bCs/>
        </w:rPr>
        <w:t>Discussion</w:t>
      </w:r>
      <w:bookmarkEnd w:id="140"/>
    </w:p>
    <w:p w14:paraId="1D8D537A" w14:textId="77777777" w:rsidR="00C610CB" w:rsidRPr="00B1522E" w:rsidRDefault="00C610CB" w:rsidP="00B07823">
      <w:pPr>
        <w:spacing w:line="480" w:lineRule="auto"/>
        <w:jc w:val="both"/>
        <w:rPr>
          <w:rFonts w:eastAsia="Calibri" w:cstheme="minorHAnsi"/>
        </w:rPr>
      </w:pPr>
      <w:r w:rsidRPr="00B1522E">
        <w:rPr>
          <w:rFonts w:eastAsia="Calibri" w:cstheme="minorHAnsi"/>
        </w:rPr>
        <w:t xml:space="preserve">The aim of this study was to explore the psychosocial influences associated with healthy and unhealthy food choices amongst 11- to 13-year-old </w:t>
      </w:r>
      <w:r w:rsidRPr="00B1522E">
        <w:rPr>
          <w:rFonts w:cstheme="minorHAnsi"/>
        </w:rPr>
        <w:t>secondary</w:t>
      </w:r>
      <w:r w:rsidRPr="00B1522E">
        <w:rPr>
          <w:rFonts w:eastAsia="Calibri" w:cstheme="minorHAnsi"/>
        </w:rPr>
        <w:t xml:space="preserve"> school students living in deprived areas, including the perceived barriers and facilitators associated with healthier food choices. A series of focus group discussions conducted with </w:t>
      </w:r>
      <w:r w:rsidRPr="00B1522E">
        <w:rPr>
          <w:rFonts w:cstheme="minorHAnsi"/>
        </w:rPr>
        <w:t>secondary</w:t>
      </w:r>
      <w:r w:rsidRPr="00B1522E">
        <w:rPr>
          <w:rFonts w:eastAsia="Calibri" w:cstheme="minorHAnsi"/>
        </w:rPr>
        <w:t xml:space="preserve"> school students elicited three main framework constructs: (1) </w:t>
      </w:r>
      <w:r w:rsidRPr="00B1522E">
        <w:rPr>
          <w:rFonts w:eastAsia="Calibri" w:cstheme="minorHAnsi"/>
          <w:i/>
        </w:rPr>
        <w:t>eating patterns and lifestyle,</w:t>
      </w:r>
      <w:r w:rsidRPr="00B1522E">
        <w:rPr>
          <w:rFonts w:eastAsia="Calibri" w:cstheme="minorHAnsi"/>
        </w:rPr>
        <w:t xml:space="preserve"> (2) </w:t>
      </w:r>
      <w:r w:rsidRPr="00B1522E">
        <w:rPr>
          <w:rFonts w:eastAsia="Calibri" w:cstheme="minorHAnsi"/>
          <w:i/>
        </w:rPr>
        <w:t>social influences,</w:t>
      </w:r>
      <w:r w:rsidRPr="00B1522E">
        <w:rPr>
          <w:rFonts w:eastAsia="Calibri" w:cstheme="minorHAnsi"/>
        </w:rPr>
        <w:t xml:space="preserve"> and (3) </w:t>
      </w:r>
      <w:r w:rsidRPr="00B1522E">
        <w:rPr>
          <w:rFonts w:eastAsia="Calibri" w:cstheme="minorHAnsi"/>
          <w:i/>
        </w:rPr>
        <w:t>environmental influences</w:t>
      </w:r>
      <w:r w:rsidRPr="00B1522E">
        <w:rPr>
          <w:rFonts w:eastAsia="Calibri" w:cstheme="minorHAnsi"/>
        </w:rPr>
        <w:t xml:space="preserve">. The framework demonstrates what students understand to be healthy eating behaviours, the benefits of healthy eating behaviours versus unhealthy behaviours, what the influences on eating behaviours are, and potential implications for future research.  </w:t>
      </w:r>
    </w:p>
    <w:p w14:paraId="51C83EE5" w14:textId="77777777" w:rsidR="00C610CB" w:rsidRPr="00B1522E" w:rsidRDefault="00C610CB" w:rsidP="00B07823">
      <w:pPr>
        <w:spacing w:line="480" w:lineRule="auto"/>
        <w:jc w:val="both"/>
        <w:rPr>
          <w:rFonts w:eastAsia="Calibri" w:cstheme="minorHAnsi"/>
        </w:rPr>
      </w:pPr>
    </w:p>
    <w:bookmarkStart w:id="142" w:name="_Toc84678938"/>
    <w:p w14:paraId="0A21AD4A" w14:textId="67067253" w:rsidR="00C610CB" w:rsidRPr="00B1522E" w:rsidRDefault="001E3D36" w:rsidP="00B07823">
      <w:pPr>
        <w:spacing w:line="480" w:lineRule="auto"/>
      </w:pPr>
      <w:r w:rsidRPr="00B1522E">
        <w:fldChar w:fldCharType="begin"/>
      </w:r>
      <w:r w:rsidRPr="00B1522E">
        <w:instrText xml:space="preserve"> TC  "</w:instrText>
      </w:r>
      <w:bookmarkStart w:id="143" w:name="_Toc97310464"/>
      <w:r w:rsidRPr="00B1522E">
        <w:instrText>5.5.</w:instrText>
      </w:r>
      <w:r w:rsidR="00D91F68" w:rsidRPr="00B1522E">
        <w:instrText>1 Summary of main findings</w:instrText>
      </w:r>
      <w:bookmarkEnd w:id="143"/>
      <w:r w:rsidRPr="00B1522E">
        <w:instrText xml:space="preserve"> " \f x\l 3 </w:instrText>
      </w:r>
      <w:r w:rsidRPr="00B1522E">
        <w:fldChar w:fldCharType="end"/>
      </w:r>
      <w:r w:rsidR="00990068" w:rsidRPr="00B1522E">
        <w:t xml:space="preserve">5.5.1 </w:t>
      </w:r>
      <w:r w:rsidR="00C610CB" w:rsidRPr="00B1522E">
        <w:t>Summary of main findings</w:t>
      </w:r>
      <w:bookmarkEnd w:id="142"/>
    </w:p>
    <w:p w14:paraId="4901980B" w14:textId="3B815D30" w:rsidR="00C610CB" w:rsidRPr="00B1522E" w:rsidRDefault="00C610CB" w:rsidP="00B07823">
      <w:pPr>
        <w:spacing w:line="480" w:lineRule="auto"/>
        <w:jc w:val="both"/>
        <w:rPr>
          <w:rFonts w:eastAsia="Calibri" w:cstheme="minorHAnsi"/>
        </w:rPr>
      </w:pPr>
      <w:bookmarkStart w:id="144" w:name="_Hlk525108840"/>
      <w:r w:rsidRPr="00B1522E">
        <w:rPr>
          <w:rFonts w:eastAsia="Calibri" w:cstheme="minorHAnsi"/>
        </w:rPr>
        <w:t xml:space="preserve">Students appeared to largely understand what healthy eating patterns are, and in line with prior literature </w:t>
      </w:r>
      <w:r w:rsidRPr="00B1522E">
        <w:rPr>
          <w:rFonts w:eastAsia="Calibri" w:cstheme="minorHAnsi"/>
        </w:rPr>
        <w:fldChar w:fldCharType="begin" w:fldLock="1"/>
      </w:r>
      <w:r w:rsidRPr="00B1522E">
        <w:rPr>
          <w:rFonts w:eastAsia="Calibri" w:cstheme="minorHAnsi"/>
        </w:rPr>
        <w:instrText>ADDIN CSL_CITATION {"citationItems":[{"id":"ITEM-1","itemData":{"ISSN":"0022-3999","author":[{"dropping-particle":"","family":"Neumark-Sztainer","given":"Dianne","non-dropping-particle":"","parse-names":false,"suffix":""},{"dropping-particle":"","family":"Croll","given":"Jillian","non-dropping-particle":"","parse-names":false,"suffix":""},{"dropping-particle":"","family":"Story","given":"Mary","non-dropping-particle":"","parse-names":false,"suffix":""},{"dropping-particle":"","family":"Hannan","given":"Peter J","non-dropping-particle":"","parse-names":false,"suffix":""},{"dropping-particle":"","family":"French","given":"Simone A","non-dropping-particle":"","parse-names":false,"suffix":""},{"dropping-particle":"","family":"Perry","given":"Cheryl","non-dropping-particle":"","parse-names":false,"suffix":""}],"container-title":"Journal of psychosomatic research","id":"ITEM-1","issue":"5","issued":{"date-parts":[["2002"]]},"page":"963-974","publisher":"Elsevier","title":"Ethnic/racial differences in weight-related concerns and behaviors among adolescent girls and boys: findings from Project EAT","type":"article-journal","volume":"53"},"uris":["http://www.mendeley.com/documents/?uuid=22f2610b-49ee-40c9-9c56-1db96068fde9"]}],"mendeley":{"formattedCitation":"(Neumark-Sztainer et al., 2002)","plainTextFormattedCitation":"(Neumark-Sztainer et al., 2002)","previouslyFormattedCitation":"(Neumark-Sztainer et al., 2002)"},"properties":{"noteIndex":0},"schema":"https://github.com/citation-style-language/schema/raw/master/csl-citation.json"}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(Neumark-Sztainer et al., 2002)</w:t>
      </w:r>
      <w:r w:rsidRPr="00B1522E">
        <w:rPr>
          <w:rFonts w:eastAsia="Calibri" w:cstheme="minorHAnsi"/>
        </w:rPr>
        <w:fldChar w:fldCharType="end"/>
      </w:r>
      <w:r w:rsidRPr="00B1522E">
        <w:rPr>
          <w:rFonts w:eastAsia="Calibri" w:cstheme="minorHAnsi"/>
        </w:rPr>
        <w:t xml:space="preserve">, the participants disclosed that they did not always engage in these behaviours themselves. Participants discussed they often do not have regular eating patterns because they would replace regular meals (breakfast, lunch and tea) with unhealthy snacks (high energy snacks) or skip meals completely. Research has suggested that adolescents who frequently snack are more likely to skip main meals </w:t>
      </w:r>
      <w:r w:rsidRPr="00B1522E">
        <w:rPr>
          <w:rFonts w:eastAsia="Calibri" w:cstheme="minorHAnsi"/>
        </w:rPr>
        <w:fldChar w:fldCharType="begin" w:fldLock="1"/>
      </w:r>
      <w:r w:rsidR="00DF6CCC" w:rsidRPr="00B1522E">
        <w:rPr>
          <w:rFonts w:eastAsia="Calibri" w:cstheme="minorHAnsi"/>
        </w:rPr>
        <w:instrText>ADDIN CSL_CITATION {"citationItems":[{"id":"ITEM-1","itemData":{"ISSN":"1479-5868","abstract":"BACKGROUND: Snacking is likely to play an important role in the development of overweight and obesity, yet little is known about the contexts of snacking in adolescents or how snacking may influence other dietary habits, like meal skipping. This study examines the contexts in which adolescents snack and whether these contexts are associated with demographic characteristics of adolescents and with meal skipping. METHODS: A cross-sectional, self-reported online food habits survey was administered to 3,250 secondary students in years seven and nine. The students were drawn from 37 secondary schools in Victoria, Australia during 2004–2005. Frequencies of meal skipping, and snacking in eight contexts, were compared across gender, year level and region of residence. Logistic regressions were performed to examine associations between snacking contexts and meal skipping adjusting for gender and region. RESULTS: The most common contexts for snacking among adolescents were after school (4.6 times per week), while watching TV (3.5 times per week) and while hanging out with friends (2.4 times per week). Adolescents were least likely to snack all day long (0.8 times per week) or in the middle of the night (0.4 times per week). Snacking contexts were variously associated with gender, year level and region. In contrast, meal skipping was associated with gender and region of residence but not year level. Adolescents who reported more frequent snacking on the run, on the way to or from school, all day long, or in the middle of the night were more likely to skip meals. CONCLUSION: These data suggest adolescents snack frequently, especially in their leisure time. In addition, adolescents who snack on the run, on the way to or from school, all day long or in the middle of the night are more likely to skip meals than are adolescents who don't snack at these times. Understanding the contexts in which adolescents snack, and their associations with skipping meals, may assist those involved in the promotion of healthy food habits among adolescents.","author":[{"dropping-particle":"","family":"Savige","given":"Gayle","non-dropping-particle":"","parse-names":false,"suffix":""},{"dropping-particle":"","family":"MacFarlane","given":"Abbie","non-dropping-particle":"","parse-names":false,"suffix":""},{"dropping-particle":"","family":"Ball","given":"Kylie","non-dropping-particle":"","parse-names":false,"suffix":""},{"dropping-particle":"","family":"Worsley","given":"Anthony","non-dropping-particle":"","parse-names":false,"suffix":""},{"dropping-particle":"","family":"Crawford","given":"David","non-dropping-particle":"","parse-names":false,"suffix":""}],"container-title":"The International Journal of Behavioral Nutrition and Physical Activity","id":"ITEM-1","issued":{"date-parts":[["2007","9","17"]]},"page":"36-45","publisher":"BioMed Central","publisher-place":"London","title":"Snacking behaviours of adolescents and their association with skipping meals","type":"article-journal","volume":"4"},"uris":["http://www.mendeley.com/documents/?uuid=560ebd1b-9351-4086-9adc-d881bbe2efb8","http://www.mendeley.com/documents/?uuid=86cf3bea-2fca-41e2-b8a2-a713a0943d13"]}],"mendeley":{"formattedCitation":"(Savige et al., 2007)","plainTextFormattedCitation":"(Savige et al., 2007)","previouslyFormattedCitation":"(Savige et al., 2007)"},"properties":{"noteIndex":0},"schema":"https://github.com/citation-style-language/schema/raw/master/csl-citation.json"}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(Savige et al., 2007)</w:t>
      </w:r>
      <w:r w:rsidRPr="00B1522E">
        <w:rPr>
          <w:rFonts w:eastAsia="Calibri" w:cstheme="minorHAnsi"/>
        </w:rPr>
        <w:fldChar w:fldCharType="end"/>
      </w:r>
      <w:r w:rsidRPr="00B1522E">
        <w:rPr>
          <w:rFonts w:eastAsia="Calibri" w:cstheme="minorHAnsi"/>
        </w:rPr>
        <w:t xml:space="preserve"> which can be detrimental to health, as having regular meal patterns is related to healthier food choices </w:t>
      </w:r>
      <w:r w:rsidRPr="00B1522E">
        <w:rPr>
          <w:rFonts w:eastAsia="Calibri" w:cstheme="minorHAnsi"/>
        </w:rPr>
        <w:fldChar w:fldCharType="begin" w:fldLock="1"/>
      </w:r>
      <w:r w:rsidRPr="00B1522E">
        <w:rPr>
          <w:rFonts w:eastAsia="Calibri" w:cstheme="minorHAnsi"/>
        </w:rPr>
        <w:instrText>ADDIN CSL_CITATION {"citationItems":[{"id":"ITEM-1","itemData":{"ISSN":"1124-4909","author":[{"dropping-particle":"","family":"Kelishadi","given":"Roya","non-dropping-particle":"","parse-names":false,"suffix":""},{"dropping-particle":"","family":"Mozafarian","given":"Nafiseh","non-dropping-particle":"","parse-names":false,"suffix":""},{"dropping-particle":"","family":"Qorbani","given":"Mostafa","non-dropping-particle":"","parse-names":false,"suffix":""},{"dropping-particle":"","family":"Motlagh","given":"Mohammad Esmaeil","non-dropping-particle":"","parse-names":false,"suffix":""},{"dropping-particle":"","family":"Safiri","given":"Saeid","non-dropping-particle":"","parse-names":false,"suffix":""},{"dropping-particle":"","family":"Ardalan","given":"Gelayol","non-dropping-particle":"","parse-names":false,"suffix":""},{"dropping-particle":"","family":"Keikhah","given":"Mojtaba","non-dropping-particle":"","parse-names":false,"suffix":""},{"dropping-particle":"","family":"Rezaei","given":"Fatemeh","non-dropping-particle":"","parse-names":false,"suffix":""},{"dropping-particle":"","family":"Heshmat","given":"Ramin","non-dropping-particle":"","parse-names":false,"suffix":""}],"container-title":"Eating and Weight Disorders-Studies on Anorexia, Bulimia and Obesity","id":"ITEM-1","issue":"2","issued":{"date-parts":[["2017"]]},"page":"321-328","publisher":"Springer","title":"Is snack consumption associated with meal skipping in children and adolescents? The CASPIAN-IV study","type":"article-journal","volume":"22"},"uris":["http://www.mendeley.com/documents/?uuid=198b58ab-3e34-4fb2-bb3c-8c9760ce588e","http://www.mendeley.com/documents/?uuid=6c44d9d2-99f6-4921-ad94-52c3a382e93e"]}],"mendeley":{"formattedCitation":"(Kelishadi et al., 2017)","plainTextFormattedCitation":"(Kelishadi et al., 2017)","previouslyFormattedCitation":"(Kelishadi et al., 2017)"},"properties":{"noteIndex":0},"schema":"https://github.com/citation-style-language/schema/raw/master/csl-citation.json"}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(Kelishadi et al., 2017)</w:t>
      </w:r>
      <w:r w:rsidRPr="00B1522E">
        <w:rPr>
          <w:rFonts w:eastAsia="Calibri" w:cstheme="minorHAnsi"/>
        </w:rPr>
        <w:fldChar w:fldCharType="end"/>
      </w:r>
      <w:r w:rsidRPr="00B1522E">
        <w:rPr>
          <w:rFonts w:eastAsia="Calibri" w:cstheme="minorHAnsi"/>
        </w:rPr>
        <w:t xml:space="preserve"> and better </w:t>
      </w:r>
      <w:r w:rsidRPr="00B1522E">
        <w:rPr>
          <w:rFonts w:eastAsia="Calibri" w:cstheme="minorHAnsi"/>
        </w:rPr>
        <w:lastRenderedPageBreak/>
        <w:t xml:space="preserve">nutritional intake </w:t>
      </w:r>
      <w:r w:rsidRPr="00B1522E">
        <w:rPr>
          <w:rFonts w:eastAsia="Calibri" w:cstheme="minorHAnsi"/>
        </w:rPr>
        <w:fldChar w:fldCharType="begin" w:fldLock="1"/>
      </w:r>
      <w:r w:rsidR="00782D30" w:rsidRPr="00B1522E">
        <w:rPr>
          <w:rFonts w:eastAsia="Calibri" w:cstheme="minorHAnsi"/>
        </w:rPr>
        <w:instrText>ADDIN CSL_CITATION {"citationItems":[{"id":"ITEM-1","itemData":{"ISSN":"0002-8223","author":[{"dropping-particle":"","family":"Larson","given":"Nicole I","non-dropping-particle":"","parse-names":false,"suffix":""},{"dropping-particle":"","family":"Neumark-Sztainer","given":"Dianne","non-dropping-particle":"","parse-names":false,"suffix":""},{"dropping-particle":"","family":"Hannan","given":"Peter J","non-dropping-particle":"","parse-names":false,"suffix":""},{"dropping-particle":"","family":"Story","given":"Mary","non-dropping-particle":"","parse-names":false,"suffix":""}],"container-title":"Journal of the American Dietetic Association","id":"ITEM-1","issue":"9","issued":{"date-parts":[["2007"]]},"page":"1502-1510","publisher":"Elsevier","title":"Family meals during adolescence are associated with higher diet quality and healthful meal patterns during young adulthood","type":"article-journal","volume":"107"},"uris":["http://www.mendeley.com/documents/?uuid=81bf1168-ddb1-496c-884d-f68ba6db982f"]}],"mendeley":{"formattedCitation":"(N. I. Larson et al., 2007)","manualFormatting":"(Larson et al., 2007)","plainTextFormattedCitation":"(N. I. Larson et al., 2007)","previouslyFormattedCitation":"(N. I. Larson et al., 2007)"},"properties":{"noteIndex":0},"schema":"https://github.com/citation-style-language/schema/raw/master/csl-citation.json"}</w:instrText>
      </w:r>
      <w:r w:rsidRPr="00B1522E">
        <w:rPr>
          <w:rFonts w:eastAsia="Calibri" w:cstheme="minorHAnsi"/>
        </w:rPr>
        <w:fldChar w:fldCharType="separate"/>
      </w:r>
      <w:r w:rsidR="0048570A" w:rsidRPr="00B1522E">
        <w:rPr>
          <w:rFonts w:eastAsia="Calibri" w:cstheme="minorHAnsi"/>
          <w:noProof/>
        </w:rPr>
        <w:t>(Larson et al., 2007)</w:t>
      </w:r>
      <w:r w:rsidRPr="00B1522E">
        <w:rPr>
          <w:rFonts w:eastAsia="Calibri" w:cstheme="minorHAnsi"/>
        </w:rPr>
        <w:fldChar w:fldCharType="end"/>
      </w:r>
      <w:r w:rsidRPr="00B1522E">
        <w:rPr>
          <w:rFonts w:eastAsia="Calibri" w:cstheme="minorHAnsi"/>
        </w:rPr>
        <w:t>. However, there is limited research that investigates the long-term effects of unhealthy snacking on overall diets of adolescents.</w:t>
      </w:r>
      <w:r w:rsidRPr="00B1522E">
        <w:rPr>
          <w:rFonts w:eastAsia="Calibri" w:cstheme="minorHAnsi"/>
          <w:b/>
        </w:rPr>
        <w:t xml:space="preserve"> </w:t>
      </w:r>
      <w:r w:rsidRPr="00B1522E">
        <w:rPr>
          <w:rFonts w:eastAsia="Calibri" w:cstheme="minorHAnsi"/>
        </w:rPr>
        <w:t xml:space="preserve">The findings also demonstrated that participants know about the short- and long-term implications of healthy eating patterns but this does not seem to be enough to deter them from unhealthy eating behaviours. Prior research has suggested that adolescents have a lack of concern over eating a healthy diet </w:t>
      </w:r>
      <w:r w:rsidRPr="00B1522E">
        <w:rPr>
          <w:rFonts w:eastAsia="Calibri" w:cstheme="minorHAnsi"/>
        </w:rPr>
        <w:fldChar w:fldCharType="begin" w:fldLock="1"/>
      </w:r>
      <w:r w:rsidR="00DF6CCC" w:rsidRPr="00B1522E">
        <w:rPr>
          <w:rFonts w:eastAsia="Calibri" w:cstheme="minorHAnsi"/>
        </w:rPr>
        <w:instrText>ADDIN CSL_CITATION {"citationItems":[{"id":"ITEM-1","itemData":{"ISSN":"1741-3850","author":[{"dropping-particle":"","family":"Tyrrell","given":"Rachel L","non-dropping-particle":"","parse-names":false,"suffix":""},{"dropping-particle":"","family":"Townshend","given":"T G","non-dropping-particle":"","parse-names":false,"suffix":""},{"dropping-particle":"","family":"Adamson","given":"Ashley J","non-dropping-particle":"","parse-names":false,"suffix":""},{"dropping-particle":"","family":"Lake","given":"Amelia A","non-dropping-particle":"","parse-names":false,"suffix":""}],"container-title":"Journal of Public Health","id":"ITEM-1","issue":"2","issued":{"date-parts":[["2015"]]},"page":"289-299","publisher":"Oxford University Press","title":"‘I'm not trusted in the kitchen’: food environments and food behaviours of young people attending school and college","type":"article-journal","volume":"38"},"uris":["http://www.mendeley.com/documents/?uuid=ce7a2029-eb39-4a87-b1b4-c01fd71321ff"]}],"mendeley":{"formattedCitation":"(Tyrrell et al., 2015)","plainTextFormattedCitation":"(Tyrrell et al., 2015)","previouslyFormattedCitation":"(Tyrrell et al., 2015)"},"properties":{"noteIndex":0},"schema":"https://github.com/citation-style-language/schema/raw/master/csl-citation.json"}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(Tyrrell et al., 2015)</w:t>
      </w:r>
      <w:r w:rsidRPr="00B1522E">
        <w:rPr>
          <w:rFonts w:eastAsia="Calibri" w:cstheme="minorHAnsi"/>
        </w:rPr>
        <w:fldChar w:fldCharType="end"/>
      </w:r>
      <w:r w:rsidRPr="00B1522E">
        <w:rPr>
          <w:rFonts w:eastAsia="Calibri" w:cstheme="minorHAnsi"/>
        </w:rPr>
        <w:t xml:space="preserve"> which may be associated with perceptions that they are too young to worry about</w:t>
      </w:r>
      <w:r w:rsidRPr="00B1522E">
        <w:rPr>
          <w:rFonts w:cstheme="minorHAnsi"/>
        </w:rPr>
        <w:t xml:space="preserve"> </w:t>
      </w:r>
      <w:r w:rsidRPr="00B1522E">
        <w:rPr>
          <w:rFonts w:eastAsia="Calibri" w:cstheme="minorHAnsi"/>
        </w:rPr>
        <w:t xml:space="preserve">longer-term consequences of ill health due to a poor diet till much later on in life </w:t>
      </w:r>
      <w:r w:rsidRPr="00B1522E">
        <w:rPr>
          <w:rFonts w:eastAsia="Calibri" w:cstheme="minorHAnsi"/>
        </w:rPr>
        <w:fldChar w:fldCharType="begin" w:fldLock="1"/>
      </w:r>
      <w:r w:rsidR="00DF6CCC" w:rsidRPr="00B1522E">
        <w:rPr>
          <w:rFonts w:eastAsia="Calibri" w:cstheme="minorHAnsi"/>
        </w:rPr>
        <w:instrText>ADDIN CSL_CITATION {"citationItems":[{"id":"ITEM-1","itemData":{"ISSN":"0002-8223","author":[{"dropping-particle":"","family":"Neumark-Sztainer","given":"Dianne","non-dropping-particle":"","parse-names":false,"suffix":""},{"dropping-particle":"","family":"Story","given":"Mary","non-dropping-particle":"","parse-names":false,"suffix":""},{"dropping-particle":"","family":"Perry","given":"Cheryl","non-dropping-particle":"","parse-names":false,"suffix":""},{"dropping-particle":"","family":"Casey","given":"Mary Anne","non-dropping-particle":"","parse-names":false,"suffix":""}],"container-title":"Journal of the American dietetic association","id":"ITEM-1","issue":"8","issued":{"date-parts":[["1999"]]},"page":"929-937","publisher":"Elsevier","title":"Factors influencing food choices of adolescents: findings from focus-group discussions with adolescents","type":"article-journal","volume":"99"},"uris":["http://www.mendeley.com/documents/?uuid=c3223cb2-6541-497c-b664-a97b7af43307"]}],"mendeley":{"formattedCitation":"(Neumark-Sztainer et al., 1999)","plainTextFormattedCitation":"(Neumark-Sztainer et al., 1999)","previouslyFormattedCitation":"(Neumark-Sztainer et al., 1999)"},"properties":{"noteIndex":0},"schema":"https://github.com/citation-style-language/schema/raw/master/csl-citation.json"}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(Neumark-Sztainer et al., 1999)</w:t>
      </w:r>
      <w:r w:rsidRPr="00B1522E">
        <w:rPr>
          <w:rFonts w:eastAsia="Calibri" w:cstheme="minorHAnsi"/>
        </w:rPr>
        <w:fldChar w:fldCharType="end"/>
      </w:r>
      <w:r w:rsidRPr="00B1522E">
        <w:rPr>
          <w:rFonts w:eastAsia="Calibri" w:cstheme="minorHAnsi"/>
        </w:rPr>
        <w:t xml:space="preserve">. Lastly, participants suggested that their social and environmental </w:t>
      </w:r>
      <w:r w:rsidRPr="00B1522E">
        <w:rPr>
          <w:rFonts w:cstheme="minorHAnsi"/>
        </w:rPr>
        <w:t xml:space="preserve">surroundings directly affected their eating behaviours. </w:t>
      </w:r>
    </w:p>
    <w:bookmarkEnd w:id="144"/>
    <w:p w14:paraId="5D32C59F" w14:textId="261C65B3" w:rsidR="00C610CB" w:rsidRPr="00B1522E" w:rsidRDefault="00C610CB" w:rsidP="00B07823">
      <w:pPr>
        <w:spacing w:line="480" w:lineRule="auto"/>
        <w:ind w:firstLine="720"/>
        <w:jc w:val="both"/>
        <w:rPr>
          <w:rFonts w:eastAsia="Calibri" w:cstheme="minorHAnsi"/>
        </w:rPr>
      </w:pPr>
      <w:r w:rsidRPr="00B1522E">
        <w:rPr>
          <w:rFonts w:eastAsia="Calibri" w:cstheme="minorHAnsi"/>
        </w:rPr>
        <w:t xml:space="preserve">The present study’s findings suggest that adolescents’ social surroundings have an impact on their dietary behaviours, including the influence of the family home environment and, most notably, peer influences at school. Interestingly, participants typically describe family, and peers even more so, as having a </w:t>
      </w:r>
      <w:r w:rsidRPr="00B1522E">
        <w:rPr>
          <w:rFonts w:eastAsia="Calibri" w:cstheme="minorHAnsi"/>
          <w:i/>
        </w:rPr>
        <w:t>negative</w:t>
      </w:r>
      <w:r w:rsidRPr="00B1522E">
        <w:rPr>
          <w:rFonts w:eastAsia="Calibri" w:cstheme="minorHAnsi"/>
        </w:rPr>
        <w:t xml:space="preserve"> influence on their eating behaviour by encouraging more unhealthy behaviours, which potentially could make it difficult to change behaviour.  Adolescent peers have been identified as having a strong influence on adolescents’ eating behaviours </w:t>
      </w:r>
      <w:r w:rsidRPr="00B1522E">
        <w:rPr>
          <w:rFonts w:eastAsia="Calibri" w:cstheme="minorHAnsi"/>
        </w:rPr>
        <w:fldChar w:fldCharType="begin" w:fldLock="1"/>
      </w:r>
      <w:r w:rsidR="004F7789" w:rsidRPr="00B1522E">
        <w:rPr>
          <w:rFonts w:eastAsia="Calibri" w:cstheme="minorHAnsi"/>
        </w:rPr>
        <w:instrText>ADDIN CSL_CITATION {"citationItems":[{"id":"ITEM-1","itemData":{"ISSN":"1368-9800","author":[{"dropping-particle":"","family":"Stok","given":"F","non-dropping-particle":"","parse-names":false,"suffix":""},{"dropping-particle":"","family":"Vet","given":"Emely","non-dropping-particle":"de","parse-names":false,"suffix":""},{"dropping-particle":"","family":"Wit","given":"John B F","non-dropping-particle":"de","parse-names":false,"suffix":""},{"dropping-particle":"","family":"Luszczynska","given":"Aleksandra","non-dropping-particle":"","parse-names":false,"suffix":""},{"dropping-particle":"","family":"Safron","given":"Magdalena","non-dropping-particle":"","parse-names":false,"suffix":""},{"dropping-particle":"","family":"Ridder","given":"Denise T D","non-dropping-particle":"de","parse-names":false,"suffix":""}],"container-title":"Public health nutrition","id":"ITEM-1","issue":"6","issued":{"date-parts":[["2015"]]},"page":"1044-1051","publisher":"Cambridge University Press","title":"The proof is in the eating: subjective peer norms are associated with adolescents’ eating behaviour","type":"article-journal","volume":"18"},"uris":["http://www.mendeley.com/documents/?uuid=9b0f31cb-c873-4b8c-a9c1-863ac621b8ed"]},{"id":"ITEM-2","itemData":{"ISSN":"0965-4283","author":[{"dropping-particle":"","family":"Kumar","given":"Janavi","non-dropping-particle":"","parse-names":false,"suffix":""},{"dropping-particle":"","family":"Adhikari","given":"Koushik","non-dropping-particle":"","parse-names":false,"suffix":""},{"dropping-particle":"","family":"Li","given":"Yijing","non-dropping-particle":"","parse-names":false,"suffix":""},{"dropping-particle":"","family":"Lindshield","given":"Erika","non-dropping-particle":"","parse-names":false,"suffix":""},{"dropping-particle":"","family":"Muturi","given":"Nancy","non-dropping-particle":"","parse-names":false,"suffix":""},{"dropping-particle":"","family":"Kidd","given":"Tandalayo","non-dropping-particle":"","parse-names":false,"suffix":""}],"container-title":"Health Education","id":"ITEM-2","issue":"2","issued":{"date-parts":[["2016"]]},"page":"123-137","publisher":"Emerald Group Publishing Limited","title":"Identifying barriers, perceptions and motivations related to healthy eating and physical activity among 6th to 8th grade, rural, limited-resource adolescents","type":"article-journal","volume":"116"},"uris":["http://www.mendeley.com/documents/?uuid=2fab2ee2-dc93-4579-acb9-2b0d27600363"]}],"mendeley":{"formattedCitation":"(Kumar et al., 2016; F. Stok et al., 2015)","manualFormatting":"(Kumar et al., 2016)","plainTextFormattedCitation":"(Kumar et al., 2016; F. Stok et al., 2015)","previouslyFormattedCitation":"(Kumar et al., 2016; F. Stok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(Kumar et al., 2016)</w:t>
      </w:r>
      <w:r w:rsidRPr="00B1522E">
        <w:rPr>
          <w:rFonts w:eastAsia="Calibri" w:cstheme="minorHAnsi"/>
        </w:rPr>
        <w:fldChar w:fldCharType="end"/>
      </w:r>
      <w:r w:rsidRPr="00B1522E">
        <w:rPr>
          <w:rFonts w:eastAsia="Calibri" w:cstheme="minorHAnsi"/>
        </w:rPr>
        <w:t xml:space="preserve">, as individuals at this age become less dependent on their families, develop strong peer networks and have a strong need for peer approval </w:t>
      </w:r>
      <w:r w:rsidRPr="00B1522E">
        <w:rPr>
          <w:rFonts w:eastAsia="Calibri" w:cstheme="minorHAnsi"/>
        </w:rPr>
        <w:fldChar w:fldCharType="begin" w:fldLock="1"/>
      </w:r>
      <w:r w:rsidR="007463D4" w:rsidRPr="00B1522E">
        <w:rPr>
          <w:rFonts w:eastAsia="Calibri" w:cstheme="minorHAnsi"/>
        </w:rPr>
        <w:instrText>ADDIN CSL_CITATION {"citationItems":[{"id":"ITEM-1","itemData":{"ISSN":"1479-5868","abstract":"BACKGROUND: Late adolescence to early adulthood is a period of lifestyle change and personal development which may influence dietary behaviour. Understanding dietary trajectories across this age range may help in targeting interventions appropriately. This scoping review aimed to assess how longitudinal change in diet is conceptualised and measured between the ages of 13 to 30. METHODS: We searched Medline, SCOPUS, Embase, PsycInfo (EBSCO), ASSIA, Sportdiscus, and Web of Science Core Collection (January 2016) using search terms combining diet outcomes, longitudinal methods and indicators of adolescent or young adult age. Titles and abstracts were screened and data extracted following published guidelines for scoping reviews. Data were analysed to summarize key data on each study and map availability of longitudinal data on macronutrients and food groups by age of study participants. RESULTS: We identified 98 papers reporting on 40 studies. Longitudinal dietary data were available on intake of energy, key macronutrients and several food groups, but this data had significant gaps and limitations. Most studies provided only two or three waves of data within the age range of interest and few studies reported data collected beyond the early twenties. A range of dietary assessment methods were used, with greater use of less comprehensive dietary assessment methods among studies reporting food group intakes. CONCLUSION: Despite limited availability of longitudinal data to aid understanding of dietary trajectories across this age range, this scoping review identified areas with scope for further evidence synthesis. We identified a paucity of longitudinal data continuing into the mid and late twenties, variability in (quality of) dietary assessment methods, and a large variety of macronutrients and food groups studied. Advances in dietary assessment methodologies as well as increased use of social media may facilitate new data collection to further understanding of changing diet across this life stage. ELECTRONIC SUPPLEMENTARY MATERIAL: The online version of this article (doi:10.1186/s12966-017-0518-7) contains supplementary material, which is available to authorized users.","author":[{"dropping-particle":"","family":"Winpenny","given":"Eleanor M","non-dropping-particle":"","parse-names":false,"suffix":""},{"dropping-particle":"","family":"Penney","given":"Tarra L","non-dropping-particle":"","parse-names":false,"suffix":""},{"dropping-particle":"","family":"Corder","given":"Kirsten","non-dropping-particle":"","parse-names":false,"suffix":""},{"dropping-particle":"","family":"White","given":"Martin","non-dropping-particle":"","parse-names":false,"suffix":""},{"dropping-particle":"","family":"Sluijs","given":"Esther M F","non-dropping-particle":"van","parse-names":false,"suffix":""}],"container-title":"The International Journal of Behavioral Nutrition and Physical Activity","id":"ITEM-1","issued":{"date-parts":[["2017","5"]]},"page":"60","publisher":"BioMed Central","publisher-place":"London","title":"Change in diet in the period from adolescence to early adulthood: a systematic scoping review of longitudinal studies","type":"article-journal","volume":"14"},"uris":["http://www.mendeley.com/documents/?uuid=ef497883-d641-4b7d-aee2-aba1f6aa2f77"]},{"id":"ITEM-2","itemData":{"ISBN":"1136649468","author":[{"dropping-particle":"","family":"Coleman","given":"John","non-dropping-particle":"","parse-names":false,"suffix":""}],"id":"ITEM-2","issued":{"date-parts":[["2011"]]},"publisher":"Routledge","publisher-place":"London","title":"The nature of adolescence","type":"book"},"uris":["http://www.mendeley.com/documents/?uuid=2f77478c-db32-4802-9940-28d2e7c167d5"]}],"mendeley":{"formattedCitation":"(Coleman, 2011; Winpenny et al., 2017)","plainTextFormattedCitation":"(Coleman, 2011; Winpenny et al., 2017)","previouslyFormattedCitation":"(Coleman, 2011; Winpenny et al., 2017)"},"properties":{"noteIndex":0},"schema":"https://github.com/citation-style-language/schema/raw/master/csl-citation.json"}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(Coleman, 2011; Winpenny et al., 2017)</w:t>
      </w:r>
      <w:r w:rsidRPr="00B1522E">
        <w:rPr>
          <w:rFonts w:eastAsia="Calibri" w:cstheme="minorHAnsi"/>
        </w:rPr>
        <w:fldChar w:fldCharType="end"/>
      </w:r>
      <w:r w:rsidRPr="00B1522E">
        <w:rPr>
          <w:rFonts w:eastAsia="Calibri" w:cstheme="minorHAnsi"/>
        </w:rPr>
        <w:t xml:space="preserve">. Participants in this study suggested that they wanted to be similar to their peers, so they would match what they believed their friends were eating, and they suggested if their friends had healthier eating behaviours they would too. Individuals at this age may not want to be seen to be different in terms of their eating behaviours and use the perceived peers’ behaviours as a way of modelling their own behaviour to conform to perceived eating norms </w:t>
      </w:r>
      <w:r w:rsidRPr="00B1522E">
        <w:rPr>
          <w:rFonts w:eastAsia="Calibri" w:cstheme="minorHAnsi"/>
        </w:rPr>
        <w:fldChar w:fldCharType="begin" w:fldLock="1"/>
      </w:r>
      <w:r w:rsidRPr="00B1522E">
        <w:rPr>
          <w:rFonts w:eastAsia="Calibri" w:cstheme="minorHAnsi"/>
        </w:rPr>
        <w:instrText>ADDIN CSL_CITATION {"citationItems":[{"id":"ITEM-1","itemData":{"ISBN":"1136649468","author":[{"dropping-particle":"","family":"Coleman","given":"John","non-dropping-particle":"","parse-names":false,"suffix":""}],"id":"ITEM-1","issued":{"date-parts":[["2011"]]},"publisher":"Routledge","publisher-place":"London","title":"The nature of adolescence","type":"book"},"uris":["http://www.mendeley.com/documents/?uuid=2f77478c-db32-4802-9940-28d2e7c167d5"]}],"mendeley":{"formattedCitation":"(Coleman, 2011)","plainTextFormattedCitation":"(Coleman, 2011)","previouslyFormattedCitation":"(Coleman,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(Coleman, 2011)</w:t>
      </w:r>
      <w:r w:rsidRPr="00B1522E">
        <w:rPr>
          <w:rFonts w:eastAsia="Calibri" w:cstheme="minorHAnsi"/>
        </w:rPr>
        <w:fldChar w:fldCharType="end"/>
      </w:r>
      <w:r w:rsidRPr="00B1522E">
        <w:rPr>
          <w:rFonts w:eastAsia="Calibri" w:cstheme="minorHAnsi"/>
        </w:rPr>
        <w:t xml:space="preserve">. </w:t>
      </w:r>
    </w:p>
    <w:p w14:paraId="7FD4469D" w14:textId="49E9AC71" w:rsidR="00C610CB" w:rsidRPr="00B1522E" w:rsidRDefault="00C610CB" w:rsidP="00B07823">
      <w:pPr>
        <w:spacing w:line="480" w:lineRule="auto"/>
        <w:ind w:firstLine="720"/>
        <w:jc w:val="both"/>
        <w:rPr>
          <w:rFonts w:eastAsia="Calibri" w:cstheme="minorHAnsi"/>
        </w:rPr>
      </w:pPr>
      <w:r w:rsidRPr="00B1522E">
        <w:rPr>
          <w:rFonts w:eastAsia="Calibri" w:cstheme="minorHAnsi"/>
        </w:rPr>
        <w:t xml:space="preserve">A novel feature of the present study’s findings are the sex differences in the perceived social influences on eating behaviour. Girls perceived that boys were judging them and teasing girls who did not conform to what boys’ thought was a socially acceptable eating behaviour. One explanation may </w:t>
      </w:r>
      <w:r w:rsidRPr="00B1522E">
        <w:rPr>
          <w:rFonts w:eastAsia="Calibri" w:cstheme="minorHAnsi"/>
        </w:rPr>
        <w:lastRenderedPageBreak/>
        <w:t xml:space="preserve">be perceived ‘opposite-sex norms’ which assume that an individual’s behaviour is affected by how they think the opposite sex think they should behave </w:t>
      </w:r>
      <w:r w:rsidRPr="00B1522E">
        <w:rPr>
          <w:rFonts w:eastAsia="Calibri" w:cstheme="minorHAnsi"/>
        </w:rPr>
        <w:fldChar w:fldCharType="begin" w:fldLock="1"/>
      </w:r>
      <w:r w:rsidR="00DF6CCC" w:rsidRPr="00B1522E">
        <w:rPr>
          <w:rFonts w:eastAsia="Calibri" w:cstheme="minorHAnsi"/>
        </w:rPr>
        <w:instrText>ADDIN CSL_CITATION {"citationItems":[{"id":"ITEM-1","itemData":{"ISSN":"0893-164X","abstract":"Misperceptions of peer drinking norms have been found to be strongly associated with individual drinking behavior, especially for proximal reference groups such as same-sex friends. Less studied are the effects of perceived preferences from the opposite sex on alcohol use; that is, the behaviors an individual believe the opposite sex prefers from them. Research suggests that these perceived “reflective” normative preferences may be particularly salient among college women, who may drink in pursuit of intimate relationships and positive attention from male peers. Heterosexual undergraduate students from two universities participated in this project. Females answered questions regarding the amount of alcohol they believe a typical male would like his female friends, dates, or romantic partners to drink. Males answered the same questions, stating their actual preferences. Results showed that females overestimate the amount of alcohol males want their female friends, dating partners, and sexual partners to drink, and that this misperception was associated with their drinking behavior, even after controlling for perceived same-sex norms. These results suggest that reflective normative feedback may offer a powerful new tool for female-targeted interventions.","author":[{"dropping-particle":"","family":"LaBrie","given":"Joseph W","non-dropping-particle":"","parse-names":false,"suffix":""},{"dropping-particle":"","family":"Cail","given":"Jessica","non-dropping-particle":"","parse-names":false,"suffix":""},{"dropping-particle":"","family":"Hummer","given":"Justin F","non-dropping-particle":"","parse-names":false,"suffix":""},{"dropping-particle":"","family":"Lac","given":"Andrew","non-dropping-particle":"","parse-names":false,"suffix":""},{"dropping-particle":"","family":"Neighbors","given":"Clayton","non-dropping-particle":"","parse-names":false,"suffix":""}],"container-title":"Psychology of addictive behaviors : journal of the Society of Psychologists in Addictive Behaviors","id":"ITEM-1","issue":"1","issued":{"date-parts":[["2009","3"]]},"page":"157-162","title":"What Men Want: The Role of Reflective Opposite-Sex Normative Preferences in Alcohol Use Among College Women","type":"article-journal","volume":"23"},"uris":["http://www.mendeley.com/documents/?uuid=111416f7-48f2-47c6-90c4-bd73690b08ce"]},{"id":"ITEM-2","itemData":{"ISSN":"0306-4603","author":[{"dropping-particle":"","family":"Hummer","given":"Justin F","non-dropping-particle":"","parse-names":false,"suffix":""},{"dropping-particle":"","family":"LaBrie","given":"Joseph W","non-dropping-particle":"","parse-names":false,"suffix":""},{"dropping-particle":"","family":"Lac","given":"Andrew","non-dropping-particle":"","parse-names":false,"suffix":""},{"dropping-particle":"","family":"Sessoms","given":"Ashley","non-dropping-particle":"","parse-names":false,"suffix":""},{"dropping-particle":"","family":"Cail","given":"Jessica","non-dropping-particle":"","parse-names":false,"suffix":""}],"container-title":"Addictive behaviors","id":"ITEM-2","issue":"5","issued":{"date-parts":[["2012"]]},"page":"596-604","publisher":"Elsevier","title":"Estimates and influences of reflective opposite-sex norms on alcohol use among a high-risk sample of college students: Exploring Greek-affiliation and gender effects","type":"article-journal","volume":"37"},"uris":["http://www.mendeley.com/documents/?uuid=2a5aa71b-8089-4108-b61f-3adbac43cbf6"]}],"mendeley":{"formattedCitation":"(Hummer et al., 2012; LaBrie et al., 2009)","plainTextFormattedCitation":"(Hummer et al., 2012; LaBrie et al., 2009)","previouslyFormattedCitation":"(Hummer et al., 2012; LaBrie et al., 2009)"},"properties":{"noteIndex":0},"schema":"https://github.com/citation-style-language/schema/raw/master/csl-citation.json"}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(Hummer et al., 2012; LaBrie et al., 2009)</w:t>
      </w:r>
      <w:r w:rsidRPr="00B1522E">
        <w:rPr>
          <w:rFonts w:eastAsia="Calibri" w:cstheme="minorHAnsi"/>
        </w:rPr>
        <w:fldChar w:fldCharType="end"/>
      </w:r>
      <w:r w:rsidRPr="00B1522E">
        <w:rPr>
          <w:rFonts w:eastAsia="Calibri" w:cstheme="minorHAnsi"/>
        </w:rPr>
        <w:t>. Girls within this study were seemingly influenced by the opposite-sex norms set by the boys to eat more unhealthy foods when boys were present. This suggests that the sexes differ in perception which may influence eating behaviours within this age group and may need addressing within future research.</w:t>
      </w:r>
    </w:p>
    <w:p w14:paraId="0DA5FDC8" w14:textId="5BE01DFC" w:rsidR="00C610CB" w:rsidRPr="00B1522E" w:rsidRDefault="00C610CB" w:rsidP="00116703">
      <w:pPr>
        <w:spacing w:line="480" w:lineRule="auto"/>
        <w:ind w:firstLine="720"/>
        <w:jc w:val="both"/>
        <w:rPr>
          <w:rFonts w:eastAsia="Calibri" w:cstheme="minorHAnsi"/>
        </w:rPr>
      </w:pPr>
      <w:r w:rsidRPr="00B1522E">
        <w:rPr>
          <w:rFonts w:eastAsia="Calibri" w:cstheme="minorHAnsi"/>
        </w:rPr>
        <w:t xml:space="preserve">The framework analysis in this study also outlines environmental factors that students perceived as being barriers to consuming more nutrient-rich healthy foods. For example, observing other people eat unhealthy food and seeing certain food advertisements provided cues to eating unhealthily, which may lead to an increase in consumption of unhealthy food </w:t>
      </w:r>
      <w:r w:rsidRPr="00B1522E">
        <w:rPr>
          <w:rFonts w:eastAsia="Calibri" w:cstheme="minorHAnsi"/>
        </w:rPr>
        <w:fldChar w:fldCharType="begin" w:fldLock="1"/>
      </w:r>
      <w:r w:rsidR="00DF6CCC" w:rsidRPr="00B1522E">
        <w:rPr>
          <w:rFonts w:eastAsia="Calibri" w:cstheme="minorHAnsi"/>
        </w:rPr>
        <w:instrText>ADDIN CSL_CITATION {"citationItems":[{"id":"ITEM-1","itemData":{"ISSN":"0970-0218","author":[{"dropping-particle":"","family":"Gupta","given":"Setu","non-dropping-particle":"","parse-names":false,"suffix":""},{"dropping-particle":"","family":"Kalra","given":"Swati","non-dropping-particle":"","parse-names":false,"suffix":""},{"dropping-particle":"","family":"Kaushik","given":"JayaShankar Shankar","non-dropping-particle":"","parse-names":false,"suffix":""},{"dropping-particle":"","family":"Gupta","given":"Piyush","non-dropping-particle":"","parse-names":false,"suffix":""}],"container-title":"Indian journal of community medicine: official publication of Indian Association of Preventive &amp; Social Medicine","id":"ITEM-1","issue":"1","issued":{"date-parts":[["2017"]]},"page":"43-45","publisher":"Medknow Publications","title":"Content of food advertising for young adolescents on television","type":"article-journal","volume":"42"},"uris":["http://www.mendeley.com/documents/?uuid=fa7880d2-abf5-4c82-bfb9-640305f80faa"]},{"id":"ITEM-2","itemData":{"ISSN":"0002-8223","author":[{"dropping-particle":"","family":"Borzekowski","given":"Dina L G","non-dropping-particle":"","parse-names":false,"suffix":""},{"dropping-particle":"","family":"Robinson","given":"Thomas N","non-dropping-particle":"","parse-names":false,"suffix":""}],"container-title":"Journal of the American Dietetic Association","id":"ITEM-2","issue":"1","issued":{"date-parts":[["2001"]]},"page":"42-46","publisher":"Elsevier","title":"The 30-second effect: an experiment revealing the impact of television commercials on food preferences of preschoolers","type":"article-journal","volume":"101"},"uris":["http://www.mendeley.com/documents/?uuid=0339c395-579b-4adc-80ea-10748ff37568"]}],"mendeley":{"formattedCitation":"(Borzekowski &amp; Robinson, 2001; S. Gupta et al., 2017)","manualFormatting":"(Borzekowski &amp; Robinson, 2001; Gupta et al., 2017)","plainTextFormattedCitation":"(Borzekowski &amp; Robinson, 2001; S. Gupta et al., 2017)","previouslyFormattedCitation":"(Borzekowski &amp; Robinson, 2001; S. Gupta et al., 2017)"},"properties":{"noteIndex":0},"schema":"https://github.com/citation-style-language/schema/raw/master/csl-citation.json"}</w:instrText>
      </w:r>
      <w:r w:rsidRPr="00B1522E">
        <w:rPr>
          <w:rFonts w:eastAsia="Calibri" w:cstheme="minorHAnsi"/>
        </w:rPr>
        <w:fldChar w:fldCharType="separate"/>
      </w:r>
      <w:r w:rsidR="00D671A4" w:rsidRPr="00B1522E">
        <w:rPr>
          <w:rFonts w:eastAsia="Calibri" w:cstheme="minorHAnsi"/>
          <w:noProof/>
        </w:rPr>
        <w:t>(Borzekowski &amp; Robinson, 2001; Gupta et al., 2017)</w:t>
      </w:r>
      <w:r w:rsidRPr="00B1522E">
        <w:rPr>
          <w:rFonts w:eastAsia="Calibri" w:cstheme="minorHAnsi"/>
        </w:rPr>
        <w:fldChar w:fldCharType="end"/>
      </w:r>
      <w:r w:rsidRPr="00B1522E">
        <w:rPr>
          <w:rFonts w:eastAsia="Calibri" w:cstheme="minorHAnsi"/>
        </w:rPr>
        <w:t xml:space="preserve">.  Furthermore, our findings suggested that there was the perception that there was little or no healthy food obtainable to students in school and at the local shops, which in turn affects food choices. Other studies have confirmed, that (low) availability of healthy food is a perceived barrier to food choice </w:t>
      </w:r>
      <w:r w:rsidRPr="00B1522E">
        <w:rPr>
          <w:rFonts w:eastAsia="Calibri" w:cstheme="minorHAnsi"/>
        </w:rPr>
        <w:fldChar w:fldCharType="begin" w:fldLock="1"/>
      </w:r>
      <w:r w:rsidRPr="00B1522E">
        <w:rPr>
          <w:rFonts w:eastAsia="Calibri" w:cstheme="minorHAnsi"/>
        </w:rPr>
        <w:instrText>ADDIN CSL_CITATION {"citationItems":[{"id":"ITEM-1","itemData":{"ISSN":"0965-4283","author":[{"dropping-particle":"","family":"Kumar","given":"Janavi","non-dropping-particle":"","parse-names":false,"suffix":""},{"dropping-particle":"","family":"Adhikari","given":"Koushik","non-dropping-particle":"","parse-names":false,"suffix":""},{"dropping-particle":"","family":"Li","given":"Yijing","non-dropping-particle":"","parse-names":false,"suffix":""},{"dropping-particle":"","family":"Lindshield","given":"Erika","non-dropping-particle":"","parse-names":false,"suffix":""},{"dropping-particle":"","family":"Muturi","given":"Nancy","non-dropping-particle":"","parse-names":false,"suffix":""},{"dropping-particle":"","family":"Kidd","given":"Tandalayo","non-dropping-particle":"","parse-names":false,"suffix":""}],"container-title":"Health Education","id":"ITEM-1","issue":"2","issued":{"date-parts":[["2016"]]},"page":"123-137","publisher":"Emerald Group Publishing Limited","title":"Identifying barriers, perceptions and motivations related to healthy eating and physical activity among 6th to 8th grade, rural, limited-resource adolescents","type":"article-journal","volume":"116"},"uris":["http://www.mendeley.com/documents/?uuid=2fab2ee2-dc93-4579-acb9-2b0d27600363"]}],"mendeley":{"formattedCitation":"(Kumar et al., 2016)","plainTextFormattedCitation":"(Kumar et al., 2016)","previouslyFormattedCitation":"(Kumar et al., 2016)"},"properties":{"noteIndex":0},"schema":"https://github.com/citation-style-language/schema/raw/master/csl-citation.json"}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(Kumar et al., 2016)</w:t>
      </w:r>
      <w:r w:rsidRPr="00B1522E">
        <w:rPr>
          <w:rFonts w:eastAsia="Calibri" w:cstheme="minorHAnsi"/>
        </w:rPr>
        <w:fldChar w:fldCharType="end"/>
      </w:r>
      <w:r w:rsidRPr="00B1522E">
        <w:rPr>
          <w:rFonts w:eastAsia="Calibri" w:cstheme="minorHAnsi"/>
        </w:rPr>
        <w:t>. In sum,</w:t>
      </w:r>
      <w:r w:rsidRPr="00B1522E">
        <w:rPr>
          <w:rFonts w:cstheme="minorHAnsi"/>
        </w:rPr>
        <w:t xml:space="preserve"> </w:t>
      </w:r>
      <w:bookmarkStart w:id="145" w:name="_Hlk10544688"/>
      <w:r w:rsidRPr="00B1522E">
        <w:rPr>
          <w:rFonts w:eastAsia="Calibri" w:cstheme="minorHAnsi"/>
        </w:rPr>
        <w:t>students seem to hold the perception they consume unhealthy food because healthy food is less available and what is available is expensive and not as desirable as an unhealthy option.</w:t>
      </w:r>
      <w:bookmarkEnd w:id="145"/>
    </w:p>
    <w:p w14:paraId="3405A82A" w14:textId="77777777" w:rsidR="00C610CB" w:rsidRPr="00B1522E" w:rsidRDefault="00C610CB" w:rsidP="00B07823">
      <w:pPr>
        <w:spacing w:line="480" w:lineRule="auto"/>
        <w:jc w:val="both"/>
        <w:rPr>
          <w:rFonts w:eastAsia="Calibri" w:cstheme="minorHAnsi"/>
        </w:rPr>
      </w:pPr>
    </w:p>
    <w:bookmarkStart w:id="146" w:name="_Toc84678939"/>
    <w:p w14:paraId="58112A2C" w14:textId="4218AB86" w:rsidR="00C610CB" w:rsidRPr="00B1522E" w:rsidRDefault="00D91F68" w:rsidP="00B07823">
      <w:pPr>
        <w:spacing w:line="480" w:lineRule="auto"/>
      </w:pPr>
      <w:r w:rsidRPr="00B1522E">
        <w:fldChar w:fldCharType="begin"/>
      </w:r>
      <w:r w:rsidRPr="00B1522E">
        <w:instrText xml:space="preserve"> TC  "</w:instrText>
      </w:r>
      <w:bookmarkStart w:id="147" w:name="_Toc97310465"/>
      <w:r w:rsidRPr="00B1522E">
        <w:instrText>5.5.2 Strengths and Limitations</w:instrText>
      </w:r>
      <w:bookmarkEnd w:id="147"/>
      <w:r w:rsidRPr="00B1522E">
        <w:instrText xml:space="preserve"> " \f x\l 3 </w:instrText>
      </w:r>
      <w:r w:rsidRPr="00B1522E">
        <w:fldChar w:fldCharType="end"/>
      </w:r>
      <w:r w:rsidR="00990068" w:rsidRPr="00B1522E">
        <w:t xml:space="preserve">5.5.2 </w:t>
      </w:r>
      <w:r w:rsidR="00C610CB" w:rsidRPr="00B1522E">
        <w:t xml:space="preserve">Strengths and </w:t>
      </w:r>
      <w:r w:rsidR="00E3666D" w:rsidRPr="00B1522E">
        <w:t>L</w:t>
      </w:r>
      <w:r w:rsidR="00C610CB" w:rsidRPr="00B1522E">
        <w:t>imitations</w:t>
      </w:r>
      <w:bookmarkEnd w:id="146"/>
      <w:r w:rsidR="00C610CB" w:rsidRPr="00B1522E">
        <w:t xml:space="preserve"> </w:t>
      </w:r>
    </w:p>
    <w:p w14:paraId="258BCECD" w14:textId="77777777" w:rsidR="00C610CB" w:rsidRPr="00B1522E" w:rsidRDefault="00C610CB" w:rsidP="00B07823">
      <w:pPr>
        <w:spacing w:line="480" w:lineRule="auto"/>
        <w:jc w:val="both"/>
        <w:rPr>
          <w:rFonts w:eastAsia="Calibri" w:cstheme="minorHAnsi"/>
        </w:rPr>
      </w:pPr>
      <w:r w:rsidRPr="00B1522E">
        <w:rPr>
          <w:rFonts w:eastAsia="Calibri" w:cstheme="minorHAnsi"/>
        </w:rPr>
        <w:t xml:space="preserve">In terms of strengths of the present study, the use of Framework Analysis has helped to retain the individual voices of the students, understand students’ views of eating behaviours and identify potential sex differences in terms of healthy eating behaviours and perceived influences on eating behaviours. Similar issues with eating behaviours and perceived peer pressure were common to both schools sampled in this study. This is important, as children from the most deprived areas are twice as likely to become obese in adulthood </w:t>
      </w:r>
      <w:r w:rsidRPr="00B1522E">
        <w:rPr>
          <w:rFonts w:eastAsia="Calibri" w:cstheme="minorHAnsi"/>
        </w:rPr>
        <w:fldChar w:fldCharType="begin" w:fldLock="1"/>
      </w:r>
      <w:r w:rsidRPr="00B1522E">
        <w:rPr>
          <w:rFonts w:eastAsia="Calibri" w:cstheme="minorHAnsi"/>
        </w:rPr>
        <w:instrText>ADDIN CSL_CITATION {"citationItems":[{"id":"ITEM-1","itemData":{"author":[{"dropping-particle":"","family":"McLennan","given":"David","non-dropping-particle":"","parse-names":false,"suffix":""},{"dropping-particle":"","family":"Barnes","given":"Helen","non-dropping-particle":"","parse-names":false,"suffix":""},{"dropping-particle":"","family":"Noble","given":"Michael","non-dropping-particle":"","parse-names":false,"suffix":""},{"dropping-particle":"","family":"Davies","given":"Joanna","non-dropping-particle":"","parse-names":false,"suffix":""},{"dropping-particle":"","family":"Garratt","given":"Elisabeth","non-dropping-particle":"","parse-names":false,"suffix":""},{"dropping-particle":"","family":"Dibben","given":"Chris","non-dropping-particle":"","parse-names":false,"suffix":""}],"container-title":"London: Department for Communities and Local Government","id":"ITEM-1","issued":{"date-parts":[["2011"]]},"title":"The English indices of deprivation 2010","type":"article-journal"},"uris":["http://www.mendeley.com/documents/?uuid=5b5b6640-b3e6-4714-9d82-e8d685a2a67e"]}],"mendeley":{"formattedCitation":"(McLennan et al., 2011)","plainTextFormattedCitation":"(McLennan et al., 2011)","previouslyFormattedCitation":"(McLennan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(McLennan et al., 2011)</w:t>
      </w:r>
      <w:r w:rsidRPr="00B1522E">
        <w:rPr>
          <w:rFonts w:eastAsia="Calibri" w:cstheme="minorHAnsi"/>
        </w:rPr>
        <w:fldChar w:fldCharType="end"/>
      </w:r>
      <w:r w:rsidRPr="00B1522E">
        <w:rPr>
          <w:rFonts w:eastAsia="Calibri" w:cstheme="minorHAnsi"/>
        </w:rPr>
        <w:t xml:space="preserve">, so understanding their views and motivations for engaging in certain eating behaviours is important for interventions targeted at this specific population to help improve dietary behaviours. The qualitative approach taken in this study </w:t>
      </w:r>
      <w:r w:rsidRPr="00B1522E">
        <w:rPr>
          <w:rFonts w:eastAsia="Calibri" w:cstheme="minorHAnsi"/>
        </w:rPr>
        <w:lastRenderedPageBreak/>
        <w:t>did not aim to make comparisons (for example, between age groups or poor and rich neighbourhoods), nor did it aim to identify specific groups that are prone to eating more unhealthy foods.  Therefore, future quantitative research designs could explore differences between eating patterns, lifestyle, social influence and environmental influence would be useful.  Although the discussions provided insight into the perceived social influences on eating behaviours, these relationships need testing quantitatively to provide further support for the role of perceived norms on healthy eating behaviours in this age group.</w:t>
      </w:r>
    </w:p>
    <w:p w14:paraId="7F8948C3" w14:textId="77777777" w:rsidR="00C610CB" w:rsidRPr="00B1522E" w:rsidRDefault="00C610CB" w:rsidP="00C610CB">
      <w:pPr>
        <w:spacing w:line="480" w:lineRule="auto"/>
        <w:jc w:val="both"/>
        <w:rPr>
          <w:rFonts w:eastAsia="Calibri" w:cstheme="minorHAnsi"/>
        </w:rPr>
      </w:pPr>
    </w:p>
    <w:bookmarkStart w:id="148" w:name="_Toc84678940"/>
    <w:p w14:paraId="50B96D2E" w14:textId="18E4AA5F" w:rsidR="00C610CB" w:rsidRPr="00B1522E" w:rsidRDefault="00D91F68" w:rsidP="00B07823">
      <w:pPr>
        <w:spacing w:line="480" w:lineRule="auto"/>
      </w:pPr>
      <w:r w:rsidRPr="00B1522E">
        <w:fldChar w:fldCharType="begin"/>
      </w:r>
      <w:r w:rsidRPr="00B1522E">
        <w:instrText xml:space="preserve"> TC  "</w:instrText>
      </w:r>
      <w:bookmarkStart w:id="149" w:name="_Toc97310466"/>
      <w:r w:rsidRPr="00B1522E">
        <w:instrText>5.5.3 Implications for future research</w:instrText>
      </w:r>
      <w:bookmarkEnd w:id="149"/>
      <w:r w:rsidRPr="00B1522E">
        <w:instrText xml:space="preserve"> " \f x\l 3 </w:instrText>
      </w:r>
      <w:r w:rsidRPr="00B1522E">
        <w:fldChar w:fldCharType="end"/>
      </w:r>
      <w:r w:rsidR="00990068" w:rsidRPr="00B1522E">
        <w:t xml:space="preserve">5.5.3 </w:t>
      </w:r>
      <w:r w:rsidR="00C610CB" w:rsidRPr="00B1522E">
        <w:t>Implications for future research</w:t>
      </w:r>
      <w:bookmarkEnd w:id="148"/>
      <w:r w:rsidR="00C610CB" w:rsidRPr="00B1522E">
        <w:t xml:space="preserve">  </w:t>
      </w:r>
    </w:p>
    <w:p w14:paraId="749E5FCA" w14:textId="77777777" w:rsidR="00C610CB" w:rsidRPr="00B1522E" w:rsidRDefault="00C610CB" w:rsidP="00B07823">
      <w:pPr>
        <w:spacing w:line="480" w:lineRule="auto"/>
        <w:jc w:val="both"/>
        <w:rPr>
          <w:rFonts w:eastAsia="Calibri" w:cstheme="minorHAnsi"/>
        </w:rPr>
      </w:pPr>
      <w:r w:rsidRPr="00B1522E">
        <w:rPr>
          <w:rFonts w:eastAsia="Calibri" w:cstheme="minorHAnsi"/>
        </w:rPr>
        <w:t xml:space="preserve">Due to the various factors within the participants environment, it is impossible to propose any singular intervention to reduce obesity levels within this population.  However, the qualitative findings from this study suggests how future interventions could be developed.   Firstly, participants repeatedly expressed their lack of regular meals in relation to their frequent consumption of unhealthy snacks; therefore, future interventions in this 11- to 13-year-old age group should consider targeting the improvement of regular meal consumption to reduce unhealthy snacking. Secondly, the analysis suggested that participants generally understood what healthy eating behaviours were, but did not always practice them, and their food choices were dictated by their social and environmental surroundings. Therefore, future interventions should target perceive influences on dietary behaviours rather than just aiming to improving healthy eating knowledge alone. Finally, the framework highlighted that participants’ unhealthy eating behaviours were heavily influenced by their socially-connected peers, and, for girls, boys had a negative impact on their food choices through teasing. In relation to this, more research is needed to investigate the effect of perceived sex-related norms on dietary behaviours. Future interventions should consider sex-specific interventional messages, potentially investigating the effect of both same sex-norms and opposite sex-norms to help promote peer acceptance of healthy eating within this age group. </w:t>
      </w:r>
    </w:p>
    <w:bookmarkStart w:id="150" w:name="_Toc84678941"/>
    <w:p w14:paraId="423EE38E" w14:textId="37BC6790" w:rsidR="00C610CB" w:rsidRPr="00B1522E" w:rsidRDefault="00D91F68" w:rsidP="00B07823">
      <w:pPr>
        <w:spacing w:line="480" w:lineRule="auto"/>
      </w:pPr>
      <w:r w:rsidRPr="00B1522E">
        <w:lastRenderedPageBreak/>
        <w:fldChar w:fldCharType="begin"/>
      </w:r>
      <w:r w:rsidRPr="00B1522E">
        <w:instrText xml:space="preserve"> TC  "</w:instrText>
      </w:r>
      <w:bookmarkStart w:id="151" w:name="_Toc97310467"/>
      <w:r w:rsidRPr="00B1522E">
        <w:instrText>5.5.4 Conclusion</w:instrText>
      </w:r>
      <w:bookmarkEnd w:id="151"/>
      <w:r w:rsidRPr="00B1522E">
        <w:instrText xml:space="preserve"> " \f x\l 3 </w:instrText>
      </w:r>
      <w:r w:rsidRPr="00B1522E">
        <w:fldChar w:fldCharType="end"/>
      </w:r>
      <w:r w:rsidR="00990068" w:rsidRPr="00B1522E">
        <w:t xml:space="preserve">5.5.4 </w:t>
      </w:r>
      <w:r w:rsidR="00C610CB" w:rsidRPr="00B1522E">
        <w:t>Conclusion</w:t>
      </w:r>
      <w:bookmarkEnd w:id="150"/>
    </w:p>
    <w:p w14:paraId="6148A925" w14:textId="3A79CB63" w:rsidR="00C610CB" w:rsidRPr="00B1522E" w:rsidRDefault="00C610CB" w:rsidP="00B07823">
      <w:pPr>
        <w:spacing w:after="0" w:line="480" w:lineRule="auto"/>
        <w:jc w:val="both"/>
        <w:rPr>
          <w:rFonts w:eastAsia="Calibri" w:cstheme="minorHAnsi"/>
        </w:rPr>
      </w:pPr>
      <w:r w:rsidRPr="00B1522E">
        <w:rPr>
          <w:rFonts w:eastAsia="Calibri" w:cstheme="minorHAnsi"/>
        </w:rPr>
        <w:t xml:space="preserve">The current study explored the perceived psychosocial influences associated with healthy and unhealthy food choices via a series of focus group discussions with 11- to 13-year-old </w:t>
      </w:r>
      <w:r w:rsidRPr="00B1522E">
        <w:rPr>
          <w:rFonts w:cstheme="minorHAnsi"/>
        </w:rPr>
        <w:t>secondary</w:t>
      </w:r>
      <w:r w:rsidRPr="00B1522E">
        <w:rPr>
          <w:rFonts w:eastAsia="Calibri" w:cstheme="minorHAnsi"/>
        </w:rPr>
        <w:t xml:space="preserve"> school students from deprived areas. The results indicated that students generally understood what healthy and unhealthy eating behaviours patterns are, and what the long-term health effects of their eating behaviours could be, but the students openly acknowledged that they often have irregular meals which were associated with unhealthy snacking behaviours. </w:t>
      </w:r>
      <w:bookmarkStart w:id="152" w:name="_Hlk10542889"/>
      <w:r w:rsidRPr="00B1522E">
        <w:rPr>
          <w:rFonts w:eastAsia="Calibri" w:cstheme="minorHAnsi"/>
        </w:rPr>
        <w:t xml:space="preserve">Students’ dietary behaviours were determined by the perceived influences of their social and environmental surroundings, </w:t>
      </w:r>
      <w:bookmarkEnd w:id="152"/>
      <w:r w:rsidRPr="00B1522E">
        <w:rPr>
          <w:rFonts w:eastAsia="Calibri" w:cstheme="minorHAnsi"/>
        </w:rPr>
        <w:t xml:space="preserve">particularly the perceived behaviours of their peers and, for girls, the consequences of not adhering to social norms set by boys at their school. The results indicated that if healthy eating behaviours were perceived to be more socially acceptable and more commonplace amongst their peers, then the students would be encouraged to eat more healthily. Therefore, interventional strategies which aim to improve food choices and eating behaviours for this 11- to 13-year-old age group need to promote the perceived social acceptability of healthy eating </w:t>
      </w:r>
      <w:r w:rsidRPr="00B1522E">
        <w:rPr>
          <w:rFonts w:eastAsia="Calibri" w:cstheme="minorHAnsi"/>
        </w:rPr>
        <w:fldChar w:fldCharType="begin" w:fldLock="1"/>
      </w:r>
      <w:r w:rsidR="00DF6CCC" w:rsidRPr="00B1522E">
        <w:rPr>
          <w:rFonts w:eastAsia="Calibri" w:cstheme="minorHAnsi"/>
        </w:rPr>
        <w:instrText>ADDIN CSL_CITATION {"citationItems":[{"id":"ITEM-1","itemData":{"ISSN":"1467-789X (Electronic)","PMID":"30550629","abstract":"Childhood obesity is a global health concern, which has both short- and long-term health consequences for the individual, and is a potential burden on health care services and the wider economy. The school environment is a setting where changes can be applied to dietary behaviours, as schools have direct and intensive contact with children. This systematic review evaluated school-based interventions designed to improve dietary behaviours among adolescents (11- to 16-year-olds). The aims were to review types of interventions delivered, dietary behaviours targeted, and interventions' effectiveness in improving dietary behaviour and associated intervention components. Twenty-nine school-based interventional studies with this population were identified for review. The data were synthesized by identifying and comparing individual studies' results, intervention components, and characteristics. Interventions appeared more effective when they involved peers, used educational media to deliver health messages, increased availability of healthy foods in school, and incorporated computer-based individualized feedback with normative information on eating behaviours. A limitation of the review was the lack of description in certain reviewed studies and the nonfeasibility of conducting a meta-analysis owing to study heterogeneity. Future interventions with this population could consider including the aforementioned components, gender-specific feedback, and both short- and long-term follow-ups as change may not be apparent immediately and to determine if changes are sustained.","author":[{"dropping-particle":"","family":"Calvert","given":"Sian","non-dropping-particle":"","parse-names":false,"suffix":""},{"dropping-particle":"","family":"Dempsey","given":"Robert C","non-dropping-particle":"","parse-names":false,"suffix":""},{"dropping-particle":"","family":"Povey","given":"Rachel","non-dropping-particle":"","parse-names":false,"suffix":""}],"container-title":"Obesity Reviews","id":"ITEM-1","issue":"4","issued":{"date-parts":[["2019","4"]]},"language":"eng","page":"543-553","publisher-place":"England","title":"Delivering in-school interventions to improve dietary behaviours amongst 11- to 16-year-olds: A systematic review.","type":"article-journal","volume":"20"},"uris":["http://www.mendeley.com/documents/?uuid=2a47b1c0-b7a8-4533-b072-390e15ff8b1f"]}],"mendeley":{"formattedCitation":"(Calvert et al., 2019)","plainTextFormattedCitation":"(Calvert et al., 2019)","previouslyFormattedCitation":"(Calvert et al., 2019)"},"properties":{"noteIndex":0},"schema":"https://github.com/citation-style-language/schema/raw/master/csl-citation.json"}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(Calvert et al., 2019)</w:t>
      </w:r>
      <w:r w:rsidRPr="00B1522E">
        <w:rPr>
          <w:rFonts w:eastAsia="Calibri" w:cstheme="minorHAnsi"/>
        </w:rPr>
        <w:fldChar w:fldCharType="end"/>
      </w:r>
      <w:r w:rsidRPr="00B1522E">
        <w:rPr>
          <w:rFonts w:eastAsia="Calibri" w:cstheme="minorHAnsi"/>
        </w:rPr>
        <w:t xml:space="preserve">.     </w:t>
      </w:r>
    </w:p>
    <w:p w14:paraId="0CBF6A56" w14:textId="77777777" w:rsidR="00990068" w:rsidRPr="00B1522E" w:rsidRDefault="00990068" w:rsidP="00990068">
      <w:pPr>
        <w:spacing w:after="0" w:line="480" w:lineRule="auto"/>
        <w:jc w:val="both"/>
        <w:rPr>
          <w:rFonts w:eastAsia="Calibri" w:cstheme="minorHAnsi"/>
        </w:rPr>
      </w:pPr>
    </w:p>
    <w:p w14:paraId="1B3F313C" w14:textId="2BB82568" w:rsidR="00C610CB" w:rsidRPr="00B1522E" w:rsidRDefault="00C610CB" w:rsidP="00DD5BC7">
      <w:pPr>
        <w:rPr>
          <w:rFonts w:cstheme="minorHAnsi"/>
          <w:b/>
        </w:rPr>
      </w:pPr>
    </w:p>
    <w:p w14:paraId="527FC379" w14:textId="0A7AD7BF" w:rsidR="00A4015F" w:rsidRPr="00B1522E" w:rsidRDefault="00A4015F" w:rsidP="00DD5BC7">
      <w:pPr>
        <w:rPr>
          <w:rFonts w:cstheme="minorHAnsi"/>
          <w:b/>
        </w:rPr>
      </w:pPr>
    </w:p>
    <w:p w14:paraId="25B3653F" w14:textId="77777777" w:rsidR="00A4015F" w:rsidRPr="00B1522E" w:rsidRDefault="00A4015F" w:rsidP="00DD5BC7">
      <w:pPr>
        <w:rPr>
          <w:b/>
          <w:bCs/>
        </w:rPr>
      </w:pPr>
    </w:p>
    <w:p w14:paraId="485C05D3" w14:textId="0D5847C5" w:rsidR="00C610CB" w:rsidRPr="00B1522E" w:rsidRDefault="00C610CB" w:rsidP="00DD5BC7">
      <w:pPr>
        <w:rPr>
          <w:b/>
          <w:bCs/>
        </w:rPr>
      </w:pPr>
    </w:p>
    <w:p w14:paraId="0EC61B6C" w14:textId="6116C351" w:rsidR="00C610CB" w:rsidRPr="00B1522E" w:rsidRDefault="00C610CB" w:rsidP="00DD5BC7">
      <w:pPr>
        <w:rPr>
          <w:b/>
          <w:bCs/>
        </w:rPr>
      </w:pPr>
    </w:p>
    <w:p w14:paraId="414FE666" w14:textId="3146A714" w:rsidR="00C610CB" w:rsidRPr="00B1522E" w:rsidRDefault="00C610CB" w:rsidP="00DD5BC7">
      <w:pPr>
        <w:rPr>
          <w:b/>
          <w:bCs/>
        </w:rPr>
      </w:pPr>
    </w:p>
    <w:p w14:paraId="7E8483CD" w14:textId="77777777" w:rsidR="00C610CB" w:rsidRPr="00B1522E" w:rsidRDefault="00C610CB" w:rsidP="00DD5BC7">
      <w:pPr>
        <w:rPr>
          <w:b/>
          <w:bCs/>
        </w:rPr>
      </w:pPr>
    </w:p>
    <w:p w14:paraId="4679037F" w14:textId="77777777" w:rsidR="00D91F68" w:rsidRPr="00B1522E" w:rsidRDefault="00D91F68" w:rsidP="00DD5BC7">
      <w:pPr>
        <w:rPr>
          <w:b/>
          <w:bCs/>
        </w:rPr>
      </w:pPr>
    </w:p>
    <w:p w14:paraId="1992AA11" w14:textId="77777777" w:rsidR="00D91F68" w:rsidRPr="00B1522E" w:rsidRDefault="00D91F68" w:rsidP="00DD5BC7">
      <w:pPr>
        <w:rPr>
          <w:b/>
          <w:bCs/>
        </w:rPr>
      </w:pPr>
    </w:p>
    <w:p w14:paraId="6457397A" w14:textId="77777777" w:rsidR="00D91F68" w:rsidRPr="00B1522E" w:rsidRDefault="00D91F68" w:rsidP="00DD5BC7">
      <w:pPr>
        <w:rPr>
          <w:b/>
          <w:bCs/>
        </w:rPr>
      </w:pPr>
    </w:p>
    <w:p w14:paraId="4B71B55F" w14:textId="77777777" w:rsidR="00D91F68" w:rsidRPr="00B1522E" w:rsidRDefault="00D91F68" w:rsidP="00DD5BC7">
      <w:pPr>
        <w:rPr>
          <w:b/>
          <w:bCs/>
        </w:rPr>
      </w:pPr>
    </w:p>
    <w:p w14:paraId="3664CF12" w14:textId="77777777" w:rsidR="00D91F68" w:rsidRPr="00B1522E" w:rsidRDefault="00D91F68" w:rsidP="00DD5BC7">
      <w:pPr>
        <w:rPr>
          <w:b/>
          <w:bCs/>
        </w:rPr>
      </w:pPr>
    </w:p>
    <w:p w14:paraId="4E2184D6" w14:textId="77777777" w:rsidR="00D91F68" w:rsidRPr="00B1522E" w:rsidRDefault="00D91F68" w:rsidP="00DD5BC7">
      <w:pPr>
        <w:rPr>
          <w:b/>
          <w:bCs/>
        </w:rPr>
      </w:pPr>
    </w:p>
    <w:p w14:paraId="39F57376" w14:textId="77777777" w:rsidR="00D91F68" w:rsidRPr="00B1522E" w:rsidRDefault="00D91F68" w:rsidP="00DD5BC7">
      <w:pPr>
        <w:rPr>
          <w:b/>
          <w:bCs/>
        </w:rPr>
      </w:pPr>
    </w:p>
    <w:p w14:paraId="039492D7" w14:textId="77777777" w:rsidR="00D91F68" w:rsidRPr="00B1522E" w:rsidRDefault="00D91F68" w:rsidP="00DD5BC7">
      <w:pPr>
        <w:rPr>
          <w:b/>
          <w:bCs/>
        </w:rPr>
      </w:pPr>
    </w:p>
    <w:p w14:paraId="14F4CDB7" w14:textId="77777777" w:rsidR="00D91F68" w:rsidRPr="00B1522E" w:rsidRDefault="00D91F68" w:rsidP="00DD5BC7">
      <w:pPr>
        <w:rPr>
          <w:b/>
          <w:bCs/>
        </w:rPr>
      </w:pPr>
    </w:p>
    <w:p w14:paraId="10C736DA" w14:textId="77777777" w:rsidR="00D91F68" w:rsidRPr="00B1522E" w:rsidRDefault="00D91F68" w:rsidP="00DD5BC7">
      <w:pPr>
        <w:rPr>
          <w:b/>
          <w:bCs/>
        </w:rPr>
      </w:pPr>
    </w:p>
    <w:p w14:paraId="3EDA6FCC" w14:textId="77777777" w:rsidR="00D91F68" w:rsidRPr="00B1522E" w:rsidRDefault="00D91F68" w:rsidP="00DD5BC7">
      <w:pPr>
        <w:rPr>
          <w:b/>
          <w:bCs/>
        </w:rPr>
      </w:pPr>
    </w:p>
    <w:p w14:paraId="7C363082" w14:textId="77777777" w:rsidR="00D91F68" w:rsidRPr="00B1522E" w:rsidRDefault="00D91F68" w:rsidP="00DD5BC7">
      <w:pPr>
        <w:rPr>
          <w:b/>
          <w:bCs/>
        </w:rPr>
      </w:pPr>
    </w:p>
    <w:p w14:paraId="1ED75BEB" w14:textId="77777777" w:rsidR="00D91F68" w:rsidRPr="00B1522E" w:rsidRDefault="00D91F68" w:rsidP="00DD5BC7">
      <w:pPr>
        <w:rPr>
          <w:b/>
          <w:bCs/>
        </w:rPr>
      </w:pPr>
    </w:p>
    <w:p w14:paraId="3220F0CF" w14:textId="77777777" w:rsidR="00D91F68" w:rsidRPr="00B1522E" w:rsidRDefault="00D91F68" w:rsidP="00DD5BC7">
      <w:pPr>
        <w:rPr>
          <w:b/>
          <w:bCs/>
        </w:rPr>
      </w:pPr>
    </w:p>
    <w:p w14:paraId="36A6CC87" w14:textId="77777777" w:rsidR="00D91F68" w:rsidRPr="00B1522E" w:rsidRDefault="00D91F68" w:rsidP="00DD5BC7">
      <w:pPr>
        <w:rPr>
          <w:b/>
          <w:bCs/>
        </w:rPr>
      </w:pPr>
    </w:p>
    <w:p w14:paraId="1D44E7BD" w14:textId="09588FC9" w:rsidR="00D91F68" w:rsidRPr="00B1522E" w:rsidRDefault="004C6E82" w:rsidP="00DD5BC7">
      <w:pPr>
        <w:rPr>
          <w:b/>
          <w:bCs/>
        </w:rPr>
      </w:pPr>
      <w:r w:rsidRPr="00B1522E">
        <w:rPr>
          <w:noProof/>
          <w:sz w:val="44"/>
          <w:szCs w:val="44"/>
          <w:lang w:eastAsia="en-GB"/>
        </w:rPr>
        <mc:AlternateContent>
          <mc:Choice Requires="wps">
            <w:drawing>
              <wp:anchor distT="91440" distB="91440" distL="114300" distR="114300" simplePos="0" relativeHeight="251723776" behindDoc="0" locked="0" layoutInCell="1" allowOverlap="1" wp14:anchorId="05E6AC90" wp14:editId="3D2953FE">
                <wp:simplePos x="0" y="0"/>
                <wp:positionH relativeFrom="page">
                  <wp:posOffset>647065</wp:posOffset>
                </wp:positionH>
                <wp:positionV relativeFrom="paragraph">
                  <wp:posOffset>253365</wp:posOffset>
                </wp:positionV>
                <wp:extent cx="5908675" cy="1403985"/>
                <wp:effectExtent l="0" t="0" r="15875" b="266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55338921" w14:textId="77777777" w:rsidR="001A6FFB" w:rsidRPr="001A6FFB" w:rsidRDefault="001A6FFB" w:rsidP="001A6FFB">
                            <w:pPr>
                              <w:pBdr>
                                <w:top w:val="single" w:sz="24" w:space="8" w:color="auto"/>
                                <w:bottom w:val="single" w:sz="24" w:space="8" w:color="auto"/>
                              </w:pBdr>
                              <w:spacing w:after="0"/>
                              <w:jc w:val="center"/>
                              <w:rPr>
                                <w:b/>
                                <w:bCs/>
                              </w:rPr>
                            </w:pPr>
                            <w:r w:rsidRPr="001A6FFB">
                              <w:rPr>
                                <w:b/>
                                <w:bCs/>
                              </w:rPr>
                              <w:fldChar w:fldCharType="begin"/>
                            </w:r>
                            <w:r w:rsidRPr="001A6FFB">
                              <w:rPr>
                                <w:b/>
                                <w:bCs/>
                              </w:rPr>
                              <w:instrText xml:space="preserve"> TC  " </w:instrText>
                            </w:r>
                            <w:bookmarkStart w:id="153" w:name="_Toc97310468"/>
                            <w:r w:rsidRPr="001A6FFB">
                              <w:rPr>
                                <w:b/>
                                <w:bCs/>
                              </w:rPr>
                              <w:instrText xml:space="preserve">Chapter 6. The development of an in-school </w:instrText>
                            </w:r>
                            <w:r w:rsidRPr="001A6FFB">
                              <w:rPr>
                                <w:rFonts w:cstheme="minorHAnsi"/>
                                <w:b/>
                                <w:bCs/>
                              </w:rPr>
                              <w:instrText>Social Norms Approach intervention to reduce unhealthy dietary behaviours of young adolescents</w:instrText>
                            </w:r>
                            <w:bookmarkEnd w:id="153"/>
                            <w:r w:rsidRPr="001A6FFB">
                              <w:rPr>
                                <w:rFonts w:cstheme="minorHAnsi"/>
                                <w:b/>
                                <w:bCs/>
                              </w:rPr>
                              <w:instrText xml:space="preserve"> </w:instrText>
                            </w:r>
                          </w:p>
                          <w:p w14:paraId="4802D151" w14:textId="3520A210" w:rsidR="00347DE9" w:rsidRDefault="001A6FFB" w:rsidP="00347DE9">
                            <w:pPr>
                              <w:pBdr>
                                <w:top w:val="single" w:sz="24" w:space="8" w:color="auto"/>
                                <w:bottom w:val="single" w:sz="24" w:space="8" w:color="auto"/>
                              </w:pBdr>
                              <w:spacing w:after="0"/>
                              <w:jc w:val="center"/>
                              <w:rPr>
                                <w:sz w:val="48"/>
                                <w:szCs w:val="48"/>
                              </w:rPr>
                            </w:pPr>
                            <w:r w:rsidRPr="001A6FFB">
                              <w:rPr>
                                <w:b/>
                                <w:bCs/>
                              </w:rPr>
                              <w:instrText xml:space="preserve">" \f x\l 1 </w:instrText>
                            </w:r>
                            <w:r w:rsidRPr="001A6FFB">
                              <w:rPr>
                                <w:b/>
                                <w:bCs/>
                              </w:rPr>
                              <w:fldChar w:fldCharType="end"/>
                            </w:r>
                            <w:r w:rsidR="00347DE9" w:rsidRPr="006652F6">
                              <w:rPr>
                                <w:sz w:val="48"/>
                                <w:szCs w:val="48"/>
                              </w:rPr>
                              <w:t xml:space="preserve">Chapter </w:t>
                            </w:r>
                            <w:r w:rsidR="00347DE9">
                              <w:rPr>
                                <w:sz w:val="48"/>
                                <w:szCs w:val="48"/>
                              </w:rPr>
                              <w:t>6</w:t>
                            </w:r>
                          </w:p>
                          <w:p w14:paraId="2F24E0D3" w14:textId="77777777" w:rsidR="00347DE9" w:rsidRPr="007C0062" w:rsidRDefault="00347DE9" w:rsidP="00347DE9">
                            <w:pPr>
                              <w:pBdr>
                                <w:top w:val="single" w:sz="24" w:space="8" w:color="auto"/>
                                <w:bottom w:val="single" w:sz="24" w:space="8" w:color="auto"/>
                              </w:pBdr>
                              <w:spacing w:after="0"/>
                              <w:jc w:val="center"/>
                              <w:rPr>
                                <w:sz w:val="28"/>
                                <w:szCs w:val="28"/>
                              </w:rPr>
                            </w:pPr>
                            <w:r w:rsidRPr="007C0062">
                              <w:rPr>
                                <w:sz w:val="28"/>
                                <w:szCs w:val="28"/>
                              </w:rPr>
                              <w:t xml:space="preserve">The development of an in-school </w:t>
                            </w:r>
                            <w:r w:rsidRPr="007C0062">
                              <w:rPr>
                                <w:rFonts w:cstheme="minorHAnsi"/>
                                <w:sz w:val="28"/>
                                <w:szCs w:val="28"/>
                              </w:rPr>
                              <w:t xml:space="preserve">Social Norms Approach intervention to reduce unhealthy dietary behaviours of young adolescents </w:t>
                            </w:r>
                          </w:p>
                          <w:p w14:paraId="34D1D4AC" w14:textId="77777777" w:rsidR="00347DE9" w:rsidRPr="007C0062" w:rsidRDefault="00347DE9" w:rsidP="00347DE9">
                            <w:pPr>
                              <w:pBdr>
                                <w:top w:val="single" w:sz="24" w:space="8" w:color="auto"/>
                                <w:bottom w:val="single" w:sz="24" w:space="8" w:color="auto"/>
                              </w:pBdr>
                              <w:spacing w:after="0"/>
                              <w:ind w:left="720" w:hanging="720"/>
                              <w:jc w:val="center"/>
                              <w:rPr>
                                <w:sz w:val="28"/>
                                <w:szCs w:val="28"/>
                                <w14:textOutline w14:w="9525" w14:cap="rnd" w14:cmpd="sng" w14:algn="ctr">
                                  <w14:solidFill>
                                    <w14:srgbClr w14:val="000000"/>
                                  </w14:solidFill>
                                  <w14:prstDash w14:val="solid"/>
                                  <w14:bevel/>
                                </w14:textOutline>
                              </w:rPr>
                            </w:pPr>
                            <w:r w:rsidRPr="007C0062">
                              <w:rPr>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6AC90" id="_x0000_s1033" type="#_x0000_t202" style="position:absolute;margin-left:50.95pt;margin-top:19.95pt;width:465.25pt;height:110.55pt;z-index:251723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" filled="f" strokecolor="white [3212]">
                <v:textbox style="mso-fit-shape-to-text:t">
                  <w:txbxContent>
                    <w:p w14:paraId="55338921" w14:textId="77777777" w:rsidR="001A6FFB" w:rsidRPr="001A6FFB" w:rsidRDefault="001A6FFB" w:rsidP="001A6FFB">
                      <w:pPr>
                        <w:pBdr>
                          <w:top w:val="single" w:sz="24" w:space="8" w:color="auto"/>
                          <w:bottom w:val="single" w:sz="24" w:space="8" w:color="auto"/>
                        </w:pBdr>
                        <w:spacing w:after="0"/>
                        <w:jc w:val="center"/>
                        <w:rPr>
                          <w:b/>
                          <w:bCs/>
                        </w:rPr>
                      </w:pPr>
                      <w:r w:rsidRPr="001A6FFB">
                        <w:rPr>
                          <w:b/>
                          <w:bCs/>
                        </w:rPr>
                        <w:fldChar w:fldCharType="begin"/>
                      </w:r>
                      <w:r w:rsidRPr="001A6FFB">
                        <w:rPr>
                          <w:b/>
                          <w:bCs/>
                        </w:rPr>
                        <w:instrText xml:space="preserve"> TC  " </w:instrText>
                      </w:r>
                      <w:bookmarkStart w:id="154" w:name="_Toc97310468"/>
                      <w:r w:rsidRPr="001A6FFB">
                        <w:rPr>
                          <w:b/>
                          <w:bCs/>
                        </w:rPr>
                        <w:instrText xml:space="preserve">Chapter 6. The development of an in-school </w:instrText>
                      </w:r>
                      <w:r w:rsidRPr="001A6FFB">
                        <w:rPr>
                          <w:rFonts w:cstheme="minorHAnsi"/>
                          <w:b/>
                          <w:bCs/>
                        </w:rPr>
                        <w:instrText>Social Norms Approach intervention to reduce unhealthy dietary behaviours of young adolescents</w:instrText>
                      </w:r>
                      <w:bookmarkEnd w:id="154"/>
                      <w:r w:rsidRPr="001A6FFB">
                        <w:rPr>
                          <w:rFonts w:cstheme="minorHAnsi"/>
                          <w:b/>
                          <w:bCs/>
                        </w:rPr>
                        <w:instrText xml:space="preserve"> </w:instrText>
                      </w:r>
                    </w:p>
                    <w:p w14:paraId="4802D151" w14:textId="3520A210" w:rsidR="00347DE9" w:rsidRDefault="001A6FFB" w:rsidP="00347DE9">
                      <w:pPr>
                        <w:pBdr>
                          <w:top w:val="single" w:sz="24" w:space="8" w:color="auto"/>
                          <w:bottom w:val="single" w:sz="24" w:space="8" w:color="auto"/>
                        </w:pBdr>
                        <w:spacing w:after="0"/>
                        <w:jc w:val="center"/>
                        <w:rPr>
                          <w:sz w:val="48"/>
                          <w:szCs w:val="48"/>
                        </w:rPr>
                      </w:pPr>
                      <w:r w:rsidRPr="001A6FFB">
                        <w:rPr>
                          <w:b/>
                          <w:bCs/>
                        </w:rPr>
                        <w:instrText xml:space="preserve">" \f x\l 1 </w:instrText>
                      </w:r>
                      <w:r w:rsidRPr="001A6FFB">
                        <w:rPr>
                          <w:b/>
                          <w:bCs/>
                        </w:rPr>
                        <w:fldChar w:fldCharType="end"/>
                      </w:r>
                      <w:r w:rsidR="00347DE9" w:rsidRPr="006652F6">
                        <w:rPr>
                          <w:sz w:val="48"/>
                          <w:szCs w:val="48"/>
                        </w:rPr>
                        <w:t xml:space="preserve">Chapter </w:t>
                      </w:r>
                      <w:r w:rsidR="00347DE9">
                        <w:rPr>
                          <w:sz w:val="48"/>
                          <w:szCs w:val="48"/>
                        </w:rPr>
                        <w:t>6</w:t>
                      </w:r>
                    </w:p>
                    <w:p w14:paraId="2F24E0D3" w14:textId="77777777" w:rsidR="00347DE9" w:rsidRPr="007C0062" w:rsidRDefault="00347DE9" w:rsidP="00347DE9">
                      <w:pPr>
                        <w:pBdr>
                          <w:top w:val="single" w:sz="24" w:space="8" w:color="auto"/>
                          <w:bottom w:val="single" w:sz="24" w:space="8" w:color="auto"/>
                        </w:pBdr>
                        <w:spacing w:after="0"/>
                        <w:jc w:val="center"/>
                        <w:rPr>
                          <w:sz w:val="28"/>
                          <w:szCs w:val="28"/>
                        </w:rPr>
                      </w:pPr>
                      <w:r w:rsidRPr="007C0062">
                        <w:rPr>
                          <w:sz w:val="28"/>
                          <w:szCs w:val="28"/>
                        </w:rPr>
                        <w:t xml:space="preserve">The development of an in-school </w:t>
                      </w:r>
                      <w:r w:rsidRPr="007C0062">
                        <w:rPr>
                          <w:rFonts w:cstheme="minorHAnsi"/>
                          <w:sz w:val="28"/>
                          <w:szCs w:val="28"/>
                        </w:rPr>
                        <w:t xml:space="preserve">Social Norms Approach intervention to reduce unhealthy dietary behaviours of young adolescents </w:t>
                      </w:r>
                    </w:p>
                    <w:p w14:paraId="34D1D4AC" w14:textId="77777777" w:rsidR="00347DE9" w:rsidRPr="007C0062" w:rsidRDefault="00347DE9" w:rsidP="00347DE9">
                      <w:pPr>
                        <w:pBdr>
                          <w:top w:val="single" w:sz="24" w:space="8" w:color="auto"/>
                          <w:bottom w:val="single" w:sz="24" w:space="8" w:color="auto"/>
                        </w:pBdr>
                        <w:spacing w:after="0"/>
                        <w:ind w:left="720" w:hanging="720"/>
                        <w:jc w:val="center"/>
                        <w:rPr>
                          <w:sz w:val="28"/>
                          <w:szCs w:val="28"/>
                          <w14:textOutline w14:w="9525" w14:cap="rnd" w14:cmpd="sng" w14:algn="ctr">
                            <w14:solidFill>
                              <w14:srgbClr w14:val="000000"/>
                            </w14:solidFill>
                            <w14:prstDash w14:val="solid"/>
                            <w14:bevel/>
                          </w14:textOutline>
                        </w:rPr>
                      </w:pPr>
                      <w:r w:rsidRPr="007C0062">
                        <w:rPr>
                          <w:sz w:val="28"/>
                          <w:szCs w:val="28"/>
                        </w:rPr>
                        <w:t xml:space="preserve"> </w:t>
                      </w:r>
                    </w:p>
                  </w:txbxContent>
                </v:textbox>
                <w10:wrap type="topAndBottom" anchorx="page"/>
              </v:shape>
            </w:pict>
          </mc:Fallback>
        </mc:AlternateContent>
      </w:r>
    </w:p>
    <w:p w14:paraId="3F677561" w14:textId="2E90F01F" w:rsidR="00347DE9" w:rsidRPr="00B1522E" w:rsidRDefault="00347DE9" w:rsidP="00347DE9">
      <w:pPr>
        <w:spacing w:line="480" w:lineRule="auto"/>
        <w:rPr>
          <w:b/>
          <w:bCs/>
        </w:rPr>
      </w:pPr>
    </w:p>
    <w:p w14:paraId="7F0EEBDE" w14:textId="682FB779" w:rsidR="00347DE9" w:rsidRPr="00B1522E" w:rsidRDefault="00347DE9" w:rsidP="00347DE9">
      <w:pPr>
        <w:spacing w:line="480" w:lineRule="auto"/>
        <w:rPr>
          <w:sz w:val="44"/>
          <w:szCs w:val="44"/>
        </w:rPr>
      </w:pPr>
      <w:r w:rsidRPr="00B1522E">
        <w:br w:type="page"/>
      </w:r>
    </w:p>
    <w:p w14:paraId="7A7B977C" w14:textId="262B7D8B" w:rsidR="00347DE9" w:rsidRPr="00B1522E" w:rsidRDefault="001A6FFB" w:rsidP="00347DE9">
      <w:pPr>
        <w:spacing w:line="480" w:lineRule="auto"/>
        <w:rPr>
          <w:b/>
          <w:bCs/>
        </w:rPr>
      </w:pPr>
      <w:r w:rsidRPr="00B1522E">
        <w:lastRenderedPageBreak/>
        <w:fldChar w:fldCharType="begin"/>
      </w:r>
      <w:r w:rsidRPr="00B1522E">
        <w:instrText xml:space="preserve"> TC  "</w:instrText>
      </w:r>
      <w:bookmarkStart w:id="155" w:name="_Toc97310469"/>
      <w:r w:rsidRPr="00B1522E">
        <w:instrText>6.</w:instrText>
      </w:r>
      <w:r w:rsidR="00066C74" w:rsidRPr="00B1522E">
        <w:instrText>1 Chapter overview</w:instrText>
      </w:r>
      <w:bookmarkEnd w:id="155"/>
      <w:r w:rsidRPr="00B1522E">
        <w:instrText xml:space="preserve"> " \f x\l </w:instrText>
      </w:r>
      <w:r w:rsidR="00066C74" w:rsidRPr="00B1522E">
        <w:instrText>2</w:instrText>
      </w:r>
      <w:r w:rsidRPr="00B1522E">
        <w:instrText xml:space="preserve"> </w:instrText>
      </w:r>
      <w:r w:rsidRPr="00B1522E">
        <w:fldChar w:fldCharType="end"/>
      </w:r>
      <w:r w:rsidR="00347DE9" w:rsidRPr="00B1522E">
        <w:rPr>
          <w:b/>
          <w:bCs/>
        </w:rPr>
        <w:t>6.1 Chapter overview</w:t>
      </w:r>
    </w:p>
    <w:p w14:paraId="726F695A" w14:textId="12D0A6DA" w:rsidR="00347DE9" w:rsidRPr="00B1522E" w:rsidRDefault="00347DE9" w:rsidP="00347DE9">
      <w:pPr>
        <w:spacing w:line="480" w:lineRule="auto"/>
        <w:jc w:val="both"/>
      </w:pPr>
      <w:r w:rsidRPr="00B1522E">
        <w:t xml:space="preserve">This Chapter describes the development of the </w:t>
      </w:r>
      <w:r w:rsidRPr="00B1522E">
        <w:rPr>
          <w:shd w:val="clear" w:color="auto" w:fill="FFFFFF"/>
        </w:rPr>
        <w:t xml:space="preserve">in-school Social Norms Approach (SNA) intervention which targets unhealthy dietary behaviours of secondary school students (aged </w:t>
      </w:r>
      <w:r w:rsidRPr="00B1522E">
        <w:rPr>
          <w:rFonts w:eastAsia="Calibri"/>
        </w:rPr>
        <w:t>11-12 years of age</w:t>
      </w:r>
      <w:r w:rsidRPr="00B1522E">
        <w:rPr>
          <w:shd w:val="clear" w:color="auto" w:fill="FFFFFF"/>
        </w:rPr>
        <w:t>), which is tested later in this thesis (Chapter 8)</w:t>
      </w:r>
      <w:r w:rsidRPr="00B1522E">
        <w:t>. It is argued that school-based interventions are best designed through an integration of research evidence, theory, and input from both the target</w:t>
      </w:r>
      <w:r w:rsidRPr="00B1522E">
        <w:rPr>
          <w:i/>
          <w:iCs/>
        </w:rPr>
        <w:t xml:space="preserve"> </w:t>
      </w:r>
      <w:r w:rsidRPr="00B1522E">
        <w:t xml:space="preserve">populations and key stakeholders </w:t>
      </w:r>
      <w:r w:rsidRPr="00B1522E">
        <w:fldChar w:fldCharType="begin" w:fldLock="1"/>
      </w:r>
      <w:r w:rsidR="00CD35E5" w:rsidRPr="00B1522E">
        <w:instrText>ADDIN CSL_CITATION {"citationItems":[{"id":"ITEM-1","itemData":{"abstract":"Improving the effectiveness of public health interventions relies as much on the attention paid to their design and feasibility as to their evaluation. Yet, compared to the vast literature on how to evaluate interventions, there is little to guide researchers or practitioners on how best to develop such interventions in practical, logical, evidence based ways to maximise likely effectiveness. Existing models for the development of public health interventions tend to have a strong social-psychological, individual behaviour change orientation and some take years to implement. This paper presents a pragmatic guide to six essential Steps for Quality Intervention Development (6SQuID). The focus is on public health interventions but the model should have wider applicability. Once a problem has been identified as needing intervention, the process of designing an intervention can be broken down into six crucial steps: (1) defining and understanding the problem and its causes; (2) identifying which causal or contextual factors are modifiable: which have the greatest scope for change and who would benefit most; (3) deciding on the mechanisms of change; (4) clarifying how these will be delivered; (5) testing and adapting the intervention; and (6) collecting sufficient evidence of effectiveness to proceed to a rigorous evaluation. If each of these steps is carefully addressed, better use will be made of scarce public resources by avoiding the costly evaluation, or implementation, of unpromising interventions.","author":[{"dropping-particle":"","family":"Wight","given":"Daniel","non-dropping-particle":"","parse-names":false,"suffix":""},{"dropping-particle":"","family":"Wimbush","given":"Erica","non-dropping-particle":"","parse-names":false,"suffix":""},{"dropping-particle":"","family":"Jepson","given":"Ruth","non-dropping-particle":"","parse-names":false,"suffix":""},{"dropping-particle":"","family":"Doi","given":"Lawrence","non-dropping-particle":"","parse-names":false,"suffix":""}],"container-title":"Journal of Epidemiology and Community Health","id":"ITEM-1","issue":"5","issued":{"date-parts":[["2016","5","1"]]},"page":"520-525","title":"Six steps in quality intervention development (6SQuID)","type":"article-journal","volume":"70"},"uris":["http://www.mendeley.com/documents/?uuid=823034f0-ad7c-4b5a-b048-24abc780184a"]}],"mendeley":{"formattedCitation":"(Wight et al., 2016)","plainTextFormattedCitation":"(Wight et al., 2016)","previouslyFormattedCitation":"(Wight et al., 2016)"},"properties":{"noteIndex":0},"schema":"https://github.com/citation-style-language/schema/raw/master/csl-citation.json"}</w:instrText>
      </w:r>
      <w:r w:rsidRPr="00B1522E">
        <w:fldChar w:fldCharType="separate"/>
      </w:r>
      <w:r w:rsidR="004B7FAF" w:rsidRPr="00B1522E">
        <w:rPr>
          <w:noProof/>
        </w:rPr>
        <w:t>(Wight et al., 2016)</w:t>
      </w:r>
      <w:r w:rsidRPr="00B1522E">
        <w:fldChar w:fldCharType="end"/>
      </w:r>
      <w:r w:rsidRPr="00B1522E">
        <w:t xml:space="preserve">, to identify and understand what is important, relevant, and feasible, in a school setting </w:t>
      </w:r>
      <w:r w:rsidRPr="00B1522E">
        <w:fldChar w:fldCharType="begin" w:fldLock="1"/>
      </w:r>
      <w:r w:rsidR="00FD502B" w:rsidRPr="00B1522E">
        <w:instrText>ADDIN CSL_CITATION {"citationItems":[{"id":"ITEM-1","itemData":{"ISSN":"1756-1833","author":[{"dropping-particle":"","family":"Craig","given":"Peter","non-dropping-particle":"","parse-names":false,"suffix":""},{"dropping-particle":"","family":"Dieppe","given":"Paul","non-dropping-particle":"","parse-names":false,"suffix":""},{"dropping-particle":"","family":"Macintyre","given":"Sally","non-dropping-particle":"","parse-names":false,"suffix":""},{"dropping-particle":"","family":"Michie","given":"Susan","non-dropping-particle":"","parse-names":false,"suffix":""},{"dropping-particle":"","family":"Nazareth","given":"Irwin","non-dropping-particle":"","parse-names":false,"suffix":""},{"dropping-particle":"","family":"Petticrew","given":"Mark","non-dropping-particle":"","parse-names":false,"suffix":""}],"container-title":"British Medical Journal","id":"ITEM-1","issued":{"date-parts":[["2008"]]},"publisher":"British Medical Journal Publishing Group","title":"Developing and evaluating complex interventions: the new Medical Research Council guidance","type":"article-journal","volume":"337"},"uris":["http://www.mendeley.com/documents/?uuid=ecaef8ca-8c00-4f55-9baa-4c4fee81225c"]}],"mendeley":{"formattedCitation":"(Craig et al., 2008)","plainTextFormattedCitation":"(Craig et al., 2008)","previouslyFormattedCitation":"(Craig et al., 2008)"},"properties":{"noteIndex":0},"schema":"https://github.com/citation-style-language/schema/raw/master/csl-citation.json"}</w:instrText>
      </w:r>
      <w:r w:rsidRPr="00B1522E">
        <w:fldChar w:fldCharType="separate"/>
      </w:r>
      <w:r w:rsidRPr="00B1522E">
        <w:rPr>
          <w:noProof/>
        </w:rPr>
        <w:t>(Craig et al., 2008)</w:t>
      </w:r>
      <w:r w:rsidRPr="00B1522E">
        <w:fldChar w:fldCharType="end"/>
      </w:r>
      <w:r w:rsidRPr="00B1522E">
        <w:t>. The SNA intervention outlined here has been designed through an integration of: (1) research evidence (Chapter 2); (2) SNA theory (Chapter 3); (3) input from the target population (Chapter 5); and (4) input from key stakeholders (advisory group of older peers and a teacher) as discussed in the current chapter. This chapter will present an overview of the key findings and recommendations from the previous Chapters (2, 3 and 5), a summary of the key findings from the stakeholder meetings, and then outline how the prior chapters and stakeholders informed the development of the SNA intervention.</w:t>
      </w:r>
    </w:p>
    <w:p w14:paraId="3729A4E5" w14:textId="77777777" w:rsidR="00347DE9" w:rsidRPr="00B1522E" w:rsidRDefault="00347DE9" w:rsidP="00347DE9">
      <w:pPr>
        <w:spacing w:line="480" w:lineRule="auto"/>
        <w:jc w:val="both"/>
        <w:rPr>
          <w:rFonts w:cstheme="minorHAnsi"/>
        </w:rPr>
      </w:pPr>
    </w:p>
    <w:p w14:paraId="53A7C121" w14:textId="4CBAE7C0" w:rsidR="00347DE9" w:rsidRPr="00B1522E" w:rsidRDefault="00066C74" w:rsidP="00347DE9">
      <w:pPr>
        <w:spacing w:line="480" w:lineRule="auto"/>
        <w:rPr>
          <w:b/>
          <w:bCs/>
        </w:rPr>
      </w:pPr>
      <w:r w:rsidRPr="00B1522E">
        <w:fldChar w:fldCharType="begin"/>
      </w:r>
      <w:r w:rsidRPr="00B1522E">
        <w:instrText xml:space="preserve"> TC  "</w:instrText>
      </w:r>
      <w:bookmarkStart w:id="156" w:name="_Toc97310470"/>
      <w:r w:rsidRPr="00B1522E">
        <w:instrText xml:space="preserve">6.2 Key </w:instrText>
      </w:r>
      <w:r w:rsidR="00943C94" w:rsidRPr="00B1522E">
        <w:instrText>recommendations</w:instrText>
      </w:r>
      <w:r w:rsidRPr="00B1522E">
        <w:instrText xml:space="preserve"> and </w:instrText>
      </w:r>
      <w:r w:rsidR="00943C94" w:rsidRPr="00B1522E">
        <w:instrText>findings</w:instrText>
      </w:r>
      <w:r w:rsidRPr="00B1522E">
        <w:instrText xml:space="preserve"> from the previous </w:instrText>
      </w:r>
      <w:r w:rsidR="00943C94" w:rsidRPr="00B1522E">
        <w:instrText>chapters</w:instrText>
      </w:r>
      <w:bookmarkEnd w:id="156"/>
      <w:r w:rsidRPr="00B1522E">
        <w:instrText xml:space="preserve"> " \f x\l 2 </w:instrText>
      </w:r>
      <w:r w:rsidRPr="00B1522E">
        <w:fldChar w:fldCharType="end"/>
      </w:r>
      <w:r w:rsidR="00347DE9" w:rsidRPr="00B1522E">
        <w:rPr>
          <w:b/>
          <w:bCs/>
        </w:rPr>
        <w:t xml:space="preserve">6.2 Key recommendations and findings from the previous chapters </w:t>
      </w:r>
    </w:p>
    <w:p w14:paraId="65A8E3F4" w14:textId="25BB7FF0" w:rsidR="00347DE9" w:rsidRPr="00B1522E" w:rsidRDefault="00347DE9" w:rsidP="00347DE9">
      <w:pPr>
        <w:spacing w:line="480" w:lineRule="auto"/>
        <w:jc w:val="both"/>
      </w:pPr>
      <w:r w:rsidRPr="00B1522E">
        <w:t>The systematic review (Chapter 2)</w:t>
      </w:r>
      <w:bookmarkStart w:id="157" w:name="_Hlk84421267"/>
      <w:r w:rsidRPr="00B1522E">
        <w:t xml:space="preserve"> provided an understanding of school-based interventions that have previously been used to address unhealthy behaviours in adolescents</w:t>
      </w:r>
      <w:bookmarkEnd w:id="157"/>
      <w:r w:rsidRPr="00B1522E">
        <w:t xml:space="preserve">. </w:t>
      </w:r>
      <w:bookmarkStart w:id="158" w:name="_Hlk84421384"/>
      <w:r w:rsidRPr="00B1522E">
        <w:t>The narrative review (Chapter 3) discussed the theoretical underpinnings of the SNA intervention, providing an overview of the SNA and how the approach has been used as a behaviour change strategy.</w:t>
      </w:r>
      <w:bookmarkEnd w:id="158"/>
      <w:r w:rsidRPr="00B1522E">
        <w:t xml:space="preserve"> The student focus groups (Chapter 5)</w:t>
      </w:r>
      <w:bookmarkStart w:id="159" w:name="_Hlk84421331"/>
      <w:r w:rsidRPr="00B1522E">
        <w:t xml:space="preserve"> provided key insights from the target population on the barriers and facilitators to their engagement in healthier dietary behaviours</w:t>
      </w:r>
      <w:bookmarkEnd w:id="159"/>
      <w:r w:rsidRPr="00B1522E">
        <w:t xml:space="preserve">. Table </w:t>
      </w:r>
      <w:r w:rsidR="00176765" w:rsidRPr="00B1522E">
        <w:t>6</w:t>
      </w:r>
      <w:r w:rsidRPr="00B1522E">
        <w:t xml:space="preserve"> presents the key recommendations from these chapters which informed the development of the intervention. Section 6.4 will provide further details of how these key recommendations and findings informed the SNA intervention.</w:t>
      </w:r>
    </w:p>
    <w:p w14:paraId="1B3E0719" w14:textId="022E1858" w:rsidR="00347DE9" w:rsidRPr="00B1522E" w:rsidRDefault="002B53BA" w:rsidP="00347DE9">
      <w:pPr>
        <w:spacing w:line="480" w:lineRule="auto"/>
        <w:rPr>
          <w:rFonts w:cstheme="minorHAnsi"/>
        </w:rPr>
      </w:pPr>
      <w:r w:rsidRPr="00B1522E">
        <w:rPr>
          <w:b/>
          <w:bCs/>
          <w:i/>
          <w:iCs/>
        </w:rPr>
        <w:lastRenderedPageBreak/>
        <w:fldChar w:fldCharType="begin"/>
      </w:r>
      <w:r w:rsidRPr="00B1522E">
        <w:rPr>
          <w:b/>
          <w:bCs/>
        </w:rPr>
        <w:instrText xml:space="preserve"> TC  "</w:instrText>
      </w:r>
      <w:r w:rsidRPr="00B1522E">
        <w:rPr>
          <w:rFonts w:cstheme="minorHAnsi"/>
        </w:rPr>
        <w:instrText xml:space="preserve"> </w:instrText>
      </w:r>
      <w:bookmarkStart w:id="160" w:name="_Toc97557129"/>
      <w:r w:rsidRPr="00B1522E">
        <w:rPr>
          <w:rFonts w:cstheme="minorHAnsi"/>
        </w:rPr>
        <w:instrText xml:space="preserve">Table </w:instrText>
      </w:r>
      <w:r w:rsidR="000723FE" w:rsidRPr="00B1522E">
        <w:rPr>
          <w:rFonts w:cstheme="minorHAnsi"/>
        </w:rPr>
        <w:instrText>6</w:instrText>
      </w:r>
      <w:r w:rsidRPr="00B1522E">
        <w:rPr>
          <w:rFonts w:cstheme="minorHAnsi"/>
        </w:rPr>
        <w:instrText>.  Key recommendation and findings from Chapters 2, 3 and 5 which informed the development of the intervention</w:instrText>
      </w:r>
      <w:bookmarkEnd w:id="160"/>
      <w:r w:rsidRPr="00B1522E">
        <w:rPr>
          <w:b/>
          <w:bCs/>
        </w:rPr>
        <w:instrText xml:space="preserve"> " \f z\l 2 </w:instrText>
      </w:r>
      <w:r w:rsidRPr="00B1522E">
        <w:rPr>
          <w:b/>
          <w:bCs/>
          <w:i/>
          <w:iCs/>
        </w:rPr>
        <w:fldChar w:fldCharType="end"/>
      </w:r>
      <w:r w:rsidR="00347DE9" w:rsidRPr="00B1522E">
        <w:rPr>
          <w:rFonts w:cstheme="minorHAnsi"/>
        </w:rPr>
        <w:t xml:space="preserve">Table </w:t>
      </w:r>
      <w:r w:rsidR="000723FE" w:rsidRPr="00B1522E">
        <w:rPr>
          <w:rFonts w:cstheme="minorHAnsi"/>
        </w:rPr>
        <w:t>6</w:t>
      </w:r>
      <w:r w:rsidR="00347DE9" w:rsidRPr="00B1522E">
        <w:rPr>
          <w:rFonts w:cstheme="minorHAnsi"/>
        </w:rPr>
        <w:t>.  Key recommendation and findings from Chapters 2, 3 and 5 which informed the development of the intervention.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417"/>
        <w:gridCol w:w="6611"/>
      </w:tblGrid>
      <w:tr w:rsidR="00E77769" w:rsidRPr="00B1522E" w14:paraId="4A9100CA" w14:textId="77777777" w:rsidTr="001F5EA1">
        <w:tc>
          <w:tcPr>
            <w:tcW w:w="2405" w:type="dxa"/>
            <w:gridSpan w:val="2"/>
            <w:tcBorders>
              <w:top w:val="single" w:sz="4" w:space="0" w:color="auto"/>
              <w:bottom w:val="single" w:sz="4" w:space="0" w:color="auto"/>
            </w:tcBorders>
          </w:tcPr>
          <w:p w14:paraId="35A2FC6F" w14:textId="77777777" w:rsidR="00347DE9" w:rsidRPr="00B1522E" w:rsidRDefault="00347DE9" w:rsidP="001F5EA1">
            <w:pPr>
              <w:spacing w:line="480" w:lineRule="auto"/>
              <w:jc w:val="center"/>
              <w:rPr>
                <w:b/>
                <w:bCs/>
              </w:rPr>
            </w:pPr>
            <w:r w:rsidRPr="00B1522E">
              <w:rPr>
                <w:b/>
                <w:bCs/>
              </w:rPr>
              <w:t>Chapters</w:t>
            </w:r>
          </w:p>
        </w:tc>
        <w:tc>
          <w:tcPr>
            <w:tcW w:w="6611" w:type="dxa"/>
            <w:tcBorders>
              <w:top w:val="single" w:sz="4" w:space="0" w:color="auto"/>
              <w:bottom w:val="single" w:sz="4" w:space="0" w:color="auto"/>
            </w:tcBorders>
          </w:tcPr>
          <w:p w14:paraId="48BB0A90" w14:textId="77777777" w:rsidR="00347DE9" w:rsidRPr="00B1522E" w:rsidRDefault="00347DE9" w:rsidP="001F5EA1">
            <w:pPr>
              <w:spacing w:line="480" w:lineRule="auto"/>
              <w:jc w:val="center"/>
              <w:rPr>
                <w:b/>
                <w:bCs/>
              </w:rPr>
            </w:pPr>
            <w:r w:rsidRPr="00B1522E">
              <w:rPr>
                <w:b/>
                <w:bCs/>
              </w:rPr>
              <w:t>Key recommendations and findings</w:t>
            </w:r>
          </w:p>
        </w:tc>
      </w:tr>
      <w:tr w:rsidR="00E77769" w:rsidRPr="00B1522E" w14:paraId="76116092" w14:textId="77777777" w:rsidTr="001F5EA1">
        <w:trPr>
          <w:trHeight w:val="1275"/>
        </w:trPr>
        <w:tc>
          <w:tcPr>
            <w:tcW w:w="988" w:type="dxa"/>
            <w:tcBorders>
              <w:top w:val="single" w:sz="4" w:space="0" w:color="auto"/>
            </w:tcBorders>
          </w:tcPr>
          <w:p w14:paraId="37D8345A" w14:textId="77777777" w:rsidR="00347DE9" w:rsidRPr="00B1522E" w:rsidRDefault="00347DE9" w:rsidP="001F5EA1">
            <w:pPr>
              <w:spacing w:line="480" w:lineRule="auto"/>
              <w:jc w:val="center"/>
            </w:pPr>
            <w:r w:rsidRPr="00B1522E">
              <w:t>2</w:t>
            </w:r>
          </w:p>
        </w:tc>
        <w:tc>
          <w:tcPr>
            <w:tcW w:w="1417" w:type="dxa"/>
            <w:tcBorders>
              <w:top w:val="single" w:sz="4" w:space="0" w:color="auto"/>
            </w:tcBorders>
          </w:tcPr>
          <w:p w14:paraId="7C5D3AE8" w14:textId="77777777" w:rsidR="00347DE9" w:rsidRPr="00B1522E" w:rsidRDefault="00347DE9" w:rsidP="001F5EA1">
            <w:r w:rsidRPr="00B1522E">
              <w:t>Systematic review</w:t>
            </w:r>
          </w:p>
        </w:tc>
        <w:tc>
          <w:tcPr>
            <w:tcW w:w="6611" w:type="dxa"/>
            <w:tcBorders>
              <w:top w:val="single" w:sz="4" w:space="0" w:color="auto"/>
            </w:tcBorders>
          </w:tcPr>
          <w:p w14:paraId="1FA9CACC" w14:textId="77777777" w:rsidR="00347DE9" w:rsidRPr="00B1522E" w:rsidRDefault="00347DE9" w:rsidP="00AA5DD9">
            <w:pPr>
              <w:pStyle w:val="ListParagraph"/>
              <w:numPr>
                <w:ilvl w:val="0"/>
                <w:numId w:val="21"/>
              </w:numPr>
              <w:spacing w:after="0" w:line="360" w:lineRule="auto"/>
              <w:jc w:val="both"/>
              <w:rPr>
                <w:rFonts w:cstheme="minorHAnsi"/>
              </w:rPr>
            </w:pPr>
            <w:r w:rsidRPr="00B1522E">
              <w:rPr>
                <w:rFonts w:cstheme="minorHAnsi"/>
              </w:rPr>
              <w:t>I</w:t>
            </w:r>
            <w:r w:rsidRPr="00B1522E">
              <w:rPr>
                <w:rFonts w:eastAsia="Calibri" w:cstheme="minorHAnsi"/>
              </w:rPr>
              <w:t>nvolve student peers in the intervention design and delivery</w:t>
            </w:r>
          </w:p>
          <w:p w14:paraId="4FD5B8F8" w14:textId="77777777" w:rsidR="00347DE9" w:rsidRPr="00B1522E" w:rsidRDefault="00347DE9" w:rsidP="00AA5DD9">
            <w:pPr>
              <w:pStyle w:val="ListParagraph"/>
              <w:numPr>
                <w:ilvl w:val="0"/>
                <w:numId w:val="21"/>
              </w:numPr>
              <w:spacing w:after="0" w:line="360" w:lineRule="auto"/>
              <w:jc w:val="both"/>
            </w:pPr>
            <w:r w:rsidRPr="00B1522E">
              <w:rPr>
                <w:rFonts w:eastAsia="Calibri"/>
              </w:rPr>
              <w:t xml:space="preserve">Use educational media to disseminate campaign messages </w:t>
            </w:r>
          </w:p>
          <w:p w14:paraId="5525D929" w14:textId="77777777" w:rsidR="00347DE9" w:rsidRPr="00B1522E" w:rsidRDefault="00347DE9" w:rsidP="00AA5DD9">
            <w:pPr>
              <w:pStyle w:val="ListParagraph"/>
              <w:numPr>
                <w:ilvl w:val="0"/>
                <w:numId w:val="21"/>
              </w:numPr>
              <w:spacing w:after="0" w:line="360" w:lineRule="auto"/>
              <w:jc w:val="both"/>
              <w:rPr>
                <w:rFonts w:cstheme="minorHAnsi"/>
              </w:rPr>
            </w:pPr>
            <w:r w:rsidRPr="00B1522E">
              <w:rPr>
                <w:rFonts w:eastAsia="Calibri" w:cstheme="minorHAnsi"/>
              </w:rPr>
              <w:t>Present students with normative dietary feedback</w:t>
            </w:r>
          </w:p>
          <w:p w14:paraId="2808D648" w14:textId="77777777" w:rsidR="00347DE9" w:rsidRPr="00B1522E" w:rsidRDefault="00347DE9" w:rsidP="001F5EA1">
            <w:pPr>
              <w:pStyle w:val="ListParagraph"/>
              <w:spacing w:line="360" w:lineRule="auto"/>
              <w:jc w:val="both"/>
              <w:rPr>
                <w:rFonts w:cstheme="minorHAnsi"/>
              </w:rPr>
            </w:pPr>
          </w:p>
        </w:tc>
      </w:tr>
      <w:tr w:rsidR="00E77769" w:rsidRPr="00B1522E" w14:paraId="735755C3" w14:textId="77777777" w:rsidTr="001F5EA1">
        <w:tc>
          <w:tcPr>
            <w:tcW w:w="988" w:type="dxa"/>
          </w:tcPr>
          <w:p w14:paraId="13B2A7C5" w14:textId="77777777" w:rsidR="00347DE9" w:rsidRPr="00B1522E" w:rsidRDefault="00347DE9" w:rsidP="001F5EA1">
            <w:pPr>
              <w:spacing w:line="480" w:lineRule="auto"/>
              <w:jc w:val="center"/>
            </w:pPr>
            <w:r w:rsidRPr="00B1522E">
              <w:t>3</w:t>
            </w:r>
          </w:p>
        </w:tc>
        <w:tc>
          <w:tcPr>
            <w:tcW w:w="1417" w:type="dxa"/>
          </w:tcPr>
          <w:p w14:paraId="47DAE53E" w14:textId="77777777" w:rsidR="00347DE9" w:rsidRPr="00B1522E" w:rsidRDefault="00347DE9" w:rsidP="001F5EA1">
            <w:r w:rsidRPr="00B1522E">
              <w:t>Narrative review</w:t>
            </w:r>
          </w:p>
        </w:tc>
        <w:tc>
          <w:tcPr>
            <w:tcW w:w="6611" w:type="dxa"/>
          </w:tcPr>
          <w:p w14:paraId="3399499A" w14:textId="77777777" w:rsidR="00347DE9" w:rsidRPr="00B1522E" w:rsidRDefault="00347DE9" w:rsidP="00AA5DD9">
            <w:pPr>
              <w:pStyle w:val="ListParagraph"/>
              <w:numPr>
                <w:ilvl w:val="0"/>
                <w:numId w:val="19"/>
              </w:numPr>
              <w:spacing w:after="0" w:line="360" w:lineRule="auto"/>
              <w:rPr>
                <w:rFonts w:cstheme="minorHAnsi"/>
              </w:rPr>
            </w:pPr>
            <w:r w:rsidRPr="00B1522E">
              <w:rPr>
                <w:rFonts w:cstheme="minorHAnsi"/>
              </w:rPr>
              <w:t>SNA feedback should be informed by data drawn from the target population to ensure credibility of feedback</w:t>
            </w:r>
          </w:p>
          <w:p w14:paraId="1AA956C4" w14:textId="77777777" w:rsidR="00347DE9" w:rsidRPr="00B1522E" w:rsidRDefault="00347DE9" w:rsidP="00AA5DD9">
            <w:pPr>
              <w:pStyle w:val="ListParagraph"/>
              <w:numPr>
                <w:ilvl w:val="0"/>
                <w:numId w:val="19"/>
              </w:numPr>
              <w:spacing w:after="0" w:line="360" w:lineRule="auto"/>
              <w:rPr>
                <w:rFonts w:cstheme="minorHAnsi"/>
              </w:rPr>
            </w:pPr>
            <w:r w:rsidRPr="00B1522E">
              <w:rPr>
                <w:rFonts w:cstheme="minorHAnsi"/>
                <w:lang w:val="en-US"/>
              </w:rPr>
              <w:t>SNA messages should demonstrate the discrepancy between the actual reported n</w:t>
            </w:r>
            <w:r w:rsidRPr="00B1522E">
              <w:rPr>
                <w:rFonts w:cstheme="minorHAnsi"/>
              </w:rPr>
              <w:t>orm and the perceived norm</w:t>
            </w:r>
          </w:p>
          <w:p w14:paraId="6D724B0F" w14:textId="77777777" w:rsidR="00347DE9" w:rsidRPr="00B1522E" w:rsidRDefault="00347DE9" w:rsidP="00AA5DD9">
            <w:pPr>
              <w:pStyle w:val="ListParagraph"/>
              <w:numPr>
                <w:ilvl w:val="0"/>
                <w:numId w:val="19"/>
              </w:numPr>
              <w:spacing w:after="0" w:line="360" w:lineRule="auto"/>
              <w:rPr>
                <w:rFonts w:cstheme="minorHAnsi"/>
              </w:rPr>
            </w:pPr>
            <w:r w:rsidRPr="00B1522E">
              <w:rPr>
                <w:rFonts w:cstheme="minorHAnsi"/>
              </w:rPr>
              <w:t>SNA interventions should use an interactive method to deliver feedback to increase engagement</w:t>
            </w:r>
          </w:p>
          <w:p w14:paraId="54B65E95" w14:textId="77777777" w:rsidR="00347DE9" w:rsidRPr="00B1522E" w:rsidRDefault="00347DE9" w:rsidP="001F5EA1">
            <w:pPr>
              <w:pStyle w:val="ListParagraph"/>
              <w:spacing w:line="360" w:lineRule="auto"/>
              <w:rPr>
                <w:rFonts w:cstheme="minorHAnsi"/>
              </w:rPr>
            </w:pPr>
          </w:p>
        </w:tc>
      </w:tr>
      <w:tr w:rsidR="00347DE9" w:rsidRPr="00B1522E" w14:paraId="7475FFDD" w14:textId="77777777" w:rsidTr="001F5EA1">
        <w:tc>
          <w:tcPr>
            <w:tcW w:w="988" w:type="dxa"/>
          </w:tcPr>
          <w:p w14:paraId="78821FA9" w14:textId="77777777" w:rsidR="00347DE9" w:rsidRPr="00B1522E" w:rsidRDefault="00347DE9" w:rsidP="001F5EA1">
            <w:pPr>
              <w:spacing w:line="480" w:lineRule="auto"/>
              <w:jc w:val="center"/>
            </w:pPr>
            <w:r w:rsidRPr="00B1522E">
              <w:t>5</w:t>
            </w:r>
          </w:p>
        </w:tc>
        <w:tc>
          <w:tcPr>
            <w:tcW w:w="1417" w:type="dxa"/>
          </w:tcPr>
          <w:p w14:paraId="3305801F" w14:textId="77777777" w:rsidR="00347DE9" w:rsidRPr="00B1522E" w:rsidRDefault="00347DE9" w:rsidP="001F5EA1">
            <w:r w:rsidRPr="00B1522E">
              <w:t>Focus group study</w:t>
            </w:r>
          </w:p>
        </w:tc>
        <w:tc>
          <w:tcPr>
            <w:tcW w:w="6611" w:type="dxa"/>
          </w:tcPr>
          <w:p w14:paraId="7510E420" w14:textId="77777777" w:rsidR="00347DE9" w:rsidRPr="00B1522E" w:rsidRDefault="00347DE9" w:rsidP="00AA5DD9">
            <w:pPr>
              <w:pStyle w:val="ListParagraph"/>
              <w:numPr>
                <w:ilvl w:val="0"/>
                <w:numId w:val="20"/>
              </w:numPr>
              <w:spacing w:after="0" w:line="360" w:lineRule="auto"/>
            </w:pPr>
            <w:r w:rsidRPr="00B1522E">
              <w:t>Students often consume unhealthy snacks</w:t>
            </w:r>
          </w:p>
          <w:p w14:paraId="0FE421CD" w14:textId="4229DD15" w:rsidR="00347DE9" w:rsidRPr="00B1522E" w:rsidRDefault="00347DE9" w:rsidP="00AA5DD9">
            <w:pPr>
              <w:pStyle w:val="ListParagraph"/>
              <w:numPr>
                <w:ilvl w:val="0"/>
                <w:numId w:val="20"/>
              </w:numPr>
              <w:spacing w:after="0" w:line="360" w:lineRule="auto"/>
            </w:pPr>
            <w:r w:rsidRPr="00B1522E">
              <w:rPr>
                <w:rFonts w:cstheme="minorHAnsi"/>
              </w:rPr>
              <w:t xml:space="preserve">There were sex differences in students’ </w:t>
            </w:r>
            <w:r w:rsidRPr="00B1522E">
              <w:t>beliefs about dietary behaviours and in dietary-related normative perceptions</w:t>
            </w:r>
            <w:r w:rsidR="00FC692D" w:rsidRPr="00B1522E">
              <w:t xml:space="preserve"> </w:t>
            </w:r>
            <w:r w:rsidRPr="00B1522E">
              <w:rPr>
                <w:rFonts w:cstheme="minorHAnsi"/>
              </w:rPr>
              <w:t xml:space="preserve">which seemingly influenced dietary choices </w:t>
            </w:r>
          </w:p>
          <w:p w14:paraId="3DF17DDB" w14:textId="77777777" w:rsidR="00347DE9" w:rsidRPr="00B1522E" w:rsidRDefault="00347DE9" w:rsidP="00AA5DD9">
            <w:pPr>
              <w:pStyle w:val="ListParagraph"/>
              <w:numPr>
                <w:ilvl w:val="0"/>
                <w:numId w:val="20"/>
              </w:numPr>
              <w:spacing w:after="0" w:line="360" w:lineRule="auto"/>
              <w:rPr>
                <w:rFonts w:cstheme="minorHAnsi"/>
              </w:rPr>
            </w:pPr>
            <w:r w:rsidRPr="00B1522E">
              <w:rPr>
                <w:rFonts w:cstheme="minorHAnsi"/>
              </w:rPr>
              <w:t xml:space="preserve">Students would eat healthily if they perceived their peers to eat healthily </w:t>
            </w:r>
          </w:p>
        </w:tc>
      </w:tr>
    </w:tbl>
    <w:p w14:paraId="6DE5C229" w14:textId="77777777" w:rsidR="00347DE9" w:rsidRPr="00B1522E" w:rsidRDefault="00347DE9" w:rsidP="00347DE9">
      <w:pPr>
        <w:spacing w:line="480" w:lineRule="auto"/>
      </w:pPr>
    </w:p>
    <w:p w14:paraId="225688EC" w14:textId="7ABD8F58" w:rsidR="00347DE9" w:rsidRPr="00B1522E" w:rsidRDefault="00943C94" w:rsidP="00347DE9">
      <w:pPr>
        <w:spacing w:line="480" w:lineRule="auto"/>
      </w:pPr>
      <w:r w:rsidRPr="00B1522E">
        <w:fldChar w:fldCharType="begin"/>
      </w:r>
      <w:r w:rsidRPr="00B1522E">
        <w:instrText xml:space="preserve"> TC  "</w:instrText>
      </w:r>
      <w:bookmarkStart w:id="161" w:name="_Toc97310471"/>
      <w:r w:rsidRPr="00B1522E">
        <w:instrText>6.</w:instrText>
      </w:r>
      <w:r w:rsidR="008E64DB" w:rsidRPr="00B1522E">
        <w:instrText>3</w:instrText>
      </w:r>
      <w:r w:rsidRPr="00B1522E">
        <w:instrText xml:space="preserve"> Stakeholders</w:instrText>
      </w:r>
      <w:bookmarkEnd w:id="161"/>
      <w:r w:rsidRPr="00B1522E">
        <w:instrText xml:space="preserve"> " \f x\l 2 </w:instrText>
      </w:r>
      <w:r w:rsidRPr="00B1522E">
        <w:fldChar w:fldCharType="end"/>
      </w:r>
      <w:r w:rsidR="00347DE9" w:rsidRPr="00B1522E">
        <w:rPr>
          <w:b/>
          <w:bCs/>
        </w:rPr>
        <w:t>6.</w:t>
      </w:r>
      <w:r w:rsidR="008E64DB" w:rsidRPr="00B1522E">
        <w:rPr>
          <w:b/>
          <w:bCs/>
        </w:rPr>
        <w:t>3</w:t>
      </w:r>
      <w:r w:rsidR="00B07823" w:rsidRPr="00B1522E">
        <w:rPr>
          <w:b/>
          <w:bCs/>
        </w:rPr>
        <w:t xml:space="preserve"> </w:t>
      </w:r>
      <w:r w:rsidR="00347DE9" w:rsidRPr="00B1522E">
        <w:rPr>
          <w:b/>
          <w:bCs/>
        </w:rPr>
        <w:t xml:space="preserve">Stakeholders </w:t>
      </w:r>
    </w:p>
    <w:p w14:paraId="6CCF7A1B" w14:textId="6D76F9D2" w:rsidR="00347DE9" w:rsidRPr="00B1522E" w:rsidRDefault="00347DE9" w:rsidP="00347DE9">
      <w:pPr>
        <w:spacing w:line="480" w:lineRule="auto"/>
        <w:jc w:val="both"/>
        <w:rPr>
          <w:rFonts w:cstheme="minorHAnsi"/>
        </w:rPr>
      </w:pPr>
      <w:r w:rsidRPr="00B1522E">
        <w:rPr>
          <w:rFonts w:cstheme="minorHAnsi"/>
        </w:rPr>
        <w:t xml:space="preserve">This section will provide specific details about the stakeholders and outline the key discussion points raised in the meetings that informed the intervention. A collaborative relationship with schools when designing and implementing an intervention can increase its effectiveness and sustainability </w:t>
      </w:r>
      <w:r w:rsidRPr="00B1522E">
        <w:rPr>
          <w:rFonts w:cstheme="minorHAnsi"/>
        </w:rPr>
        <w:fldChar w:fldCharType="begin" w:fldLock="1"/>
      </w:r>
      <w:r w:rsidR="00660052" w:rsidRPr="00B1522E">
        <w:rPr>
          <w:rFonts w:cstheme="minorHAnsi"/>
        </w:rPr>
        <w:instrText>ADDIN CSL_CITATION {"citationItems":[{"id":"ITEM-1","itemData":{"ISSN":"0965-4283","abstract":"Purpose – The purpose of this paper is to summarize a consensus statement generated on the current challenges, strategies, and potential of health promoting schools (HPS) at a 2011 colloquium at the Stellenbosch Institute for Advanced Study where 40 people from five continents came together to share their global and regional experience surrounding the World Health Organization (WHO) HPS model. Design/methodology/approach – Using the consensus as its foundation, this review summarizes the underlying educational and social science concepts and factors that contribute to success or failure of HPS, and incorporates peer reviewed papers based on invited presentations at the colloquium and key related literature. Findings – HPS increase knowledge and develop behaviors that benefit the health of children, such schools are also an investment in the well-being of the larger community. Importantly for their long-term psychological health “resilience” is generated by effective HPS programs. Professional development ...","author":[{"dropping-particle":"","family":"Macnab","given":"Andrew J.","non-dropping-particle":"","parse-names":false,"suffix":""},{"dropping-particle":"","family":"Gagnon","given":"Faith A.","non-dropping-particle":"","parse-names":false,"suffix":""},{"dropping-particle":"","family":"Stewart","given":"Donald","non-dropping-particle":"","parse-names":false,"suffix":""}],"container-title":"Health Education","editor":[{"dropping-particle":"","family":"Andrew J. Macnab, Dr. Faith A. Gagn","given":"Professor","non-dropping-particle":"","parse-names":false,"suffix":""}],"id":"ITEM-1","issue":"3","issued":{"date-parts":[["2014","4","7"]]},"page":"170-185","publisher":"Emerald Group Publishing Limited","title":"Health promoting schools: consensus, strategies, and potential","type":"article-journal","volume":"114"},"uris":["http://www.mendeley.com/documents/?uuid=ad9d4f17-79e3-4b88-a4b7-b20200c8585e"]}],"mendeley":{"formattedCitation":"(Macnab et al., 2014)","plainTextFormattedCitation":"(Macnab et al., 2014)","previouslyFormattedCitation":"(Macnab et al., 2014)"},"properties":{"noteIndex":0},"schema":"https://github.com/citation-style-language/schema/raw/master/csl-citation.json"}</w:instrText>
      </w:r>
      <w:r w:rsidRPr="00B1522E">
        <w:rPr>
          <w:rFonts w:cstheme="minorHAnsi"/>
        </w:rPr>
        <w:fldChar w:fldCharType="separate"/>
      </w:r>
      <w:r w:rsidRPr="00B1522E">
        <w:rPr>
          <w:rFonts w:cstheme="minorHAnsi"/>
          <w:noProof/>
        </w:rPr>
        <w:t>(Macnab et al., 2014)</w:t>
      </w:r>
      <w:r w:rsidRPr="00B1522E">
        <w:rPr>
          <w:rFonts w:cstheme="minorHAnsi"/>
        </w:rPr>
        <w:fldChar w:fldCharType="end"/>
      </w:r>
      <w:r w:rsidRPr="00B1522E">
        <w:rPr>
          <w:rFonts w:cstheme="minorHAnsi"/>
        </w:rPr>
        <w:t xml:space="preserve">, as co-production can increase understanding about the target population’s needs, practicalities of implementing an intervention, and barriers to change </w:t>
      </w:r>
      <w:r w:rsidRPr="00B1522E">
        <w:rPr>
          <w:rFonts w:cstheme="minorHAnsi"/>
        </w:rPr>
        <w:fldChar w:fldCharType="begin" w:fldLock="1"/>
      </w:r>
      <w:r w:rsidR="00CD35E5" w:rsidRPr="00B1522E">
        <w:rPr>
          <w:rFonts w:cstheme="minorHAnsi"/>
        </w:rPr>
        <w:instrText>ADDIN CSL_CITATION {"citationItems":[{"id":"ITEM-1","itemData":{"abstract":"Improving the effectiveness of public health interventions relies as much on the attention paid to their design and feasibility as to their evaluation. Yet, compared to the vast literature on how to evaluate interventions, there is little to guide researchers or practitioners on how best to develop such interventions in practical, logical, evidence based ways to maximise likely effectiveness. Existing models for the development of public health interventions tend to have a strong social-psychological, individual behaviour change orientation and some take years to implement. This paper presents a pragmatic guide to six essential Steps for Quality Intervention Development (6SQuID). The focus is on public health interventions but the model should have wider applicability. Once a problem has been identified as needing intervention, the process of designing an intervention can be broken down into six crucial steps: (1) defining and understanding the problem and its causes; (2) identifying which causal or contextual factors are modifiable: which have the greatest scope for change and who would benefit most; (3) deciding on the mechanisms of change; (4) clarifying how these will be delivered; (5) testing and adapting the intervention; and (6) collecting sufficient evidence of effectiveness to proceed to a rigorous evaluation. If each of these steps is carefully addressed, better use will be made of scarce public resources by avoiding the costly evaluation, or implementation, of unpromising interventions.","author":[{"dropping-particle":"","family":"Wight","given":"Daniel","non-dropping-particle":"","parse-names":false,"suffix":""},{"dropping-particle":"","family":"Wimbush","given":"Erica","non-dropping-particle":"","parse-names":false,"suffix":""},{"dropping-particle":"","family":"Jepson","given":"Ruth","non-dropping-particle":"","parse-names":false,"suffix":""},{"dropping-particle":"","family":"Doi","given":"Lawrence","non-dropping-particle":"","parse-names":false,"suffix":""}],"container-title":"Journal of Epidemiology and Community Health","id":"ITEM-1","issue":"5","issued":{"date-parts":[["2016","5","1"]]},"page":"520-525","title":"Six steps in quality intervention development (6SQuID)","type":"article-journal","volume":"70"},"uris":["http://www.mendeley.com/documents/?uuid=823034f0-ad7c-4b5a-b048-24abc780184a"]}],"mendeley":{"formattedCitation":"(Wight et al., 2016)","plainTextFormattedCitation":"(Wight et al., 2016)","previouslyFormattedCitation":"(Wight et al., 2016)"},"properties":{"noteIndex":0},"schema":"https://github.com/citation-style-language/schema/raw/master/csl-citation.json"}</w:instrText>
      </w:r>
      <w:r w:rsidRPr="00B1522E">
        <w:rPr>
          <w:rFonts w:cstheme="minorHAnsi"/>
        </w:rPr>
        <w:fldChar w:fldCharType="separate"/>
      </w:r>
      <w:r w:rsidRPr="00B1522E">
        <w:rPr>
          <w:rFonts w:cstheme="minorHAnsi"/>
          <w:noProof/>
        </w:rPr>
        <w:t>(Wight et al., 2016)</w:t>
      </w:r>
      <w:r w:rsidRPr="00B1522E">
        <w:rPr>
          <w:rFonts w:cstheme="minorHAnsi"/>
        </w:rPr>
        <w:fldChar w:fldCharType="end"/>
      </w:r>
      <w:r w:rsidRPr="00B1522E">
        <w:rPr>
          <w:rFonts w:cstheme="minorHAnsi"/>
        </w:rPr>
        <w:t xml:space="preserve"> in a real world setting </w:t>
      </w:r>
      <w:r w:rsidRPr="00B1522E">
        <w:rPr>
          <w:rFonts w:cstheme="minorHAnsi"/>
        </w:rPr>
        <w:fldChar w:fldCharType="begin" w:fldLock="1"/>
      </w:r>
      <w:r w:rsidR="00FD502B" w:rsidRPr="00B1522E">
        <w:rPr>
          <w:rFonts w:cstheme="minorHAnsi"/>
        </w:rPr>
        <w:instrText>ADDIN CSL_CITATION {"citationItems":[{"id":"ITEM-1","itemData":{"ISSN":"2044-6055","abstract":"OBJECTIVE: To provide researchers with guidance on actions to take during intervention development. SUMMARY OF KEY POINTS: Based on a consensus exercise informed by reviews and qualitative interviews, we present key principles and actions for consideration when developing interventions to improve health. These include seeing intervention development as a dynamic iterative process, involving stakeholders, reviewing published research evidence, drawing on existing theories, articulating programme theory, undertaking primary data collection, understanding context, paying attention to future implementation in the real world and designing and refining an intervention using iterative cycles of development with stakeholder input throughout. CONCLUSION: Researchers should consider each action by addressing its relevance to a specific intervention in a specific context, both at the start and throughout the development process.","author":[{"dropping-particle":"","family":"O'Cathain","given":"Alicia","non-dropping-particle":"","parse-names":false,"suffix":""},{"dropping-particle":"","family":"Croot","given":"Liz","non-dropping-particle":"","parse-names":false,"suffix":""},{"dropping-particle":"","family":"Duncan","given":"Edward","non-dropping-particle":"","parse-names":false,"suffix":""},{"dropping-particle":"","family":"Rousseau","given":"Nikki","non-dropping-particle":"","parse-names":false,"suffix":""},{"dropping-particle":"","family":"Sworn","given":"Katie","non-dropping-particle":"","parse-names":false,"suffix":""},{"dropping-particle":"","family":"Turner","given":"Katrina M","non-dropping-particle":"","parse-names":false,"suffix":""},{"dropping-particle":"","family":"Yardley","given":"Lucy","non-dropping-particle":"","parse-names":false,"suffix":""},{"dropping-particle":"","family":"Hoddinott","given":"Pat","non-dropping-particle":"","parse-names":false,"suffix":""}],"container-title":"BMJ open","id":"ITEM-1","issue":"8","issued":{"date-parts":[["2019","8","15"]]},"language":"eng","page":"e029954-e029954","publisher":"BMJ Publishing Group","title":"Guidance on how to develop complex interventions to improve health and healthcare","type":"article-journal","volume":"9"},"uris":["http://www.mendeley.com/documents/?uuid=2f14998a-5020-4b81-bd98-6d7ca9dd3ce3"]}],"mendeley":{"formattedCitation":"(O’Cathain et al., 2019)","plainTextFormattedCitation":"(O’Cathain et al., 2019)","previouslyFormattedCitation":"(O’Cathain et al., 2019)"},"properties":{"noteIndex":0},"schema":"https://github.com/citation-style-language/schema/raw/master/csl-citation.json"}</w:instrText>
      </w:r>
      <w:r w:rsidRPr="00B1522E">
        <w:rPr>
          <w:rFonts w:cstheme="minorHAnsi"/>
        </w:rPr>
        <w:fldChar w:fldCharType="separate"/>
      </w:r>
      <w:r w:rsidRPr="00B1522E">
        <w:rPr>
          <w:rFonts w:cstheme="minorHAnsi"/>
          <w:noProof/>
        </w:rPr>
        <w:t>(O’Cathain et al., 2019)</w:t>
      </w:r>
      <w:r w:rsidRPr="00B1522E">
        <w:rPr>
          <w:rFonts w:cstheme="minorHAnsi"/>
        </w:rPr>
        <w:fldChar w:fldCharType="end"/>
      </w:r>
      <w:r w:rsidRPr="00B1522E">
        <w:rPr>
          <w:rFonts w:cstheme="minorHAnsi"/>
        </w:rPr>
        <w:t xml:space="preserve">. Therefore, input from the advisory group of older students and </w:t>
      </w:r>
      <w:r w:rsidRPr="00B1522E">
        <w:rPr>
          <w:rFonts w:cstheme="minorHAnsi"/>
        </w:rPr>
        <w:lastRenderedPageBreak/>
        <w:t>a teacher at the intervention school provided an understanding of the school-level factors that could influence the success of the intervention implementation and outcomes.</w:t>
      </w:r>
    </w:p>
    <w:p w14:paraId="6E8C5CBC" w14:textId="77777777" w:rsidR="00347DE9" w:rsidRPr="00B1522E" w:rsidRDefault="00347DE9" w:rsidP="00347DE9">
      <w:pPr>
        <w:spacing w:line="480" w:lineRule="auto"/>
        <w:jc w:val="both"/>
      </w:pPr>
    </w:p>
    <w:p w14:paraId="19CE8D1D" w14:textId="64C1D2B6" w:rsidR="00347DE9" w:rsidRPr="00B1522E" w:rsidRDefault="008E64DB" w:rsidP="00347DE9">
      <w:pPr>
        <w:spacing w:line="480" w:lineRule="auto"/>
        <w:jc w:val="both"/>
      </w:pPr>
      <w:r w:rsidRPr="00B1522E">
        <w:fldChar w:fldCharType="begin"/>
      </w:r>
      <w:r w:rsidRPr="00B1522E">
        <w:instrText xml:space="preserve"> TC  "</w:instrText>
      </w:r>
      <w:bookmarkStart w:id="162" w:name="_Toc97310472"/>
      <w:r w:rsidRPr="00B1522E">
        <w:instrText>6.3.1 Student Advisory Group</w:instrText>
      </w:r>
      <w:bookmarkEnd w:id="162"/>
      <w:r w:rsidRPr="00B1522E">
        <w:instrText xml:space="preserve"> " \f x\l 3 </w:instrText>
      </w:r>
      <w:r w:rsidRPr="00B1522E">
        <w:fldChar w:fldCharType="end"/>
      </w:r>
      <w:r w:rsidR="00B07823" w:rsidRPr="00B1522E">
        <w:t>6.3.1 Student</w:t>
      </w:r>
      <w:r w:rsidR="00347DE9" w:rsidRPr="00B1522E">
        <w:t xml:space="preserve"> Advisory Group</w:t>
      </w:r>
    </w:p>
    <w:p w14:paraId="24084BE8" w14:textId="65DB44B4" w:rsidR="00347DE9" w:rsidRPr="00B1522E" w:rsidRDefault="00347DE9" w:rsidP="00347DE9">
      <w:pPr>
        <w:spacing w:line="480" w:lineRule="auto"/>
        <w:jc w:val="both"/>
      </w:pPr>
      <w:r w:rsidRPr="00B1522E">
        <w:t>The aim of the student advisory group was to offer advice on the direction and delivery of the SNA feedback intervention. P</w:t>
      </w:r>
      <w:r w:rsidRPr="00B1522E">
        <w:rPr>
          <w:shd w:val="clear" w:color="auto" w:fill="FFFFFF"/>
        </w:rPr>
        <w:t xml:space="preserve">eers can provide both key insight into the target student group and can help reinforce the social acceptability and credibility of health promotion messages </w:t>
      </w:r>
      <w:r w:rsidRPr="00B1522E">
        <w:rPr>
          <w:shd w:val="clear" w:color="auto" w:fill="FFFFFF"/>
        </w:rPr>
        <w:fldChar w:fldCharType="begin" w:fldLock="1"/>
      </w:r>
      <w:r w:rsidR="00D41C30" w:rsidRPr="00B1522E">
        <w:rPr>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shd w:val="clear" w:color="auto" w:fill="FFFFFF"/>
        </w:rPr>
        <w:fldChar w:fldCharType="separate"/>
      </w:r>
      <w:r w:rsidR="00660052" w:rsidRPr="00B1522E">
        <w:rPr>
          <w:noProof/>
          <w:shd w:val="clear" w:color="auto" w:fill="FFFFFF"/>
        </w:rPr>
        <w:t>(McAlaney et al., 2010)</w:t>
      </w:r>
      <w:r w:rsidRPr="00B1522E">
        <w:rPr>
          <w:shd w:val="clear" w:color="auto" w:fill="FFFFFF"/>
        </w:rPr>
        <w:fldChar w:fldCharType="end"/>
      </w:r>
      <w:r w:rsidRPr="00B1522E">
        <w:rPr>
          <w:shd w:val="clear" w:color="auto" w:fill="FFFFFF"/>
        </w:rPr>
        <w:t>.</w:t>
      </w:r>
      <w:r w:rsidRPr="00B1522E">
        <w:t xml:space="preserve"> The advisory group consisted of six students in Year 8 (aged 12- to 13-years). Guardians of Year 8 students were informed of the advisory group via letters sent home from the school, which included guardian/parent opt-out consent forms (Appendix </w:t>
      </w:r>
      <w:r w:rsidR="00933A35" w:rsidRPr="00B1522E">
        <w:t>10</w:t>
      </w:r>
      <w:r w:rsidRPr="00B1522E">
        <w:t xml:space="preserve">). Teachers selected several students </w:t>
      </w:r>
      <w:r w:rsidR="006C16F6" w:rsidRPr="00B1522E">
        <w:t>to</w:t>
      </w:r>
      <w:r w:rsidRPr="00B1522E">
        <w:t xml:space="preserve"> participate in the advisory group and those students who wished to participate, after reading the study </w:t>
      </w:r>
      <w:r w:rsidRPr="00646E6A">
        <w:t>information</w:t>
      </w:r>
      <w:r w:rsidR="004A0A65" w:rsidRPr="00646E6A">
        <w:t xml:space="preserve"> (Appendix 1</w:t>
      </w:r>
      <w:r w:rsidR="00933A35" w:rsidRPr="00646E6A">
        <w:t>1</w:t>
      </w:r>
      <w:r w:rsidR="004A0A65" w:rsidRPr="00646E6A">
        <w:t>)</w:t>
      </w:r>
      <w:r w:rsidRPr="00646E6A">
        <w:t xml:space="preserve">, were asked to provide </w:t>
      </w:r>
      <w:r w:rsidR="00915CBF" w:rsidRPr="00646E6A">
        <w:t xml:space="preserve">assent </w:t>
      </w:r>
      <w:r w:rsidRPr="00646E6A">
        <w:t xml:space="preserve">(Appendix </w:t>
      </w:r>
      <w:r w:rsidR="00EE7738" w:rsidRPr="00646E6A">
        <w:t>1</w:t>
      </w:r>
      <w:r w:rsidR="00933A35" w:rsidRPr="00646E6A">
        <w:t>2</w:t>
      </w:r>
      <w:r w:rsidRPr="00646E6A">
        <w:t>). The advisory group met on</w:t>
      </w:r>
      <w:r w:rsidRPr="00B1522E">
        <w:t xml:space="preserve"> three occasions over the 6 months prior to the intervention’s implementation where they engaged in a group discussion facilitated by the researcher during school hours. The meetings lasted approximately 30 minutes and the researcher made notes throughout each meeting.</w:t>
      </w:r>
      <w:r w:rsidRPr="00B1522E">
        <w:rPr>
          <w:rFonts w:ascii="Calibri" w:hAnsi="Calibri"/>
        </w:rPr>
        <w:t xml:space="preserve"> </w:t>
      </w:r>
      <w:r w:rsidRPr="00B1522E">
        <w:t xml:space="preserve"> In brief, the first meeting explained the nature of the intervention and discussed methods and resources the students thought could be used to help deliver SNA feedback messages to their peers in an interactive way. The second meeting explored different ways of ensuring that participants had engaged with the SNA feedback. In the third meeting the advisory group reviewed and provided feedback on the resources developed for the intervention.</w:t>
      </w:r>
      <w:r w:rsidR="0085279C" w:rsidRPr="00B1522E">
        <w:t xml:space="preserve"> Following the thi</w:t>
      </w:r>
      <w:r w:rsidR="00AA7095" w:rsidRPr="00B1522E">
        <w:t>rd meeting the advisory group</w:t>
      </w:r>
      <w:r w:rsidR="0085279C" w:rsidRPr="00B1522E">
        <w:t xml:space="preserve"> were </w:t>
      </w:r>
      <w:r w:rsidR="007E0D3F" w:rsidRPr="00B1522E">
        <w:t xml:space="preserve">thanked for their input and </w:t>
      </w:r>
      <w:r w:rsidR="0085279C" w:rsidRPr="00B1522E">
        <w:t>provided with a debriefing form</w:t>
      </w:r>
      <w:r w:rsidR="007E0D3F" w:rsidRPr="00B1522E">
        <w:t xml:space="preserve"> (Appendix </w:t>
      </w:r>
      <w:r w:rsidR="00A40798" w:rsidRPr="00B1522E">
        <w:t>1</w:t>
      </w:r>
      <w:r w:rsidR="003A24D6" w:rsidRPr="00B1522E">
        <w:t>3</w:t>
      </w:r>
      <w:r w:rsidR="007E0D3F" w:rsidRPr="00B1522E">
        <w:t>).</w:t>
      </w:r>
      <w:r w:rsidRPr="00B1522E">
        <w:t xml:space="preserve"> Table </w:t>
      </w:r>
      <w:r w:rsidR="00326C38" w:rsidRPr="00B1522E">
        <w:t>7</w:t>
      </w:r>
      <w:r w:rsidRPr="00B1522E">
        <w:t xml:space="preserve"> presents an overview of the key findings from the advisory group meetings that informed the development of the intervention. </w:t>
      </w:r>
    </w:p>
    <w:p w14:paraId="6D54C9DC" w14:textId="77777777" w:rsidR="00347DE9" w:rsidRPr="00B1522E" w:rsidRDefault="00347DE9" w:rsidP="00347DE9">
      <w:pPr>
        <w:spacing w:line="480" w:lineRule="auto"/>
        <w:jc w:val="both"/>
        <w:rPr>
          <w:rFonts w:cstheme="minorHAnsi"/>
        </w:rPr>
      </w:pPr>
    </w:p>
    <w:p w14:paraId="660493F3" w14:textId="05F4A687" w:rsidR="00347DE9" w:rsidRPr="00B1522E" w:rsidRDefault="002B53BA" w:rsidP="00347DE9">
      <w:pPr>
        <w:spacing w:line="480" w:lineRule="auto"/>
        <w:jc w:val="both"/>
      </w:pPr>
      <w:r w:rsidRPr="00B1522E">
        <w:rPr>
          <w:b/>
          <w:bCs/>
          <w:i/>
          <w:iCs/>
        </w:rPr>
        <w:lastRenderedPageBreak/>
        <w:fldChar w:fldCharType="begin"/>
      </w:r>
      <w:r w:rsidRPr="00B1522E">
        <w:rPr>
          <w:b/>
          <w:bCs/>
        </w:rPr>
        <w:instrText xml:space="preserve"> TC  "</w:instrText>
      </w:r>
      <w:r w:rsidRPr="00B1522E">
        <w:rPr>
          <w:rFonts w:cstheme="minorHAnsi"/>
        </w:rPr>
        <w:instrText xml:space="preserve"> </w:instrText>
      </w:r>
      <w:bookmarkStart w:id="163" w:name="_Toc97557130"/>
      <w:r w:rsidRPr="00B1522E">
        <w:instrText xml:space="preserve">Table </w:instrText>
      </w:r>
      <w:r w:rsidR="000723FE" w:rsidRPr="00B1522E">
        <w:instrText>7</w:instrText>
      </w:r>
      <w:r w:rsidRPr="00B1522E">
        <w:instrText>. Key findings from the advisory group meetings which informed the development of the intervention</w:instrText>
      </w:r>
      <w:bookmarkEnd w:id="163"/>
      <w:r w:rsidRPr="00B1522E">
        <w:rPr>
          <w:b/>
          <w:bCs/>
        </w:rPr>
        <w:instrText xml:space="preserve"> " \f z\l 2 </w:instrText>
      </w:r>
      <w:r w:rsidRPr="00B1522E">
        <w:rPr>
          <w:b/>
          <w:bCs/>
          <w:i/>
          <w:iCs/>
        </w:rPr>
        <w:fldChar w:fldCharType="end"/>
      </w:r>
      <w:r w:rsidR="00347DE9" w:rsidRPr="00B1522E">
        <w:t xml:space="preserve">Table </w:t>
      </w:r>
      <w:r w:rsidR="000723FE" w:rsidRPr="00B1522E">
        <w:t>7</w:t>
      </w:r>
      <w:r w:rsidR="00347DE9" w:rsidRPr="00B1522E">
        <w:t>. Key findings from the advisory group meetings which informed the development of the intervention.</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6438"/>
      </w:tblGrid>
      <w:tr w:rsidR="00E77769" w:rsidRPr="00B1522E" w14:paraId="71950B08" w14:textId="77777777" w:rsidTr="001F5EA1">
        <w:trPr>
          <w:trHeight w:val="334"/>
        </w:trPr>
        <w:tc>
          <w:tcPr>
            <w:tcW w:w="2625" w:type="dxa"/>
            <w:tcBorders>
              <w:top w:val="single" w:sz="4" w:space="0" w:color="auto"/>
              <w:bottom w:val="single" w:sz="4" w:space="0" w:color="auto"/>
            </w:tcBorders>
          </w:tcPr>
          <w:p w14:paraId="58ACBFF2" w14:textId="77777777" w:rsidR="00347DE9" w:rsidRPr="00B1522E" w:rsidRDefault="00347DE9" w:rsidP="001F5EA1">
            <w:pPr>
              <w:spacing w:line="480" w:lineRule="auto"/>
              <w:jc w:val="center"/>
              <w:rPr>
                <w:b/>
                <w:bCs/>
              </w:rPr>
            </w:pPr>
            <w:r w:rsidRPr="00B1522E">
              <w:rPr>
                <w:b/>
                <w:bCs/>
              </w:rPr>
              <w:t>Meetings</w:t>
            </w:r>
          </w:p>
        </w:tc>
        <w:tc>
          <w:tcPr>
            <w:tcW w:w="6438" w:type="dxa"/>
            <w:tcBorders>
              <w:top w:val="single" w:sz="4" w:space="0" w:color="auto"/>
              <w:bottom w:val="single" w:sz="4" w:space="0" w:color="auto"/>
            </w:tcBorders>
          </w:tcPr>
          <w:p w14:paraId="764C8B9D" w14:textId="77777777" w:rsidR="00347DE9" w:rsidRPr="00B1522E" w:rsidRDefault="00347DE9" w:rsidP="001F5EA1">
            <w:pPr>
              <w:spacing w:line="480" w:lineRule="auto"/>
              <w:jc w:val="center"/>
              <w:rPr>
                <w:b/>
                <w:bCs/>
              </w:rPr>
            </w:pPr>
            <w:r w:rsidRPr="00B1522E">
              <w:rPr>
                <w:b/>
                <w:bCs/>
              </w:rPr>
              <w:t>Overview of key findings</w:t>
            </w:r>
          </w:p>
        </w:tc>
      </w:tr>
      <w:tr w:rsidR="00E77769" w:rsidRPr="00B1522E" w14:paraId="4124B2D3" w14:textId="77777777" w:rsidTr="001F5EA1">
        <w:trPr>
          <w:trHeight w:val="800"/>
        </w:trPr>
        <w:tc>
          <w:tcPr>
            <w:tcW w:w="2625" w:type="dxa"/>
            <w:tcBorders>
              <w:top w:val="single" w:sz="4" w:space="0" w:color="auto"/>
            </w:tcBorders>
          </w:tcPr>
          <w:p w14:paraId="7DD51BA0" w14:textId="77777777" w:rsidR="00347DE9" w:rsidRPr="00B1522E" w:rsidRDefault="00347DE9" w:rsidP="001F5EA1">
            <w:pPr>
              <w:rPr>
                <w:rFonts w:cstheme="minorHAnsi"/>
              </w:rPr>
            </w:pPr>
            <w:r w:rsidRPr="00B1522E">
              <w:rPr>
                <w:rFonts w:cstheme="minorHAnsi"/>
              </w:rPr>
              <w:t>Meeting 1</w:t>
            </w:r>
          </w:p>
        </w:tc>
        <w:tc>
          <w:tcPr>
            <w:tcW w:w="6438" w:type="dxa"/>
            <w:tcBorders>
              <w:top w:val="single" w:sz="4" w:space="0" w:color="auto"/>
            </w:tcBorders>
          </w:tcPr>
          <w:p w14:paraId="7391D4B7" w14:textId="05BED6A7" w:rsidR="00347DE9" w:rsidRPr="00B1522E" w:rsidRDefault="00347DE9" w:rsidP="00AA5DD9">
            <w:pPr>
              <w:pStyle w:val="ListParagraph"/>
              <w:numPr>
                <w:ilvl w:val="0"/>
                <w:numId w:val="16"/>
              </w:numPr>
              <w:spacing w:after="0" w:line="360" w:lineRule="auto"/>
              <w:jc w:val="both"/>
              <w:rPr>
                <w:rFonts w:cstheme="minorHAnsi"/>
              </w:rPr>
            </w:pPr>
            <w:r w:rsidRPr="00B1522E">
              <w:rPr>
                <w:rFonts w:cstheme="minorHAnsi"/>
              </w:rPr>
              <w:t xml:space="preserve">Deliver campaign messages using a practical interactive activity as students may not attend to SNA feedback in print-based materials, </w:t>
            </w:r>
            <w:r w:rsidR="00A40798" w:rsidRPr="00B1522E">
              <w:rPr>
                <w:rFonts w:cstheme="minorHAnsi"/>
              </w:rPr>
              <w:t>e.g.,</w:t>
            </w:r>
            <w:r w:rsidRPr="00B1522E">
              <w:rPr>
                <w:rFonts w:cstheme="minorHAnsi"/>
              </w:rPr>
              <w:t xml:space="preserve"> newsletter</w:t>
            </w:r>
          </w:p>
          <w:p w14:paraId="3C9A599B" w14:textId="77777777" w:rsidR="00347DE9" w:rsidRPr="00B1522E" w:rsidRDefault="00347DE9" w:rsidP="00AA5DD9">
            <w:pPr>
              <w:pStyle w:val="ListParagraph"/>
              <w:numPr>
                <w:ilvl w:val="0"/>
                <w:numId w:val="16"/>
              </w:numPr>
              <w:spacing w:after="0" w:line="360" w:lineRule="auto"/>
              <w:jc w:val="both"/>
              <w:rPr>
                <w:rFonts w:cstheme="minorHAnsi"/>
              </w:rPr>
            </w:pPr>
            <w:r w:rsidRPr="00B1522E">
              <w:rPr>
                <w:rFonts w:cstheme="minorHAnsi"/>
              </w:rPr>
              <w:t>Design posters in small groups that included the SNA feedback as it would help ensure students reviewed the feedback</w:t>
            </w:r>
          </w:p>
          <w:p w14:paraId="086C6328" w14:textId="77777777" w:rsidR="00347DE9" w:rsidRPr="00B1522E" w:rsidRDefault="00347DE9" w:rsidP="001F5EA1">
            <w:pPr>
              <w:pStyle w:val="ListParagraph"/>
              <w:spacing w:line="360" w:lineRule="auto"/>
              <w:jc w:val="both"/>
              <w:rPr>
                <w:rFonts w:cstheme="minorHAnsi"/>
              </w:rPr>
            </w:pPr>
          </w:p>
        </w:tc>
      </w:tr>
      <w:tr w:rsidR="00347DE9" w:rsidRPr="00B1522E" w14:paraId="33617DAD" w14:textId="77777777" w:rsidTr="001F5EA1">
        <w:trPr>
          <w:trHeight w:val="1709"/>
        </w:trPr>
        <w:tc>
          <w:tcPr>
            <w:tcW w:w="2625" w:type="dxa"/>
            <w:tcBorders>
              <w:bottom w:val="single" w:sz="4" w:space="0" w:color="auto"/>
            </w:tcBorders>
          </w:tcPr>
          <w:p w14:paraId="37ED1275" w14:textId="77777777" w:rsidR="00347DE9" w:rsidRPr="00B1522E" w:rsidRDefault="00347DE9" w:rsidP="001F5EA1">
            <w:pPr>
              <w:rPr>
                <w:rFonts w:cstheme="minorHAnsi"/>
              </w:rPr>
            </w:pPr>
            <w:r w:rsidRPr="00B1522E">
              <w:rPr>
                <w:rFonts w:cstheme="minorHAnsi"/>
              </w:rPr>
              <w:t>Meeting 2</w:t>
            </w:r>
          </w:p>
          <w:p w14:paraId="1CE9E920" w14:textId="77777777" w:rsidR="00347DE9" w:rsidRPr="00B1522E" w:rsidRDefault="00347DE9" w:rsidP="001F5EA1">
            <w:pPr>
              <w:rPr>
                <w:rFonts w:cstheme="minorHAnsi"/>
              </w:rPr>
            </w:pPr>
          </w:p>
        </w:tc>
        <w:tc>
          <w:tcPr>
            <w:tcW w:w="6438" w:type="dxa"/>
            <w:tcBorders>
              <w:bottom w:val="single" w:sz="4" w:space="0" w:color="auto"/>
            </w:tcBorders>
          </w:tcPr>
          <w:p w14:paraId="54A12333" w14:textId="77777777" w:rsidR="00347DE9" w:rsidRPr="00B1522E" w:rsidRDefault="00347DE9" w:rsidP="00AA5DD9">
            <w:pPr>
              <w:pStyle w:val="ListParagraph"/>
              <w:numPr>
                <w:ilvl w:val="0"/>
                <w:numId w:val="16"/>
              </w:numPr>
              <w:spacing w:after="0" w:line="360" w:lineRule="auto"/>
              <w:jc w:val="both"/>
              <w:rPr>
                <w:rFonts w:cstheme="minorHAnsi"/>
              </w:rPr>
            </w:pPr>
            <w:r w:rsidRPr="00B1522E">
              <w:rPr>
                <w:rFonts w:cstheme="minorHAnsi"/>
              </w:rPr>
              <w:t xml:space="preserve">Students should present their designed posters to their peers discussing what they found </w:t>
            </w:r>
            <w:r w:rsidRPr="00B1522E">
              <w:t xml:space="preserve">interesting about the SNA feedback </w:t>
            </w:r>
            <w:r w:rsidRPr="00B1522E">
              <w:rPr>
                <w:rFonts w:cstheme="minorHAnsi"/>
              </w:rPr>
              <w:t xml:space="preserve">to ensure students had attended to and engaged with the SNA feedback </w:t>
            </w:r>
          </w:p>
          <w:p w14:paraId="44D04CAB" w14:textId="77777777" w:rsidR="00347DE9" w:rsidRPr="00B1522E" w:rsidRDefault="00347DE9" w:rsidP="00AA5DD9">
            <w:pPr>
              <w:pStyle w:val="ListParagraph"/>
              <w:numPr>
                <w:ilvl w:val="0"/>
                <w:numId w:val="16"/>
              </w:numPr>
              <w:spacing w:after="0" w:line="360" w:lineRule="auto"/>
              <w:jc w:val="both"/>
              <w:rPr>
                <w:rFonts w:cstheme="minorHAnsi"/>
              </w:rPr>
            </w:pPr>
            <w:r w:rsidRPr="00B1522E">
              <w:rPr>
                <w:rFonts w:cstheme="minorHAnsi"/>
              </w:rPr>
              <w:t xml:space="preserve">Display posters in school where the target population would see them daily </w:t>
            </w:r>
          </w:p>
          <w:p w14:paraId="061A209B" w14:textId="77777777" w:rsidR="00347DE9" w:rsidRPr="00B1522E" w:rsidRDefault="00347DE9" w:rsidP="00AA5DD9">
            <w:pPr>
              <w:pStyle w:val="ListParagraph"/>
              <w:numPr>
                <w:ilvl w:val="0"/>
                <w:numId w:val="16"/>
              </w:numPr>
              <w:spacing w:after="0" w:line="360" w:lineRule="auto"/>
              <w:jc w:val="both"/>
              <w:rPr>
                <w:rFonts w:cstheme="minorHAnsi"/>
              </w:rPr>
            </w:pPr>
            <w:r w:rsidRPr="00B1522E">
              <w:rPr>
                <w:rFonts w:cstheme="minorHAnsi"/>
              </w:rPr>
              <w:t>A prize-based competition (organised by the advisory group) could help ensure that students review the SNA feedback on more than one occasion</w:t>
            </w:r>
          </w:p>
        </w:tc>
      </w:tr>
    </w:tbl>
    <w:p w14:paraId="3E1F257F" w14:textId="77777777" w:rsidR="00347DE9" w:rsidRPr="00B1522E" w:rsidRDefault="00347DE9" w:rsidP="00347DE9">
      <w:pPr>
        <w:spacing w:line="480" w:lineRule="auto"/>
        <w:jc w:val="both"/>
        <w:rPr>
          <w:rFonts w:cstheme="minorHAnsi"/>
        </w:rPr>
      </w:pPr>
    </w:p>
    <w:p w14:paraId="4BEE5632" w14:textId="05A3FB66" w:rsidR="00347DE9" w:rsidRPr="00B1522E" w:rsidRDefault="00461C6F" w:rsidP="00347DE9">
      <w:pPr>
        <w:spacing w:line="480" w:lineRule="auto"/>
        <w:jc w:val="both"/>
      </w:pPr>
      <w:r w:rsidRPr="00B1522E">
        <w:fldChar w:fldCharType="begin"/>
      </w:r>
      <w:r w:rsidRPr="00B1522E">
        <w:instrText xml:space="preserve"> TC  "</w:instrText>
      </w:r>
      <w:bookmarkStart w:id="164" w:name="_Toc97310473"/>
      <w:r w:rsidRPr="00B1522E">
        <w:instrText>6.3.2 Teacher Meetings</w:instrText>
      </w:r>
      <w:bookmarkEnd w:id="164"/>
      <w:r w:rsidRPr="00B1522E">
        <w:instrText xml:space="preserve"> " \f x\l 3 </w:instrText>
      </w:r>
      <w:r w:rsidRPr="00B1522E">
        <w:fldChar w:fldCharType="end"/>
      </w:r>
      <w:r w:rsidR="00347DE9" w:rsidRPr="00B1522E">
        <w:t>6.</w:t>
      </w:r>
      <w:r w:rsidRPr="00B1522E">
        <w:t>3.2</w:t>
      </w:r>
      <w:r w:rsidR="00347DE9" w:rsidRPr="00B1522E">
        <w:t xml:space="preserve"> Teacher Meetings</w:t>
      </w:r>
    </w:p>
    <w:p w14:paraId="37900E76" w14:textId="34B6FE64" w:rsidR="00347DE9" w:rsidRPr="00B1522E" w:rsidRDefault="00347DE9" w:rsidP="00B64DC8">
      <w:pPr>
        <w:spacing w:line="480" w:lineRule="auto"/>
        <w:jc w:val="both"/>
      </w:pPr>
      <w:r w:rsidRPr="00B1522E">
        <w:t>The aim of the teacher meetings was to collect background information about the schools, and the target population, and provide an understanding of the school-level factors that could influence the intervention implementation in the school. The teacher was the Head of Key Stage 3 (</w:t>
      </w:r>
      <w:r w:rsidR="00CB69E3" w:rsidRPr="00B1522E">
        <w:t xml:space="preserve">responsible for </w:t>
      </w:r>
      <w:r w:rsidRPr="00B1522E">
        <w:t xml:space="preserve">school years for students aged between 11 and 14 years) </w:t>
      </w:r>
      <w:r w:rsidR="00273B42" w:rsidRPr="00B1522E">
        <w:t xml:space="preserve">and </w:t>
      </w:r>
      <w:r w:rsidRPr="00B1522E">
        <w:t xml:space="preserve">there were two meetings with the teacher prior to the implementation of the intervention. The meetings lasted approximately 30 minutes and the researcher made notes throughout each meeting. The first meeting collected background information about the school and the student population. The second meeting took place after the advisory group had met for the first time (where the advisory group discussed ways to </w:t>
      </w:r>
      <w:r w:rsidRPr="00B1522E">
        <w:lastRenderedPageBreak/>
        <w:t xml:space="preserve">communicate the SNA feedback to students) and this meeting discussed opportunities and barriers to implementing the SNA intervention in the school. Table </w:t>
      </w:r>
      <w:r w:rsidR="00326C38" w:rsidRPr="00B1522E">
        <w:t xml:space="preserve">8 </w:t>
      </w:r>
      <w:r w:rsidRPr="00B1522E">
        <w:t>presents an overview of the key findings from the teacher meetings that informed the development of the intervention.</w:t>
      </w:r>
    </w:p>
    <w:p w14:paraId="2C87A334" w14:textId="763A0C18" w:rsidR="00347DE9" w:rsidRPr="00B1522E" w:rsidRDefault="002B53BA" w:rsidP="00B64DC8">
      <w:pPr>
        <w:spacing w:line="480" w:lineRule="auto"/>
        <w:jc w:val="both"/>
        <w:rPr>
          <w:rFonts w:cstheme="minorHAnsi"/>
        </w:rPr>
      </w:pPr>
      <w:r w:rsidRPr="00B1522E">
        <w:rPr>
          <w:b/>
          <w:bCs/>
          <w:i/>
          <w:iCs/>
        </w:rPr>
        <w:fldChar w:fldCharType="begin"/>
      </w:r>
      <w:r w:rsidRPr="00B1522E">
        <w:rPr>
          <w:b/>
          <w:bCs/>
        </w:rPr>
        <w:instrText xml:space="preserve"> TC  "</w:instrText>
      </w:r>
      <w:r w:rsidRPr="00B1522E">
        <w:rPr>
          <w:rFonts w:cstheme="minorHAnsi"/>
        </w:rPr>
        <w:instrText xml:space="preserve"> </w:instrText>
      </w:r>
      <w:bookmarkStart w:id="165" w:name="_Toc97557131"/>
      <w:r w:rsidRPr="00B1522E">
        <w:rPr>
          <w:rFonts w:cstheme="minorHAnsi"/>
        </w:rPr>
        <w:instrText xml:space="preserve">Table </w:instrText>
      </w:r>
      <w:r w:rsidR="000723FE" w:rsidRPr="00B1522E">
        <w:rPr>
          <w:rFonts w:cstheme="minorHAnsi"/>
        </w:rPr>
        <w:instrText>8</w:instrText>
      </w:r>
      <w:r w:rsidRPr="00B1522E">
        <w:rPr>
          <w:rFonts w:cstheme="minorHAnsi"/>
        </w:rPr>
        <w:instrText>. Key findings from the teacher meetings which informed the development of the intervention.</w:instrText>
      </w:r>
      <w:bookmarkEnd w:id="165"/>
      <w:r w:rsidRPr="00B1522E">
        <w:rPr>
          <w:b/>
          <w:bCs/>
        </w:rPr>
        <w:instrText xml:space="preserve"> " \f z\l 2 </w:instrText>
      </w:r>
      <w:r w:rsidRPr="00B1522E">
        <w:rPr>
          <w:b/>
          <w:bCs/>
          <w:i/>
          <w:iCs/>
        </w:rPr>
        <w:fldChar w:fldCharType="end"/>
      </w:r>
      <w:r w:rsidR="00347DE9" w:rsidRPr="00B1522E">
        <w:rPr>
          <w:rFonts w:cstheme="minorHAnsi"/>
        </w:rPr>
        <w:t xml:space="preserve">Table </w:t>
      </w:r>
      <w:r w:rsidR="000723FE" w:rsidRPr="00B1522E">
        <w:rPr>
          <w:rFonts w:cstheme="minorHAnsi"/>
        </w:rPr>
        <w:t>8</w:t>
      </w:r>
      <w:r w:rsidR="00347DE9" w:rsidRPr="00B1522E">
        <w:rPr>
          <w:rFonts w:cstheme="minorHAnsi"/>
        </w:rPr>
        <w:t>. Key findings from the teacher meetings which informed the development of the intervention.</w:t>
      </w:r>
    </w:p>
    <w:tbl>
      <w:tblPr>
        <w:tblStyle w:val="TableGrid"/>
        <w:tblW w:w="8931" w:type="dxa"/>
        <w:tblLook w:val="04A0" w:firstRow="1" w:lastRow="0" w:firstColumn="1" w:lastColumn="0" w:noHBand="0" w:noVBand="1"/>
      </w:tblPr>
      <w:tblGrid>
        <w:gridCol w:w="2268"/>
        <w:gridCol w:w="6663"/>
      </w:tblGrid>
      <w:tr w:rsidR="00E77769" w:rsidRPr="00B1522E" w14:paraId="39E2894D" w14:textId="77777777" w:rsidTr="00BC7E7C">
        <w:tc>
          <w:tcPr>
            <w:tcW w:w="2268" w:type="dxa"/>
            <w:tcBorders>
              <w:left w:val="nil"/>
              <w:bottom w:val="single" w:sz="4" w:space="0" w:color="auto"/>
              <w:right w:val="nil"/>
            </w:tcBorders>
          </w:tcPr>
          <w:p w14:paraId="6A8CCFAA" w14:textId="77777777" w:rsidR="00347DE9" w:rsidRPr="00B1522E" w:rsidRDefault="00347DE9" w:rsidP="001F5EA1">
            <w:pPr>
              <w:spacing w:line="480" w:lineRule="auto"/>
              <w:jc w:val="center"/>
              <w:rPr>
                <w:b/>
                <w:bCs/>
              </w:rPr>
            </w:pPr>
            <w:r w:rsidRPr="00B1522E">
              <w:rPr>
                <w:b/>
                <w:bCs/>
              </w:rPr>
              <w:t>Meetings</w:t>
            </w:r>
          </w:p>
        </w:tc>
        <w:tc>
          <w:tcPr>
            <w:tcW w:w="6663" w:type="dxa"/>
            <w:tcBorders>
              <w:left w:val="nil"/>
              <w:bottom w:val="single" w:sz="4" w:space="0" w:color="auto"/>
              <w:right w:val="nil"/>
            </w:tcBorders>
          </w:tcPr>
          <w:p w14:paraId="37079B6E" w14:textId="77777777" w:rsidR="00347DE9" w:rsidRPr="00B1522E" w:rsidRDefault="00347DE9" w:rsidP="001F5EA1">
            <w:pPr>
              <w:spacing w:line="480" w:lineRule="auto"/>
              <w:jc w:val="center"/>
              <w:rPr>
                <w:b/>
                <w:bCs/>
              </w:rPr>
            </w:pPr>
            <w:r w:rsidRPr="00B1522E">
              <w:rPr>
                <w:b/>
                <w:bCs/>
              </w:rPr>
              <w:t>Overview of key findings</w:t>
            </w:r>
          </w:p>
        </w:tc>
      </w:tr>
      <w:tr w:rsidR="00E77769" w:rsidRPr="00B1522E" w14:paraId="46C4749A" w14:textId="77777777" w:rsidTr="00BC7E7C">
        <w:tc>
          <w:tcPr>
            <w:tcW w:w="2268" w:type="dxa"/>
            <w:tcBorders>
              <w:top w:val="single" w:sz="4" w:space="0" w:color="auto"/>
              <w:left w:val="nil"/>
              <w:bottom w:val="nil"/>
              <w:right w:val="nil"/>
            </w:tcBorders>
          </w:tcPr>
          <w:p w14:paraId="42BA2D9B" w14:textId="77777777" w:rsidR="00347DE9" w:rsidRPr="00B1522E" w:rsidRDefault="00347DE9" w:rsidP="001F5EA1">
            <w:pPr>
              <w:jc w:val="both"/>
            </w:pPr>
            <w:r w:rsidRPr="00B1522E">
              <w:t>Meeting 1</w:t>
            </w:r>
          </w:p>
          <w:p w14:paraId="7B747CF4" w14:textId="77777777" w:rsidR="00347DE9" w:rsidRPr="00B1522E" w:rsidRDefault="00347DE9" w:rsidP="001F5EA1">
            <w:pPr>
              <w:jc w:val="center"/>
              <w:rPr>
                <w:rFonts w:cstheme="minorHAnsi"/>
              </w:rPr>
            </w:pPr>
          </w:p>
        </w:tc>
        <w:tc>
          <w:tcPr>
            <w:tcW w:w="6663" w:type="dxa"/>
            <w:tcBorders>
              <w:top w:val="single" w:sz="4" w:space="0" w:color="auto"/>
              <w:left w:val="nil"/>
              <w:bottom w:val="nil"/>
              <w:right w:val="nil"/>
            </w:tcBorders>
          </w:tcPr>
          <w:p w14:paraId="3EEAA130" w14:textId="77777777" w:rsidR="00347DE9" w:rsidRPr="00B1522E" w:rsidRDefault="00347DE9" w:rsidP="00AA5DD9">
            <w:pPr>
              <w:pStyle w:val="ListParagraph"/>
              <w:numPr>
                <w:ilvl w:val="0"/>
                <w:numId w:val="17"/>
              </w:numPr>
              <w:spacing w:after="0" w:line="360" w:lineRule="auto"/>
              <w:jc w:val="both"/>
              <w:rPr>
                <w:rFonts w:cstheme="minorHAnsi"/>
              </w:rPr>
            </w:pPr>
            <w:r w:rsidRPr="00B1522E">
              <w:rPr>
                <w:rFonts w:cstheme="minorHAnsi"/>
              </w:rPr>
              <w:t>The school is located in a deprived area of the UK</w:t>
            </w:r>
          </w:p>
          <w:p w14:paraId="4A3694B7" w14:textId="77777777" w:rsidR="00347DE9" w:rsidRPr="00B1522E" w:rsidRDefault="00347DE9" w:rsidP="00AA5DD9">
            <w:pPr>
              <w:pStyle w:val="ListParagraph"/>
              <w:numPr>
                <w:ilvl w:val="0"/>
                <w:numId w:val="17"/>
              </w:numPr>
              <w:spacing w:after="0" w:line="360" w:lineRule="auto"/>
              <w:jc w:val="both"/>
            </w:pPr>
            <w:r w:rsidRPr="00B1522E">
              <w:t xml:space="preserve">Literacy levels amongst their parents and students were below national averages for various reasons (e.g., English was not their first language) </w:t>
            </w:r>
          </w:p>
          <w:p w14:paraId="2AF40800" w14:textId="77777777" w:rsidR="00347DE9" w:rsidRPr="00B1522E" w:rsidRDefault="00347DE9" w:rsidP="00AA5DD9">
            <w:pPr>
              <w:pStyle w:val="ListParagraph"/>
              <w:numPr>
                <w:ilvl w:val="0"/>
                <w:numId w:val="17"/>
              </w:numPr>
              <w:spacing w:after="0" w:line="360" w:lineRule="auto"/>
              <w:jc w:val="both"/>
              <w:rPr>
                <w:rFonts w:cstheme="minorHAnsi"/>
              </w:rPr>
            </w:pPr>
            <w:r w:rsidRPr="00B1522E">
              <w:rPr>
                <w:rFonts w:cstheme="minorHAnsi"/>
              </w:rPr>
              <w:t>Students had a wide range of healthy foodstuffs available to them at school; however, unhealthy eating was an issue amongst their students</w:t>
            </w:r>
          </w:p>
          <w:p w14:paraId="6EE3A178" w14:textId="77777777" w:rsidR="00347DE9" w:rsidRPr="00B1522E" w:rsidRDefault="00347DE9" w:rsidP="00AA5DD9">
            <w:pPr>
              <w:pStyle w:val="ListParagraph"/>
              <w:numPr>
                <w:ilvl w:val="0"/>
                <w:numId w:val="17"/>
              </w:numPr>
              <w:spacing w:after="0" w:line="360" w:lineRule="auto"/>
              <w:jc w:val="both"/>
              <w:rPr>
                <w:rFonts w:cstheme="minorHAnsi"/>
              </w:rPr>
            </w:pPr>
            <w:r w:rsidRPr="00B1522E">
              <w:rPr>
                <w:rFonts w:cstheme="minorHAnsi"/>
              </w:rPr>
              <w:t>Students often ate unhealthy foods purchased from the local shops (e.g., family size bars of chocolate)</w:t>
            </w:r>
          </w:p>
          <w:p w14:paraId="2DB65EA6" w14:textId="77777777" w:rsidR="00347DE9" w:rsidRPr="00B1522E" w:rsidRDefault="00347DE9" w:rsidP="00AA5DD9">
            <w:pPr>
              <w:pStyle w:val="ListParagraph"/>
              <w:numPr>
                <w:ilvl w:val="0"/>
                <w:numId w:val="17"/>
              </w:numPr>
              <w:spacing w:after="0" w:line="360" w:lineRule="auto"/>
              <w:jc w:val="both"/>
            </w:pPr>
            <w:r w:rsidRPr="00B1522E">
              <w:t xml:space="preserve">The school did not have a healthy eating policy but had banned sugar-sweetened beverages </w:t>
            </w:r>
          </w:p>
          <w:p w14:paraId="4859C911" w14:textId="77777777" w:rsidR="00347DE9" w:rsidRPr="00B1522E" w:rsidRDefault="00347DE9" w:rsidP="00AA5DD9">
            <w:pPr>
              <w:pStyle w:val="ListParagraph"/>
              <w:numPr>
                <w:ilvl w:val="0"/>
                <w:numId w:val="17"/>
              </w:numPr>
              <w:spacing w:after="0" w:line="360" w:lineRule="auto"/>
              <w:jc w:val="both"/>
              <w:rPr>
                <w:rFonts w:cstheme="minorHAnsi"/>
              </w:rPr>
            </w:pPr>
            <w:r w:rsidRPr="00B1522E">
              <w:rPr>
                <w:rFonts w:cstheme="minorHAnsi"/>
              </w:rPr>
              <w:t>The school curriculum does not include any teaching on healthy eating</w:t>
            </w:r>
          </w:p>
          <w:p w14:paraId="378364F2" w14:textId="77777777" w:rsidR="00347DE9" w:rsidRPr="00B1522E" w:rsidRDefault="00347DE9" w:rsidP="001F5EA1">
            <w:pPr>
              <w:pStyle w:val="ListParagraph"/>
              <w:spacing w:line="360" w:lineRule="auto"/>
              <w:jc w:val="both"/>
              <w:rPr>
                <w:rFonts w:cstheme="minorHAnsi"/>
              </w:rPr>
            </w:pPr>
          </w:p>
        </w:tc>
      </w:tr>
      <w:tr w:rsidR="00821640" w:rsidRPr="00B1522E" w14:paraId="4D5E13ED" w14:textId="77777777" w:rsidTr="00BC7E7C">
        <w:trPr>
          <w:trHeight w:val="64"/>
        </w:trPr>
        <w:tc>
          <w:tcPr>
            <w:tcW w:w="2268" w:type="dxa"/>
            <w:tcBorders>
              <w:top w:val="nil"/>
              <w:left w:val="nil"/>
              <w:bottom w:val="single" w:sz="4" w:space="0" w:color="auto"/>
              <w:right w:val="nil"/>
            </w:tcBorders>
          </w:tcPr>
          <w:p w14:paraId="79BA05DE" w14:textId="77777777" w:rsidR="00347DE9" w:rsidRPr="00B1522E" w:rsidRDefault="00347DE9" w:rsidP="001F5EA1">
            <w:pPr>
              <w:rPr>
                <w:rFonts w:cstheme="minorHAnsi"/>
              </w:rPr>
            </w:pPr>
            <w:r w:rsidRPr="00B1522E">
              <w:rPr>
                <w:rFonts w:cstheme="minorHAnsi"/>
              </w:rPr>
              <w:t>Meeting 2</w:t>
            </w:r>
          </w:p>
        </w:tc>
        <w:tc>
          <w:tcPr>
            <w:tcW w:w="6663" w:type="dxa"/>
            <w:tcBorders>
              <w:top w:val="nil"/>
              <w:left w:val="nil"/>
              <w:bottom w:val="single" w:sz="4" w:space="0" w:color="auto"/>
              <w:right w:val="nil"/>
            </w:tcBorders>
          </w:tcPr>
          <w:p w14:paraId="70801240" w14:textId="77777777" w:rsidR="00347DE9" w:rsidRPr="00B1522E" w:rsidRDefault="00347DE9" w:rsidP="00AA5DD9">
            <w:pPr>
              <w:pStyle w:val="ListParagraph"/>
              <w:numPr>
                <w:ilvl w:val="0"/>
                <w:numId w:val="18"/>
              </w:numPr>
              <w:spacing w:after="0" w:line="360" w:lineRule="auto"/>
              <w:jc w:val="both"/>
              <w:rPr>
                <w:rFonts w:cstheme="minorHAnsi"/>
              </w:rPr>
            </w:pPr>
            <w:r w:rsidRPr="00B1522E">
              <w:rPr>
                <w:rFonts w:cstheme="minorHAnsi"/>
              </w:rPr>
              <w:t xml:space="preserve">The school did not have the IT facilities to support collecting online questionnaires or to deliver a computer-based SNA intervention </w:t>
            </w:r>
          </w:p>
          <w:p w14:paraId="7C492425" w14:textId="77777777" w:rsidR="00347DE9" w:rsidRPr="00B1522E" w:rsidRDefault="00347DE9" w:rsidP="00AA5DD9">
            <w:pPr>
              <w:pStyle w:val="ListParagraph"/>
              <w:numPr>
                <w:ilvl w:val="0"/>
                <w:numId w:val="18"/>
              </w:numPr>
              <w:spacing w:after="0" w:line="360" w:lineRule="auto"/>
              <w:jc w:val="both"/>
              <w:rPr>
                <w:rFonts w:cstheme="minorHAnsi"/>
              </w:rPr>
            </w:pPr>
            <w:r w:rsidRPr="00B1522E">
              <w:rPr>
                <w:rFonts w:cstheme="minorHAnsi"/>
              </w:rPr>
              <w:t xml:space="preserve">As the literacy levels of some students were below national averages, the school requested that teachers deliver the intervention (following a lesson plan provided by the researcher) so teachers could provide further support for those students. </w:t>
            </w:r>
          </w:p>
          <w:p w14:paraId="1CFCAC3C" w14:textId="77777777" w:rsidR="00347DE9" w:rsidRPr="00B1522E" w:rsidRDefault="00347DE9" w:rsidP="00AA5DD9">
            <w:pPr>
              <w:pStyle w:val="ListParagraph"/>
              <w:numPr>
                <w:ilvl w:val="0"/>
                <w:numId w:val="18"/>
              </w:numPr>
              <w:spacing w:after="0" w:line="360" w:lineRule="auto"/>
              <w:jc w:val="both"/>
              <w:rPr>
                <w:rFonts w:cstheme="minorHAnsi"/>
              </w:rPr>
            </w:pPr>
            <w:r w:rsidRPr="00B1522E">
              <w:rPr>
                <w:rFonts w:cstheme="minorHAnsi"/>
              </w:rPr>
              <w:t xml:space="preserve">A competition would encourage student engagement in the intervention </w:t>
            </w:r>
          </w:p>
          <w:p w14:paraId="246838F7" w14:textId="77777777" w:rsidR="00347DE9" w:rsidRPr="00B1522E" w:rsidRDefault="00347DE9" w:rsidP="00AA5DD9">
            <w:pPr>
              <w:pStyle w:val="ListParagraph"/>
              <w:numPr>
                <w:ilvl w:val="0"/>
                <w:numId w:val="18"/>
              </w:numPr>
              <w:spacing w:after="0" w:line="360" w:lineRule="auto"/>
              <w:jc w:val="both"/>
              <w:rPr>
                <w:rFonts w:cstheme="minorHAnsi"/>
              </w:rPr>
            </w:pPr>
            <w:r w:rsidRPr="00B1522E">
              <w:rPr>
                <w:rFonts w:cstheme="minorHAnsi"/>
              </w:rPr>
              <w:t>All resources should be reviewed by teachers and the advisory group to ensure they were age-appropriate and unambiguous</w:t>
            </w:r>
          </w:p>
        </w:tc>
      </w:tr>
    </w:tbl>
    <w:p w14:paraId="77B67814" w14:textId="77777777" w:rsidR="00286F47" w:rsidRPr="00B1522E" w:rsidRDefault="00286F47" w:rsidP="00347DE9">
      <w:pPr>
        <w:spacing w:line="480" w:lineRule="auto"/>
      </w:pPr>
    </w:p>
    <w:p w14:paraId="2D2F4DC8" w14:textId="33CD1C98" w:rsidR="00347DE9" w:rsidRPr="00B1522E" w:rsidRDefault="00AE2ED9" w:rsidP="00347DE9">
      <w:pPr>
        <w:spacing w:line="480" w:lineRule="auto"/>
        <w:rPr>
          <w:b/>
          <w:bCs/>
        </w:rPr>
      </w:pPr>
      <w:r w:rsidRPr="00B1522E">
        <w:lastRenderedPageBreak/>
        <w:fldChar w:fldCharType="begin"/>
      </w:r>
      <w:r w:rsidRPr="00B1522E">
        <w:instrText xml:space="preserve"> TC  "</w:instrText>
      </w:r>
      <w:bookmarkStart w:id="166" w:name="_Toc97310474"/>
      <w:r w:rsidRPr="00B1522E">
        <w:instrText>6.</w:instrText>
      </w:r>
      <w:r w:rsidR="00461C6F" w:rsidRPr="00B1522E">
        <w:instrText>4</w:instrText>
      </w:r>
      <w:r w:rsidRPr="00B1522E">
        <w:instrText xml:space="preserve"> The intervention</w:instrText>
      </w:r>
      <w:bookmarkEnd w:id="166"/>
      <w:r w:rsidRPr="00B1522E">
        <w:instrText xml:space="preserve"> " \f x\l 2 </w:instrText>
      </w:r>
      <w:r w:rsidRPr="00B1522E">
        <w:fldChar w:fldCharType="end"/>
      </w:r>
      <w:r w:rsidR="00347DE9" w:rsidRPr="00B1522E">
        <w:rPr>
          <w:b/>
          <w:bCs/>
        </w:rPr>
        <w:t>6.</w:t>
      </w:r>
      <w:r w:rsidR="00461C6F" w:rsidRPr="00B1522E">
        <w:rPr>
          <w:b/>
          <w:bCs/>
        </w:rPr>
        <w:t>4</w:t>
      </w:r>
      <w:r w:rsidR="00347DE9" w:rsidRPr="00B1522E">
        <w:rPr>
          <w:b/>
          <w:bCs/>
        </w:rPr>
        <w:t xml:space="preserve"> The intervention </w:t>
      </w:r>
    </w:p>
    <w:p w14:paraId="0AC7AD9A" w14:textId="49B208DC" w:rsidR="00347DE9" w:rsidRPr="00B1522E" w:rsidRDefault="00347DE9" w:rsidP="00347DE9">
      <w:pPr>
        <w:spacing w:line="480" w:lineRule="auto"/>
        <w:jc w:val="both"/>
        <w:rPr>
          <w:shd w:val="clear" w:color="auto" w:fill="FFFFFF"/>
        </w:rPr>
      </w:pPr>
      <w:r w:rsidRPr="00B1522E">
        <w:t xml:space="preserve">The SNA operates on the premise that </w:t>
      </w:r>
      <w:r w:rsidRPr="00B1522E">
        <w:rPr>
          <w:shd w:val="clear" w:color="auto" w:fill="FFFFFF"/>
        </w:rPr>
        <w:t xml:space="preserve">individuals tend to </w:t>
      </w:r>
      <w:r w:rsidRPr="00B1522E">
        <w:t xml:space="preserve">overestimate the unhealthy behaviours of peers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rPr>
          <w:rStyle w:val="CommentReference"/>
        </w:rPr>
        <w:t>,</w:t>
      </w:r>
      <w:r w:rsidRPr="00B1522E">
        <w:t xml:space="preserve"> and t</w:t>
      </w:r>
      <w:r w:rsidRPr="00B1522E">
        <w:rPr>
          <w:shd w:val="clear" w:color="auto" w:fill="FFFFFF"/>
        </w:rPr>
        <w:t>hese normative misperceptions can lead to personal unhealthy behaviours as individuals conform to inaccurate</w:t>
      </w:r>
      <w:r w:rsidRPr="00B1522E">
        <w:t xml:space="preserve"> perceived</w:t>
      </w:r>
      <w:r w:rsidRPr="00B1522E">
        <w:rPr>
          <w:shd w:val="clear" w:color="auto" w:fill="FFFFFF"/>
        </w:rPr>
        <w:t xml:space="preserve"> social norms </w:t>
      </w:r>
      <w:r w:rsidRPr="00B1522E">
        <w:rPr>
          <w:shd w:val="clear" w:color="auto" w:fill="FFFFFF"/>
        </w:rPr>
        <w:fldChar w:fldCharType="begin" w:fldLock="1"/>
      </w:r>
      <w:r w:rsidR="004A684E" w:rsidRPr="00B1522E">
        <w:rPr>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UK","type":"article-journal"},"uris":["http://www.mendeley.com/documents/?uuid=cf5081f9-19e6-4ccf-aaab-a0311d1c876e"]},{"id":"ITEM-2","itemData":{"author":[{"dropping-particle":"","family":"Perkins","given":"H. W","non-dropping-particle":"","parse-names":false,"suffix":""}],"container-title":"Designing alcohol and other drug prevention programs in higher education: Bringing theory into practice","id":"ITEM-2","issued":{"date-parts":[["1997"]]},"page":"177-206","title":"College student misperceptions of alcohol and other drug norms among peers: Exploring causes, consequences, and implications for prevention programs","type":"article-journal"},"uris":["http://www.mendeley.com/documents/?uuid=d579426c-5403-49db-9da7-9d90342e640b"]}],"mendeley":{"formattedCitation":"(J McAlaney et al., 2010; H. W Perkins, 1997)","manualFormatting":"(McAlaney et al., 2010; Perkins, 1997)","plainTextFormattedCitation":"(J McAlaney et al., 2010; H. W Perkins, 1997)","previouslyFormattedCitation":"(J McAlaney et al., 2010; H. W Perkins, 1997)"},"properties":{"noteIndex":0},"schema":"https://github.com/citation-style-language/schema/raw/master/csl-citation.json"}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(McAlaney et al., 2010; Perkins, 1997)</w:t>
      </w:r>
      <w:r w:rsidRPr="00B1522E">
        <w:rPr>
          <w:shd w:val="clear" w:color="auto" w:fill="FFFFFF"/>
        </w:rPr>
        <w:fldChar w:fldCharType="end"/>
      </w:r>
      <w:r w:rsidRPr="00B1522E">
        <w:rPr>
          <w:shd w:val="clear" w:color="auto" w:fill="FFFFFF"/>
        </w:rPr>
        <w:t xml:space="preserve">. The SNA assumes that challenging these inaccurate normative perceptions should decrease the social pressure to engage in these unhealthy behaviours, consequently leading to a reduction in the unhealthy behaviour </w:t>
      </w:r>
      <w:r w:rsidRPr="00B1522E">
        <w:rPr>
          <w:shd w:val="clear" w:color="auto" w:fill="FFFFFF"/>
        </w:rPr>
        <w:fldChar w:fldCharType="begin" w:fldLock="1"/>
      </w:r>
      <w:r w:rsidR="004A684E" w:rsidRPr="00B1522E">
        <w:rPr>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UK","type":"article-journal"},"uris":["http://www.mendeley.com/documents/?uuid=cf5081f9-19e6-4ccf-aaab-a0311d1c876e"]},{"id":"ITEM-2","itemData":{"ISSN":"0020-773X","author":[{"dropping-particle":"","family":"Perkins","given":"H. W","non-dropping-particle":"","parse-names":false,"suffix":""},{"dropping-particle":"","family":"Berkowitz","given":"A D","non-dropping-particle":"","parse-names":false,"suffix":""}],"container-title":"International journal of the Addictions","id":"ITEM-2","issue":"9-10","issued":{"date-parts":[["1986"]]},"page":"961-976","publisher":"Taylor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programming","type":"article-journal","volume":"21"},"uris":["http://www.mendeley.com/documents/?uuid=c5bb1f76-719b-4b43-8537-bc1ecaff260b"]}],"mendeley":{"formattedCitation":"(J McAlaney et al., 2010; H. W Perkins &amp; Berkowitz, 1986)","manualFormatting":"(McAlaney et al., 2010; Perkins &amp; Berkowitz, 1986)","plainTextFormattedCitation":"(J McAlaney et al., 2010; H. W Perkins &amp; Berkowitz, 1986)","previouslyFormattedCitation":"(J McAlaney et al., 2010; H. W Perkins &amp; Berkowitz, 1986)"},"properties":{"noteIndex":0},"schema":"https://github.com/citation-style-language/schema/raw/master/csl-citation.json"}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(McAlaney et al., 2010; Perkins &amp; Berkowitz, 1986)</w:t>
      </w:r>
      <w:r w:rsidRPr="00B1522E">
        <w:rPr>
          <w:shd w:val="clear" w:color="auto" w:fill="FFFFFF"/>
        </w:rPr>
        <w:fldChar w:fldCharType="end"/>
      </w:r>
      <w:r w:rsidRPr="00B1522E">
        <w:rPr>
          <w:shd w:val="clear" w:color="auto" w:fill="FFFFFF"/>
        </w:rPr>
        <w:t xml:space="preserve">. In brief, SNA interventions involve collecting baseline data about participants’ own behaviour and their perceptions about peers’ behaviours. This baseline data is used to develop the SNA feedback which demonstrates the discrepancy between accurate normative behaviours of the target population and with current perceptions. The SNA feedback is then communicated to participants to challenge these commonly-held normative misperceptions </w:t>
      </w:r>
      <w:r w:rsidRPr="00B1522E">
        <w:rPr>
          <w:shd w:val="clear" w:color="auto" w:fill="FFFFFF"/>
        </w:rPr>
        <w:fldChar w:fldCharType="begin" w:fldLock="1"/>
      </w:r>
      <w:r w:rsidR="000B6159" w:rsidRPr="00B1522E">
        <w:rPr>
          <w:shd w:val="clear" w:color="auto" w:fill="FFFFFF"/>
        </w:rPr>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approach","type":"chapter"},"uris":["http://www.mendeley.com/documents/?uuid=7e72ac3f-525d-40f4-9876-d8bb37f8a3fc"]}],"mendeley":{"formattedCitation":"(Berkowitz, 2005)","plainTextFormattedCitation":"(Berkowitz, 2005)","previouslyFormattedCitation":"(Berkowitz, 2005)"},"properties":{"noteIndex":0},"schema":"https://github.com/citation-style-language/schema/raw/master/csl-citation.json"}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(Berkowitz, 2005)</w:t>
      </w:r>
      <w:r w:rsidRPr="00B1522E">
        <w:rPr>
          <w:shd w:val="clear" w:color="auto" w:fill="FFFFFF"/>
        </w:rPr>
        <w:fldChar w:fldCharType="end"/>
      </w:r>
      <w:r w:rsidRPr="00B1522E">
        <w:rPr>
          <w:shd w:val="clear" w:color="auto" w:fill="FFFFFF"/>
        </w:rPr>
        <w:t xml:space="preserve">. This section will outline who the target population members were and the unhealthy dietary behaviour that was addressed, then discuss how the SNA feedback was developed and communicated. </w:t>
      </w:r>
    </w:p>
    <w:p w14:paraId="295BAC69" w14:textId="77777777" w:rsidR="00347DE9" w:rsidRPr="00B1522E" w:rsidRDefault="00347DE9" w:rsidP="00347DE9">
      <w:pPr>
        <w:spacing w:line="480" w:lineRule="auto"/>
        <w:jc w:val="both"/>
        <w:rPr>
          <w:rFonts w:cstheme="minorHAnsi"/>
          <w:shd w:val="clear" w:color="auto" w:fill="FFFFFF"/>
        </w:rPr>
      </w:pPr>
    </w:p>
    <w:p w14:paraId="3CF20C37" w14:textId="2EF94867" w:rsidR="00347DE9" w:rsidRPr="00B1522E" w:rsidRDefault="00AE2ED9" w:rsidP="00347DE9">
      <w:pPr>
        <w:spacing w:line="480" w:lineRule="auto"/>
      </w:pPr>
      <w:r w:rsidRPr="00B1522E">
        <w:fldChar w:fldCharType="begin"/>
      </w:r>
      <w:r w:rsidRPr="00B1522E">
        <w:instrText xml:space="preserve"> TC  "</w:instrText>
      </w:r>
      <w:bookmarkStart w:id="167" w:name="_Toc97310475"/>
      <w:r w:rsidRPr="00B1522E">
        <w:instrText>6.4.1 The target population</w:instrText>
      </w:r>
      <w:bookmarkEnd w:id="167"/>
      <w:r w:rsidRPr="00B1522E">
        <w:instrText xml:space="preserve"> " \f x\l 3 </w:instrText>
      </w:r>
      <w:r w:rsidRPr="00B1522E">
        <w:fldChar w:fldCharType="end"/>
      </w:r>
      <w:r w:rsidRPr="00B1522E">
        <w:t xml:space="preserve"> </w:t>
      </w:r>
      <w:r w:rsidR="00347DE9" w:rsidRPr="00B1522E">
        <w:t xml:space="preserve">6.4.1 The target population </w:t>
      </w:r>
    </w:p>
    <w:p w14:paraId="2CCB6C2E" w14:textId="68678E70" w:rsidR="00347DE9" w:rsidRPr="00B1522E" w:rsidRDefault="00347DE9" w:rsidP="00347DE9">
      <w:pPr>
        <w:spacing w:line="480" w:lineRule="auto"/>
        <w:jc w:val="both"/>
        <w:rPr>
          <w:rFonts w:cstheme="minorHAnsi"/>
        </w:rPr>
      </w:pPr>
      <w:r w:rsidRPr="00B1522E">
        <w:t>Young adolescents who are progressing to secondary education (</w:t>
      </w:r>
      <w:r w:rsidRPr="00B1522E">
        <w:rPr>
          <w:rFonts w:eastAsia="Calibri"/>
        </w:rPr>
        <w:t>11-12 years of age</w:t>
      </w:r>
      <w:r w:rsidRPr="00B1522E">
        <w:t xml:space="preserve">) are at a stage in their lives where they have increasing independence, including a greater control over their own dietary behaviours </w:t>
      </w:r>
      <w:r w:rsidRPr="00B1522E">
        <w:fldChar w:fldCharType="begin" w:fldLock="1"/>
      </w:r>
      <w:r w:rsidR="00660052" w:rsidRPr="00B1522E">
        <w:instrText>ADDIN CSL_CITATION {"citationItems":[{"id":"ITEM-1","itemData":{"ISBN":"1449610161","author":[{"dropping-particle":"","family":"Contento","given":"Isobel R","non-dropping-particle":"","parse-names":false,"suffix":""}],"id":"ITEM-1","issued":{"date-parts":[["2010"]]},"publisher":"Jones &amp; Bartlett Publishers","title":"Nutrition education: linking research, theory, and practice","type":"book"},"uris":["http://www.mendeley.com/documents/?uuid=393cc26e-0257-4fce-81a6-4f2af2fbb8d8"]},{"id":"ITEM-2","itemData":{"ISBN":"0195-6663","ISSN":"0195-6663 (Print)","PMID":"17936413","abstract":"We explored how adolescents and parents negotiate adolescents' increasing food choice autonomy in European Canadian, Punjabi Canadian and African Canadian families. Data were collected through semi-structured interviews with 47 adolescents and their parents, participant observation at a family meal and a grocery shopping trip with the family shopper(s). Thematic and constant comparative analyses were used. Adolescents exercised considerable autonomy over much of their food choice and their parents monitored and controlled the environment within which adolescents were given independence and responsibility. Parents used strategies of coaxing, coaching and coercing, while teens responded by complaining, ignoring and refusing their parents' advice. At the same time, teens took responsibility and reflected on their behaviours while keeping in mind their parents' advice, even if in some cases they were as yet unable to act upon it. Food choice autonomy is not simply a negative act of teenage defiance. Instead, it is actively co-constructed by both teens and their parents as each resists and responds to the others. Studies of adolescent autonomy related to food choices, and interventions based on nutritional autonomy as a risk factor for poor nutrition would do well to take account of the co-constructive parent-adolescent process of teen autonomy.","author":[{"dropping-particle":"","family":"Bassett","given":"Raewyn","non-dropping-particle":"","parse-names":false,"suffix":""},{"dropping-particle":"","family":"Chapman","given":"Gwen E.","non-dropping-particle":"","parse-names":false,"suffix":""},{"dropping-particle":"","family":"Beagan","given":"Brenda L.","non-dropping-particle":"","parse-names":false,"suffix":""}],"container-title":"Appetite","id":"ITEM-2","issue":"2-3","issued":{"date-parts":[["2008"]]},"language":"eng","page":"325-332","title":"Autonomy and control: the co-construction of adolescent food choice.","type":"article-journal","volume":"50"},"uris":["http://www.mendeley.com/documents/?uuid=0c6a82f1-4f8c-4f06-b4a9-009adfa60323"]}],"mendeley":{"formattedCitation":"(Bassett et al., 2008; Contento, 2010)","plainTextFormattedCitation":"(Bassett et al., 2008; Contento, 2010)","previouslyFormattedCitation":"(Bassett et al., 2008; Contento, 2010)"},"properties":{"noteIndex":0},"schema":"https://github.com/citation-style-language/schema/raw/master/csl-citation.json"}</w:instrText>
      </w:r>
      <w:r w:rsidRPr="00B1522E">
        <w:fldChar w:fldCharType="separate"/>
      </w:r>
      <w:r w:rsidRPr="00B1522E">
        <w:rPr>
          <w:noProof/>
        </w:rPr>
        <w:t>(Bassett et al., 2008; Contento, 2010)</w:t>
      </w:r>
      <w:r w:rsidRPr="00B1522E">
        <w:fldChar w:fldCharType="end"/>
      </w:r>
      <w:r w:rsidRPr="00B1522E">
        <w:t xml:space="preserve">. Research suggests that transitioning into early adolescence can be accompanied by undesirable changes in dietary behaviours </w:t>
      </w:r>
      <w:r w:rsidRPr="00B1522E">
        <w:fldChar w:fldCharType="begin" w:fldLock="1"/>
      </w:r>
      <w:r w:rsidRPr="00B1522E">
        <w:instrText>ADDIN CSL_CITATION {"citationItems":[{"id":"ITEM-1","itemData":{"ISSN":"0890-1171","author":[{"dropping-particle":"","family":"Lytle","given":"Leslie A","non-dropping-particle":"","parse-names":false,"suffix":""},{"dropping-particle":"","family":"Seifert","given":"Sara","non-dropping-particle":"","parse-names":false,"suffix":""},{"dropping-particle":"","family":"Greenstein","given":"Jessica","non-dropping-particle":"","parse-names":false,"suffix":""},{"dropping-particle":"","family":"McGovern","given":"Paul","non-dropping-particle":"","parse-names":false,"suffix":""}],"container-title":"American Journal of Health Promotion","id":"ITEM-1","issue":"4","issued":{"date-parts":[["2000"]]},"page":"222-228","publisher":"SAGE Publications Sage CA: Los Angeles, CA","title":"How do children's eating patterns and food choices change over time? Results from a cohort study","type":"article-journal","volume":"14"},"uris":["http://www.mendeley.com/documents/?uuid=85e56c19-3b8f-429d-a957-6500d6cac084"]}],"mendeley":{"formattedCitation":"(Lytle et al., 2000)","plainTextFormattedCitation":"(Lytle et al., 2000)","previouslyFormattedCitation":"(Lytle et al., 2000)"},"properties":{"noteIndex":0},"schema":"https://github.com/citation-style-language/schema/raw/master/csl-citation.json"}</w:instrText>
      </w:r>
      <w:r w:rsidRPr="00B1522E">
        <w:fldChar w:fldCharType="separate"/>
      </w:r>
      <w:r w:rsidRPr="00B1522E">
        <w:rPr>
          <w:noProof/>
        </w:rPr>
        <w:t>(Lytle et al., 2000)</w:t>
      </w:r>
      <w:r w:rsidRPr="00B1522E">
        <w:fldChar w:fldCharType="end"/>
      </w:r>
      <w:r w:rsidRPr="00B1522E">
        <w:t xml:space="preserve">, for example, the increased consumption of nutritionally-poor energy-dense snacks, skipping meals, and a limited consumption of healthy foodstuffs, i.e. fruit and vegetables </w:t>
      </w:r>
      <w:r w:rsidRPr="00B1522E">
        <w:fldChar w:fldCharType="begin" w:fldLock="1"/>
      </w:r>
      <w:r w:rsidR="00DF6CCC" w:rsidRPr="00B1522E">
        <w:instrText>ADDIN CSL_CITATION {"citationItems":[{"id":"ITEM-1","itemData":{"ISSN":"0002-8223","author":[{"dropping-particle":"","family":"Larson","given":"Nicole I","non-dropping-particle":"","parse-names":false,"suffix":""},{"dropping-particle":"","family":"Neumark-Sztainer","given":"Dianne","non-dropping-particle":"","parse-names":false,"suffix":""},{"dropping-particle":"","family":"Hannan","given":"Peter J","non-dropping-particle":"","parse-names":false,"suffix":""},{"dropping-particle":"","family":"Story","given":"Mary","non-dropping-particle":"","parse-names":false,"suffix":""}],"container-title":"Journal of the American Dietetic Association","id":"ITEM-1","issue":"9","issued":{"date-parts":[["2007"]]},"page":"1502-1510","publisher":"Elsevier","title":"Family meals during adolescence are associated with higher diet quality and healthful meal patterns during young adulthood","type":"article-journal","volume":"107"},"uris":["http://www.mendeley.com/documents/?uuid=81bf1168-ddb1-496c-884d-f68ba6db982f"]},{"id":"ITEM-2","itemData":{"ISSN":"2153-2168","author":[{"dropping-particle":"","family":"Larson","given":"Nicole","non-dropping-particle":"","parse-names":false,"suffix":""},{"dropping-particle":"","family":"Story","given":"Mary","non-dropping-particle":"","parse-names":false,"suffix":""}],"container-title":"Childhood obesity","id":"ITEM-2","issue":"2","issued":{"date-parts":[["2013"]]},"page":"104-115","publisher":"Mary Ann Liebert, Inc. 140 Huguenot Street, 3rd Floor New Rochelle, NY 10801 USA","title":"A review of snacking patterns among children and adolescents: what are the implications of snacking for weight status?","type":"article-journal","volume":"9"},"uris":["http://www.mendeley.com/documents/?uuid=3669f5e9-0940-4b99-bc0e-d23550240ac5"]},{"id":"ITEM-3","itemData":{"ISSN":"0028-4793","author":[{"dropping-particle":"","family":"Must","given":"Aviva","non-dropping-particle":"","parse-names":false,"suffix":""},{"dropping-particle":"","family":"Jacques","given":"Paul F","non-dropping-particle":"","parse-names":false,"suffix":""},{"dropping-particle":"","family":"Dallal","given":"Gerard E","non-dropping-particle":"","parse-names":false,"suffix":""},{"dropping-particle":"","family":"Bajema","given":"Carl J","non-dropping-particle":"","parse-names":false,"suffix":""},{"dropping-particle":"","family":"Dietz","given":"William H","non-dropping-particle":"","parse-names":false,"suffix":""}],"container-title":"New England journal of medicine","id":"ITEM-3","issue":"19","issued":{"date-parts":[["1992"]]},"page":"1350-1355","publisher":"Mass Medical Soc","title":"Long-term morbidity and mortality of overweight adolescents: a follow-up of the Harvard Growth Study of 1922 to 1935","type":"article-journal","volume":"327"},"uris":["http://www.mendeley.com/documents/?uuid=4d39e99b-3382-4089-b177-0f40e69e522b"]}],"mendeley":{"formattedCitation":"(N. I. Larson et al., 2007; N. Larson &amp; Story, 2013; Must et al., 1992)","manualFormatting":"(Larson et al., 2007; Larson &amp; Story, 2013; Must et al., 1992)","plainTextFormattedCitation":"(N. I. Larson et al., 2007; N. Larson &amp; Story, 2013; Must et al., 1992)","previouslyFormattedCitation":"(N. I. Larson et al., 2007; N. Larson &amp; Story, 2013; Must et al., 1992)"},"properties":{"noteIndex":0},"schema":"https://github.com/citation-style-language/schema/raw/master/csl-citation.json"}</w:instrText>
      </w:r>
      <w:r w:rsidRPr="00B1522E">
        <w:fldChar w:fldCharType="separate"/>
      </w:r>
      <w:r w:rsidRPr="00B1522E">
        <w:rPr>
          <w:noProof/>
        </w:rPr>
        <w:t>(Larson et al., 2007; Larson &amp; Story, 2013; Must et al., 1992)</w:t>
      </w:r>
      <w:r w:rsidRPr="00B1522E">
        <w:fldChar w:fldCharType="end"/>
      </w:r>
      <w:r w:rsidRPr="00B1522E">
        <w:rPr>
          <w:rFonts w:eastAsia="Calibri"/>
        </w:rPr>
        <w:t>.</w:t>
      </w:r>
      <w:r w:rsidRPr="00B1522E">
        <w:rPr>
          <w:sz w:val="24"/>
          <w:szCs w:val="24"/>
        </w:rPr>
        <w:t xml:space="preserve"> </w:t>
      </w:r>
      <w:r w:rsidRPr="00B1522E">
        <w:t xml:space="preserve">Evidence indicates that adolescents are more likely to engage in unhealthy dietary practices (e.g. consume fewer healthy foods and more unhealthy snacks) if they live in areas of deprivation </w:t>
      </w:r>
      <w:r w:rsidRPr="00B1522E">
        <w:fldChar w:fldCharType="begin" w:fldLock="1"/>
      </w:r>
      <w:r w:rsidR="00DF6CCC" w:rsidRPr="00B1522E">
        <w:instrText>ADDIN CSL_CITATION {"citationItems":[{"id":"ITEM-1","itemData":{"ISSN":"1654-6628","author":[{"dropping-particle":"","family":"Skårdal","given":"Madelene","non-dropping-particle":"","parse-names":false,"suffix":""},{"dropping-particle":"","family":"Western","given":"Inger Mari","non-dropping-particle":"","parse-names":false,"suffix":""},{"dropping-particle":"","family":"Ask","given":"Anne M S","non-dropping-particle":"","parse-names":false,"suffix":""},{"dropping-particle":"","family":"Øverby","given":"Nina C","non-dropping-particle":"","parse-names":false,"suffix":""}],"container-title":"Food &amp; nutrition research","id":"ITEM-1","issue":"1","issued":{"date-parts":[["2014"]]},"page":"23590","publisher":"Taylor &amp; Francis","title":"Socioeconomic differences in selected dietary habits among Norwegian 13–14 year-olds: a cross-sectional study","type":"article-journal","volume":"58"},"uris":["http://www.mendeley.com/documents/?uuid=58db2fde-c0f1-41a0-a53f-bc5c685e5c87"]},{"id":"ITEM-2","itemData":{"ISSN":"2044-6055","author":[{"dropping-particle":"","family":"Thomas","given":"Fiona","non-dropping-particle":"","parse-names":false,"suffix":""},{"dropping-particle":"","family":"Thomas","given":"Christopher","non-dropping-particle":"","parse-names":false,"suffix":""},{"dropping-particle":"","family":"Hooper","given":"Lucie","non-dropping-particle":"","parse-names":false,"suffix":""},{"dropping-particle":"","family":"Rosenberg","given":"Gillian","non-dropping-particle":"","parse-names":false,"suffix":""},{"dropping-particle":"","family":"Vohra","given":"Jyotsna","non-dropping-particle":"","parse-names":false,"suffix":""},{"dropping-particle":"","family":"Bauld","given":"Linda","non-dropping-particle":"","parse-names":false,"suffix":""}],"container-title":"BMJ open","id":"ITEM-2","issue":"6","issued":{"date-parts":[["2019"]]},"page":"e027333","publisher":"British Medical Journal Publishing Group","title":"Area deprivation, screen time and consumption of food and drink high in fat salt and sugar (HFSS) in young people: results from a cross-sectional study in the UK","type":"article-journal","volume":"9"},"uris":["http://www.mendeley.com/documents/?uuid=29029d96-f32a-4242-bc54-7f3b68f6181b"]}],"mendeley":{"formattedCitation":"(Skårdal et al., 2014; F. Thomas et al., 2019)","manualFormatting":"(Skårdal et al., 2014; Thomas et al., 2019)","plainTextFormattedCitation":"(Skårdal et al., 2014; F. Thomas et al., 2019)","previouslyFormattedCitation":"(Skårdal et al., 2014; F. Thomas et al., 2019)"},"properties":{"noteIndex":0},"schema":"https://github.com/citation-style-language/schema/raw/master/csl-citation.json"}</w:instrText>
      </w:r>
      <w:r w:rsidRPr="00B1522E">
        <w:fldChar w:fldCharType="separate"/>
      </w:r>
      <w:r w:rsidR="00660052" w:rsidRPr="00B1522E">
        <w:rPr>
          <w:noProof/>
        </w:rPr>
        <w:t>(Skårdal et al., 2014; Thomas et al., 2019)</w:t>
      </w:r>
      <w:r w:rsidRPr="00B1522E">
        <w:fldChar w:fldCharType="end"/>
      </w:r>
      <w:r w:rsidRPr="00B1522E">
        <w:t xml:space="preserve">. This has been associated with </w:t>
      </w:r>
      <w:r w:rsidRPr="00B1522E">
        <w:lastRenderedPageBreak/>
        <w:t xml:space="preserve">the availability and cost of foodstuffs in the local area and adolescents’ perceptions about what is acceptable and normative dietary intake (Chapter 5) </w:t>
      </w:r>
      <w:r w:rsidRPr="00B1522E">
        <w:fldChar w:fldCharType="begin" w:fldLock="1"/>
      </w:r>
      <w:r w:rsidR="00023562" w:rsidRPr="00B1522E">
        <w:instrText>ADDIN CSL_CITATION {"citationItems":[{"id":"ITEM-1","itemData":{"ISSN":"2044-6055","author":[{"dropping-particle":"","family":"Thomas","given":"Fiona","non-dropping-particle":"","parse-names":false,"suffix":""},{"dropping-particle":"","family":"Thomas","given":"Christopher","non-dropping-particle":"","parse-names":false,"suffix":""},{"dropping-particle":"","family":"Hooper","given":"Lucie","non-dropping-particle":"","parse-names":false,"suffix":""},{"dropping-particle":"","family":"Rosenberg","given":"Gillian","non-dropping-particle":"","parse-names":false,"suffix":""},{"dropping-particle":"","family":"Vohra","given":"Jyotsna","non-dropping-particle":"","parse-names":false,"suffix":""},{"dropping-particle":"","family":"Bauld","given":"Linda","non-dropping-particle":"","parse-names":false,"suffix":""}],"container-title":"BMJ open","id":"ITEM-1","issue":"6","issued":{"date-parts":[["2019"]]},"page":"e027333","publisher":"British Medical Journal Publishing Group","title":"Area deprivation, screen time and consumption of food and drink high in fat salt and sugar (HFSS) in young people: results from a cross-sectional study in the UK","type":"article-journal","volume":"9"},"uris":["http://www.mendeley.com/documents/?uuid=29029d96-f32a-4242-bc54-7f3b68f6181b"]},{"id":"ITEM-2","itemData":{"abstract":"Background Well-informed interventions are needed if school-based health promotion is to be effective. Amongother aims, the Iranian Health Promoting School (IHPS) program that was launched in 2011, has an important aimof promoting dietary behaviors of adolescents. The present study, therefore, aimed to investigate the factors affectingunhealthy snacking of adolescents and provide evidence for a more effective IHPS program. Methods In a cross-sectional study design, 1320 students from 40 schools in Kerman city were selected using aproportional stratified random sampling method. A modified qualitative Food Frequency Questionnaire (FFQ) wasused to gather data about unhealthy snacking behavior. Data about intrapersonal and environmental factors wereobtained using a validated and reliable questionnaire. A mixed-effects negative-binomial regression model was usedto analyze the data. Results Taste and sensory perception (prevalence rate ratio [PRR] = 1.18; 95% CI: 1.09-1.27), being a male (PRR = 1.20;95% CI: 1.05-1.38) and lower nutritional knowledge (PRR = 0.96; 95% CI: 0.91-0.99) were associated with higher weeklyunhealthy snaking. Perceived self-efficacy (PRR = 0.95; 95% CI: 0.91-1.00) negatively influenced the frequency ofunhealthy snaking, with this approaching significance (P&lt; .06). In case of environmental factors, high socio-economicstatus (SES) level (PRR = 1.45; 95% CI: 1.26-1.67), single-parent family (PRR = 1.14; 95% CI: 1.01-1.30), more socialnorms pressure (PRR = 1.08; 95% CI: 1.01-1.17), pocket money allowance (PRR = 1.21; 95% CI: 1.09-1.34), easyaccessibility (PRR = 1.06; 95% CI:1.01-1.11), and less perceived parental control (PRR= 0.96; 95% CI: 0.92-0.99) all hada role in higher consumption of unhealthy snacks. Interestingly, larger school size was associated with less unhealthysnacking (PRR = 0.79; 95% CI: 0.68-0.92). Conclusion Unhealthy snacking behavior is influenced by individual, socio-cultural and physical-environmentalinfluences, namely by factors relating to poor parenting practices, high SES level, family characteristics, improper socialnorms pressure, and less knowledge and self-efficacy of students. This evidence can be used to inform a more evidencebased IHPS program through focusing on supportive strategies at the home, school, and local community levels.","author":[{"dropping-particle":"","family":"Yazdi Feyzabadi","given":"Vahid","non-dropping-particle":"","parse-names":false,"suffix":""},{"dropping-particle":"","family":"Keshavarz Mohammadi","given":"Nastaran","non-dropping-particle":"","parse-names":false,"suffix":""},{"dropping-particle":"","family":"Omidvar","given":"Nasrin","non-dropping-particle":"","parse-names":false,"suffix":""},{"dropping-particle":"","family":"Karimi-Shahanjarini","given":"Akram","non-dropping-particle":"","parse-names":false,"suffix":""},{"dropping-particle":"","family":"Nedjat","given":"Saharnaz","non-dropping-particle":"","parse-names":false,"suffix":""},{"dropping-particle":"","family":"Rashidian","given":"Arash","non-dropping-particle":"","parse-names":false,"suffix":""}],"container-title":"International Journal of Health Policy and Management","id":"ITEM-2","issue":"9","issued":{"date-parts":[["2017"]]},"language":"en","page":"519-528","publisher-place":"Department of Health Management and Economics, School of Public Health, Tehran University of Medical Sciences, Tehran, Iran","title":"Factors Associated With Unhealthy Snacks Consumption Among Adolescents in Iran’s Schools","type":"article-journal","volume":"6"},"uris":["http://www.mendeley.com/documents/?uuid=b2289024-b25f-4930-b3a5-6658b1d1981a"]}],"mendeley":{"formattedCitation":"(F. Thomas et al., 2019; Yazdi Feyzabadi et al., 2017)","manualFormatting":"(Thomas et al., 2019; Yazdi Feyzabadi et al., 2017)","plainTextFormattedCitation":"(F. Thomas et al., 2019; Yazdi Feyzabadi et al., 2017)","previouslyFormattedCitation":"(F. Thomas et al., 2019; Yazdi Feyzabadi et al., 2017)"},"properties":{"noteIndex":0},"schema":"https://github.com/citation-style-language/schema/raw/master/csl-citation.json"}</w:instrText>
      </w:r>
      <w:r w:rsidRPr="00B1522E">
        <w:fldChar w:fldCharType="separate"/>
      </w:r>
      <w:r w:rsidR="00660052" w:rsidRPr="00B1522E">
        <w:rPr>
          <w:noProof/>
        </w:rPr>
        <w:t>(Thomas et al., 2019; Yazdi Feyzabadi et al., 2017)</w:t>
      </w:r>
      <w:r w:rsidRPr="00B1522E">
        <w:fldChar w:fldCharType="end"/>
      </w:r>
      <w:r w:rsidRPr="00B1522E">
        <w:t xml:space="preserve">. The SNA intervention targeted one school year group (11- 12 years of age) of students who attended a high school located in a socially-deprived area of the UK.  </w:t>
      </w:r>
      <w:r w:rsidRPr="00B1522E">
        <w:rPr>
          <w:rFonts w:cstheme="minorHAnsi"/>
        </w:rPr>
        <w:t xml:space="preserve"> </w:t>
      </w:r>
    </w:p>
    <w:p w14:paraId="1301DE28" w14:textId="77777777" w:rsidR="00347DE9" w:rsidRPr="00B1522E" w:rsidRDefault="00347DE9" w:rsidP="00347DE9">
      <w:pPr>
        <w:spacing w:line="480" w:lineRule="auto"/>
        <w:rPr>
          <w:rFonts w:cstheme="minorHAnsi"/>
        </w:rPr>
      </w:pPr>
    </w:p>
    <w:p w14:paraId="49B455E9" w14:textId="56BF369E" w:rsidR="00347DE9" w:rsidRPr="00B1522E" w:rsidRDefault="002B53BA" w:rsidP="00347DE9">
      <w:pPr>
        <w:spacing w:line="480" w:lineRule="auto"/>
      </w:pPr>
      <w:r w:rsidRPr="00B1522E">
        <w:fldChar w:fldCharType="begin"/>
      </w:r>
      <w:r w:rsidRPr="00B1522E">
        <w:instrText xml:space="preserve"> TC  "</w:instrText>
      </w:r>
      <w:bookmarkStart w:id="168" w:name="_Toc97310476"/>
      <w:r w:rsidRPr="00B1522E">
        <w:instrText>6.4.2 Defining the dietary behaviour to be addressed</w:instrText>
      </w:r>
      <w:bookmarkEnd w:id="168"/>
      <w:r w:rsidRPr="00B1522E">
        <w:instrText xml:space="preserve">" \f x\l 3 </w:instrText>
      </w:r>
      <w:r w:rsidRPr="00B1522E">
        <w:fldChar w:fldCharType="end"/>
      </w:r>
      <w:r w:rsidR="00347DE9" w:rsidRPr="00B1522E">
        <w:t xml:space="preserve">6.4.2 Defining the dietary behaviour to be addressed </w:t>
      </w:r>
    </w:p>
    <w:p w14:paraId="26509A05" w14:textId="57481C26" w:rsidR="00347DE9" w:rsidRPr="00B1522E" w:rsidRDefault="00347DE9" w:rsidP="00347DE9">
      <w:pPr>
        <w:spacing w:line="480" w:lineRule="auto"/>
        <w:jc w:val="both"/>
      </w:pPr>
      <w:r w:rsidRPr="00B1522E">
        <w:t xml:space="preserve">An important initial stage when designing an SNA intervention is identifying the target behaviour which is to be addressed </w:t>
      </w:r>
      <w:r w:rsidRPr="00B1522E">
        <w:fldChar w:fldCharType="begin" w:fldLock="1"/>
      </w:r>
      <w:r w:rsidR="00B64665" w:rsidRPr="00B1522E">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fldChar w:fldCharType="separate"/>
      </w:r>
      <w:r w:rsidR="00660052" w:rsidRPr="00B1522E">
        <w:rPr>
          <w:noProof/>
        </w:rPr>
        <w:t>(McAlaney et al., 2010)</w:t>
      </w:r>
      <w:r w:rsidRPr="00B1522E">
        <w:fldChar w:fldCharType="end"/>
      </w:r>
      <w:r w:rsidRPr="00B1522E">
        <w:t xml:space="preserve">.  The student focus group discussions (Chapter 5) provided key insight into the dietary behaviours of young adolescents, indicating that the students generally understood what healthy eating behaviours are, as well as the benefits of eating healthily in the short and longer term. The students, however, did not always engage in these behaviours themselves, often consuming unhealthy snacks throughout the day which led them to skip meals, and consuming fewer portions of fruit or vegetables. </w:t>
      </w:r>
      <w:r w:rsidRPr="00B1522E">
        <w:rPr>
          <w:rFonts w:cstheme="minorHAnsi"/>
        </w:rPr>
        <w:t xml:space="preserve">Unhealthy snack consumption tends to be part of diets that are of poorer nutritional quality which can result in inadequate nutrient intake, as snack foods are often energy-dense, and are high in sugar or saturated fat, which can lead to excessive weight gain </w:t>
      </w:r>
      <w:r w:rsidRPr="00B1522E">
        <w:rPr>
          <w:rFonts w:cstheme="minorHAnsi"/>
        </w:rPr>
        <w:fldChar w:fldCharType="begin" w:fldLock="1"/>
      </w:r>
      <w:r w:rsidR="00DF6CCC" w:rsidRPr="00B1522E">
        <w:rPr>
          <w:rFonts w:cstheme="minorHAnsi"/>
        </w:rPr>
        <w:instrText>ADDIN CSL_CITATION {"citationItems":[{"id":"ITEM-1","itemData":{"ISSN":"1476-5640","author":[{"dropping-particle":"","family":"Santaliestra-Pasías","given":"A M","non-dropping-particle":"","parse-names":false,"suffix":""},{"dropping-particle":"","family":"Mouratidou","given":"T","non-dropping-particle":"","parse-names":false,"suffix":""},{"dropping-particle":"","family":"Huybrechts","given":"Inge","non-dropping-particle":"","parse-names":false,"suffix":""},{"dropping-particle":"","family":"Beghin","given":"L","non-dropping-particle":"","parse-names":false,"suffix":""},{"dropping-particle":"","family":"Cuenca-García","given":"M","non-dropping-particle":"","parse-names":false,"suffix":""},{"dropping-particle":"","family":"Castillo","given":"M J","non-dropping-particle":"","parse-names":false,"suffix":""},{"dropping-particle":"","family":"Galfo","given":"M","non-dropping-particle":"","parse-names":false,"suffix":""},{"dropping-particle":"","family":"Hallstrom","given":"L","non-dropping-particle":"","parse-names":false,"suffix":""},{"dropping-particle":"","family":"Kafatos","given":"A","non-dropping-particle":"","parse-names":false,"suffix":""},{"dropping-particle":"","family":"Manios","given":"Y","non-dropping-particle":"","parse-names":false,"suffix":""}],"container-title":"European journal of clinical nutrition","id":"ITEM-1","issue":"3","issued":{"date-parts":[["2014"]]},"page":"300-308","publisher":"Nature Publishing Group","title":"Increased sedentary behaviour is associated with unhealthy dietary patterns in European adolescents participating in the HELENA study","type":"article-journal","volume":"68"},"uris":["http://www.mendeley.com/documents/?uuid=b5346e9d-8e59-459e-bcee-d0cd6aa8c6ad"]},{"id":"ITEM-2","itemData":{"ISSN":"1415-790X","author":[{"dropping-particle":"","family":"Leal","given":"Greisse Viero da Silva","non-dropping-particle":"","parse-names":false,"suffix":""},{"dropping-particle":"","family":"Philippi","given":"Sonia Tucunduva","non-dropping-particle":"","parse-names":false,"suffix":""},{"dropping-particle":"","family":"Matsudo","given":"Sandra Marcela Mahecha","non-dropping-particle":"","parse-names":false,"suffix":""},{"dropping-particle":"","family":"Toassa","given":"Erika Christiane","non-dropping-particle":"","parse-names":false,"suffix":""}],"container-title":"Revista Brasileira de Epidemiologia","id":"ITEM-2","issued":{"date-parts":[["2010"]]},"page":"457-467","publisher":"SciELO Brasil","title":"Food intake and meal patterns of adolescents, São Paulo, Brazil","type":"article-journal","volume":"13"},"uris":["http://www.mendeley.com/documents/?uuid=71c4cb3a-106f-4a7d-b829-63398fb5d7e8"]},{"id":"ITEM-3","itemData":{"ISSN":"1475-2891","author":[{"dropping-particle":"","family":"Lazzeri","given":"Giacomo","non-dropping-particle":"","parse-names":false,"suffix":""},{"dropping-particle":"","family":"Pammolli","given":"Andrea","non-dropping-particle":"","parse-names":false,"suffix":""},{"dropping-particle":"","family":"Azzolini","given":"Elena","non-dropping-particle":"","parse-names":false,"suffix":""},{"dropping-particle":"","family":"Simi","given":"Rita","non-dropping-particle":"","parse-names":false,"suffix":""},{"dropping-particle":"","family":"Meoni","given":"Veronica","non-dropping-particle":"","parse-names":false,"suffix":""},{"dropping-particle":"","family":"Wet","given":"Daniel Rudolph","non-dropping-particle":"de","parse-names":false,"suffix":""},{"dropping-particle":"","family":"Giacchi","given":"Mariano Vincenzo","non-dropping-particle":"","parse-names":false,"suffix":""}],"container-title":"Nutrition journal","id":"ITEM-3","issue":"1","issued":{"date-parts":[["2013"]]},"page":"1-10","publisher":"BioMed Central","title":"Association between fruits and vegetables intake and frequency of breakfast and snacks consumption: a cross-sectional study","type":"article-journal","volume":"12"},"uris":["http://www.mendeley.com/documents/?uuid=235d3649-a21e-4dfd-92a1-03f10722ed46"]}],"mendeley":{"formattedCitation":"(Lazzeri et al., 2013; Leal et al., 2010; Santaliestra-Pasías et al., 2014)","plainTextFormattedCitation":"(Lazzeri et al., 2013; Leal et al., 2010; Santaliestra-Pasías et al., 2014)","previouslyFormattedCitation":"(Lazzeri et al., 2013; Leal et al., 2010; Santaliestra-Pasías et al., 2014)"},"properties":{"noteIndex":0},"schema":"https://github.com/citation-style-language/schema/raw/master/csl-citation.json"}</w:instrText>
      </w:r>
      <w:r w:rsidRPr="00B1522E">
        <w:rPr>
          <w:rFonts w:cstheme="minorHAnsi"/>
        </w:rPr>
        <w:fldChar w:fldCharType="separate"/>
      </w:r>
      <w:r w:rsidR="004B7FAF" w:rsidRPr="00B1522E">
        <w:rPr>
          <w:rFonts w:cstheme="minorHAnsi"/>
          <w:noProof/>
        </w:rPr>
        <w:t>(Lazzeri et al., 2013; Leal et al., 2010; Santaliestra-Pasías et al., 2014)</w:t>
      </w:r>
      <w:r w:rsidRPr="00B1522E">
        <w:rPr>
          <w:rFonts w:cstheme="minorHAnsi"/>
        </w:rPr>
        <w:fldChar w:fldCharType="end"/>
      </w:r>
      <w:r w:rsidRPr="00B1522E">
        <w:rPr>
          <w:rFonts w:cstheme="minorHAnsi"/>
        </w:rPr>
        <w:t xml:space="preserve">.  </w:t>
      </w:r>
      <w:r w:rsidRPr="00B1522E">
        <w:t xml:space="preserve">The teacher at the intervention school also expressed that unhealthy eating is an issue amongst their students. Students were consuming large amounts of unhealthy snacks during school hours, which were often purchased from the local shops, even though there was a wide range of healthy foodstuffs available to them at school (Table </w:t>
      </w:r>
      <w:r w:rsidR="00B469A2" w:rsidRPr="00B1522E">
        <w:t>8</w:t>
      </w:r>
      <w:r w:rsidRPr="00B1522E">
        <w:t xml:space="preserve">). </w:t>
      </w:r>
    </w:p>
    <w:p w14:paraId="70C1BDF6" w14:textId="4039D629" w:rsidR="00347DE9" w:rsidRDefault="00347DE9" w:rsidP="00E77769">
      <w:pPr>
        <w:spacing w:line="480" w:lineRule="auto"/>
        <w:ind w:firstLine="720"/>
        <w:jc w:val="both"/>
      </w:pPr>
      <w:r w:rsidRPr="00B1522E">
        <w:t xml:space="preserve">It is important that the target behaviour can be translated into a measured outcome to understand what effect receiving SNA feedback has on the unhealthy behaviour </w:t>
      </w:r>
      <w:r w:rsidRPr="00B1522E">
        <w:fldChar w:fldCharType="begin" w:fldLock="1"/>
      </w:r>
      <w:r w:rsidR="009E5873" w:rsidRPr="00B1522E">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fldChar w:fldCharType="separate"/>
      </w:r>
      <w:r w:rsidR="00660052" w:rsidRPr="00B1522E">
        <w:rPr>
          <w:noProof/>
        </w:rPr>
        <w:t>(McAlaney et al., 2010)</w:t>
      </w:r>
      <w:r w:rsidRPr="00B1522E">
        <w:fldChar w:fldCharType="end"/>
      </w:r>
      <w:r w:rsidRPr="00B1522E">
        <w:t xml:space="preserve">. Students during the focus group discussions (Chapter 5) were asked to define unhealthy foodstuffs and the responses to this question were analysed using content analysis based on inductive coding </w:t>
      </w:r>
      <w:r w:rsidRPr="00B1522E">
        <w:fldChar w:fldCharType="begin" w:fldLock="1"/>
      </w:r>
      <w:r w:rsidR="00632193" w:rsidRPr="00B1522E">
        <w:instrText>ADDIN CSL_CITATION {"citationItems":[{"id":"ITEM-1","itemData":{"ISBN":"1506395678","author":[{"dropping-particle":"","family":"Krippendorff","given":"Klaus","non-dropping-particle":"","parse-names":false,"suffix":""}],"id":"ITEM-1","issued":{"date-parts":[["2018"]]},"publisher":"Sage publications","title":"Content analysis: An introduction to its methodology","type":"book"},"uris":["http://www.mendeley.com/documents/?uuid=5ac83393-0806-491f-aa1e-f35954993b0e"]},{"id":"ITEM-2","itemData":{"author":[{"dropping-particle":"","family":"Mayring","given":"Philipp","non-dropping-particle":"","parse-names":false,"suffix":""}],"chapter-number":"Qualitativ","container-title":"A companion to qualitative research","editor":[{"dropping-particle":"","family":"Flick","given":"U.","non-dropping-particle":"","parse-names":false,"suffix":""},{"dropping-particle":"","family":"Kardoff","given":"E","non-dropping-particle":"","parse-names":false,"suffix":""},{"dropping-particle":"","family":"Steinke","given":"I","non-dropping-particle":"","parse-names":false,"suffix":""}],"id":"ITEM-2","issued":{"date-parts":[["2004"]]},"page":"266-270","publisher":"Sage Publications","title":"Qualitative content analysis","type":"chapter"},"uris":["http://www.mendeley.com/documents/?uuid=6a12c06b-89a6-4417-8d6e-fa76b164cc5f"]}],"mendeley":{"formattedCitation":"(Krippendorff, 2018; Mayring, 2004)","plainTextFormattedCitation":"(Krippendorff, 2018; Mayring, 2004)","previouslyFormattedCitation":"(Krippendorff, 2018; Mayring, 2004)"},"properties":{"noteIndex":0},"schema":"https://github.com/citation-style-language/schema/raw/master/csl-citation.json"}</w:instrText>
      </w:r>
      <w:r w:rsidRPr="00B1522E">
        <w:fldChar w:fldCharType="separate"/>
      </w:r>
      <w:r w:rsidRPr="00B1522E">
        <w:rPr>
          <w:noProof/>
        </w:rPr>
        <w:t>(Krippendorff, 2018; Mayring, 2004)</w:t>
      </w:r>
      <w:r w:rsidRPr="00B1522E">
        <w:fldChar w:fldCharType="end"/>
      </w:r>
      <w:r w:rsidRPr="00B1522E">
        <w:t xml:space="preserve">. The content analysis indicated that unhealthy snacks </w:t>
      </w:r>
      <w:r w:rsidRPr="00B1522E">
        <w:lastRenderedPageBreak/>
        <w:t>were the most-commonly referred to and consumed type of unhealthy food</w:t>
      </w:r>
      <w:r w:rsidR="00557AF9" w:rsidRPr="00B1522E">
        <w:t xml:space="preserve"> item</w:t>
      </w:r>
      <w:r w:rsidR="00BC5598" w:rsidRPr="00B1522E">
        <w:t xml:space="preserve"> </w:t>
      </w:r>
      <w:r w:rsidRPr="00B1522E">
        <w:t xml:space="preserve">(Appendix </w:t>
      </w:r>
      <w:r w:rsidR="00B201D0" w:rsidRPr="00B1522E">
        <w:t>14</w:t>
      </w:r>
      <w:r w:rsidR="00D14D96" w:rsidRPr="00B1522E">
        <w:t xml:space="preserve">; Table </w:t>
      </w:r>
      <w:r w:rsidR="00711CDD" w:rsidRPr="00B1522E">
        <w:t>24</w:t>
      </w:r>
      <w:r w:rsidRPr="00B1522E">
        <w:t xml:space="preserve">). Table </w:t>
      </w:r>
      <w:r w:rsidR="00B86730" w:rsidRPr="00B1522E">
        <w:t>9</w:t>
      </w:r>
      <w:r w:rsidRPr="00B1522E">
        <w:t xml:space="preserve"> presents the frequency of reference of the individual snack food referred to as being unhealthy. The foodstuffs identified are all nutritionally poor, are high in sugar and/or fat, and are only to be consumed occasionally and in moderation </w:t>
      </w:r>
      <w:r w:rsidRPr="00B1522E">
        <w:fldChar w:fldCharType="begin" w:fldLock="1"/>
      </w:r>
      <w:r w:rsidR="00863D93" w:rsidRPr="00B1522E">
        <w:instrText>ADDIN CSL_CITATION {"citationItems":[{"id":"ITEM-1","itemData":{"URL":"https://www.nhs.uk/change4life/food-facts/healthier-snacks-for-kids","author":[{"dropping-particle":"","family":"NHS","given":"","non-dropping-particle":"","parse-names":false,"suffix":""}],"id":"ITEM-1","issued":{"date-parts":[["2020"]]},"title":"Healthier snacks for kids","type":"webpage"},"uris":["http://www.mendeley.com/documents/?uuid=24802516-622d-44f5-be95-c3cc25afb59f"]},{"id":"ITEM-2","itemData":{"URL":"https://www.gov.uk/government/publications/the-eatwell-guide","author":[{"dropping-particle":"","family":"Public Health England","given":"","non-dropping-particle":"","parse-names":false,"suffix":""}],"id":"ITEM-2","issued":{"date-parts":[["2018"]]},"title":"Guidance The Eatwell Guide","type":"webpage"},"uris":["http://www.mendeley.com/documents/?uuid=89c57649-eefd-4f39-8805-2b79fc46bf40"]}],"mendeley":{"formattedCitation":"(NHS, 2020a; Public Health England, 2018b)","plainTextFormattedCitation":"(NHS, 2020a; Public Health England, 2018b)","previouslyFormattedCitation":"(NHS, 2020a; Public Health England, 2018b)"},"properties":{"noteIndex":0},"schema":"https://github.com/citation-style-language/schema/raw/master/csl-citation.json"}</w:instrText>
      </w:r>
      <w:r w:rsidRPr="00B1522E">
        <w:fldChar w:fldCharType="separate"/>
      </w:r>
      <w:r w:rsidR="00660052" w:rsidRPr="00B1522E">
        <w:rPr>
          <w:noProof/>
        </w:rPr>
        <w:t>(NHS, 2020a; Public Health England, 2018b)</w:t>
      </w:r>
      <w:r w:rsidRPr="00B1522E">
        <w:fldChar w:fldCharType="end"/>
      </w:r>
      <w:r w:rsidRPr="00B1522E">
        <w:t xml:space="preserve">. </w:t>
      </w:r>
      <w:r w:rsidRPr="00B1522E">
        <w:rPr>
          <w:lang w:val="en-US"/>
        </w:rPr>
        <w:t>The five individual unhealthy snack foodstuffs identified by the content analysis</w:t>
      </w:r>
      <w:r w:rsidRPr="00B1522E">
        <w:t xml:space="preserve"> (Table </w:t>
      </w:r>
      <w:r w:rsidR="00B86730" w:rsidRPr="00B1522E">
        <w:t>9</w:t>
      </w:r>
      <w:r w:rsidRPr="00B1522E">
        <w:t>) were targeted in the SNA intervention.</w:t>
      </w:r>
    </w:p>
    <w:p w14:paraId="05D9C37B" w14:textId="77777777" w:rsidR="00E77769" w:rsidRPr="00B1522E" w:rsidRDefault="00E77769" w:rsidP="00E77769">
      <w:pPr>
        <w:spacing w:line="480" w:lineRule="auto"/>
        <w:ind w:firstLine="720"/>
        <w:jc w:val="both"/>
      </w:pPr>
    </w:p>
    <w:p w14:paraId="53A167FF" w14:textId="60EC9084" w:rsidR="00347DE9" w:rsidRPr="00B1522E" w:rsidRDefault="00A92ECB" w:rsidP="00347DE9">
      <w:pPr>
        <w:spacing w:line="480" w:lineRule="auto"/>
        <w:jc w:val="both"/>
        <w:rPr>
          <w:rFonts w:cstheme="minorHAnsi"/>
        </w:rPr>
      </w:pPr>
      <w:r w:rsidRPr="00B1522E">
        <w:rPr>
          <w:b/>
          <w:bCs/>
          <w:i/>
          <w:iCs/>
        </w:rPr>
        <w:fldChar w:fldCharType="begin"/>
      </w:r>
      <w:r w:rsidRPr="00B1522E">
        <w:rPr>
          <w:b/>
          <w:bCs/>
        </w:rPr>
        <w:instrText xml:space="preserve"> TC  "</w:instrText>
      </w:r>
      <w:r w:rsidRPr="00B1522E">
        <w:rPr>
          <w:rFonts w:cstheme="minorHAnsi"/>
        </w:rPr>
        <w:instrText xml:space="preserve"> </w:instrText>
      </w:r>
      <w:bookmarkStart w:id="169" w:name="_Toc97557132"/>
      <w:r w:rsidRPr="00B1522E">
        <w:rPr>
          <w:rFonts w:cstheme="minorHAnsi"/>
        </w:rPr>
        <w:instrText xml:space="preserve">Table </w:instrText>
      </w:r>
      <w:r w:rsidR="00620661" w:rsidRPr="00B1522E">
        <w:rPr>
          <w:rFonts w:cstheme="minorHAnsi"/>
        </w:rPr>
        <w:instrText>9</w:instrText>
      </w:r>
      <w:r w:rsidR="00B61682" w:rsidRPr="00B1522E">
        <w:rPr>
          <w:rFonts w:cstheme="minorHAnsi"/>
        </w:rPr>
        <w:instrText>.</w:instrText>
      </w:r>
      <w:r w:rsidRPr="00B1522E">
        <w:rPr>
          <w:rFonts w:cstheme="minorHAnsi"/>
        </w:rPr>
        <w:instrText xml:space="preserve"> Specific unhealthy snack foodstuffs students referred to as unhealthy.</w:instrText>
      </w:r>
      <w:bookmarkEnd w:id="169"/>
      <w:r w:rsidRPr="00B1522E">
        <w:rPr>
          <w:b/>
          <w:bCs/>
        </w:rPr>
        <w:instrText xml:space="preserve"> " \f z\l 2 </w:instrText>
      </w:r>
      <w:r w:rsidRPr="00B1522E">
        <w:rPr>
          <w:b/>
          <w:bCs/>
          <w:i/>
          <w:iCs/>
        </w:rPr>
        <w:fldChar w:fldCharType="end"/>
      </w:r>
      <w:r w:rsidR="00347DE9" w:rsidRPr="00B1522E">
        <w:rPr>
          <w:rFonts w:cstheme="minorHAnsi"/>
        </w:rPr>
        <w:t xml:space="preserve">Table </w:t>
      </w:r>
      <w:r w:rsidR="00620661" w:rsidRPr="00B1522E">
        <w:rPr>
          <w:rFonts w:cstheme="minorHAnsi"/>
        </w:rPr>
        <w:t>9</w:t>
      </w:r>
      <w:r w:rsidR="00B61682" w:rsidRPr="00B1522E">
        <w:rPr>
          <w:rFonts w:cstheme="minorHAnsi"/>
        </w:rPr>
        <w:t>.</w:t>
      </w:r>
      <w:r w:rsidR="00347DE9" w:rsidRPr="00B1522E">
        <w:rPr>
          <w:rFonts w:cstheme="minorHAnsi"/>
        </w:rPr>
        <w:t xml:space="preserve"> Specific unhealthy snack foodstuffs students referred to as unhealthy.</w:t>
      </w: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04"/>
      </w:tblGrid>
      <w:tr w:rsidR="00E77769" w:rsidRPr="00B1522E" w14:paraId="187383C4" w14:textId="77777777" w:rsidTr="001F5EA1">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404" w:type="dxa"/>
            <w:tcBorders>
              <w:top w:val="single" w:sz="4" w:space="0" w:color="auto"/>
              <w:bottom w:val="single" w:sz="4" w:space="0" w:color="auto"/>
            </w:tcBorders>
          </w:tcPr>
          <w:p w14:paraId="721F958C" w14:textId="77777777" w:rsidR="00347DE9" w:rsidRPr="00B1522E" w:rsidRDefault="00347DE9" w:rsidP="001F5EA1">
            <w:pPr>
              <w:spacing w:line="480" w:lineRule="auto"/>
              <w:jc w:val="center"/>
              <w:rPr>
                <w:rFonts w:cstheme="minorHAnsi"/>
                <w:b w:val="0"/>
                <w:bCs w:val="0"/>
                <w:sz w:val="22"/>
                <w:szCs w:val="22"/>
              </w:rPr>
            </w:pPr>
            <w:r w:rsidRPr="00B1522E">
              <w:rPr>
                <w:rFonts w:cstheme="minorHAnsi"/>
                <w:b w:val="0"/>
                <w:bCs w:val="0"/>
                <w:sz w:val="22"/>
                <w:szCs w:val="22"/>
              </w:rPr>
              <w:t>Unhealthy snacks</w:t>
            </w:r>
          </w:p>
        </w:tc>
        <w:tc>
          <w:tcPr>
            <w:tcW w:w="4404" w:type="dxa"/>
            <w:tcBorders>
              <w:top w:val="single" w:sz="4" w:space="0" w:color="auto"/>
              <w:bottom w:val="single" w:sz="4" w:space="0" w:color="auto"/>
            </w:tcBorders>
          </w:tcPr>
          <w:p w14:paraId="40B91BFD" w14:textId="77777777" w:rsidR="00347DE9" w:rsidRPr="00B1522E" w:rsidRDefault="00347DE9" w:rsidP="001F5EA1">
            <w:pPr>
              <w:spacing w:line="48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B1522E">
              <w:rPr>
                <w:rFonts w:cstheme="minorHAnsi"/>
                <w:b w:val="0"/>
                <w:bCs w:val="0"/>
                <w:sz w:val="22"/>
                <w:szCs w:val="22"/>
              </w:rPr>
              <w:t>Frequency</w:t>
            </w:r>
          </w:p>
        </w:tc>
      </w:tr>
      <w:tr w:rsidR="00E77769" w:rsidRPr="00B1522E" w14:paraId="7BB670CB" w14:textId="77777777" w:rsidTr="001F5EA1">
        <w:trPr>
          <w:trHeight w:val="381"/>
        </w:trPr>
        <w:tc>
          <w:tcPr>
            <w:cnfStyle w:val="001000000000" w:firstRow="0" w:lastRow="0" w:firstColumn="1" w:lastColumn="0" w:oddVBand="0" w:evenVBand="0" w:oddHBand="0" w:evenHBand="0" w:firstRowFirstColumn="0" w:firstRowLastColumn="0" w:lastRowFirstColumn="0" w:lastRowLastColumn="0"/>
            <w:tcW w:w="4404" w:type="dxa"/>
            <w:tcBorders>
              <w:top w:val="single" w:sz="4" w:space="0" w:color="auto"/>
            </w:tcBorders>
          </w:tcPr>
          <w:p w14:paraId="2292BB4A" w14:textId="77777777" w:rsidR="00347DE9" w:rsidRPr="00B1522E" w:rsidRDefault="00347DE9" w:rsidP="001F5EA1">
            <w:pPr>
              <w:spacing w:line="360" w:lineRule="auto"/>
              <w:jc w:val="center"/>
              <w:rPr>
                <w:rFonts w:cstheme="minorHAnsi"/>
                <w:b w:val="0"/>
                <w:bCs w:val="0"/>
                <w:sz w:val="22"/>
                <w:szCs w:val="22"/>
              </w:rPr>
            </w:pPr>
            <w:r w:rsidRPr="00B1522E">
              <w:rPr>
                <w:rFonts w:cstheme="minorHAnsi"/>
                <w:b w:val="0"/>
                <w:bCs w:val="0"/>
                <w:sz w:val="22"/>
                <w:szCs w:val="22"/>
              </w:rPr>
              <w:t>Sweets</w:t>
            </w:r>
          </w:p>
        </w:tc>
        <w:tc>
          <w:tcPr>
            <w:tcW w:w="4404" w:type="dxa"/>
            <w:tcBorders>
              <w:top w:val="single" w:sz="4" w:space="0" w:color="auto"/>
            </w:tcBorders>
          </w:tcPr>
          <w:p w14:paraId="7227CB7D" w14:textId="77777777" w:rsidR="00347DE9" w:rsidRPr="00B1522E" w:rsidRDefault="00347DE9" w:rsidP="001F5EA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522E">
              <w:rPr>
                <w:rFonts w:cstheme="minorHAnsi"/>
                <w:sz w:val="22"/>
                <w:szCs w:val="22"/>
              </w:rPr>
              <w:t>11</w:t>
            </w:r>
          </w:p>
        </w:tc>
      </w:tr>
      <w:tr w:rsidR="00E77769" w:rsidRPr="00B1522E" w14:paraId="0BE51DFA" w14:textId="77777777" w:rsidTr="001F5EA1">
        <w:trPr>
          <w:trHeight w:val="363"/>
        </w:trPr>
        <w:tc>
          <w:tcPr>
            <w:cnfStyle w:val="001000000000" w:firstRow="0" w:lastRow="0" w:firstColumn="1" w:lastColumn="0" w:oddVBand="0" w:evenVBand="0" w:oddHBand="0" w:evenHBand="0" w:firstRowFirstColumn="0" w:firstRowLastColumn="0" w:lastRowFirstColumn="0" w:lastRowLastColumn="0"/>
            <w:tcW w:w="4404" w:type="dxa"/>
          </w:tcPr>
          <w:p w14:paraId="21121BA7" w14:textId="77777777" w:rsidR="00347DE9" w:rsidRPr="00B1522E" w:rsidRDefault="00347DE9" w:rsidP="001F5EA1">
            <w:pPr>
              <w:spacing w:line="360" w:lineRule="auto"/>
              <w:jc w:val="center"/>
              <w:rPr>
                <w:rFonts w:cstheme="minorHAnsi"/>
                <w:b w:val="0"/>
                <w:bCs w:val="0"/>
                <w:sz w:val="22"/>
                <w:szCs w:val="22"/>
              </w:rPr>
            </w:pPr>
            <w:r w:rsidRPr="00B1522E">
              <w:rPr>
                <w:rFonts w:cstheme="minorHAnsi"/>
                <w:b w:val="0"/>
                <w:bCs w:val="0"/>
                <w:sz w:val="22"/>
                <w:szCs w:val="22"/>
              </w:rPr>
              <w:t>Chocolate</w:t>
            </w:r>
          </w:p>
        </w:tc>
        <w:tc>
          <w:tcPr>
            <w:tcW w:w="4404" w:type="dxa"/>
          </w:tcPr>
          <w:p w14:paraId="4EBB8B8A" w14:textId="77777777" w:rsidR="00347DE9" w:rsidRPr="00B1522E" w:rsidRDefault="00347DE9" w:rsidP="001F5EA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522E">
              <w:rPr>
                <w:rFonts w:cstheme="minorHAnsi"/>
                <w:sz w:val="22"/>
                <w:szCs w:val="22"/>
              </w:rPr>
              <w:t>9</w:t>
            </w:r>
          </w:p>
        </w:tc>
      </w:tr>
      <w:tr w:rsidR="00E77769" w:rsidRPr="00B1522E" w14:paraId="5ED814B6" w14:textId="77777777" w:rsidTr="001F5EA1">
        <w:trPr>
          <w:trHeight w:val="363"/>
        </w:trPr>
        <w:tc>
          <w:tcPr>
            <w:cnfStyle w:val="001000000000" w:firstRow="0" w:lastRow="0" w:firstColumn="1" w:lastColumn="0" w:oddVBand="0" w:evenVBand="0" w:oddHBand="0" w:evenHBand="0" w:firstRowFirstColumn="0" w:firstRowLastColumn="0" w:lastRowFirstColumn="0" w:lastRowLastColumn="0"/>
            <w:tcW w:w="4404" w:type="dxa"/>
          </w:tcPr>
          <w:p w14:paraId="6FBBC86C" w14:textId="77777777" w:rsidR="00347DE9" w:rsidRPr="00B1522E" w:rsidRDefault="00347DE9" w:rsidP="001F5EA1">
            <w:pPr>
              <w:spacing w:line="360" w:lineRule="auto"/>
              <w:jc w:val="center"/>
              <w:rPr>
                <w:rFonts w:cstheme="minorHAnsi"/>
                <w:b w:val="0"/>
                <w:bCs w:val="0"/>
                <w:sz w:val="22"/>
                <w:szCs w:val="22"/>
              </w:rPr>
            </w:pPr>
            <w:r w:rsidRPr="00B1522E">
              <w:rPr>
                <w:rFonts w:cstheme="minorHAnsi"/>
                <w:b w:val="0"/>
                <w:bCs w:val="0"/>
                <w:sz w:val="22"/>
                <w:szCs w:val="22"/>
              </w:rPr>
              <w:t>Cake</w:t>
            </w:r>
          </w:p>
        </w:tc>
        <w:tc>
          <w:tcPr>
            <w:tcW w:w="4404" w:type="dxa"/>
          </w:tcPr>
          <w:p w14:paraId="1204D7D0" w14:textId="77777777" w:rsidR="00347DE9" w:rsidRPr="00B1522E" w:rsidRDefault="00347DE9" w:rsidP="001F5EA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522E">
              <w:rPr>
                <w:rFonts w:cstheme="minorHAnsi"/>
                <w:sz w:val="22"/>
                <w:szCs w:val="22"/>
              </w:rPr>
              <w:t>4</w:t>
            </w:r>
          </w:p>
        </w:tc>
      </w:tr>
      <w:tr w:rsidR="00E77769" w:rsidRPr="00B1522E" w14:paraId="101A75FC" w14:textId="77777777" w:rsidTr="001F5EA1">
        <w:trPr>
          <w:trHeight w:val="363"/>
        </w:trPr>
        <w:tc>
          <w:tcPr>
            <w:cnfStyle w:val="001000000000" w:firstRow="0" w:lastRow="0" w:firstColumn="1" w:lastColumn="0" w:oddVBand="0" w:evenVBand="0" w:oddHBand="0" w:evenHBand="0" w:firstRowFirstColumn="0" w:firstRowLastColumn="0" w:lastRowFirstColumn="0" w:lastRowLastColumn="0"/>
            <w:tcW w:w="4404" w:type="dxa"/>
          </w:tcPr>
          <w:p w14:paraId="229F7544" w14:textId="77777777" w:rsidR="00347DE9" w:rsidRPr="00B1522E" w:rsidRDefault="00347DE9" w:rsidP="001F5EA1">
            <w:pPr>
              <w:spacing w:line="360" w:lineRule="auto"/>
              <w:jc w:val="center"/>
              <w:rPr>
                <w:rFonts w:cstheme="minorHAnsi"/>
                <w:b w:val="0"/>
                <w:bCs w:val="0"/>
                <w:sz w:val="22"/>
                <w:szCs w:val="22"/>
              </w:rPr>
            </w:pPr>
            <w:r w:rsidRPr="00B1522E">
              <w:rPr>
                <w:rFonts w:cstheme="minorHAnsi"/>
                <w:b w:val="0"/>
                <w:bCs w:val="0"/>
                <w:sz w:val="22"/>
                <w:szCs w:val="22"/>
              </w:rPr>
              <w:t>Crisps</w:t>
            </w:r>
          </w:p>
        </w:tc>
        <w:tc>
          <w:tcPr>
            <w:tcW w:w="4404" w:type="dxa"/>
          </w:tcPr>
          <w:p w14:paraId="5A6281CD" w14:textId="77777777" w:rsidR="00347DE9" w:rsidRPr="00B1522E" w:rsidRDefault="00347DE9" w:rsidP="001F5EA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522E">
              <w:rPr>
                <w:rFonts w:cstheme="minorHAnsi"/>
                <w:sz w:val="22"/>
                <w:szCs w:val="22"/>
              </w:rPr>
              <w:t>4</w:t>
            </w:r>
          </w:p>
        </w:tc>
      </w:tr>
      <w:tr w:rsidR="00E77769" w:rsidRPr="00B1522E" w14:paraId="721FCA35" w14:textId="77777777" w:rsidTr="001F5EA1">
        <w:trPr>
          <w:trHeight w:val="363"/>
        </w:trPr>
        <w:tc>
          <w:tcPr>
            <w:cnfStyle w:val="001000000000" w:firstRow="0" w:lastRow="0" w:firstColumn="1" w:lastColumn="0" w:oddVBand="0" w:evenVBand="0" w:oddHBand="0" w:evenHBand="0" w:firstRowFirstColumn="0" w:firstRowLastColumn="0" w:lastRowFirstColumn="0" w:lastRowLastColumn="0"/>
            <w:tcW w:w="4404" w:type="dxa"/>
            <w:tcBorders>
              <w:bottom w:val="single" w:sz="4" w:space="0" w:color="auto"/>
            </w:tcBorders>
          </w:tcPr>
          <w:p w14:paraId="622CF639" w14:textId="77777777" w:rsidR="00347DE9" w:rsidRPr="00B1522E" w:rsidRDefault="00347DE9" w:rsidP="001F5EA1">
            <w:pPr>
              <w:spacing w:line="360" w:lineRule="auto"/>
              <w:jc w:val="center"/>
              <w:rPr>
                <w:rFonts w:cstheme="minorHAnsi"/>
                <w:b w:val="0"/>
                <w:bCs w:val="0"/>
                <w:sz w:val="22"/>
                <w:szCs w:val="22"/>
              </w:rPr>
            </w:pPr>
            <w:r w:rsidRPr="00B1522E">
              <w:rPr>
                <w:b w:val="0"/>
                <w:bCs w:val="0"/>
                <w:sz w:val="22"/>
                <w:szCs w:val="22"/>
              </w:rPr>
              <w:t>Biscuits</w:t>
            </w:r>
            <w:r w:rsidRPr="00B1522E">
              <w:rPr>
                <w:rStyle w:val="FootnoteReference"/>
                <w:b w:val="0"/>
                <w:bCs w:val="0"/>
                <w:sz w:val="22"/>
                <w:szCs w:val="22"/>
              </w:rPr>
              <w:footnoteReference w:id="2"/>
            </w:r>
          </w:p>
        </w:tc>
        <w:tc>
          <w:tcPr>
            <w:tcW w:w="4404" w:type="dxa"/>
            <w:tcBorders>
              <w:bottom w:val="single" w:sz="4" w:space="0" w:color="auto"/>
            </w:tcBorders>
          </w:tcPr>
          <w:p w14:paraId="71EED2F4" w14:textId="77777777" w:rsidR="00347DE9" w:rsidRPr="00B1522E" w:rsidRDefault="00347DE9" w:rsidP="001F5EA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522E">
              <w:rPr>
                <w:rFonts w:cstheme="minorHAnsi"/>
                <w:sz w:val="22"/>
                <w:szCs w:val="22"/>
              </w:rPr>
              <w:t>1</w:t>
            </w:r>
          </w:p>
        </w:tc>
      </w:tr>
    </w:tbl>
    <w:p w14:paraId="489D3EED" w14:textId="77777777" w:rsidR="00347DE9" w:rsidRPr="00B1522E" w:rsidRDefault="00347DE9" w:rsidP="00347DE9">
      <w:pPr>
        <w:spacing w:line="480" w:lineRule="auto"/>
      </w:pPr>
    </w:p>
    <w:p w14:paraId="567AD738" w14:textId="1A77488F" w:rsidR="00347DE9" w:rsidRPr="00B1522E" w:rsidRDefault="002B53BA" w:rsidP="00347DE9">
      <w:pPr>
        <w:spacing w:line="480" w:lineRule="auto"/>
      </w:pPr>
      <w:r w:rsidRPr="00B1522E">
        <w:fldChar w:fldCharType="begin"/>
      </w:r>
      <w:r w:rsidRPr="00B1522E">
        <w:instrText xml:space="preserve"> TC  "</w:instrText>
      </w:r>
      <w:bookmarkStart w:id="170" w:name="_Toc97310477"/>
      <w:r w:rsidRPr="00B1522E">
        <w:instrText>6.4.4 Developing the SNA feedback messages</w:instrText>
      </w:r>
      <w:bookmarkEnd w:id="170"/>
      <w:r w:rsidRPr="00B1522E">
        <w:instrText xml:space="preserve"> " \f x\l 3 </w:instrText>
      </w:r>
      <w:r w:rsidRPr="00B1522E">
        <w:fldChar w:fldCharType="end"/>
      </w:r>
      <w:r w:rsidR="00347DE9" w:rsidRPr="00B1522E">
        <w:t xml:space="preserve">6.4.4 Developing the SNA feedback messages  </w:t>
      </w:r>
    </w:p>
    <w:p w14:paraId="419F5151" w14:textId="3BF92299" w:rsidR="00347DE9" w:rsidRPr="00B1522E" w:rsidRDefault="00347DE9" w:rsidP="00347DE9">
      <w:pPr>
        <w:spacing w:line="480" w:lineRule="auto"/>
        <w:jc w:val="both"/>
        <w:rPr>
          <w:shd w:val="clear" w:color="auto" w:fill="FFFFFF"/>
        </w:rPr>
      </w:pPr>
      <w:r w:rsidRPr="00B1522E">
        <w:rPr>
          <w:shd w:val="clear" w:color="auto" w:fill="FFFFFF"/>
        </w:rPr>
        <w:t>SNA interventions begin with the collection and reviewing of credible data drawn from the target population to identify misperceptions (</w:t>
      </w:r>
      <w:r w:rsidRPr="00B1522E">
        <w:t>in terms of what the majority of the reference group actually think and do, to understand the degree of the misperception</w:t>
      </w:r>
      <w:r w:rsidRPr="00B1522E">
        <w:rPr>
          <w:shd w:val="clear" w:color="auto" w:fill="FFFFFF"/>
        </w:rPr>
        <w:t xml:space="preserve">) </w:t>
      </w:r>
      <w:r w:rsidRPr="00B1522E">
        <w:rPr>
          <w:shd w:val="clear" w:color="auto" w:fill="FFFFFF"/>
        </w:rPr>
        <w:fldChar w:fldCharType="begin" w:fldLock="1"/>
      </w:r>
      <w:r w:rsidR="004A684E" w:rsidRPr="00B1522E">
        <w:rPr>
          <w:shd w:val="clear" w:color="auto" w:fill="FFFFFF"/>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(Perkins &amp; Berkowitz, 1986)</w:t>
      </w:r>
      <w:r w:rsidRPr="00B1522E">
        <w:rPr>
          <w:shd w:val="clear" w:color="auto" w:fill="FFFFFF"/>
        </w:rPr>
        <w:fldChar w:fldCharType="end"/>
      </w:r>
      <w:r w:rsidRPr="00B1522E">
        <w:rPr>
          <w:shd w:val="clear" w:color="auto" w:fill="FFFFFF"/>
        </w:rPr>
        <w:t xml:space="preserve">. This latter understanding informs the data-based messages to counter the misperceptions </w:t>
      </w:r>
      <w:r w:rsidRPr="00B1522E">
        <w:rPr>
          <w:shd w:val="clear" w:color="auto" w:fill="FFFFFF"/>
        </w:rPr>
        <w:fldChar w:fldCharType="begin" w:fldLock="1"/>
      </w:r>
      <w:r w:rsidR="00FD502B" w:rsidRPr="00B1522E">
        <w:rPr>
          <w:shd w:val="clear" w:color="auto" w:fill="FFFFFF"/>
        </w:rPr>
        <w:instrText>ADDIN CSL_CITATION {"citationItems":[{"id":"ITEM-1","itemData":{"author":[{"dropping-particle":"","family":"Haines","given":"M P","non-dropping-particle":"","parse-names":false,"suffix":""},{"dropping-particle":"","family":"Perkins","given":"H W","non-dropping-particle":"","parse-names":false,"suffix":""},{"dropping-particle":"","family":"Rice","given":"R M","non-dropping-particle":"","parse-names":false,"suffix":""},{"dropping-particle":"","family":"Barker","given":"G","non-dropping-particle":"","parse-names":false,"suffix":""}],"id":"ITEM-1","issued":{"date-parts":[["2005"]]},"publisher":"National Social Norms Resource Center","title":"A guide to marketing social norms for health promotion in schools and communities","type":"report"},"uris":["http://www.mendeley.com/documents/?uuid=e808c01d-a666-46ae-93e8-f820a4c5cfac"]}],"mendeley":{"formattedCitation":"(Haines et al., 2005)","plainTextFormattedCitation":"(Haines et al., 2005)","previouslyFormattedCitation":"(Haines et al., 2005)"},"properties":{"noteIndex":0},"schema":"https://github.com/citation-style-language/schema/raw/master/csl-citation.json"}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(Haines et al., 2005)</w:t>
      </w:r>
      <w:r w:rsidRPr="00B1522E">
        <w:rPr>
          <w:shd w:val="clear" w:color="auto" w:fill="FFFFFF"/>
        </w:rPr>
        <w:fldChar w:fldCharType="end"/>
      </w:r>
      <w:r w:rsidRPr="00B1522E">
        <w:rPr>
          <w:shd w:val="clear" w:color="auto" w:fill="FFFFFF"/>
        </w:rPr>
        <w:t xml:space="preserve"> with messages outlining the discrepancy between accurate normative behaviours of the target population with current perceptions, to help ensure messages are perceived as credible (Table </w:t>
      </w:r>
      <w:r w:rsidR="0004613C" w:rsidRPr="00B1522E">
        <w:rPr>
          <w:shd w:val="clear" w:color="auto" w:fill="FFFFFF"/>
        </w:rPr>
        <w:t>6</w:t>
      </w:r>
      <w:r w:rsidRPr="00B1522E">
        <w:rPr>
          <w:shd w:val="clear" w:color="auto" w:fill="FFFFFF"/>
        </w:rPr>
        <w:t xml:space="preserve">) </w:t>
      </w:r>
      <w:r w:rsidRPr="00B1522E">
        <w:rPr>
          <w:shd w:val="clear" w:color="auto" w:fill="FFFFFF"/>
        </w:rPr>
        <w:lastRenderedPageBreak/>
        <w:fldChar w:fldCharType="begin" w:fldLock="1"/>
      </w:r>
      <w:r w:rsidRPr="00B1522E">
        <w:rPr>
          <w:shd w:val="clear" w:color="auto" w:fill="FFFFFF"/>
        </w:rPr>
        <w:instrText>ADDIN CSL_CITATION {"citationItems":[{"id":"ITEM-1","itemData":{"ISSN":"2296-2565","author":[{"dropping-particle":"","family":"Vallentin-Holbech","given":"Lotte","non-dropping-particle":"","parse-names":false,"suffix":""},{"dropping-particle":"","family":"Rasmussen","given":"Birthe Marie","non-dropping-particle":"","parse-names":false,"suffix":""},{"dropping-particle":"","family":"Stock","given":"Christiane","non-dropping-particle":"","parse-names":false,"suffix":""}],"container-title":"Frontiers in public health","id":"ITEM-1","issued":{"date-parts":[["2019"]]},"page":"245","publisher":"Frontiers","title":"Does level of received intervention dose have an impact on the effectiveness of the social norms alcohol prevention program The GOOD Life?","type":"article-journal","volume":"7"},"uris":["http://www.mendeley.com/documents/?uuid=5ee77ba3-6809-4088-a2a3-b425019ebc0f"]}],"mendeley":{"formattedCitation":"(Vallentin-Holbech et al., 2019)","plainTextFormattedCitation":"(Vallentin-Holbech et al., 2019)","previouslyFormattedCitation":"(Vallentin-Holbech et al., 2019)"},"properties":{"noteIndex":0},"schema":"https://github.com/citation-style-language/schema/raw/master/csl-citation.json"}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(Vallentin-Holbech et al., 2019)</w:t>
      </w:r>
      <w:r w:rsidRPr="00B1522E">
        <w:rPr>
          <w:shd w:val="clear" w:color="auto" w:fill="FFFFFF"/>
        </w:rPr>
        <w:fldChar w:fldCharType="end"/>
      </w:r>
      <w:r w:rsidRPr="00B1522E">
        <w:rPr>
          <w:shd w:val="clear" w:color="auto" w:fill="FFFFFF"/>
        </w:rPr>
        <w:t xml:space="preserve">. The </w:t>
      </w:r>
      <w:r w:rsidRPr="00B1522E">
        <w:t>student focus groups (Chapter 5) identified that there were differences between the sexes in their beliefs about dietary behaviours and dietary-related normative perceptions</w:t>
      </w:r>
      <w:r w:rsidRPr="00B1522E">
        <w:rPr>
          <w:rFonts w:eastAsia="Calibri"/>
        </w:rPr>
        <w:t xml:space="preserve"> (Table</w:t>
      </w:r>
      <w:r w:rsidR="001D13EE" w:rsidRPr="00B1522E">
        <w:rPr>
          <w:rFonts w:eastAsia="Calibri"/>
        </w:rPr>
        <w:t xml:space="preserve"> </w:t>
      </w:r>
      <w:r w:rsidR="0004613C" w:rsidRPr="00B1522E">
        <w:rPr>
          <w:rFonts w:eastAsia="Calibri"/>
        </w:rPr>
        <w:t>6</w:t>
      </w:r>
      <w:r w:rsidRPr="00B1522E">
        <w:rPr>
          <w:rFonts w:eastAsia="Calibri"/>
        </w:rPr>
        <w:t xml:space="preserve">). </w:t>
      </w:r>
    </w:p>
    <w:p w14:paraId="17FF5F54" w14:textId="0822CD0A" w:rsidR="00347DE9" w:rsidRPr="00B1522E" w:rsidRDefault="00347DE9" w:rsidP="00347DE9">
      <w:pPr>
        <w:spacing w:line="480" w:lineRule="auto"/>
        <w:ind w:firstLine="720"/>
        <w:jc w:val="both"/>
        <w:rPr>
          <w:shd w:val="clear" w:color="auto" w:fill="FFFFFF"/>
        </w:rPr>
      </w:pPr>
      <w:r w:rsidRPr="00B1522E">
        <w:rPr>
          <w:shd w:val="clear" w:color="auto" w:fill="FFFFFF"/>
        </w:rPr>
        <w:t xml:space="preserve">Therefore, the baseline questionnaire </w:t>
      </w:r>
      <w:r w:rsidRPr="00B1522E">
        <w:t xml:space="preserve">items collected information about the frequency of personal and perceived </w:t>
      </w:r>
      <w:r w:rsidRPr="00B1522E">
        <w:rPr>
          <w:rFonts w:eastAsia="Calibri"/>
        </w:rPr>
        <w:t xml:space="preserve">same-sex peers’ (descriptive norm) </w:t>
      </w:r>
      <w:r w:rsidRPr="00B1522E">
        <w:t xml:space="preserve">unhealthy snacking consumption (for the five specific foodstuffs identified by the content analysis); these data were used to create the SNA feedback presented in the intervention. </w:t>
      </w:r>
      <w:r w:rsidRPr="00B1522E">
        <w:rPr>
          <w:rFonts w:eastAsia="Calibri"/>
        </w:rPr>
        <w:t>Each snack food had a corresponding description of a single serving (e.g., one small bag of crisps) based on a validated adolescent f</w:t>
      </w:r>
      <w:r w:rsidRPr="00B1522E">
        <w:t>ood frequency questionnaire</w:t>
      </w:r>
      <w:r w:rsidRPr="00B1522E">
        <w:rPr>
          <w:rFonts w:eastAsia="Calibri"/>
        </w:rPr>
        <w:t xml:space="preserve"> </w:t>
      </w:r>
      <w:r w:rsidRPr="00B1522E">
        <w:rPr>
          <w:rFonts w:eastAsia="Calibri"/>
        </w:rPr>
        <w:fldChar w:fldCharType="begin" w:fldLock="1"/>
      </w:r>
      <w:r w:rsidR="00DF6CCC" w:rsidRPr="00B1522E">
        <w:rPr>
          <w:rFonts w:eastAsia="Calibri"/>
        </w:rPr>
        <w:instrText>ADDIN CSL_CITATION {"citationItems":[{"id":"ITEM-1","itemData":{"ISSN":"0002-8223","author":[{"dropping-particle":"","family":"Rockett","given":"Helaine R H","non-dropping-particle":"","parse-names":false,"suffix":""},{"dropping-particle":"","family":"Wolf","given":"Anne M","non-dropping-particle":"","parse-names":false,"suffix":""},{"dropping-particle":"","family":"Colditz","given":"Graham A","non-dropping-particle":"","parse-names":false,"suffix":""}],"container-title":"Journal of the American Dietetic Association","id":"ITEM-1","issue":"3","issued":{"date-parts":[["1995"]]},"page":"336-340","publisher":"Elsevier","title":"Development and reproducibility of a food frequency questionnaire to assess diets of older children and adolescents","type":"article-journal","volume":"95"},"uris":["http://www.mendeley.com/documents/?uuid=637b0cef-3a6b-46dd-89e0-4d5eb68ec273"]}],"mendeley":{"formattedCitation":"(Rockett et al., 1995)","plainTextFormattedCitation":"(Rockett et al., 1995)","previouslyFormattedCitation":"(Rockett et al., 1995)"},"properties":{"noteIndex":0},"schema":"https://github.com/citation-style-language/schema/raw/master/csl-citation.json"}</w:instrText>
      </w:r>
      <w:r w:rsidRPr="00B1522E">
        <w:rPr>
          <w:rFonts w:eastAsia="Calibri"/>
        </w:rPr>
        <w:fldChar w:fldCharType="separate"/>
      </w:r>
      <w:r w:rsidR="004B7FAF" w:rsidRPr="00B1522E">
        <w:rPr>
          <w:rFonts w:eastAsia="Calibri"/>
          <w:noProof/>
        </w:rPr>
        <w:t>(Rockett et al., 1995)</w:t>
      </w:r>
      <w:r w:rsidRPr="00B1522E">
        <w:rPr>
          <w:rFonts w:eastAsia="Calibri"/>
        </w:rPr>
        <w:fldChar w:fldCharType="end"/>
      </w:r>
      <w:r w:rsidRPr="00B1522E">
        <w:rPr>
          <w:rFonts w:eastAsia="Calibri"/>
          <w:noProof/>
        </w:rPr>
        <w:t xml:space="preserve">. </w:t>
      </w:r>
      <w:r w:rsidRPr="00B1522E">
        <w:t>An example of questionnaire items collecting information about personal behaviour</w:t>
      </w:r>
      <w:r w:rsidRPr="00B1522E">
        <w:rPr>
          <w:rFonts w:cstheme="minorHAnsi"/>
        </w:rPr>
        <w:t>, is this:</w:t>
      </w:r>
      <w:r w:rsidRPr="00B1522E">
        <w:t xml:space="preserve"> ‘</w:t>
      </w:r>
      <w:r w:rsidRPr="00B1522E">
        <w:rPr>
          <w:rFonts w:eastAsia="Calibri"/>
          <w:i/>
          <w:iCs/>
        </w:rPr>
        <w:t xml:space="preserve">thinking back over the past week, how many servings of these foods did you eat?’ </w:t>
      </w:r>
      <w:r w:rsidRPr="00B1522E">
        <w:t xml:space="preserve">and about perceived behaviour of peers: </w:t>
      </w:r>
      <w:r w:rsidRPr="00B1522E">
        <w:rPr>
          <w:rFonts w:eastAsia="Calibri"/>
        </w:rPr>
        <w:t>‘</w:t>
      </w:r>
      <w:r w:rsidRPr="00B1522E">
        <w:rPr>
          <w:rFonts w:eastAsia="Calibri"/>
          <w:i/>
          <w:iCs/>
        </w:rPr>
        <w:t xml:space="preserve">how many servings of each of the following do you think most of the </w:t>
      </w:r>
      <w:r w:rsidRPr="00B1522E">
        <w:rPr>
          <w:rFonts w:eastAsia="Calibri"/>
        </w:rPr>
        <w:t>[boys/girls]</w:t>
      </w:r>
      <w:r w:rsidRPr="00B1522E">
        <w:rPr>
          <w:rFonts w:eastAsia="Calibri"/>
          <w:i/>
          <w:iCs/>
        </w:rPr>
        <w:t xml:space="preserve"> at </w:t>
      </w:r>
      <w:r w:rsidRPr="00B1522E">
        <w:rPr>
          <w:rFonts w:eastAsia="Calibri"/>
        </w:rPr>
        <w:t>[school name]</w:t>
      </w:r>
      <w:r w:rsidRPr="00B1522E">
        <w:rPr>
          <w:rFonts w:eastAsia="Calibri"/>
          <w:i/>
          <w:iCs/>
        </w:rPr>
        <w:t xml:space="preserve"> have eaten over the past week?’. </w:t>
      </w:r>
      <w:r w:rsidRPr="00B1522E">
        <w:rPr>
          <w:noProof/>
        </w:rPr>
        <w:t>The wording for questionnaire items was adapted from existing measures</w:t>
      </w:r>
      <w:r w:rsidRPr="00B1522E">
        <w:rPr>
          <w:rFonts w:eastAsia="Calibri"/>
        </w:rPr>
        <w:t xml:space="preserve"> </w:t>
      </w:r>
      <w:r w:rsidRPr="00B1522E">
        <w:rPr>
          <w:rFonts w:eastAsia="Calibri"/>
        </w:rPr>
        <w:fldChar w:fldCharType="begin" w:fldLock="1"/>
      </w:r>
      <w:r w:rsidR="00DF6CCC" w:rsidRPr="00B1522E">
        <w:rPr>
          <w:rFonts w:eastAsia="Calibr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adolescents.","type":"article-journal","volume":"57"},"uris":["http://www.mendeley.com/documents/?uuid=18a9583d-446e-4d40-8c46-37ad5a8b65e9"]},{"id":"ITEM-2","itemData":{"ISSN":"0306-4603","author":[{"dropping-particle":"","family":"Pischke","given":"Claudia R","non-dropping-particle":"","parse-names":false,"suffix":""},{"dropping-particle":"","family":"Helmer","given":"Stefanie M","non-dropping-particle":"","parse-names":false,"suffix":""},{"dropping-particle":"","family":"McAlaney","given":"John","non-dropping-particle":"","parse-names":false,"suffix":""},{"dropping-particle":"","family":"Bewick","given":"Bridgette M","non-dropping-particle":"","parse-names":false,"suffix":""},{"dropping-particle":"","family":"Vriesacker","given":"Bart","non-dropping-particle":"","parse-names":false,"suffix":""},{"dropping-particle":"","family":"Hal","given":"Guido","non-dropping-particle":"Van","parse-names":false,"suffix":""},{"dropping-particle":"","family":"Mikolajczyk","given":"Rafael T","non-dropping-particle":"","parse-names":false,"suffix":""},{"dropping-particle":"","family":"Akvardar","given":"Yildiz","non-dropping-particle":"","parse-names":false,"suffix":""},{"dropping-particle":"","family":"Guillen-Grima","given":"Francisco","non-dropping-particle":"","parse-names":false,"suffix":""},{"dropping-particle":"","family":"Salonna","given":"Ferdinand","non-dropping-particle":"","parse-names":false,"suffix":""},{"dropping-particle":"","family":"Orosova","given":"Olga","non-dropping-particle":"","parse-names":false,"suffix":""},{"dropping-particle":"","family":"Dohrmann","given":"Solveig","non-dropping-particle":"","parse-names":false,"suffix":""},{"dropping-particle":"","family":"Dempsey","given":"Robert C","non-dropping-particle":"","parse-names":false,"suffix":""},{"dropping-particle":"","family":"Zeeb","given":"Hajo","non-dropping-particle":"","parse-names":false,"suffix":""}],"container-title":"Addictive Behaviors","id":"ITEM-2","issued":{"date-parts":[["2015"]]},"page":"158-164","publisher":"Elsevier","title":"Normative misperceptions of tobacco use among university students in seven European countries: Baseline findings of the ‘Social Norms Intervention for the prevention of Polydrug usE’study","type":"article-journal","volume":"51"},"uris":["http://www.mendeley.com/documents/?uuid=ddeb51c9-244c-4908-b795-34633f0d893d"]},{"id":"ITEM-3","itemData":{"author":[{"dropping-particle":"","family":"Sheridan","given":"Sabrina","non-dropping-particle":"","parse-names":false,"suffix":""}],"id":"ITEM-3","issued":{"date-parts":[["2014"]]},"publisher":"Dublin Business School","title":"Unhealthy Snacking: An exploration of the theory of planned behaviour, impulsivity, reward sensitivity and BMI.","type":"thesis"},"uris":["http://www.mendeley.com/documents/?uuid=896c3e04-ccfb-4e99-b3a7-223721a8f144"]},{"id":"ITEM-4","itemData":{"ISSN":"0002-8223","author":[{"dropping-particle":"","family":"Rockett","given":"Helaine R H","non-dropping-particle":"","parse-names":false,"suffix":""},{"dropping-particle":"","family":"Wolf","given":"Anne M","non-dropping-particle":"","parse-names":false,"suffix":""},{"dropping-particle":"","family":"Colditz","given":"Graham A","non-dropping-particle":"","parse-names":false,"suffix":""}],"container-title":"Journal of the American Dietetic Association","id":"ITEM-4","issue":"3","issued":{"date-parts":[["1995"]]},"page":"336-340","publisher":"Elsevier","title":"Development and reproducibility of a food frequency questionnaire to assess diets of older children and adolescents","type":"article-journal","volume":"95"},"uris":["http://www.mendeley.com/documents/?uuid=637b0cef-3a6b-46dd-89e0-4d5eb68ec273"]},{"id":"ITEM-5","itemData":{"ISSN":"0046-2772","abstract":"Abstract Implementation intentions have been shown to effectively change counter-intentional habits. Research has, however, almost solely been concerned with the effectiveness of a single plan. In the present research, we investigated the behavioral and cognitive implications of making multiple implementation intentions targeting unhealthy snacking habits and its underlying processes, linking multiple habitual snacking cues to healthy alternatives. Study 1 revealed that formulating multiple implementation intentions was not effective in decreasing unhealthy snacking, whereas formulating a single plan successfully induced behavior change. By using a lexical decision task in Study 2, it was found that when making a single plan, but not multiple plans, the healthy alternative became cognitively more accessible in response to a critical cue prime than the habitual response. However, when making additional plans in an unrelated domain, the negative effects of making multiple plans were absent. In sum, the current findings suggest that formulating multiple implementation intentions is ineffective when changing unwanted behavior. These reduced effects of multiple implementation intentions do not occur when making the plan but are rather due to interference in the enacting phase of the planning process. Copyright ? 2013 John Wiley &amp; Sons, Ltd.","author":[{"dropping-particle":"","family":"Verhoeven","given":"Aukje A C","non-dropping-particle":"","parse-names":false,"suffix":""},{"dropping-particle":"","family":"Adriaanse","given":"Marieke A","non-dropping-particle":"","parse-names":false,"suffix":""},{"dropping-particle":"","family":"Ridder","given":"Denise T D","non-dropping-particle":"de","parse-names":false,"suffix":""},{"dropping-particle":"","family":"Vet","given":"Emely","non-dropping-particle":"de","parse-names":false,"suffix":""},{"dropping-particle":"","family":"Fennis","given":"Bob M","non-dropping-particle":"","parse-names":false,"suffix":""}],"container-title":"European Journal of Social Psychology","id":"ITEM-5","issue":"5","issued":{"date-parts":[["2013","8","1"]]},"note":"doi: 10.1002/ejsp.1963","page":"344-354","publisher":"John Wiley &amp; Sons, Ltd","title":"Less is more: The effect of multiple implementation intentions targeting unhealthy snacking habits","type":"article-journal","volume":"43"},"uris":["http://www.mendeley.com/documents/?uuid=801181b9-e60e-4348-b476-679dd8592cf2"]}],"mendeley":{"formattedCitation":"(P Lally et al., 2011; Pischke et al., 2015; Rockett et al., 1995; Sheridan, 2014; Verhoeven et al., 2013)","manualFormatting":"(Lally et al., 2011; Pischke et al., 2015; Rockett et al., 1995; Sheridan, 2014; Verhoeven et al., 2013; ","plainTextFormattedCitation":"(P Lally et al., 2011; Pischke et al., 2015; Rockett et al., 1995; Sheridan, 2014; Verhoeven et al., 2013)","previouslyFormattedCitation":"(P Lally et al., 2011; Pischke et al., 2015; Rockett et al., 1995; Sheridan, 2014; Verhoeven et al., 2013)"},"properties":{"noteIndex":0},"schema":"https://github.com/citation-style-language/schema/raw/master/csl-citation.json"}</w:instrText>
      </w:r>
      <w:r w:rsidRPr="00B1522E">
        <w:rPr>
          <w:rFonts w:eastAsia="Calibri"/>
        </w:rPr>
        <w:fldChar w:fldCharType="separate"/>
      </w:r>
      <w:r w:rsidRPr="00B1522E">
        <w:rPr>
          <w:rFonts w:eastAsia="Calibri"/>
          <w:noProof/>
        </w:rPr>
        <w:t xml:space="preserve">(Lally et al., 2011; Pischke et al., 2015; Rockett et al., 1995; Sheridan, 2014; Verhoeven et al., 2013; </w:t>
      </w:r>
      <w:r w:rsidRPr="00B1522E">
        <w:rPr>
          <w:rFonts w:eastAsia="Calibri"/>
        </w:rPr>
        <w:fldChar w:fldCharType="end"/>
      </w:r>
      <w:r w:rsidRPr="00B1522E">
        <w:t xml:space="preserve">please refer to Chapter 7 for the full details all the questionnaire items). </w:t>
      </w:r>
      <w:r w:rsidRPr="00B1522E">
        <w:rPr>
          <w:rFonts w:eastAsia="Calibri"/>
        </w:rPr>
        <w:t xml:space="preserve">To ensure that the questionnaire items were </w:t>
      </w:r>
      <w:r w:rsidRPr="00B1522E">
        <w:t xml:space="preserve">age-appropriate and unambiguous, </w:t>
      </w:r>
      <w:r w:rsidRPr="00B1522E">
        <w:rPr>
          <w:rFonts w:eastAsia="Calibri"/>
        </w:rPr>
        <w:t>f</w:t>
      </w:r>
      <w:r w:rsidRPr="00B1522E">
        <w:t>eedback about the questionnaire items was sought from both the teachers and the student advisory group p</w:t>
      </w:r>
      <w:r w:rsidRPr="00B1522E">
        <w:rPr>
          <w:rFonts w:eastAsia="Calibri"/>
        </w:rPr>
        <w:t>rior to commencing baseline data collection</w:t>
      </w:r>
      <w:r w:rsidRPr="00B1522E">
        <w:t xml:space="preserve">. </w:t>
      </w:r>
    </w:p>
    <w:p w14:paraId="3AF8D742" w14:textId="3A0BBA7B" w:rsidR="00347DE9" w:rsidRPr="00B1522E" w:rsidRDefault="00347DE9" w:rsidP="00347DE9">
      <w:pPr>
        <w:spacing w:line="480" w:lineRule="auto"/>
        <w:ind w:firstLine="720"/>
        <w:jc w:val="both"/>
      </w:pPr>
      <w:r w:rsidRPr="00B1522E">
        <w:t xml:space="preserve">To understand the discrepancy between actual and perceived unhealthy snacking behaviour of students, students’ reported personal frequency of unhealthy snacks consumption was compared to the perceived frequency of </w:t>
      </w:r>
      <w:r w:rsidRPr="00B1522E">
        <w:rPr>
          <w:rFonts w:eastAsia="Calibri"/>
          <w:noProof/>
        </w:rPr>
        <w:t xml:space="preserve">same-sex </w:t>
      </w:r>
      <w:r w:rsidRPr="00B1522E">
        <w:t xml:space="preserve">peers’ unhealthy snack consumption. The SNA messages communicated in the intervention were phrased to demonstrate the most-pronounced discrepancies between the perceived and actual snacking norm for boys and for girls respectively. The wording used for the feedback messages was recommended by </w:t>
      </w:r>
      <w:r w:rsidRPr="00B1522E">
        <w:fldChar w:fldCharType="begin" w:fldLock="1"/>
      </w:r>
      <w:r w:rsidR="004A684E" w:rsidRPr="00B1522E">
        <w:instrText>ADDIN CSL_CITATION {"citationItems":[{"id":"ITEM-1","itemData":{"ISBN":"078796459X","author":[{"dropping-particle":"","family":"Perkins","given":"H. W","non-dropping-particle":"","parse-names":false,"suffix":""}],"id":"ITEM-1","issued":{"date-parts":[["2003"]]},"publisher":"John Wiley &amp; Sons","title":"The social norms approach to preventing school and college age substance abuse: A handbook for educators, counselors, and clinicians","type":"book"},"uris":["http://www.mendeley.com/documents/?uuid=8b88ec0c-34aa-4e5a-a06b-ab78a7f060a7"]}],"mendeley":{"formattedCitation":"(H. W Perkins, 2003b)","manualFormatting":"Perkins (2003)","plainTextFormattedCitation":"(H. W Perkins, 2003b)","previouslyFormattedCitation":"(H. W Perkins, 2003b)"},"properties":{"noteIndex":0},"schema":"https://github.com/citation-style-language/schema/raw/master/csl-citation.json"}</w:instrText>
      </w:r>
      <w:r w:rsidRPr="00B1522E">
        <w:fldChar w:fldCharType="separate"/>
      </w:r>
      <w:r w:rsidRPr="00B1522E">
        <w:rPr>
          <w:noProof/>
        </w:rPr>
        <w:t>Perkins (2003)</w:t>
      </w:r>
      <w:r w:rsidRPr="00B1522E">
        <w:fldChar w:fldCharType="end"/>
      </w:r>
      <w:r w:rsidRPr="00B1522E">
        <w:t xml:space="preserve"> and has been adapted for use in other SNA intervention studies </w:t>
      </w:r>
      <w:r w:rsidRPr="00B1522E">
        <w:fldChar w:fldCharType="begin" w:fldLock="1"/>
      </w:r>
      <w:r w:rsidRPr="00B1522E">
        <w:instrText>ADDIN CSL_CITATION {"citationItems":[{"id":"ITEM-1","itemData":{"ISSN":"2211-3355","abstract":"The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reports","id":"ITEM-1","issued":{"date-parts":[["2018","10","28"]]},"language":"eng","page":"304-311","publisher":"Elsevier","title":"Effects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-2","itemData":{"ISSN":"1368-4302","author":[{"dropping-particle":"","family":"Neighbors","given":"Clayton","non-dropping-particle":"","parse-names":false,"suffix":""},{"dropping-particle":"","family":"Jensen","given":"Megan","non-dropping-particle":"","parse-names":false,"suffix":""},{"dropping-particle":"","family":"Tidwell","given":"Judy","non-dropping-particle":"","parse-names":false,"suffix":""},{"dropping-particle":"","family":"Walter","given":"Theresa","non-dropping-particle":"","parse-names":false,"suffix":""},{"dropping-particle":"","family":"Fossos","given":"Nicole","non-dropping-particle":"","parse-names":false,"suffix":""},{"dropping-particle":"","family":"Lewis","given":"Melissa A","non-dropping-particle":"","parse-names":false,"suffix":""}],"container-title":"Group Processes &amp; Intergroup Relations","id":"ITEM-2","issue":"5","issued":{"date-parts":[["2011"]]},"page":"651-669","publisher":"Sage Publications Sage UK: London, England","title":"Social-norms interventions for light and nondrinking students","type":"article-journal","volume":"14"},"uris":["http://www.mendeley.com/documents/?uuid=a3c78c1c-7b7f-49b8-abde-ee58a91d07df"]}],"mendeley":{"formattedCitation":"(Neighbors et al., 2011; Vallentin-Holbech et al., 2018)","plainTextFormattedCitation":"(Neighbors et al., 2011; Vallentin-Holbech et al., 2018)","previouslyFormattedCitation":"(Neighbors et al., 2011; Vallentin-Holbech et al., 2018)"},"properties":{"noteIndex":0},"schema":"https://github.com/citation-style-language/schema/raw/master/csl-citation.json"}</w:instrText>
      </w:r>
      <w:r w:rsidRPr="00B1522E">
        <w:fldChar w:fldCharType="separate"/>
      </w:r>
      <w:r w:rsidRPr="00B1522E">
        <w:rPr>
          <w:noProof/>
        </w:rPr>
        <w:t>(Neighbors et al., 2011; Vallentin-Holbech et al., 2018)</w:t>
      </w:r>
      <w:r w:rsidRPr="00B1522E">
        <w:fldChar w:fldCharType="end"/>
      </w:r>
      <w:r w:rsidRPr="00B1522E">
        <w:t xml:space="preserve">. The student advisory group reviewed the SNA feedback prior to the poster activity to help ensure the feedback was easy to </w:t>
      </w:r>
      <w:r w:rsidRPr="00B1522E">
        <w:lastRenderedPageBreak/>
        <w:t xml:space="preserve">read and understand. The student advisory group made recommendations to improve the SNA feedback, namely: (i) the school’s name should be abbreviated to make the sentence shorter; (ii) bold type should be used for important information, e.g., percentage figures; (iii) use brighter colours to make messages more eye-catching; (iv) remove unnecessary information; and (v) only use three messages per sex so student </w:t>
      </w:r>
      <w:r w:rsidRPr="00B1522E">
        <w:rPr>
          <w:rFonts w:cstheme="minorHAnsi"/>
        </w:rPr>
        <w:t>are not given too much information</w:t>
      </w:r>
      <w:r w:rsidRPr="00B1522E">
        <w:t xml:space="preserve">. An example of the SNA feedback message used in the final intervention is: </w:t>
      </w:r>
      <w:r w:rsidRPr="00B1522E">
        <w:rPr>
          <w:i/>
          <w:iCs/>
        </w:rPr>
        <w:t>“Did you know</w:t>
      </w:r>
      <w:r w:rsidRPr="00B1522E">
        <w:rPr>
          <w:b/>
          <w:bCs/>
          <w:i/>
          <w:iCs/>
        </w:rPr>
        <w:t xml:space="preserve"> </w:t>
      </w:r>
      <w:r w:rsidRPr="00B1522E">
        <w:rPr>
          <w:rFonts w:eastAsia="Calibri"/>
          <w:b/>
          <w:bCs/>
          <w:i/>
          <w:iCs/>
          <w:u w:val="double"/>
        </w:rPr>
        <w:t xml:space="preserve">58% </w:t>
      </w:r>
      <w:r w:rsidRPr="00B1522E">
        <w:rPr>
          <w:rFonts w:eastAsia="Calibri"/>
          <w:b/>
          <w:bCs/>
          <w:i/>
          <w:iCs/>
        </w:rPr>
        <w:t>of girls</w:t>
      </w:r>
      <w:r w:rsidRPr="00B1522E">
        <w:rPr>
          <w:b/>
          <w:bCs/>
          <w:i/>
          <w:iCs/>
        </w:rPr>
        <w:t xml:space="preserve"> </w:t>
      </w:r>
      <w:r w:rsidRPr="00B1522E">
        <w:rPr>
          <w:i/>
          <w:iCs/>
        </w:rPr>
        <w:t>think most other girls at</w:t>
      </w:r>
      <w:r w:rsidRPr="00B1522E">
        <w:rPr>
          <w:rFonts w:eastAsia="Calibri"/>
          <w:i/>
          <w:iCs/>
        </w:rPr>
        <w:t xml:space="preserve"> </w:t>
      </w:r>
      <w:r w:rsidRPr="00B1522E">
        <w:rPr>
          <w:rFonts w:eastAsia="Calibri"/>
        </w:rPr>
        <w:t>[name of school]</w:t>
      </w:r>
      <w:r w:rsidRPr="00B1522E">
        <w:rPr>
          <w:rFonts w:eastAsia="Calibri"/>
          <w:i/>
          <w:iCs/>
        </w:rPr>
        <w:t xml:space="preserve"> </w:t>
      </w:r>
      <w:r w:rsidRPr="00B1522E">
        <w:rPr>
          <w:i/>
          <w:iCs/>
        </w:rPr>
        <w:t xml:space="preserve">eat biscuits </w:t>
      </w:r>
      <w:r w:rsidRPr="00B1522E">
        <w:rPr>
          <w:b/>
          <w:bCs/>
          <w:i/>
          <w:iCs/>
          <w:u w:val="double"/>
        </w:rPr>
        <w:t>4+</w:t>
      </w:r>
      <w:r w:rsidRPr="00B1522E">
        <w:rPr>
          <w:i/>
          <w:iCs/>
          <w:u w:val="double"/>
        </w:rPr>
        <w:t xml:space="preserve"> </w:t>
      </w:r>
      <w:r w:rsidRPr="00B1522E">
        <w:rPr>
          <w:b/>
          <w:bCs/>
          <w:i/>
          <w:iCs/>
          <w:u w:val="double"/>
        </w:rPr>
        <w:t>times in a week?</w:t>
      </w:r>
      <w:r w:rsidRPr="00B1522E">
        <w:rPr>
          <w:b/>
          <w:bCs/>
          <w:u w:val="double"/>
        </w:rPr>
        <w:t xml:space="preserve">”; </w:t>
      </w:r>
      <w:r w:rsidRPr="00B1522E">
        <w:rPr>
          <w:rFonts w:eastAsia="Calibri"/>
        </w:rPr>
        <w:t>actual reported group norm, “</w:t>
      </w:r>
      <w:r w:rsidRPr="00B1522E">
        <w:rPr>
          <w:i/>
          <w:iCs/>
        </w:rPr>
        <w:t>Fact,</w:t>
      </w:r>
      <w:r w:rsidRPr="00B1522E">
        <w:rPr>
          <w:i/>
          <w:iCs/>
          <w:u w:val="single"/>
        </w:rPr>
        <w:t xml:space="preserve"> </w:t>
      </w:r>
      <w:r w:rsidRPr="00B1522E">
        <w:rPr>
          <w:b/>
          <w:bCs/>
          <w:i/>
          <w:iCs/>
          <w:u w:val="double"/>
        </w:rPr>
        <w:t xml:space="preserve">69% </w:t>
      </w:r>
      <w:r w:rsidRPr="00B1522E">
        <w:rPr>
          <w:b/>
          <w:bCs/>
          <w:i/>
          <w:iCs/>
        </w:rPr>
        <w:t>of girls</w:t>
      </w:r>
      <w:r w:rsidRPr="00B1522E">
        <w:rPr>
          <w:i/>
          <w:iCs/>
        </w:rPr>
        <w:t xml:space="preserve"> at</w:t>
      </w:r>
      <w:r w:rsidRPr="00B1522E">
        <w:t xml:space="preserve"> </w:t>
      </w:r>
      <w:r w:rsidRPr="00B1522E">
        <w:rPr>
          <w:rFonts w:eastAsia="Calibri"/>
        </w:rPr>
        <w:t>[name of school]</w:t>
      </w:r>
      <w:r w:rsidRPr="00B1522E">
        <w:rPr>
          <w:rFonts w:eastAsia="Calibri"/>
          <w:i/>
          <w:iCs/>
        </w:rPr>
        <w:t xml:space="preserve"> </w:t>
      </w:r>
      <w:r w:rsidRPr="00B1522E">
        <w:rPr>
          <w:i/>
          <w:iCs/>
        </w:rPr>
        <w:t>eat biscuits</w:t>
      </w:r>
      <w:r w:rsidRPr="00B1522E">
        <w:rPr>
          <w:i/>
          <w:iCs/>
          <w:u w:val="double"/>
        </w:rPr>
        <w:t xml:space="preserve"> </w:t>
      </w:r>
      <w:r w:rsidRPr="00B1522E">
        <w:rPr>
          <w:b/>
          <w:bCs/>
          <w:i/>
          <w:iCs/>
          <w:u w:val="double"/>
        </w:rPr>
        <w:t>less than 3 times in a week”</w:t>
      </w:r>
      <w:r w:rsidRPr="00B1522E">
        <w:rPr>
          <w:i/>
          <w:iCs/>
          <w:u w:val="double"/>
        </w:rPr>
        <w:t xml:space="preserve"> </w:t>
      </w:r>
      <w:r w:rsidRPr="00B1522E">
        <w:t xml:space="preserve">(Appendix </w:t>
      </w:r>
      <w:r w:rsidR="00303EC7" w:rsidRPr="00B1522E">
        <w:t>2</w:t>
      </w:r>
      <w:r w:rsidR="00E23AEB" w:rsidRPr="00B1522E">
        <w:t>7</w:t>
      </w:r>
      <w:r w:rsidRPr="00B1522E">
        <w:t>).</w:t>
      </w:r>
      <w:r w:rsidRPr="00B1522E">
        <w:rPr>
          <w:i/>
          <w:iCs/>
        </w:rPr>
        <w:t xml:space="preserve"> </w:t>
      </w:r>
      <w:r w:rsidRPr="00B1522E">
        <w:t xml:space="preserve">As recommended by the student advisory group, percentages were also communicated using pictorial representations (using silhouettes of stick people shaded in, which </w:t>
      </w:r>
      <w:r w:rsidRPr="00B1522E">
        <w:rPr>
          <w:shd w:val="clear" w:color="auto" w:fill="FFFFFF"/>
        </w:rPr>
        <w:t>correspond to the percentage being communicated</w:t>
      </w:r>
      <w:r w:rsidRPr="00B1522E">
        <w:t xml:space="preserve">) to aid in students’ understanding (Figure </w:t>
      </w:r>
      <w:r w:rsidR="00516801" w:rsidRPr="00B1522E">
        <w:t>3</w:t>
      </w:r>
      <w:r w:rsidRPr="00B1522E">
        <w:t xml:space="preserve">). </w:t>
      </w:r>
    </w:p>
    <w:p w14:paraId="7766CC39" w14:textId="77777777" w:rsidR="00347DE9" w:rsidRPr="00B1522E" w:rsidRDefault="00347DE9" w:rsidP="00347DE9">
      <w:pPr>
        <w:keepNext/>
        <w:spacing w:line="480" w:lineRule="auto"/>
        <w:ind w:firstLine="720"/>
        <w:jc w:val="both"/>
      </w:pPr>
      <w:r w:rsidRPr="00B1522E">
        <w:rPr>
          <w:noProof/>
          <w:lang w:eastAsia="en-GB"/>
        </w:rPr>
        <w:drawing>
          <wp:inline distT="0" distB="0" distL="0" distR="0" wp14:anchorId="4E2B461C" wp14:editId="6D2D78CF">
            <wp:extent cx="4393565" cy="1614488"/>
            <wp:effectExtent l="0" t="0" r="6985" b="5080"/>
            <wp:docPr id="19776" name="Picture 197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34">
                      <a:extLst>
                        <a:ext uri="{28A0092B-C50C-407E-A947-70E740481C1C}">
                          <a14:useLocalDpi xmlns:a14="http://schemas.microsoft.com/office/drawing/2010/main" val="0"/>
                        </a:ext>
                      </a:extLst>
                    </a:blip>
                    <a:srcRect t="5258" b="9965"/>
                    <a:stretch/>
                  </pic:blipFill>
                  <pic:spPr bwMode="auto">
                    <a:xfrm>
                      <a:off x="0" y="0"/>
                      <a:ext cx="4397121" cy="1615795"/>
                    </a:xfrm>
                    <a:prstGeom prst="rect">
                      <a:avLst/>
                    </a:prstGeom>
                    <a:ln>
                      <a:noFill/>
                    </a:ln>
                    <a:extLst>
                      <a:ext uri="{53640926-AAD7-44D8-BBD7-CCE9431645EC}">
                        <a14:shadowObscured xmlns:a14="http://schemas.microsoft.com/office/drawing/2010/main"/>
                      </a:ext>
                    </a:extLst>
                  </pic:spPr>
                </pic:pic>
              </a:graphicData>
            </a:graphic>
          </wp:inline>
        </w:drawing>
      </w:r>
    </w:p>
    <w:p w14:paraId="3DB5B153" w14:textId="4DA6D31A" w:rsidR="00347DE9" w:rsidRPr="00B1522E" w:rsidRDefault="00BF31E1" w:rsidP="00347DE9">
      <w:pPr>
        <w:pStyle w:val="Caption"/>
        <w:jc w:val="both"/>
        <w:rPr>
          <w:i w:val="0"/>
          <w:iCs w:val="0"/>
          <w:color w:val="auto"/>
          <w:sz w:val="22"/>
          <w:szCs w:val="22"/>
        </w:rPr>
      </w:pPr>
      <w:r w:rsidRPr="00B1522E">
        <w:rPr>
          <w:b/>
          <w:bCs/>
          <w:i w:val="0"/>
          <w:iCs w:val="0"/>
          <w:color w:val="auto"/>
          <w:sz w:val="22"/>
          <w:szCs w:val="22"/>
        </w:rPr>
        <w:fldChar w:fldCharType="begin"/>
      </w:r>
      <w:r w:rsidRPr="00B1522E">
        <w:rPr>
          <w:b/>
          <w:bCs/>
          <w:color w:val="auto"/>
          <w:sz w:val="22"/>
          <w:szCs w:val="22"/>
        </w:rPr>
        <w:instrText xml:space="preserve"> TC  "</w:instrText>
      </w:r>
      <w:r w:rsidRPr="00B1522E">
        <w:rPr>
          <w:color w:val="auto"/>
          <w:sz w:val="22"/>
          <w:szCs w:val="22"/>
        </w:rPr>
        <w:instrText xml:space="preserve"> </w:instrText>
      </w:r>
      <w:bookmarkStart w:id="171" w:name="_Toc97557150"/>
      <w:r w:rsidRPr="00B1522E">
        <w:rPr>
          <w:i w:val="0"/>
          <w:iCs w:val="0"/>
          <w:color w:val="auto"/>
          <w:sz w:val="22"/>
          <w:szCs w:val="22"/>
        </w:rPr>
        <w:instrText xml:space="preserve">Figure </w:instrText>
      </w:r>
      <w:r w:rsidR="00846EB9" w:rsidRPr="00B1522E">
        <w:rPr>
          <w:i w:val="0"/>
          <w:iCs w:val="0"/>
          <w:color w:val="auto"/>
          <w:sz w:val="22"/>
          <w:szCs w:val="22"/>
        </w:rPr>
        <w:instrText>3</w:instrText>
      </w:r>
      <w:r w:rsidRPr="00B1522E">
        <w:rPr>
          <w:i w:val="0"/>
          <w:iCs w:val="0"/>
          <w:color w:val="auto"/>
          <w:sz w:val="22"/>
          <w:szCs w:val="22"/>
        </w:rPr>
        <w:instrText>. An example of a SNA feedback message with corresponding pictorial representation of the percentage</w:instrText>
      </w:r>
      <w:r w:rsidRPr="00B1522E">
        <w:rPr>
          <w:color w:val="auto"/>
          <w:sz w:val="22"/>
          <w:szCs w:val="22"/>
        </w:rPr>
        <w:instrText>.</w:instrText>
      </w:r>
      <w:bookmarkEnd w:id="171"/>
      <w:r w:rsidRPr="00B1522E">
        <w:rPr>
          <w:rFonts w:cstheme="minorHAnsi"/>
          <w:color w:val="auto"/>
          <w:sz w:val="22"/>
          <w:szCs w:val="22"/>
        </w:rPr>
        <w:instrText>”</w:instrText>
      </w:r>
      <w:r w:rsidRPr="00B1522E">
        <w:rPr>
          <w:b/>
          <w:bCs/>
          <w:color w:val="auto"/>
          <w:sz w:val="22"/>
          <w:szCs w:val="22"/>
        </w:rPr>
        <w:instrText xml:space="preserve">\f w\l 2 </w:instrText>
      </w:r>
      <w:r w:rsidRPr="00B1522E">
        <w:rPr>
          <w:b/>
          <w:bCs/>
          <w:i w:val="0"/>
          <w:iCs w:val="0"/>
          <w:color w:val="auto"/>
          <w:sz w:val="22"/>
          <w:szCs w:val="22"/>
        </w:rPr>
        <w:fldChar w:fldCharType="end"/>
      </w:r>
      <w:r w:rsidR="00347DE9" w:rsidRPr="00B1522E">
        <w:rPr>
          <w:i w:val="0"/>
          <w:iCs w:val="0"/>
          <w:color w:val="auto"/>
          <w:sz w:val="22"/>
          <w:szCs w:val="22"/>
        </w:rPr>
        <w:t xml:space="preserve">Figure </w:t>
      </w:r>
      <w:r w:rsidR="00846EB9" w:rsidRPr="00B1522E">
        <w:rPr>
          <w:i w:val="0"/>
          <w:iCs w:val="0"/>
          <w:color w:val="auto"/>
          <w:sz w:val="22"/>
          <w:szCs w:val="22"/>
        </w:rPr>
        <w:t>3.</w:t>
      </w:r>
      <w:r w:rsidR="00347DE9" w:rsidRPr="00B1522E">
        <w:rPr>
          <w:i w:val="0"/>
          <w:iCs w:val="0"/>
          <w:color w:val="auto"/>
          <w:sz w:val="22"/>
          <w:szCs w:val="22"/>
        </w:rPr>
        <w:t xml:space="preserve"> An example of a SNA feedback message with corresponding pictorial representation of the percentage.</w:t>
      </w:r>
    </w:p>
    <w:p w14:paraId="7E60987D" w14:textId="77777777" w:rsidR="00347DE9" w:rsidRPr="00B1522E" w:rsidRDefault="00347DE9" w:rsidP="00347DE9">
      <w:pPr>
        <w:spacing w:line="480" w:lineRule="auto"/>
        <w:jc w:val="both"/>
      </w:pPr>
    </w:p>
    <w:p w14:paraId="5AC6DD5C" w14:textId="21048FC5" w:rsidR="00347DE9" w:rsidRPr="00B1522E" w:rsidRDefault="002B53BA" w:rsidP="00347DE9">
      <w:pPr>
        <w:spacing w:line="480" w:lineRule="auto"/>
        <w:rPr>
          <w:strike/>
        </w:rPr>
      </w:pPr>
      <w:r w:rsidRPr="00B1522E">
        <w:fldChar w:fldCharType="begin"/>
      </w:r>
      <w:r w:rsidRPr="00B1522E">
        <w:instrText xml:space="preserve"> TC  "</w:instrText>
      </w:r>
      <w:bookmarkStart w:id="172" w:name="_Toc97310478"/>
      <w:r w:rsidRPr="00B1522E">
        <w:instrText>6.4.4 Communicating the SNA feedback</w:instrText>
      </w:r>
      <w:bookmarkEnd w:id="172"/>
      <w:r w:rsidRPr="00B1522E">
        <w:instrText xml:space="preserve"> " \f x\l 3 </w:instrText>
      </w:r>
      <w:r w:rsidRPr="00B1522E">
        <w:fldChar w:fldCharType="end"/>
      </w:r>
      <w:r w:rsidR="00347DE9" w:rsidRPr="00B1522E">
        <w:t xml:space="preserve">6.4.4 Communicating the SNA feedback </w:t>
      </w:r>
    </w:p>
    <w:p w14:paraId="1A26E645" w14:textId="77777777" w:rsidR="00347DE9" w:rsidRPr="00B1522E" w:rsidRDefault="00347DE9" w:rsidP="00347DE9">
      <w:pPr>
        <w:spacing w:line="480" w:lineRule="auto"/>
        <w:jc w:val="both"/>
        <w:rPr>
          <w:rFonts w:cstheme="minorHAnsi"/>
        </w:rPr>
      </w:pPr>
      <w:r w:rsidRPr="00B1522E">
        <w:rPr>
          <w:rFonts w:cstheme="minorHAnsi"/>
        </w:rPr>
        <w:t xml:space="preserve">The unhealthy snacking SNA feedback was communicated to students using a practical poster-making activity which included a prize-based competition. This section will provide specific details about the poster-making session and prize-based competition. </w:t>
      </w:r>
    </w:p>
    <w:p w14:paraId="615CA25B" w14:textId="77777777" w:rsidR="00347DE9" w:rsidRPr="00B1522E" w:rsidRDefault="00347DE9" w:rsidP="00347DE9">
      <w:pPr>
        <w:spacing w:line="480" w:lineRule="auto"/>
        <w:jc w:val="both"/>
        <w:rPr>
          <w:rFonts w:cstheme="minorHAnsi"/>
        </w:rPr>
      </w:pPr>
    </w:p>
    <w:p w14:paraId="39CD6D3A" w14:textId="37829D31" w:rsidR="00347DE9" w:rsidRPr="00B1522E" w:rsidRDefault="004F0A92" w:rsidP="00347DE9">
      <w:pPr>
        <w:spacing w:line="480" w:lineRule="auto"/>
      </w:pPr>
      <w:r w:rsidRPr="00B1522E">
        <w:lastRenderedPageBreak/>
        <w:t xml:space="preserve">6.4.4.1 </w:t>
      </w:r>
      <w:r w:rsidR="00347DE9" w:rsidRPr="00B1522E">
        <w:t xml:space="preserve">In-school poster-making session </w:t>
      </w:r>
    </w:p>
    <w:p w14:paraId="10E1F9CA" w14:textId="34BC9B46" w:rsidR="004F0A92" w:rsidRPr="00B1522E" w:rsidRDefault="00347DE9" w:rsidP="008F3548">
      <w:pPr>
        <w:spacing w:line="480" w:lineRule="auto"/>
        <w:jc w:val="both"/>
      </w:pPr>
      <w:r w:rsidRPr="00B1522E">
        <w:t xml:space="preserve">The one hour long poster-making session was delivered during a timetabled lesson, and was led by a teacher following a detailed lesson plan provided by the researcher (Appendix </w:t>
      </w:r>
      <w:r w:rsidR="00303EC7" w:rsidRPr="00B1522E">
        <w:t>2</w:t>
      </w:r>
      <w:r w:rsidR="00F00298" w:rsidRPr="00B1522E">
        <w:t>5</w:t>
      </w:r>
      <w:r w:rsidRPr="00B1522E">
        <w:t xml:space="preserve">). The lesson plan for the poster-making session provided detailed instructions for teachers to be used as a step-by-step guide for the session to help ensure intervention fidelity was maintained. There were approximately 25 students in each poster-making session (with seven poster-making sessions across a week). To help students engage with the SNA feedback, each session tasked small groups of 4-5 students asked to design and create a poster which included the SNA unhealthy snacking feedback messages (based on students’ own baseline data). The use of an interactive poster-making session was a recommendation made by the advisory group to help ensure students had attended to and engaged with the SNA feedback. The SNA messages to be included on the poster were phrased to demonstrate the three most-pronounced discrepancies between the perceived and actual snacking norm for boys and for girls. At the end of the poster-making session students were asked in their small groups to briefly present their posters to the rest of the groups (a recommendation made by the advisory group to help ensure that students had read and engaged with the SNA feedback) considering the following questions: </w:t>
      </w:r>
      <w:r w:rsidRPr="00B1522E">
        <w:rPr>
          <w:i/>
          <w:iCs/>
        </w:rPr>
        <w:t>‘W</w:t>
      </w:r>
      <w:r w:rsidRPr="00B1522E">
        <w:rPr>
          <w:rFonts w:eastAsia="Calibri"/>
          <w:i/>
          <w:iCs/>
        </w:rPr>
        <w:t>hy did they design the poster in that way?’</w:t>
      </w:r>
      <w:r w:rsidRPr="00B1522E">
        <w:rPr>
          <w:i/>
          <w:iCs/>
        </w:rPr>
        <w:t>, ‘</w:t>
      </w:r>
      <w:r w:rsidRPr="00B1522E">
        <w:rPr>
          <w:rFonts w:eastAsia="Calibri"/>
          <w:i/>
          <w:iCs/>
        </w:rPr>
        <w:t xml:space="preserve">Was any of the information surprising to them?’, </w:t>
      </w:r>
      <w:r w:rsidRPr="00B1522E">
        <w:rPr>
          <w:rFonts w:eastAsia="Calibri"/>
        </w:rPr>
        <w:t xml:space="preserve">and </w:t>
      </w:r>
      <w:r w:rsidRPr="00B1522E">
        <w:rPr>
          <w:rFonts w:eastAsia="Calibri"/>
          <w:i/>
          <w:iCs/>
        </w:rPr>
        <w:t xml:space="preserve"> ‘Did they learn something new?’. </w:t>
      </w:r>
    </w:p>
    <w:p w14:paraId="6380818A" w14:textId="77777777" w:rsidR="008F3548" w:rsidRPr="00B1522E" w:rsidRDefault="008F3548" w:rsidP="008F3548">
      <w:pPr>
        <w:spacing w:line="480" w:lineRule="auto"/>
        <w:jc w:val="both"/>
      </w:pPr>
    </w:p>
    <w:p w14:paraId="217AFA85" w14:textId="4838664A" w:rsidR="00347DE9" w:rsidRPr="00B1522E" w:rsidRDefault="004F0A92" w:rsidP="00347DE9">
      <w:pPr>
        <w:spacing w:line="480" w:lineRule="auto"/>
      </w:pPr>
      <w:r w:rsidRPr="00B1522E">
        <w:t xml:space="preserve">6.4.4.2 </w:t>
      </w:r>
      <w:r w:rsidR="00347DE9" w:rsidRPr="00B1522E">
        <w:t xml:space="preserve">Prize-based competition </w:t>
      </w:r>
    </w:p>
    <w:p w14:paraId="05E97E70" w14:textId="77777777" w:rsidR="00347DE9" w:rsidRPr="00B1522E" w:rsidRDefault="00347DE9" w:rsidP="00347DE9">
      <w:pPr>
        <w:spacing w:line="480" w:lineRule="auto"/>
        <w:jc w:val="both"/>
      </w:pPr>
      <w:r w:rsidRPr="00B1522E">
        <w:rPr>
          <w:rFonts w:eastAsia="Calibri"/>
        </w:rPr>
        <w:t>To increase exposure to and engagement with the SNA feedback, a prize-based competition for the best poster was held (which was advised by the advisory group). The competition involved asking students, after they had presented their posters to the other groups, to vote for the best poster from their session using voting slips. The</w:t>
      </w:r>
      <w:r w:rsidRPr="00B1522E">
        <w:t xml:space="preserve"> seven best posters (one from each session) were later displayed in the school in a location that Year 7 students frequented throughout the day (again, as recommended by the student advisory group). One month after the posters were displayed, the </w:t>
      </w:r>
      <w:r w:rsidRPr="00B1522E">
        <w:lastRenderedPageBreak/>
        <w:t>advisory group designed a short PowerPoint presentation exhibiting the seven best posters, which was later, presented to each class which had participated in a poster-making session. The PowerPoint then helped to prompt a class discussion, where students were asked to consider w</w:t>
      </w:r>
      <w:r w:rsidRPr="00B1522E">
        <w:rPr>
          <w:rFonts w:eastAsia="Calibri"/>
        </w:rPr>
        <w:t>hich poster best displayed the intervention information clearly, which poster was the most eye-catching, and which as the easiest to read and understand</w:t>
      </w:r>
      <w:r w:rsidRPr="00B1522E">
        <w:t>. Each class voted for the best poster via a show of hands and votes were totalled to give an overall winner for the competition; the students from the winning poster group each received a shopping voucher.</w:t>
      </w:r>
    </w:p>
    <w:p w14:paraId="5E938B08" w14:textId="77777777" w:rsidR="00347DE9" w:rsidRPr="00B1522E" w:rsidRDefault="00347DE9" w:rsidP="00347DE9">
      <w:pPr>
        <w:spacing w:line="480" w:lineRule="auto"/>
        <w:rPr>
          <w:b/>
          <w:bCs/>
        </w:rPr>
      </w:pPr>
    </w:p>
    <w:p w14:paraId="5D498FCA" w14:textId="542ECCC8" w:rsidR="00347DE9" w:rsidRPr="00B1522E" w:rsidRDefault="002B53BA" w:rsidP="00347DE9">
      <w:pPr>
        <w:spacing w:line="480" w:lineRule="auto"/>
        <w:jc w:val="both"/>
      </w:pPr>
      <w:r w:rsidRPr="00B1522E">
        <w:fldChar w:fldCharType="begin"/>
      </w:r>
      <w:r w:rsidRPr="00B1522E">
        <w:instrText xml:space="preserve"> TC  "</w:instrText>
      </w:r>
      <w:bookmarkStart w:id="173" w:name="_Toc97310479"/>
      <w:r w:rsidRPr="00B1522E">
        <w:instrText>6.5 Conclusion</w:instrText>
      </w:r>
      <w:bookmarkEnd w:id="173"/>
      <w:r w:rsidRPr="00B1522E">
        <w:instrText xml:space="preserve"> " \f x\l 2 </w:instrText>
      </w:r>
      <w:r w:rsidRPr="00B1522E">
        <w:fldChar w:fldCharType="end"/>
      </w:r>
      <w:r w:rsidR="00347DE9" w:rsidRPr="00B1522E">
        <w:rPr>
          <w:b/>
          <w:bCs/>
        </w:rPr>
        <w:t xml:space="preserve">6.5 Conclusion </w:t>
      </w:r>
    </w:p>
    <w:p w14:paraId="6A1E2913" w14:textId="28821CDC" w:rsidR="00347DE9" w:rsidRPr="00B1522E" w:rsidRDefault="00347DE9" w:rsidP="00347DE9">
      <w:pPr>
        <w:spacing w:line="480" w:lineRule="auto"/>
        <w:jc w:val="both"/>
      </w:pPr>
      <w:r w:rsidRPr="00B1522E">
        <w:rPr>
          <w:rFonts w:cstheme="minorHAnsi"/>
        </w:rPr>
        <w:t>T</w:t>
      </w:r>
      <w:r w:rsidRPr="00B1522E">
        <w:t xml:space="preserve">his chapter demonstrates how research evidence, theory, and input from the target population and key stakeholders can be used to inform the development of an </w:t>
      </w:r>
      <w:r w:rsidRPr="00B1522E">
        <w:rPr>
          <w:rFonts w:cstheme="minorHAnsi"/>
        </w:rPr>
        <w:t>in-school SNA</w:t>
      </w:r>
      <w:r w:rsidRPr="00B1522E">
        <w:t xml:space="preserve"> intervention to reduce unhealthy snacking</w:t>
      </w:r>
      <w:r w:rsidRPr="00B1522E">
        <w:rPr>
          <w:rFonts w:cstheme="minorHAnsi"/>
          <w:shd w:val="clear" w:color="auto" w:fill="FFFFFF"/>
        </w:rPr>
        <w:t xml:space="preserve">. This co-production is important as it can increase the likelihood of intervention effectiveness by improving the fit with the target group's needs, recognising the practicalities of implementing an intervention in a school setting and using previous research to understand the </w:t>
      </w:r>
      <w:r w:rsidRPr="00B1522E">
        <w:rPr>
          <w:rFonts w:cstheme="minorHAnsi"/>
        </w:rPr>
        <w:t xml:space="preserve">relevance and feasibility to inform the content and delivery of an intervention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{"citationItems":[{"id":"ITEM-1","itemData":{"abstract":"Improving the effectiveness of public health interventions relies as much on the attention paid to their design and feasibility as to their evaluation. Yet, compared to the vast literature on how to evaluate interventions, there is little to guide researchers or practitioners on how best to develop such interventions in practical, logical, evidence based ways to maximise likely effectiveness. Existing models for the development of public health interventions tend to have a strong social-psychological, individual behaviour change orientation and some take years to implement. This paper presents a pragmatic guide to six essential Steps for Quality Intervention Development (6SQuID). The focus is on public health interventions but the model should have wider applicability. Once a problem has been identified as needing intervention, the process of designing an intervention can be broken down into six crucial steps: (1) defining and understanding the problem and its causes; (2) identifying which causal or contextual factors are modifiable: which have the greatest scope for change and who would benefit most; (3) deciding on the mechanisms of change; (4) clarifying how these will be delivered; (5) testing and adapting the intervention; and (6) collecting sufficient evidence of effectiveness to proceed to a rigorous evaluation. If each of these steps is carefully addressed, better use will be made of scarce public resources by avoiding the costly evaluation, or implementation, of unpromising interventions.","author":[{"dropping-particle":"","family":"Wight","given":"Daniel","non-dropping-particle":"","parse-names":false,"suffix":""},{"dropping-particle":"","family":"Wimbush","given":"Erica","non-dropping-particle":"","parse-names":false,"suffix":""},{"dropping-particle":"","family":"Jepson","given":"Ruth","non-dropping-particle":"","parse-names":false,"suffix":""},{"dropping-particle":"","family":"Doi","given":"Lawrence","non-dropping-particle":"","parse-names":false,"suffix":""}],"container-title":"Journal of Epidemiology and Community Health","id":"ITEM-1","issue":"5","issued":{"date-parts":[["2016","5","1"]]},"page":"520-525","title":"Six steps in quality intervention development (6SQuID)","type":"article-journal","volume":"70"},"uris":["http://www.mendeley.com/documents/?uuid=823034f0-ad7c-4b5a-b048-24abc780184a"]},{"id":"ITEM-2","itemData":{"ISSN":"1756-1833","author":[{"dropping-particle":"","family":"Craig","given":"Peter","non-dropping-particle":"","parse-names":false,"suffix":""},{"dropping-particle":"","family":"Dieppe","given":"Paul","non-dropping-particle":"","parse-names":false,"suffix":""},{"dropping-particle":"","family":"Macintyre","given":"Sally","non-dropping-particle":"","parse-names":false,"suffix":""},{"dropping-particle":"","family":"Michie","given":"Susan","non-dropping-particle":"","parse-names":false,"suffix":""},{"dropping-particle":"","family":"Nazareth","given":"Irwin","non-dropping-particle":"","parse-names":false,"suffix":""},{"dropping-particle":"","family":"Petticrew","given":"Mark","non-dropping-particle":"","parse-names":false,"suffix":""}],"container-title":"British Medical Journal","id":"ITEM-2","issued":{"date-parts":[["2008"]]},"publisher":"British Medical Journal Publishing Group","title":"Developing and evaluating complex interventions: the new Medical Research Council guidance","type":"article-journal","volume":"337"},"uris":["http://www.mendeley.com/documents/?uuid=ecaef8ca-8c00-4f55-9baa-4c4fee81225c"]}],"mendeley":{"formattedCitation":"(Craig et al., 2008; Wight et al., 2016)","plainTextFormattedCitation":"(Craig et al., 2008; Wight et al., 2016)","previouslyFormattedCitation":"(Craig et al., 2008; Wight et al., 2016)"},"properties":{"noteIndex":0},"schema":"https://github.com/citation-style-language/schema/raw/master/csl-citation.json"}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(Craig et al., 2008; Wight et al., 2016)</w:t>
      </w:r>
      <w:r w:rsidRPr="00B1522E">
        <w:rPr>
          <w:rFonts w:cstheme="minorHAnsi"/>
          <w:shd w:val="clear" w:color="auto" w:fill="FFFFFF"/>
        </w:rPr>
        <w:fldChar w:fldCharType="end"/>
      </w:r>
      <w:r w:rsidRPr="00B1522E">
        <w:rPr>
          <w:rFonts w:cstheme="minorHAnsi"/>
        </w:rPr>
        <w:t>. T</w:t>
      </w:r>
      <w:r w:rsidRPr="00B1522E">
        <w:t>he subsequent chapters will discuss the baseline cross-sectional data</w:t>
      </w:r>
      <w:r w:rsidRPr="00B1522E">
        <w:rPr>
          <w:rFonts w:cstheme="minorHAnsi"/>
        </w:rPr>
        <w:t xml:space="preserve"> of the SNA intervention (Chapter 7), the quantitative outcomes of the SNA intervention </w:t>
      </w:r>
      <w:r w:rsidRPr="00B1522E">
        <w:t>(Chapter 8)</w:t>
      </w:r>
      <w:r w:rsidR="00C029A1" w:rsidRPr="00B1522E">
        <w:t>,</w:t>
      </w:r>
      <w:r w:rsidRPr="00B1522E">
        <w:t xml:space="preserve"> and provide a </w:t>
      </w:r>
      <w:r w:rsidRPr="00B1522E">
        <w:rPr>
          <w:rFonts w:cstheme="minorHAnsi"/>
          <w:shd w:val="clear" w:color="auto" w:fill="FFFFFF"/>
        </w:rPr>
        <w:t>q</w:t>
      </w:r>
      <w:r w:rsidRPr="00B1522E">
        <w:rPr>
          <w:rFonts w:cstheme="minorHAnsi"/>
        </w:rPr>
        <w:t>ualitative</w:t>
      </w:r>
      <w:r w:rsidRPr="00B1522E">
        <w:t xml:space="preserve"> evaluation of the implemented SNA intervention (Chapter 9).</w:t>
      </w:r>
    </w:p>
    <w:p w14:paraId="221A9EF0" w14:textId="77777777" w:rsidR="00347DE9" w:rsidRPr="00B1522E" w:rsidRDefault="00347DE9" w:rsidP="00347DE9">
      <w:pPr>
        <w:spacing w:line="480" w:lineRule="auto"/>
        <w:jc w:val="both"/>
      </w:pPr>
    </w:p>
    <w:p w14:paraId="7B8C23C8" w14:textId="1B67D347" w:rsidR="0006775C" w:rsidRPr="00B1522E" w:rsidRDefault="0006775C" w:rsidP="00DD5BC7">
      <w:pPr>
        <w:rPr>
          <w:b/>
          <w:bCs/>
        </w:rPr>
      </w:pPr>
    </w:p>
    <w:p w14:paraId="6AD7E65D" w14:textId="77AD71EC" w:rsidR="0006775C" w:rsidRPr="00B1522E" w:rsidRDefault="0006775C" w:rsidP="00DD5BC7">
      <w:pPr>
        <w:rPr>
          <w:b/>
          <w:bCs/>
        </w:rPr>
      </w:pPr>
    </w:p>
    <w:p w14:paraId="53F8598D" w14:textId="799068EF" w:rsidR="0006775C" w:rsidRPr="00B1522E" w:rsidRDefault="0006775C" w:rsidP="00DD5BC7">
      <w:pPr>
        <w:rPr>
          <w:b/>
          <w:bCs/>
        </w:rPr>
      </w:pPr>
    </w:p>
    <w:p w14:paraId="34169C8D" w14:textId="62808D49" w:rsidR="0006775C" w:rsidRPr="00B1522E" w:rsidRDefault="0006775C" w:rsidP="00DD5BC7">
      <w:pPr>
        <w:rPr>
          <w:b/>
          <w:bCs/>
        </w:rPr>
      </w:pPr>
    </w:p>
    <w:p w14:paraId="78B90EF8" w14:textId="6E803E0C" w:rsidR="0006775C" w:rsidRPr="00B1522E" w:rsidRDefault="0006775C" w:rsidP="00DD5BC7">
      <w:pPr>
        <w:rPr>
          <w:b/>
          <w:bCs/>
        </w:rPr>
      </w:pPr>
    </w:p>
    <w:p w14:paraId="627DA430" w14:textId="3252C4DD" w:rsidR="00730501" w:rsidRPr="00B1522E" w:rsidRDefault="001D13EE" w:rsidP="005D0915">
      <w:r w:rsidRPr="00B1522E">
        <w:rPr>
          <w:noProof/>
          <w:sz w:val="44"/>
          <w:szCs w:val="44"/>
        </w:rPr>
        <w:lastRenderedPageBreak/>
        <mc:AlternateContent>
          <mc:Choice Requires="wps">
            <w:drawing>
              <wp:anchor distT="91440" distB="91440" distL="114300" distR="114300" simplePos="0" relativeHeight="251700224" behindDoc="0" locked="0" layoutInCell="1" allowOverlap="1" wp14:anchorId="4D13B461" wp14:editId="0E8CF5C6">
                <wp:simplePos x="0" y="0"/>
                <wp:positionH relativeFrom="page">
                  <wp:posOffset>871220</wp:posOffset>
                </wp:positionH>
                <wp:positionV relativeFrom="paragraph">
                  <wp:posOffset>1259840</wp:posOffset>
                </wp:positionV>
                <wp:extent cx="5908675" cy="1403985"/>
                <wp:effectExtent l="0" t="0" r="15875" b="26670"/>
                <wp:wrapTopAndBottom/>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09071D12" w14:textId="3554E847" w:rsidR="00F62378" w:rsidRPr="00C8067C" w:rsidRDefault="00F62378" w:rsidP="00F62378">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174" w:name="_Toc97310480"/>
                            <w:r w:rsidRPr="00233603">
                              <w:rPr>
                                <w:b/>
                                <w:bCs/>
                              </w:rPr>
                              <w:instrText>Chapter 7. Normative misperceptions of unhealthy snacking amongst 11- to 12-year-old secondary school students</w:instrText>
                            </w:r>
                            <w:bookmarkEnd w:id="174"/>
                            <w:r w:rsidRPr="005519AB">
                              <w:rPr>
                                <w:b/>
                                <w:bCs/>
                              </w:rPr>
                              <w:instrText xml:space="preserve"> </w:instrText>
                            </w:r>
                            <w:r>
                              <w:instrText xml:space="preserve">" \f x\l 1 </w:instrText>
                            </w:r>
                            <w:r>
                              <w:fldChar w:fldCharType="end"/>
                            </w:r>
                            <w:r>
                              <w:t xml:space="preserve"> </w:t>
                            </w:r>
                            <w:r w:rsidRPr="00C8067C">
                              <w:rPr>
                                <w:sz w:val="48"/>
                                <w:szCs w:val="48"/>
                              </w:rPr>
                              <w:t xml:space="preserve">Chapter </w:t>
                            </w:r>
                            <w:r>
                              <w:rPr>
                                <w:sz w:val="48"/>
                                <w:szCs w:val="48"/>
                              </w:rPr>
                              <w:t>7</w:t>
                            </w:r>
                          </w:p>
                          <w:p w14:paraId="70F2EDBD" w14:textId="601735B8" w:rsidR="00F62378" w:rsidRPr="00F62378" w:rsidRDefault="00F62378" w:rsidP="00F62378">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F62378">
                              <w:rPr>
                                <w:sz w:val="32"/>
                                <w:szCs w:val="32"/>
                              </w:rPr>
                              <w:t xml:space="preserve">Normative misperceptions of unhealthy snacking amongst 11- to 12-year-old secondary school students.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3B461" id="_x0000_s1034" type="#_x0000_t202" style="position:absolute;margin-left:68.6pt;margin-top:99.2pt;width:465.25pt;height:110.55pt;z-index:2517002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" filled="f" strokecolor="white [3212]">
                <v:textbox style="mso-fit-shape-to-text:t">
                  <w:txbxContent>
                    <w:p w14:paraId="09071D12" w14:textId="3554E847" w:rsidR="00F62378" w:rsidRPr="00C8067C" w:rsidRDefault="00F62378" w:rsidP="00F62378">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175" w:name="_Toc97310480"/>
                      <w:r w:rsidRPr="00233603">
                        <w:rPr>
                          <w:b/>
                          <w:bCs/>
                        </w:rPr>
                        <w:instrText>Chapter 7. Normative misperceptions of unhealthy snacking amongst 11- to 12-year-old secondary school students</w:instrText>
                      </w:r>
                      <w:bookmarkEnd w:id="175"/>
                      <w:r w:rsidRPr="005519AB">
                        <w:rPr>
                          <w:b/>
                          <w:bCs/>
                        </w:rPr>
                        <w:instrText xml:space="preserve"> </w:instrText>
                      </w:r>
                      <w:r>
                        <w:instrText xml:space="preserve">" \f x\l 1 </w:instrText>
                      </w:r>
                      <w:r>
                        <w:fldChar w:fldCharType="end"/>
                      </w:r>
                      <w:r>
                        <w:t xml:space="preserve"> </w:t>
                      </w:r>
                      <w:r w:rsidRPr="00C8067C">
                        <w:rPr>
                          <w:sz w:val="48"/>
                          <w:szCs w:val="48"/>
                        </w:rPr>
                        <w:t xml:space="preserve">Chapter </w:t>
                      </w:r>
                      <w:r>
                        <w:rPr>
                          <w:sz w:val="48"/>
                          <w:szCs w:val="48"/>
                        </w:rPr>
                        <w:t>7</w:t>
                      </w:r>
                    </w:p>
                    <w:p w14:paraId="70F2EDBD" w14:textId="601735B8" w:rsidR="00F62378" w:rsidRPr="00F62378" w:rsidRDefault="00F62378" w:rsidP="00F62378">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F62378">
                        <w:rPr>
                          <w:sz w:val="32"/>
                          <w:szCs w:val="32"/>
                        </w:rPr>
                        <w:t xml:space="preserve">Normative misperceptions of unhealthy snacking amongst 11- to 12-year-old secondary school students. </w:t>
                      </w:r>
                    </w:p>
                  </w:txbxContent>
                </v:textbox>
                <w10:wrap type="topAndBottom" anchorx="page"/>
              </v:shape>
            </w:pict>
          </mc:Fallback>
        </mc:AlternateContent>
      </w:r>
    </w:p>
    <w:p w14:paraId="09109D7B" w14:textId="77777777" w:rsidR="00730501" w:rsidRPr="00B1522E" w:rsidRDefault="00730501" w:rsidP="00730501">
      <w:pPr>
        <w:jc w:val="center"/>
      </w:pPr>
    </w:p>
    <w:p w14:paraId="766347FA" w14:textId="77777777" w:rsidR="00730501" w:rsidRPr="00B1522E" w:rsidRDefault="00730501" w:rsidP="00730501"/>
    <w:p w14:paraId="59CD4279" w14:textId="77777777" w:rsidR="00730501" w:rsidRPr="00B1522E" w:rsidRDefault="00730501" w:rsidP="00730501">
      <w:pPr>
        <w:spacing w:line="480" w:lineRule="auto"/>
        <w:rPr>
          <w:rFonts w:cstheme="minorHAnsi"/>
        </w:rPr>
      </w:pPr>
    </w:p>
    <w:p w14:paraId="59C4CB72" w14:textId="77777777" w:rsidR="00DB2525" w:rsidRPr="00B1522E" w:rsidRDefault="00DB2525" w:rsidP="00730501">
      <w:pPr>
        <w:spacing w:line="480" w:lineRule="auto"/>
        <w:rPr>
          <w:rFonts w:cstheme="minorHAnsi"/>
        </w:rPr>
      </w:pPr>
    </w:p>
    <w:p w14:paraId="24705BA5" w14:textId="77777777" w:rsidR="00DB2525" w:rsidRPr="00B1522E" w:rsidRDefault="00DB2525" w:rsidP="00730501">
      <w:pPr>
        <w:spacing w:line="480" w:lineRule="auto"/>
        <w:rPr>
          <w:rFonts w:cstheme="minorHAnsi"/>
        </w:rPr>
      </w:pPr>
    </w:p>
    <w:p w14:paraId="5A2AC6C9" w14:textId="04BF6E55" w:rsidR="003D7632" w:rsidRPr="00B1522E" w:rsidRDefault="003D7632" w:rsidP="00730501">
      <w:pPr>
        <w:spacing w:line="480" w:lineRule="auto"/>
        <w:rPr>
          <w:rFonts w:cstheme="minorHAnsi"/>
        </w:rPr>
      </w:pPr>
    </w:p>
    <w:p w14:paraId="3EF874BE" w14:textId="50BD75D6" w:rsidR="00F62378" w:rsidRPr="00B1522E" w:rsidRDefault="00F62378" w:rsidP="00730501">
      <w:pPr>
        <w:spacing w:line="480" w:lineRule="auto"/>
        <w:rPr>
          <w:rFonts w:cstheme="minorHAnsi"/>
        </w:rPr>
      </w:pPr>
    </w:p>
    <w:p w14:paraId="0F5E6278" w14:textId="32F45343" w:rsidR="001D13EE" w:rsidRPr="00B1522E" w:rsidRDefault="001D13EE" w:rsidP="00730501">
      <w:pPr>
        <w:spacing w:line="480" w:lineRule="auto"/>
        <w:rPr>
          <w:rFonts w:cstheme="minorHAnsi"/>
        </w:rPr>
      </w:pPr>
    </w:p>
    <w:p w14:paraId="622AF79F" w14:textId="256A7724" w:rsidR="001D13EE" w:rsidRPr="00B1522E" w:rsidRDefault="001D13EE" w:rsidP="00730501">
      <w:pPr>
        <w:spacing w:line="480" w:lineRule="auto"/>
        <w:rPr>
          <w:rFonts w:cstheme="minorHAnsi"/>
        </w:rPr>
      </w:pPr>
    </w:p>
    <w:p w14:paraId="00695488" w14:textId="77777777" w:rsidR="001D13EE" w:rsidRPr="00B1522E" w:rsidRDefault="001D13EE" w:rsidP="00730501">
      <w:pPr>
        <w:spacing w:line="480" w:lineRule="auto"/>
        <w:rPr>
          <w:rFonts w:cstheme="minorHAnsi"/>
        </w:rPr>
      </w:pPr>
    </w:p>
    <w:p w14:paraId="31B431CA" w14:textId="77777777" w:rsidR="008F3548" w:rsidRPr="00B1522E" w:rsidRDefault="008F3548" w:rsidP="00730501">
      <w:pPr>
        <w:spacing w:line="480" w:lineRule="auto"/>
        <w:rPr>
          <w:rFonts w:cstheme="minorHAnsi"/>
        </w:rPr>
      </w:pPr>
    </w:p>
    <w:p w14:paraId="7CDEC570" w14:textId="77777777" w:rsidR="008F3548" w:rsidRPr="00B1522E" w:rsidRDefault="008F3548" w:rsidP="00730501">
      <w:pPr>
        <w:spacing w:line="480" w:lineRule="auto"/>
        <w:rPr>
          <w:rFonts w:cstheme="minorHAnsi"/>
        </w:rPr>
      </w:pPr>
    </w:p>
    <w:p w14:paraId="5D1BBC3C" w14:textId="77777777" w:rsidR="008F3548" w:rsidRPr="00B1522E" w:rsidRDefault="008F3548" w:rsidP="00730501">
      <w:pPr>
        <w:spacing w:line="480" w:lineRule="auto"/>
        <w:rPr>
          <w:rFonts w:cstheme="minorHAnsi"/>
        </w:rPr>
      </w:pPr>
    </w:p>
    <w:p w14:paraId="08041C3A" w14:textId="77777777" w:rsidR="008F3548" w:rsidRPr="00B1522E" w:rsidRDefault="008F3548" w:rsidP="00730501">
      <w:pPr>
        <w:spacing w:line="480" w:lineRule="auto"/>
        <w:rPr>
          <w:rFonts w:cstheme="minorHAnsi"/>
        </w:rPr>
      </w:pPr>
    </w:p>
    <w:p w14:paraId="327BF127" w14:textId="0C111FF8" w:rsidR="00730501" w:rsidRPr="00B1522E" w:rsidRDefault="00730501" w:rsidP="00730501">
      <w:pPr>
        <w:spacing w:line="480" w:lineRule="auto"/>
        <w:rPr>
          <w:rFonts w:cstheme="minorHAnsi"/>
        </w:rPr>
      </w:pPr>
      <w:r w:rsidRPr="00B1522E">
        <w:rPr>
          <w:rFonts w:cstheme="minorHAnsi"/>
        </w:rPr>
        <w:t xml:space="preserve">This chapter </w:t>
      </w:r>
      <w:r w:rsidR="00C029A1" w:rsidRPr="00B1522E">
        <w:rPr>
          <w:rFonts w:cstheme="minorHAnsi"/>
        </w:rPr>
        <w:t>has been published</w:t>
      </w:r>
      <w:r w:rsidRPr="00B1522E">
        <w:rPr>
          <w:rFonts w:cstheme="minorHAnsi"/>
        </w:rPr>
        <w:t xml:space="preserve"> as:</w:t>
      </w:r>
    </w:p>
    <w:p w14:paraId="57DF2CCC" w14:textId="2BCF0464" w:rsidR="00730501" w:rsidRPr="00B1522E" w:rsidRDefault="00730501" w:rsidP="00730501">
      <w:pPr>
        <w:spacing w:line="240" w:lineRule="auto"/>
        <w:jc w:val="both"/>
        <w:rPr>
          <w:rFonts w:cstheme="minorHAnsi"/>
          <w:shd w:val="clear" w:color="auto" w:fill="FFFFFF"/>
        </w:rPr>
      </w:pPr>
      <w:r w:rsidRPr="00B1522E">
        <w:rPr>
          <w:rFonts w:cstheme="minorHAnsi"/>
          <w:shd w:val="clear" w:color="auto" w:fill="FFFFFF"/>
        </w:rPr>
        <w:t>Calvert, S., Dempsey, R. C. &amp; Povey, R. (202</w:t>
      </w:r>
      <w:r w:rsidR="00151BE8" w:rsidRPr="00B1522E">
        <w:rPr>
          <w:rFonts w:cstheme="minorHAnsi"/>
          <w:shd w:val="clear" w:color="auto" w:fill="FFFFFF"/>
        </w:rPr>
        <w:t>1</w:t>
      </w:r>
      <w:r w:rsidRPr="00B1522E">
        <w:rPr>
          <w:rFonts w:cstheme="minorHAnsi"/>
          <w:shd w:val="clear" w:color="auto" w:fill="FFFFFF"/>
        </w:rPr>
        <w:t xml:space="preserve">). </w:t>
      </w:r>
      <w:r w:rsidR="00151BE8" w:rsidRPr="00B1522E">
        <w:rPr>
          <w:rFonts w:cstheme="minorHAnsi"/>
          <w:shd w:val="clear" w:color="auto" w:fill="FFFFFF"/>
        </w:rPr>
        <w:t>Normative misperceptions of unhealthy snacking amongst 11- to 12-year-old secondary school students</w:t>
      </w:r>
      <w:r w:rsidRPr="00B1522E">
        <w:rPr>
          <w:rFonts w:cstheme="minorHAnsi"/>
          <w:shd w:val="clear" w:color="auto" w:fill="FFFFFF"/>
        </w:rPr>
        <w:t>. </w:t>
      </w:r>
      <w:r w:rsidR="00151BE8" w:rsidRPr="00B1522E">
        <w:rPr>
          <w:rFonts w:cstheme="minorHAnsi"/>
          <w:i/>
          <w:iCs/>
          <w:shd w:val="clear" w:color="auto" w:fill="FFFFFF"/>
        </w:rPr>
        <w:t>Appetite.</w:t>
      </w:r>
      <w:r w:rsidRPr="00B1522E">
        <w:rPr>
          <w:rFonts w:cstheme="minorHAnsi"/>
        </w:rPr>
        <w:t xml:space="preserve"> </w:t>
      </w:r>
      <w:r w:rsidR="00132E73" w:rsidRPr="00B1522E">
        <w:rPr>
          <w:rFonts w:cstheme="minorHAnsi"/>
          <w:shd w:val="clear" w:color="auto" w:fill="FFFFFF"/>
        </w:rPr>
        <w:t>105462</w:t>
      </w:r>
    </w:p>
    <w:p w14:paraId="5A3C0026" w14:textId="77777777" w:rsidR="00C22E7D" w:rsidRPr="00B1522E" w:rsidRDefault="00C22E7D" w:rsidP="003D7632">
      <w:pPr>
        <w:rPr>
          <w:b/>
          <w:bCs/>
        </w:rPr>
      </w:pPr>
      <w:bookmarkStart w:id="176" w:name="_Toc84678943"/>
    </w:p>
    <w:p w14:paraId="04228456" w14:textId="3C730AE5" w:rsidR="00F62378" w:rsidRPr="00B1522E" w:rsidRDefault="00233603" w:rsidP="00272083">
      <w:pPr>
        <w:spacing w:line="480" w:lineRule="auto"/>
        <w:rPr>
          <w:b/>
          <w:bCs/>
        </w:rPr>
      </w:pPr>
      <w:r w:rsidRPr="00B1522E">
        <w:lastRenderedPageBreak/>
        <w:fldChar w:fldCharType="begin"/>
      </w:r>
      <w:r w:rsidRPr="00B1522E">
        <w:instrText xml:space="preserve"> TC  "</w:instrText>
      </w:r>
      <w:bookmarkStart w:id="177" w:name="_Toc97310481"/>
      <w:r w:rsidR="006571DE" w:rsidRPr="00B1522E">
        <w:instrText>7.1 Chapter overview</w:instrText>
      </w:r>
      <w:bookmarkEnd w:id="177"/>
      <w:r w:rsidRPr="00B1522E">
        <w:instrText xml:space="preserve"> " \f x\l </w:instrText>
      </w:r>
      <w:r w:rsidR="006571DE" w:rsidRPr="00B1522E">
        <w:instrText>2</w:instrText>
      </w:r>
      <w:r w:rsidRPr="00B1522E">
        <w:instrText xml:space="preserve"> </w:instrText>
      </w:r>
      <w:r w:rsidRPr="00B1522E">
        <w:fldChar w:fldCharType="end"/>
      </w:r>
      <w:r w:rsidR="00132E73" w:rsidRPr="00B1522E">
        <w:rPr>
          <w:b/>
          <w:bCs/>
        </w:rPr>
        <w:t>7.1 Chapter overview</w:t>
      </w:r>
      <w:bookmarkEnd w:id="176"/>
      <w:r w:rsidR="00132E73" w:rsidRPr="00B1522E">
        <w:rPr>
          <w:b/>
          <w:bCs/>
        </w:rPr>
        <w:t xml:space="preserve"> </w:t>
      </w:r>
    </w:p>
    <w:p w14:paraId="61622797" w14:textId="79DB524C" w:rsidR="00C12E0E" w:rsidRPr="00B1522E" w:rsidRDefault="00124BB9" w:rsidP="00272083">
      <w:pPr>
        <w:pStyle w:val="NoSpacing"/>
        <w:spacing w:line="480" w:lineRule="auto"/>
        <w:jc w:val="both"/>
        <w:rPr>
          <w:rFonts w:eastAsia="Calibri" w:cstheme="minorHAnsi"/>
        </w:rPr>
      </w:pPr>
      <w:r w:rsidRPr="00B1522E">
        <w:t>The previous chapter (Chapter 6) discusses</w:t>
      </w:r>
      <w:r w:rsidRPr="00B1522E">
        <w:rPr>
          <w:rFonts w:cstheme="minorHAnsi"/>
        </w:rPr>
        <w:t xml:space="preserve"> </w:t>
      </w:r>
      <w:r w:rsidR="00E17428" w:rsidRPr="00B1522E">
        <w:rPr>
          <w:rFonts w:cstheme="minorHAnsi"/>
        </w:rPr>
        <w:t xml:space="preserve">the </w:t>
      </w:r>
      <w:r w:rsidR="002322D4" w:rsidRPr="00B1522E">
        <w:rPr>
          <w:rFonts w:cstheme="minorHAnsi"/>
        </w:rPr>
        <w:t>development of the in-school S</w:t>
      </w:r>
      <w:r w:rsidR="002404C4" w:rsidRPr="00B1522E">
        <w:rPr>
          <w:rFonts w:cstheme="minorHAnsi"/>
        </w:rPr>
        <w:t>ocial Norms Approach (SNA)</w:t>
      </w:r>
      <w:r w:rsidR="002322D4" w:rsidRPr="00B1522E">
        <w:rPr>
          <w:rFonts w:cstheme="minorHAnsi"/>
        </w:rPr>
        <w:t xml:space="preserve"> intervention. Th</w:t>
      </w:r>
      <w:r w:rsidR="0019441F" w:rsidRPr="00B1522E">
        <w:rPr>
          <w:rFonts w:cstheme="minorHAnsi"/>
        </w:rPr>
        <w:t>e current</w:t>
      </w:r>
      <w:r w:rsidR="00785F48" w:rsidRPr="00B1522E">
        <w:rPr>
          <w:rFonts w:cstheme="minorHAnsi"/>
        </w:rPr>
        <w:t xml:space="preserve"> Chapter focuses on the baseline data</w:t>
      </w:r>
      <w:r w:rsidR="00785F48" w:rsidRPr="00B1522E">
        <w:rPr>
          <w:rFonts w:eastAsia="Calibri" w:cstheme="minorHAnsi"/>
        </w:rPr>
        <w:t xml:space="preserve"> </w:t>
      </w:r>
      <w:r w:rsidR="00785F48" w:rsidRPr="00B1522E">
        <w:rPr>
          <w:rFonts w:cstheme="minorHAnsi"/>
          <w:shd w:val="clear" w:color="auto" w:fill="FFFFFF"/>
        </w:rPr>
        <w:t>of the SNA intervention</w:t>
      </w:r>
      <w:r w:rsidR="0019441F" w:rsidRPr="00B1522E">
        <w:rPr>
          <w:rFonts w:cstheme="minorHAnsi"/>
          <w:shd w:val="clear" w:color="auto" w:fill="FFFFFF"/>
        </w:rPr>
        <w:t xml:space="preserve">. </w:t>
      </w:r>
      <w:r w:rsidR="002404C4" w:rsidRPr="00B1522E">
        <w:rPr>
          <w:rFonts w:eastAsia="Calibri"/>
        </w:rPr>
        <w:t>The research presented in this Chapter sets</w:t>
      </w:r>
      <w:r w:rsidR="005C487B" w:rsidRPr="00B1522E">
        <w:rPr>
          <w:rFonts w:eastAsia="Calibri"/>
        </w:rPr>
        <w:t xml:space="preserve"> out to</w:t>
      </w:r>
      <w:r w:rsidR="005C487B" w:rsidRPr="00B1522E">
        <w:rPr>
          <w:rFonts w:cstheme="minorHAnsi"/>
        </w:rPr>
        <w:t xml:space="preserve"> </w:t>
      </w:r>
      <w:r w:rsidR="0091707F" w:rsidRPr="00B1522E">
        <w:rPr>
          <w:rFonts w:eastAsia="Calibri" w:cstheme="minorHAnsi"/>
          <w:noProof/>
        </w:rPr>
        <w:t xml:space="preserve">investigate whether there are </w:t>
      </w:r>
      <w:r w:rsidR="0091707F" w:rsidRPr="00B1522E">
        <w:rPr>
          <w:rFonts w:cstheme="minorHAnsi"/>
          <w:noProof/>
        </w:rPr>
        <w:t>discrepancies</w:t>
      </w:r>
      <w:r w:rsidR="0091707F" w:rsidRPr="00B1522E">
        <w:rPr>
          <w:rFonts w:eastAsia="Calibri" w:cstheme="minorHAnsi"/>
          <w:noProof/>
        </w:rPr>
        <w:t xml:space="preserve"> between actual snacking-related behaviours and attitudes and perceived snacking-related norms of 11- to 12-year-olds, and investigate th</w:t>
      </w:r>
      <w:r w:rsidR="0091707F" w:rsidRPr="00B1522E">
        <w:rPr>
          <w:rFonts w:eastAsia="Calibri" w:cstheme="minorHAnsi"/>
        </w:rPr>
        <w:t xml:space="preserve">e extent to which these misperceptions are associated with students’ own snacking-related behaviours, attitudes and intention to reduce snacking. </w:t>
      </w:r>
    </w:p>
    <w:p w14:paraId="6DF12784" w14:textId="77777777" w:rsidR="003D7632" w:rsidRPr="00B1522E" w:rsidRDefault="003D7632" w:rsidP="005C487B">
      <w:pPr>
        <w:pStyle w:val="NoSpacing"/>
        <w:spacing w:line="480" w:lineRule="auto"/>
        <w:jc w:val="both"/>
        <w:rPr>
          <w:rFonts w:eastAsia="Calibri" w:cstheme="minorHAnsi"/>
        </w:rPr>
      </w:pPr>
    </w:p>
    <w:bookmarkStart w:id="178" w:name="_Toc84678944"/>
    <w:p w14:paraId="73D002D6" w14:textId="16EE2A6A" w:rsidR="00F62378" w:rsidRPr="00B1522E" w:rsidRDefault="00F247BB" w:rsidP="00272083">
      <w:pPr>
        <w:spacing w:line="480" w:lineRule="auto"/>
        <w:rPr>
          <w:b/>
          <w:bCs/>
        </w:rPr>
      </w:pPr>
      <w:r w:rsidRPr="00B1522E">
        <w:fldChar w:fldCharType="begin"/>
      </w:r>
      <w:r w:rsidRPr="00B1522E">
        <w:instrText xml:space="preserve"> TC  "</w:instrText>
      </w:r>
      <w:bookmarkStart w:id="179" w:name="_Toc97310482"/>
      <w:r w:rsidRPr="00B1522E">
        <w:instrText>7.2 Introduction</w:instrText>
      </w:r>
      <w:bookmarkEnd w:id="179"/>
      <w:r w:rsidRPr="00B1522E">
        <w:instrText xml:space="preserve"> " \f x\l 2 </w:instrText>
      </w:r>
      <w:r w:rsidRPr="00B1522E">
        <w:fldChar w:fldCharType="end"/>
      </w:r>
      <w:r w:rsidR="00132E73" w:rsidRPr="00B1522E">
        <w:rPr>
          <w:b/>
          <w:bCs/>
        </w:rPr>
        <w:t xml:space="preserve">7.2 </w:t>
      </w:r>
      <w:r w:rsidR="00730501" w:rsidRPr="00B1522E">
        <w:rPr>
          <w:b/>
          <w:bCs/>
        </w:rPr>
        <w:t>Introduction</w:t>
      </w:r>
      <w:bookmarkEnd w:id="178"/>
    </w:p>
    <w:p w14:paraId="44C374CF" w14:textId="6E2F941B" w:rsidR="00730501" w:rsidRPr="00B1522E" w:rsidRDefault="00730501" w:rsidP="00272083">
      <w:pPr>
        <w:spacing w:line="480" w:lineRule="auto"/>
        <w:jc w:val="both"/>
        <w:rPr>
          <w:rFonts w:cstheme="minorHAnsi"/>
          <w:noProof/>
        </w:rPr>
      </w:pPr>
      <w:r w:rsidRPr="00B1522E">
        <w:rPr>
          <w:rFonts w:cstheme="minorHAnsi"/>
          <w:noProof/>
          <w:shd w:val="clear" w:color="auto" w:fill="FFFFFF"/>
        </w:rPr>
        <w:t xml:space="preserve">Adolescence is a period where rapid physical and cognitive changes occur </w:t>
      </w:r>
      <w:r w:rsidRPr="00B1522E">
        <w:rPr>
          <w:rFonts w:cstheme="minorHAnsi"/>
          <w:noProof/>
          <w:shd w:val="clear" w:color="auto" w:fill="FFFFFF"/>
        </w:rPr>
        <w:fldChar w:fldCharType="begin" w:fldLock="1"/>
      </w:r>
      <w:r w:rsidR="00DF6CCC" w:rsidRPr="00B1522E">
        <w:rPr>
          <w:rFonts w:cstheme="minorHAnsi"/>
          <w:noProof/>
          <w:shd w:val="clear" w:color="auto" w:fill="FFFFFF"/>
        </w:rPr>
        <w:instrText>ADDIN CSL_CITATION {"citationItems":[{"id":"ITEM-1","itemData":{"ISSN":"1791-5201","author":[{"dropping-particle":"","family":"Özdemir","given":"Aysel","non-dropping-particle":"","parse-names":false,"suffix":""},{"dropping-particle":"","family":"Utkualp","given":"Nevin","non-dropping-particle":"","parse-names":false,"suffix":""},{"dropping-particle":"","family":"Palloş","given":"Aylin","non-dropping-particle":"","parse-names":false,"suffix":""}],"container-title":"International Journal of Caring Sciences","id":"ITEM-1","issue":"2","issued":{"date-parts":[["2016"]]},"page":"717-723","title":"Physical and psychosocial effects of the changes in adolescence period","type":"article-journal","volume":"9"},"uris":["http://www.mendeley.com/documents/?uuid=7c95570d-eb3c-41bb-821c-17bbb6067e59"]}],"mendeley":{"formattedCitation":"(Özdemir et al., 2016)","plainTextFormattedCitation":"(Özdemir et al., 2016)","previouslyFormattedCitation":"(Özdemir et al., 2016)"},"properties":{"noteIndex":0},"schema":"https://github.com/citation-style-language/schema/raw/master/csl-citation.json"}</w:instrText>
      </w:r>
      <w:r w:rsidRPr="00B1522E">
        <w:rPr>
          <w:rFonts w:cstheme="minorHAnsi"/>
          <w:noProof/>
          <w:shd w:val="clear" w:color="auto" w:fill="FFFFFF"/>
        </w:rPr>
        <w:fldChar w:fldCharType="separate"/>
      </w:r>
      <w:r w:rsidR="004B7FAF" w:rsidRPr="00B1522E">
        <w:rPr>
          <w:rFonts w:cstheme="minorHAnsi"/>
          <w:noProof/>
          <w:shd w:val="clear" w:color="auto" w:fill="FFFFFF"/>
        </w:rPr>
        <w:t>(Özdemir et al., 2016)</w:t>
      </w:r>
      <w:r w:rsidRPr="00B1522E">
        <w:rPr>
          <w:rFonts w:cstheme="minorHAnsi"/>
          <w:noProof/>
          <w:shd w:val="clear" w:color="auto" w:fill="FFFFFF"/>
        </w:rPr>
        <w:fldChar w:fldCharType="end"/>
      </w:r>
      <w:r w:rsidRPr="00B1522E">
        <w:rPr>
          <w:rFonts w:cstheme="minorHAnsi"/>
          <w:noProof/>
          <w:shd w:val="clear" w:color="auto" w:fill="FFFFFF"/>
        </w:rPr>
        <w:t xml:space="preserve"> and optimal nutrition within this period is essential for healthy development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{"citationItems":[{"id":"ITEM-1","itemData":{"ISSN":"1746-1561","abstract":"Owing to the associations between diet and health, it is important that effective health promotion strategies establish healthful eating behaviors from an early age. We reviewed the intensity of school-based interventions aimed to modify dietary behavior in preadolescent and adolescents and related intervention characteristics to effectiveness. Our systematic literature search of 8 databases sought to identify interventions measuring dietary intake in school settings to students aged 9 to 18. We evaluated these studies for effectiveness, intensity, intervention category, and follow-up measures. Of the 105 interventions 81 were found to be effective immediately postintervention, irrespective of intensity. Studies that were 6 weeks to 5 months in duration, targeted students' environment or group (alone or in combination), and reached students only in schools were more effective. Only one-fifth of interventions conducted a follow-up measure, and a majority showed a loss of effectiveness from postintervention to follow-up. We identified characteristics of effective interventions. These findings may inform the development of future interventions targeting dietary behavior in preadolescents and adolescents in the school-based setting.","author":[{"dropping-particle":"","family":"Racey","given":"Megan","non-dropping-particle":"","parse-names":false,"suffix":""},{"dropping-particle":"","family":"O'Brien","given":"Charlene","non-dropping-particle":"","parse-names":false,"suffix":""},{"dropping-particle":"","family":"Douglas","given":"Sabrina","non-dropping-particle":"","parse-names":false,"suffix":""},{"dropping-particle":"","family":"Marquez","given":"Olivia","non-dropping-particle":"","parse-names":false,"suffix":""},{"dropping-particle":"","family":"Hendrie","given":"Gilly","non-dropping-particle":"","parse-names":false,"suffix":""},{"dropping-particle":"","family":"Newton","given":"Genevieve","non-dropping-particle":"","parse-names":false,"suffix":""}],"container-title":"Journal of School Health","id":"ITEM-1","issued":{"date-parts":[["2016"]]},"page":"452-463","publisher":"Wiley Online Library","title":"Systematic Review of School‐Based Interventions to Modify Dietary Behavior: Does Intervention Intensity Impact Effectiveness?","type":"article-journal","volume":"86"},"uris":["http://www.mendeley.com/documents/?uuid=0df605f0-5409-430d-b187-7e1fdee28869"]}],"mendeley":{"formattedCitation":"(Racey et al., 2016)","plainTextFormattedCitation":"(Racey et al., 2016)","previouslyFormattedCitation":"(Racey et al., 2016)"},"properties":{"noteIndex":0},"schema":"https://github.com/citation-style-language/schema/raw/master/csl-citation.json"}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(Racey et al., 2016)</w:t>
      </w:r>
      <w:r w:rsidRPr="00B1522E">
        <w:rPr>
          <w:rFonts w:cstheme="minorHAnsi"/>
          <w:shd w:val="clear" w:color="auto" w:fill="FFFFFF"/>
        </w:rPr>
        <w:fldChar w:fldCharType="end"/>
      </w:r>
      <w:r w:rsidRPr="00B1522E">
        <w:rPr>
          <w:rFonts w:cstheme="minorHAnsi"/>
          <w:shd w:val="clear" w:color="auto" w:fill="FFFFFF"/>
        </w:rPr>
        <w:t xml:space="preserve">. The progression </w:t>
      </w:r>
      <w:r w:rsidRPr="00B1522E">
        <w:rPr>
          <w:rFonts w:eastAsia="Calibri" w:cstheme="minorHAnsi"/>
        </w:rPr>
        <w:t xml:space="preserve">into early adolescence (11-12 years of age) is where adolescents have increasing responsibility over their own diet and can lead to the development of unhealthy dietary behaviours </w:t>
      </w:r>
      <w:r w:rsidRPr="00B1522E">
        <w:rPr>
          <w:rFonts w:eastAsia="Calibri" w:cstheme="minorHAnsi"/>
        </w:rPr>
        <w:fldChar w:fldCharType="begin" w:fldLock="1"/>
      </w:r>
      <w:r w:rsidRPr="00B1522E">
        <w:rPr>
          <w:rFonts w:eastAsia="Calibri" w:cstheme="minorHAnsi"/>
        </w:rPr>
        <w:instrText>ADDIN CSL_CITATION {"citationItems":[{"id":"ITEM-1","itemData":{"ISSN":"0028-4793","author":[{"dropping-particle":"","family":"Must","given":"Aviva","non-dropping-particle":"","parse-names":false,"suffix":""},{"dropping-particle":"","family":"Jacques","given":"Paul F","non-dropping-particle":"","parse-names":false,"suffix":""},{"dropping-particle":"","family":"Dallal","given":"Gerard E","non-dropping-particle":"","parse-names":false,"suffix":""},{"dropping-particle":"","family":"Bajema","given":"Carl J","non-dropping-particle":"","parse-names":false,"suffix":""},{"dropping-particle":"","family":"Dietz","given":"William H","non-dropping-particle":"","parse-names":false,"suffix":""}],"container-title":"New England journal of medicine","id":"ITEM-1","issue":"19","issued":{"date-parts":[["1992"]]},"page":"1350-1355","publisher":"Mass Medical Soc","title":"Long-term morbidity and mortality of overweight adolescents: a follow-up of the Harvard Growth Study of 1922 to 1935","type":"article-journal","volume":"327"},"uris":["http://www.mendeley.com/documents/?uuid=4d39e99b-3382-4089-b177-0f40e69e522b"]}],"mendeley":{"formattedCitation":"(Must et al., 1992)","plainTextFormattedCitation":"(Must et al., 1992)","previouslyFormattedCitation":"(Must et al., 1992)"},"properties":{"noteIndex":0},"schema":"https://github.com/citation-style-language/schema/raw/master/csl-citation.json"}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(Must et al., 1992)</w:t>
      </w:r>
      <w:r w:rsidRPr="00B1522E">
        <w:rPr>
          <w:rFonts w:eastAsia="Calibri" w:cstheme="minorHAnsi"/>
        </w:rPr>
        <w:fldChar w:fldCharType="end"/>
      </w:r>
      <w:r w:rsidRPr="00B1522E">
        <w:rPr>
          <w:rFonts w:eastAsia="Calibri" w:cstheme="minorHAnsi"/>
        </w:rPr>
        <w:t>, such as frequently consuming</w:t>
      </w:r>
      <w:r w:rsidRPr="00B1522E">
        <w:rPr>
          <w:rFonts w:cstheme="minorHAnsi"/>
        </w:rPr>
        <w:t xml:space="preserve"> unhealthy snacks (e.g. chocolate), skipping meals, and having a low intake of fruit and vegetables </w:t>
      </w:r>
      <w:r w:rsidRPr="00B1522E">
        <w:rPr>
          <w:rFonts w:cstheme="minorHAnsi"/>
        </w:rPr>
        <w:fldChar w:fldCharType="begin" w:fldLock="1"/>
      </w:r>
      <w:r w:rsidR="0063396E" w:rsidRPr="00B1522E">
        <w:rPr>
          <w:rFonts w:cstheme="minorHAnsi"/>
        </w:rPr>
        <w:instrText>ADDIN CSL_CITATION {"citationItems":[{"id":"ITEM-1","itemData":{"ISSN":"2153-2168","author":[{"dropping-particle":"","family":"Larson","given":"Nicole","non-dropping-particle":"","parse-names":false,"suffix":""},{"dropping-particle":"","family":"Story","given":"Mary","non-dropping-particle":"","parse-names":false,"suffix":""}],"container-title":"Childhood obesity","id":"ITEM-1","issue":"2","issued":{"date-parts":[["2013"]]},"page":"104-115","publisher":"Mary Ann Liebert, Inc. 140 Huguenot Street, 3rd Floor New Rochelle, NY 10801 USA","title":"A review of snacking patterns among children and adolescents: what are the implications of snacking for weight status?","type":"article-journal","volume":"9"},"uris":["http://www.mendeley.com/documents/?uuid=3669f5e9-0940-4b99-bc0e-d23550240ac5"]},{"id":"ITEM-2","itemData":{"author":[{"dropping-particle":"","family":"Bailey","given":"Regan L","non-dropping-particle":"","parse-names":false,"suffix":""},{"dropping-particle":"","family":"Fulgoni","given":"Victor L","non-dropping-particle":"","parse-names":false,"suffix":""},{"dropping-particle":"","family":"Cowan","given":"Alexandra E","non-dropping-particle":"","parse-names":false,"suffix":""},{"dropping-particle":"","family":"Gaine","given":"P Courtney","non-dropping-particle":"","parse-names":false,"suffix":""}],"container-title":"Nutrients","id":"ITEM-2","issue":"1","issued":{"date-parts":[["2018"]]},"page":"102-113","publisher":"Multidisciplinary Digital Publishing Institute","title":"Sources of added sugars in young children, adolescents, and adults with low and high intakes of added sugars","type":"article-journal","volume":"10"},"uris":["http://www.mendeley.com/documents/?uuid=17e60f62-1835-442b-802b-290a0babf2ae"]},{"id":"ITEM-3","itemData":{"URL":"http://www.hbsc.org/news/index.aspx?ni=3256","author":[{"dropping-particle":"","family":"Brooks","given":"F","non-dropping-particle":"","parse-names":false,"suffix":""},{"dropping-particle":"","family":"Magnusson","given":"J","non-dropping-particle":"","parse-names":false,"suffix":""},{"dropping-particle":"","family":"Klemera","given":"E","non-dropping-particle":"","parse-names":false,"suffix":""},{"dropping-particle":"","family":"Chester","given":"K","non-dropping-particle":"","parse-names":false,"suffix":""},{"dropping-particle":"","family":"Spencer","given":"N","non-dropping-particle":"","parse-names":false,"suffix":""},{"dropping-particle":"","family":"Smeeton","given":"N","non-dropping-particle":"","parse-names":false,"suffix":""}],"id":"ITEM-3","issued":{"date-parts":[["2015"]]},"title":"HBSC England National Report: Health Behaviour in School-aged Children (HBSC): World Health Organization Collaborative Cross National Study.","type":"webpage"},"uris":["http://www.mendeley.com/documents/?uuid=8b47b28e-950c-4f03-904b-f1ea5f892f5e"]}],"mendeley":{"formattedCitation":"(Bailey et al., 2018; Brooks et al., 2015; N. Larson &amp; Story, 2013)","manualFormatting":"(Bailey et al., 2018; Brooks et al., 2015; Larson &amp; Story, 2013)","plainTextFormattedCitation":"(Bailey et al., 2018; Brooks et al., 2015; N. Larson &amp; Story, 2013)","previouslyFormattedCitation":"(Bailey et al., 2018; Brooks et al., 2015; N. Larson &amp; Story, 2013)"},"properties":{"noteIndex":0},"schema":"https://github.com/citation-style-language/schema/raw/master/csl-citation.json"}</w:instrText>
      </w:r>
      <w:r w:rsidRPr="00B1522E">
        <w:rPr>
          <w:rFonts w:cstheme="minorHAnsi"/>
        </w:rPr>
        <w:fldChar w:fldCharType="separate"/>
      </w:r>
      <w:r w:rsidR="0048570A" w:rsidRPr="00B1522E">
        <w:rPr>
          <w:rFonts w:cstheme="minorHAnsi"/>
          <w:noProof/>
        </w:rPr>
        <w:t>(Bailey et al., 2018; Brooks et al., 2015; Larson &amp; Story, 2013)</w:t>
      </w:r>
      <w:r w:rsidRPr="00B1522E">
        <w:rPr>
          <w:rFonts w:cstheme="minorHAnsi"/>
        </w:rPr>
        <w:fldChar w:fldCharType="end"/>
      </w:r>
      <w:r w:rsidRPr="00B1522E">
        <w:rPr>
          <w:rFonts w:cstheme="minorHAnsi"/>
        </w:rPr>
        <w:t xml:space="preserve">. Research also indicates that adolescents are more likely to engage in these unhealthy dietary practices if they live in areas of deprivation </w:t>
      </w:r>
      <w:r w:rsidRPr="00B1522E">
        <w:rPr>
          <w:rFonts w:cstheme="minorHAnsi"/>
        </w:rPr>
        <w:fldChar w:fldCharType="begin" w:fldLock="1"/>
      </w:r>
      <w:r w:rsidR="00DF6CCC" w:rsidRPr="00B1522E">
        <w:rPr>
          <w:rFonts w:cstheme="minorHAnsi"/>
        </w:rPr>
        <w:instrText>ADDIN CSL_CITATION {"citationItems":[{"id":"ITEM-1","itemData":{"abstract":"OBJECTIVE To study the association between socioeconomic deprivation and childhood obesity. DESIGN Cross sectional study. SETTING All state primary schools in Plymouth. Plymouth is a relatively deprived city in the United Kingdom, ranking 338th of 366 local authorities on the Department of the Environment Index of Local Conditions. SUBJECTS 20 973 children between the ages of 5 and 14 years, 1994–96. MAIN OUTCOME MEASURE Numbers of obese children (body mass index (BMI) above the 98th centile) by quarters of Townsend score. RESULTS Plymouth had a rate of childhood obesity two and half times that expected nationally (5% v 2%). The obesity prevalence increased with age, being almost double in the oldest age quarter (boys 6.2%; girls 7.0%), compared with the youngest age quarter. Within Plymouth, there was a significant trend for higher rates of obesity related to increasing deprivation in both boys (p=0.017) and girls (p=0.018). The odds ratio (OR) for childhood obesity (highest-lowest quarter of Townsend scores) had borderline significance in boys (OR 1.29, 95% confidence intervals (CI) 1.00 to 1.65, p=0.049) but was larger and more significant in the girls (OR 1.39, 95% CI 1.08 to 1.80, p=0.011). Unlike boys, the association between obesity in girls and Townsend scores became stronger with age such that in the oldest age quarter (over 11.7 years), girls in the highest quarter of Townsend scores were nearly twice as likely be obese, as compared with the lowest quarter (OR 1.95, 95% CI 1.23 to 3.08, p=0.005). State of pubertal development could not be accounted for as this information was not available. CONCLUSIONS This study provides evidence for an association between deprivation and childhood obesity in this English population. The health of children from deprived households is affected by a number of adverse influences. The high prevalence of obesity in these children is yet another factor that could predispose to greater morbidity in adult life.","author":[{"dropping-particle":"","family":"Kinra","given":"Sanjay","non-dropping-particle":"","parse-names":false,"suffix":""},{"dropping-particle":"","family":"Nelder","given":"Robert P","non-dropping-particle":"","parse-names":false,"suffix":""},{"dropping-particle":"","family":"Lewendon","given":"Gill J","non-dropping-particle":"","parse-names":false,"suffix":""}],"container-title":"Journal of Epidemiology and Community Health","id":"ITEM-1","issue":"6","issued":{"date-parts":[["2000","6","1"]]},"page":"456 - 460","title":"Deprivation and childhood obesity: a cross sectional study of 20 973 children in Plymouth, United Kingdom","type":"article-journal","volume":"54"},"uris":["http://www.mendeley.com/documents/?uuid=dac4ad49-9727-4293-af8a-ad1100358859"]},{"id":"ITEM-2","itemData":{"ISSN":"2044-6055","author":[{"dropping-particle":"","family":"Thomas","given":"Fiona","non-dropping-particle":"","parse-names":false,"suffix":""},{"dropping-particle":"","family":"Thomas","given":"Christopher","non-dropping-particle":"","parse-names":false,"suffix":""},{"dropping-particle":"","family":"Hooper","given":"Lucie","non-dropping-particle":"","parse-names":false,"suffix":""},{"dropping-particle":"","family":"Rosenberg","given":"Gillian","non-dropping-particle":"","parse-names":false,"suffix":""},{"dropping-particle":"","family":"Vohra","given":"Jyotsna","non-dropping-particle":"","parse-names":false,"suffix":""},{"dropping-particle":"","family":"Bauld","given":"Linda","non-dropping-particle":"","parse-names":false,"suffix":""}],"container-title":"BMJ open","id":"ITEM-2","issue":"6","issued":{"date-parts":[["2019"]]},"page":"e027333","publisher":"British Medical Journal Publishing Group","title":"Area deprivation, screen time and consumption of food and drink high in fat salt and sugar (HFSS) in young people: results from a cross-sectional study in the UK","type":"article-journal","volume":"9"},"uris":["http://www.mendeley.com/documents/?uuid=29029d96-f32a-4242-bc54-7f3b68f6181b"]}],"mendeley":{"formattedCitation":"(Kinra et al., 2000; F. Thomas et al., 2019)","manualFormatting":"(Kinra et al., 2000; Thomas et al., 2019)","plainTextFormattedCitation":"(Kinra et al., 2000; F. Thomas et al., 2019)","previouslyFormattedCitation":"(Kinra et al., 2000; F. Thomas et al., 2019)"},"properties":{"noteIndex":0},"schema":"https://github.com/citation-style-language/schema/raw/master/csl-citation.json"}</w:instrText>
      </w:r>
      <w:r w:rsidRPr="00B1522E">
        <w:rPr>
          <w:rFonts w:cstheme="minorHAnsi"/>
        </w:rPr>
        <w:fldChar w:fldCharType="separate"/>
      </w:r>
      <w:r w:rsidR="0048570A" w:rsidRPr="00B1522E">
        <w:rPr>
          <w:rFonts w:cstheme="minorHAnsi"/>
          <w:noProof/>
        </w:rPr>
        <w:t>(Kinra et al., 2000; Thomas et al., 2019)</w:t>
      </w:r>
      <w:r w:rsidRPr="00B1522E">
        <w:rPr>
          <w:rFonts w:cstheme="minorHAnsi"/>
        </w:rPr>
        <w:fldChar w:fldCharType="end"/>
      </w:r>
      <w:r w:rsidRPr="00B1522E">
        <w:rPr>
          <w:rFonts w:cstheme="minorHAnsi"/>
        </w:rPr>
        <w:t xml:space="preserve">. </w:t>
      </w:r>
      <w:r w:rsidRPr="00B1522E">
        <w:rPr>
          <w:rFonts w:cstheme="minorHAnsi"/>
          <w:noProof/>
        </w:rPr>
        <w:t xml:space="preserve">It is widely accepted that unhealthy eating patterns that are formed in adolescence tend to persist into adulthood and can lead to longer-term health-comprising conditions, e.g. obesity </w:t>
      </w:r>
      <w:r w:rsidRPr="00B1522E">
        <w:rPr>
          <w:rFonts w:cstheme="minorHAnsi"/>
          <w:noProof/>
        </w:rPr>
        <w:fldChar w:fldCharType="begin" w:fldLock="1"/>
      </w:r>
      <w:r w:rsidRPr="00B1522E">
        <w:rPr>
          <w:rFonts w:cstheme="minorHAnsi"/>
          <w:noProof/>
        </w:rPr>
        <w:instrText>ADDIN CSL_CITATION {"citationItems":[{"id":"ITEM-1","itemData":{"URL":"https://www.gov.uk/government/publications/childhood-obesity-applying-all-our-health/childhood-obesity-applying-all-our-health","author":[{"dropping-particle":"","family":"Public Health England","given":"","non-dropping-particle":"","parse-names":false,"suffix":""}],"id":"ITEM-1","issued":{"date-parts":[["2020"]]},"publisher":"London PHE London","title":"Childhood obesity: Applying all our Health","type":"webpage"},"uris":["http://www.mendeley.com/documents/?uuid=bce80d0a-b08a-4cc7-819c-c1b79d7af988"]}],"mendeley":{"formattedCitation":"(Public Health England, 2020)","plainTextFormattedCitation":"(Public Health England, 2020)","previouslyFormattedCitation":"(Public Health England, 2020)"},"properties":{"noteIndex":0},"schema":"https://github.com/citation-style-language/schema/raw/master/csl-citation.json"}</w:instrText>
      </w:r>
      <w:r w:rsidRPr="00B1522E">
        <w:rPr>
          <w:rFonts w:cstheme="minorHAnsi"/>
          <w:noProof/>
        </w:rPr>
        <w:fldChar w:fldCharType="separate"/>
      </w:r>
      <w:r w:rsidRPr="00B1522E">
        <w:rPr>
          <w:rFonts w:cstheme="minorHAnsi"/>
          <w:noProof/>
        </w:rPr>
        <w:t>(Public Health England, 2020)</w:t>
      </w:r>
      <w:r w:rsidRPr="00B1522E">
        <w:rPr>
          <w:rFonts w:cstheme="minorHAnsi"/>
          <w:noProof/>
        </w:rPr>
        <w:fldChar w:fldCharType="end"/>
      </w:r>
      <w:r w:rsidRPr="00B1522E">
        <w:rPr>
          <w:rFonts w:cstheme="minorHAnsi"/>
          <w:noProof/>
        </w:rPr>
        <w:t xml:space="preserve">. Encouraging healthy eating practices amongst adolescents may be critical in reducing the risk of developing long-term health conditions and to promote normal development </w:t>
      </w:r>
      <w:r w:rsidRPr="00B1522E">
        <w:rPr>
          <w:rFonts w:cstheme="minorHAnsi"/>
          <w:noProof/>
        </w:rPr>
        <w:fldChar w:fldCharType="begin" w:fldLock="1"/>
      </w:r>
      <w:r w:rsidRPr="00B1522E">
        <w:rPr>
          <w:rFonts w:cstheme="minorHAnsi"/>
          <w:noProof/>
        </w:rPr>
        <w:instrText>ADDIN CSL_CITATION {"citationItems":[{"id":"ITEM-1","itemData":{"URL":"https://www.gov.uk/government/publications/early-adolescence-applying-all-our-health/early-adolescence-applying-all-our-health","author":[{"dropping-particle":"","family":"Public Health England","given":"","non-dropping-particle":"","parse-names":false,"suffix":""}],"id":"ITEM-1","issued":{"date-parts":[["2019"]]},"title":"Early adolescence: applying all our health","type":"webpage"},"uris":["http://www.mendeley.com/documents/?uuid=47610d0c-c424-48df-95f2-79763dbb3f8d"]},{"id":"ITEM-2","itemData":{"ISBN":"0957583133","author":[{"dropping-particle":"","family":"Kell","given":"Emily","non-dropping-particle":"","parse-names":false,"suffix":""}],"id":"ITEM-2","issued":{"date-parts":[["2015"]]},"publisher":"British Medical Association","title":"Food for thought: promoting healthy diets among children and young people","type":"report"},"uris":["http://www.mendeley.com/documents/?uuid=7971d387-b8f9-4da5-b869-3ac34a127808"]}],"mendeley":{"formattedCitation":"(Kell, 2015; Public Health England, 2019)","plainTextFormattedCitation":"(Kell, 2015; Public Health England, 2019)","previouslyFormattedCitation":"(Kell, 2015; Public Health England, 2019)"},"properties":{"noteIndex":0},"schema":"https://github.com/citation-style-language/schema/raw/master/csl-citation.json"}</w:instrText>
      </w:r>
      <w:r w:rsidRPr="00B1522E">
        <w:rPr>
          <w:rFonts w:cstheme="minorHAnsi"/>
          <w:noProof/>
        </w:rPr>
        <w:fldChar w:fldCharType="separate"/>
      </w:r>
      <w:r w:rsidRPr="00B1522E">
        <w:rPr>
          <w:rFonts w:cstheme="minorHAnsi"/>
          <w:noProof/>
        </w:rPr>
        <w:t>(Kell, 2015; Public Health England, 2019)</w:t>
      </w:r>
      <w:r w:rsidRPr="00B1522E">
        <w:rPr>
          <w:rFonts w:cstheme="minorHAnsi"/>
          <w:noProof/>
        </w:rPr>
        <w:fldChar w:fldCharType="end"/>
      </w:r>
      <w:r w:rsidRPr="00B1522E">
        <w:rPr>
          <w:rFonts w:cstheme="minorHAnsi"/>
          <w:noProof/>
        </w:rPr>
        <w:t xml:space="preserve">. </w:t>
      </w:r>
    </w:p>
    <w:p w14:paraId="196500DE" w14:textId="2C1DFA00" w:rsidR="00730501" w:rsidRPr="00B1522E" w:rsidRDefault="00730501" w:rsidP="00264C75">
      <w:pPr>
        <w:spacing w:line="480" w:lineRule="auto"/>
        <w:ind w:firstLine="720"/>
        <w:jc w:val="both"/>
        <w:rPr>
          <w:rFonts w:cstheme="minorHAnsi"/>
        </w:rPr>
      </w:pPr>
      <w:r w:rsidRPr="00B1522E">
        <w:rPr>
          <w:rFonts w:cstheme="minorHAnsi"/>
          <w:noProof/>
          <w:shd w:val="clear" w:color="auto" w:fill="FFFFFF"/>
        </w:rPr>
        <w:t xml:space="preserve">Developing effective strategies to improve adolescents’ eating behaviours requires an understanding </w:t>
      </w:r>
      <w:r w:rsidRPr="00B1522E">
        <w:rPr>
          <w:rFonts w:cstheme="minorHAnsi"/>
          <w:shd w:val="clear" w:color="auto" w:fill="FFFFFF"/>
        </w:rPr>
        <w:t>of what influences the development and maintenance of unhealthy dietary behaviours.</w:t>
      </w:r>
      <w:r w:rsidRPr="00B1522E">
        <w:rPr>
          <w:rFonts w:cstheme="minorHAnsi"/>
        </w:rPr>
        <w:t xml:space="preserve"> </w:t>
      </w:r>
      <w:r w:rsidRPr="00B1522E">
        <w:rPr>
          <w:rFonts w:cstheme="minorHAnsi"/>
        </w:rPr>
        <w:fldChar w:fldCharType="begin" w:fldLock="1"/>
      </w:r>
      <w:r w:rsidR="00DF6CCC" w:rsidRPr="00B1522E">
        <w:rPr>
          <w:rFonts w:cstheme="minorHAnsi"/>
        </w:rPr>
        <w:instrText>ADDIN CSL_CITATION {"citationItems":[{"id":"ITEM-1","itemData":{"ISSN":"1359-107X","abstract":"Objectives; While healthy eating patterns are of high importance in adolescence, most adolescents portray quite unhealthy eating behaviour. One reason for this may be that social norms among peers tend to be unsupportive of healthy eating. The current study investigates whether communicating health-promoting descriptive and injunctive norms influences adolescents’ intended and actual fruit consumption. Design: The study employed an experimental prospective design. Methods: A norm message manipulation (descriptive vs. injunctive vs. no-norm control) was administered to high school students, after which fruit intake intention (N = 96) was assessed. At follow-up, actual fruit intake over 2 days (N = 80) was recorded. Results: Adolescents receiving the descriptive norm did not report higher fruit intake intentions than the control group, but did consume (borderline, p = .057) significantly more fruit in the following 2 days (2.3 portions per day) than the control condition (1.7 portion per day). Adolescents receiving the injunctive norm reported lower fruit intake intentions than the other two groups, but actual fruit consumption (1.5 portions per day) was similar to that of the control group. Conclusions: Health-promoting injunctive norms not only had no positive effects on fruit intake but actually caused a decrease in fruit intake intentions, indicating that injunctive norms may be vulnerable to reactance. A health-promoting descriptive norm was found to positively affect fruit intake in adolescents. No effect on fruit intake intention was found. Results show that simple single-sentence norm messages hold the potential to substantially influence health behaviour. (PsycINFO Database Record (c) 2014 APA, all rights reserved). (journal abstract)","author":[{"dropping-particle":"","family":"Stok","given":"F","non-dropping-particle":"","parse-names":false,"suffix":""},{"dropping-particle":"","family":"Ridder","given":"Denise T D","non-dropping-particle":"de","parse-names":false,"suffix":""},{"dropping-particle":"","family":"Vet","given":"Emely","non-dropping-particle":"de","parse-names":false,"suffix":""},{"dropping-particle":"","family":"Wit","given":"John B F","non-dropping-particle":"de","parse-names":false,"suffix":""}],"container-title":"British Journal of Health Psychology","id":"ITEM-1","issue":"1","issued":{"date-parts":[["2014","2"]]},"note":"Accession Number: 2014-00741-004. PMID: 23406475 Partial author list: First Author &amp;amp; Affiliation: Stok, F. Marijn; Department of Clinical and Health Psychology, Utrecht University, Utrecht, Netherlands. Other Publishers: British Psychological Society. Release Date: 20140210. Publication Type: Journal (0100), Peer Reviewed Journal (0110). Format Covered: Electronic. Document Type: Journal Article. Language: English. Major Descriptor: Eating Behavior; Health Promotion; Social Norms. Minor Descriptor: Adolescent Attitudes; Food Intake; Peer Relations. Classification: Promotion &amp;amp; Maintenance of Health &amp;amp; Wellness (3365). Population: Human (10); Male (30); Female (40). Location: Netherlands. Age Group: Adolescence (13-17 yrs) (200). Tests &amp;amp; Measures: Treatment Self-Regulation Questionnaire DOI: 10.1037/t13894-000; Iowa-Netherlands Comparison Orientation Measure DOI: 10.1037/t03438-000. Methodology: Empirical Study; Qualitative Study. References Available: Y. Page Count: 13. Issue Publication Date: Feb, 2014. Publication History: Revised Date: Dec 12, 2012; First Submitted Date: Jul 11, 2012. Copyright Statement: The British Psychological Society. 2013.","page":"52-64","publisher":"Wiley-Blackwell Publishing Ltd.","publisher-place":"Stok, F. Marijn, Department of Clinical and Health Psychology, Utrecht University, Postbox 80140, 3508 TC, Utrecht, Netherlands","title":"Don't tell me what I should do, but what others do: The influence of descriptive and injunctive peer norms on fruit consumption in adolescents.","type":"article-journal","volume":"19"},"uris":["http://www.mendeley.com/documents/?uuid=7e981c5b-6ac2-4533-ac17-c42051b7211d"]}],"mendeley":{"formattedCitation":"(F. Stok et al., 2014)","manualFormatting":"Stok et al. (2014)","plainTextFormattedCitation":"(F. Stok et al., 2014)","previouslyFormattedCitation":"(F. Stok et al., 2014)"},"properties":{"noteIndex":0},"schema":"https://github.com/citation-style-language/schema/raw/master/csl-citation.json"}</w:instrText>
      </w:r>
      <w:r w:rsidRPr="00B1522E">
        <w:rPr>
          <w:rFonts w:cstheme="minorHAnsi"/>
        </w:rPr>
        <w:fldChar w:fldCharType="separate"/>
      </w:r>
      <w:r w:rsidRPr="00B1522E">
        <w:rPr>
          <w:rFonts w:cstheme="minorHAnsi"/>
          <w:noProof/>
        </w:rPr>
        <w:t>Stok et al. (2014)</w:t>
      </w:r>
      <w:r w:rsidRPr="00B1522E">
        <w:rPr>
          <w:rFonts w:cstheme="minorHAnsi"/>
        </w:rPr>
        <w:fldChar w:fldCharType="end"/>
      </w:r>
      <w:r w:rsidRPr="00B1522E">
        <w:rPr>
          <w:rFonts w:cstheme="minorHAnsi"/>
        </w:rPr>
        <w:t xml:space="preserve"> suggest that social norms may be an important influence on unhealthy eating </w:t>
      </w:r>
      <w:r w:rsidRPr="00B1522E">
        <w:rPr>
          <w:rFonts w:cstheme="minorHAnsi"/>
        </w:rPr>
        <w:lastRenderedPageBreak/>
        <w:t xml:space="preserve">practices in adolescents. Social norms are described as unwritten rules that outline acceptable behaviours and/or attitudes of a group </w:t>
      </w:r>
      <w:r w:rsidRPr="00B1522E">
        <w:rPr>
          <w:rFonts w:cstheme="minorHAnsi"/>
        </w:rPr>
        <w:fldChar w:fldCharType="begin" w:fldLock="1"/>
      </w:r>
      <w:r w:rsidR="0063396E" w:rsidRPr="00B1522E">
        <w:rPr>
          <w:rFonts w:cstheme="minorHAnsi"/>
        </w:rPr>
        <w:instrText>ADDIN CSL_CITATION {"citationItems":[{"id":"ITEM-1","itemData":{"ISSN":"1744-8603","abstract":"Recently, Global Health practitioners, scholars, and donors have expressed increased interest in “changing social norms” as a strategy to promote health and well-being in low and mid-income countries (LMIC). Despite this burgeoning interest, the ability of practitioners to use social norm theory to inform health interventions varies widely.","author":[{"dropping-particle":"","family":"Cislaghi","given":"Beniamino","non-dropping-particle":"","parse-names":false,"suffix":""},{"dropping-particle":"","family":"Heise","given":"Lori","non-dropping-particle":"","parse-names":false,"suffix":""}],"container-title":"Globalization and Health","id":"ITEM-1","issue":"1","issued":{"date-parts":[["2018"]]},"page":"83-93","title":"Theory and practice of social norms interventions: eight common pitfalls","type":"article-journal","volume":"14"},"uris":["http://www.mendeley.com/documents/?uuid=dc0101b5-4015-4f0a-9f8e-6b07de8b80f3"]}],"mendeley":{"formattedCitation":"(Cislaghi &amp; Heise, 2018)","plainTextFormattedCitation":"(Cislaghi &amp; Heise, 2018)","previouslyFormattedCitation":"(Cislaghi &amp; Heise, 2018)"},"properties":{"noteIndex":0},"schema":"https://github.com/citation-style-language/schema/raw/master/csl-citation.json"}</w:instrText>
      </w:r>
      <w:r w:rsidRPr="00B1522E">
        <w:rPr>
          <w:rFonts w:cstheme="minorHAnsi"/>
        </w:rPr>
        <w:fldChar w:fldCharType="separate"/>
      </w:r>
      <w:r w:rsidRPr="00B1522E">
        <w:rPr>
          <w:rFonts w:cstheme="minorHAnsi"/>
          <w:noProof/>
        </w:rPr>
        <w:t>(Cislaghi &amp; Heise, 2018)</w:t>
      </w:r>
      <w:r w:rsidRPr="00B1522E">
        <w:rPr>
          <w:rFonts w:cstheme="minorHAnsi"/>
        </w:rPr>
        <w:fldChar w:fldCharType="end"/>
      </w:r>
      <w:r w:rsidRPr="00B1522E">
        <w:rPr>
          <w:rFonts w:cstheme="minorHAnsi"/>
        </w:rPr>
        <w:t xml:space="preserve">.  As children transition into adolescence (11-12 years of age), they spend an increasing amount of time with peers, and </w:t>
      </w:r>
      <w:r w:rsidRPr="00B1522E">
        <w:rPr>
          <w:rFonts w:eastAsia="Calibri" w:cstheme="minorHAnsi"/>
        </w:rPr>
        <w:t xml:space="preserve">peers become an important social referent </w:t>
      </w:r>
      <w:r w:rsidRPr="00B1522E">
        <w:rPr>
          <w:rFonts w:eastAsia="Calibri" w:cstheme="minorHAnsi"/>
        </w:rPr>
        <w:fldChar w:fldCharType="begin" w:fldLock="1"/>
      </w:r>
      <w:r w:rsidR="005776BC" w:rsidRPr="00B1522E">
        <w:rPr>
          <w:rFonts w:eastAsia="Calibri" w:cstheme="minorHAnsi"/>
        </w:rPr>
        <w:instrText>ADDIN CSL_CITATION {"citationItems":[{"id":"ITEM-1","itemData":{"ISSN":"1054-8289 (Print)","PMID":"16532661","abstract":"Mary Story, Karen Kaphingst, and Simone French argue that U.S. schools offer many opportunities for developing obesity-prevention strategies by providing more nutritious food, offering greater opportunities for physical activity, and providing obesity-related health services. Meals at school are available both through the U.S. Department of Agriculture's school breakfast and lunch programs and through \"competitive foods\" sold a la carte in cafeterias, vending machines, and snack bars. School breakfasts and school lunches must meet federal nutrition standards, but competitive foods are exempt from such requirements. And budget pressures force schools to sell the popular but nutritionally poor foods a la carte. Public discomfort with the school food environment is growing. But can schools provide more healthful food options without losing money? Limited evidence shows that they can. Although federal nutrition regulations are inadequate, they permit state and local authorities to impose additional restrictions. And many are doing so. Some states limit sales of nonnutritious foods, and many large school districts restrict competitive foods. Several interventions have changed school food environments, for example, by reducing fat content of food in vending machines and making more fruits and vegetables available. Interventions are just beginning to target the availability of competitive foods. Other pressures can also compromise schools' efforts to encourage physical activity. As states use standardized tests to hold schools and students academically accountable, physical education and recess have become a lower priority. But some states are now mandating and promoting more physical activity in schools. School health services can also help address obesity by providing screening, health information, and referrals to students, especially low-income students, who are at high risk of obesity, tend to be underinsured, and may not receive health services elsewhere.","author":[{"dropping-particle":"","family":"Story","given":"Mary","non-dropping-particle":"","parse-names":false,"suffix":""},{"dropping-particle":"","family":"Kaphingst","given":"Karen M","non-dropping-particle":"","parse-names":false,"suffix":""},{"dropping-particle":"","family":"French","given":"Simone","non-dropping-particle":"","parse-names":false,"suffix":""}],"container-title":"The Future of children","id":"ITEM-1","issue":"1","issued":{"date-parts":[["2006"]]},"language":"eng","page":"109-142","publisher-place":"United States, United States","title":"The role of schools in obesity prevention.","type":"article-journal","volume":"16"},"uris":["http://www.mendeley.com/documents/?uuid=fc0f6045-929f-4566-ac70-4e40fc98e684"]},{"id":"ITEM-2","itemData":{"author":[{"dropping-particle":"","family":"Rohrbeck","given":"Cynthia A","non-dropping-particle":"","parse-names":false,"suffix":""}],"chapter-number":"Peer relat","container-title":"Encyclopedia of primary prevention and health promotion","editor":[{"dropping-particle":"","family":"Gullotta T.P. et al.","given":"","non-dropping-particle":"","parse-names":false,"suffix":""}],"id":"ITEM-2","issued":{"date-parts":[["2003"]]},"page":"808-812","publisher":"Springer","title":"Peer relationships, adolescence","type":"chapter"},"uris":["http://www.mendeley.com/documents/?uuid=2292a1cc-13e2-4438-b9e0-f6f07bc1f025"]}],"mendeley":{"formattedCitation":"(Rohrbeck, 2003; Story et al., 2006)","plainTextFormattedCitation":"(Rohrbeck, 2003; Story et al., 2006)","previouslyFormattedCitation":"(Rohrbeck, 2003; Story et al., 2006)"},"properties":{"noteIndex":0},"schema":"https://github.com/citation-style-language/schema/raw/master/csl-citation.json"}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(Rohrbeck, 2003; Story et al., 2006)</w:t>
      </w:r>
      <w:r w:rsidRPr="00B1522E">
        <w:rPr>
          <w:rFonts w:eastAsia="Calibri" w:cstheme="minorHAnsi"/>
        </w:rPr>
        <w:fldChar w:fldCharType="end"/>
      </w:r>
      <w:r w:rsidRPr="00B1522E">
        <w:rPr>
          <w:rFonts w:eastAsia="Calibri" w:cstheme="minorHAnsi"/>
        </w:rPr>
        <w:t xml:space="preserve">. </w:t>
      </w:r>
      <w:r w:rsidRPr="00B1522E">
        <w:rPr>
          <w:rFonts w:cstheme="minorHAnsi"/>
        </w:rPr>
        <w:t xml:space="preserve">Adolescents have a strong desire to belong and to be accepted by their peer group </w:t>
      </w:r>
      <w:r w:rsidRPr="00B1522E">
        <w:rPr>
          <w:rFonts w:cstheme="minorHAnsi"/>
        </w:rPr>
        <w:fldChar w:fldCharType="begin" w:fldLock="1"/>
      </w:r>
      <w:r w:rsidRPr="00B1522E">
        <w:rPr>
          <w:rFonts w:cstheme="minorHAnsi"/>
        </w:rPr>
        <w:instrText>ADDIN CSL_CITATION {"citationItems":[{"id":"ITEM-1","itemData":{"ISBN":"1136649468","author":[{"dropping-particle":"","family":"Coleman","given":"John","non-dropping-particle":"","parse-names":false,"suffix":""}],"id":"ITEM-1","issued":{"date-parts":[["2011"]]},"publisher":"Routledge","publisher-place":"London","title":"The nature of adolescence","type":"book"},"uris":["http://www.mendeley.com/documents/?uuid=2f77478c-db32-4802-9940-28d2e7c167d5"]}],"mendeley":{"formattedCitation":"(Coleman, 2011)","plainTextFormattedCitation":"(Coleman, 2011)","previouslyFormattedCitation":"(Coleman, 2011)"},"properties":{"noteIndex":0},"schema":"https://github.com/citation-style-language/schema/raw/master/csl-citation.json"}</w:instrText>
      </w:r>
      <w:r w:rsidRPr="00B1522E">
        <w:rPr>
          <w:rFonts w:cstheme="minorHAnsi"/>
        </w:rPr>
        <w:fldChar w:fldCharType="separate"/>
      </w:r>
      <w:r w:rsidRPr="00B1522E">
        <w:rPr>
          <w:rFonts w:cstheme="minorHAnsi"/>
          <w:noProof/>
        </w:rPr>
        <w:t>(Coleman, 2011)</w:t>
      </w:r>
      <w:r w:rsidRPr="00B1522E">
        <w:rPr>
          <w:rFonts w:cstheme="minorHAnsi"/>
        </w:rPr>
        <w:fldChar w:fldCharType="end"/>
      </w:r>
      <w:r w:rsidRPr="00B1522E">
        <w:rPr>
          <w:rFonts w:cstheme="minorHAnsi"/>
        </w:rPr>
        <w:t xml:space="preserve">, and </w:t>
      </w:r>
      <w:r w:rsidRPr="00B1522E">
        <w:rPr>
          <w:rFonts w:eastAsia="Calibri" w:cstheme="minorHAnsi"/>
        </w:rPr>
        <w:t xml:space="preserve">adolescents tend to use the perceived dietary behaviour and attitudes of peers as a guide for their own dietary behaviours </w:t>
      </w:r>
      <w:r w:rsidRPr="00B1522E">
        <w:rPr>
          <w:rFonts w:eastAsia="Calibri" w:cstheme="minorHAnsi"/>
        </w:rPr>
        <w:fldChar w:fldCharType="begin" w:fldLock="1"/>
      </w:r>
      <w:r w:rsidR="005776BC" w:rsidRPr="00B1522E">
        <w:rPr>
          <w:rFonts w:eastAsia="Calibri" w:cstheme="minorHAnsi"/>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students","type":"article-journal","volume":"122"},"uris":["http://www.mendeley.com/documents/?uuid=e1e10531-7b54-405b-bd74-1860d2310949"]},{"id":"ITEM-2","itemData":{"ISBN":"0195-6663(Print)","abstract":"Perceptions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W","non-dropping-particle":"","parse-names":false,"suffix":""}],"container-title":"Appetite","id":"ITEM-2","issued":{"date-parts":[["2018"]]},"page":"82-93","publisher":"Elsevier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States.","type":"article-journal","volume":"129"},"uris":["http://www.mendeley.com/documents/?uuid=8512058f-516f-45e2-9148-9381fb740b26"]}],"mendeley":{"formattedCitation":"(Calvert et al., 2020; J. M. Perkins et al., 2018)","manualFormatting":"(Calvert et al., 2020; Perkins et al., 2018)","plainTextFormattedCitation":"(Calvert et al., 2020; J. M. Perkins et al., 2018)","previouslyFormattedCitation":"(Calvert et al., 2020; J. M. Perkins et al., 2018)"},"properties":{"noteIndex":0},"schema":"https://github.com/citation-style-language/schema/raw/master/csl-citation.json"}</w:instrText>
      </w:r>
      <w:r w:rsidRPr="00B1522E">
        <w:rPr>
          <w:rFonts w:eastAsia="Calibri" w:cstheme="minorHAnsi"/>
        </w:rPr>
        <w:fldChar w:fldCharType="separate"/>
      </w:r>
      <w:r w:rsidR="003822CC" w:rsidRPr="00B1522E">
        <w:rPr>
          <w:rFonts w:eastAsia="Calibri" w:cstheme="minorHAnsi"/>
          <w:noProof/>
        </w:rPr>
        <w:t>(Calvert et al., 2020; Perkins et al., 2018)</w:t>
      </w:r>
      <w:r w:rsidRPr="00B1522E">
        <w:rPr>
          <w:rFonts w:eastAsia="Calibri" w:cstheme="minorHAnsi"/>
        </w:rPr>
        <w:fldChar w:fldCharType="end"/>
      </w:r>
      <w:r w:rsidRPr="00B1522E">
        <w:rPr>
          <w:rFonts w:eastAsia="Calibri" w:cstheme="minorHAnsi"/>
        </w:rPr>
        <w:t xml:space="preserve">. For example, </w:t>
      </w:r>
      <w:r w:rsidRPr="00B1522E">
        <w:rPr>
          <w:rFonts w:eastAsia="Calibri" w:cstheme="minorHAnsi"/>
        </w:rPr>
        <w:fldChar w:fldCharType="begin" w:fldLock="1"/>
      </w:r>
      <w:r w:rsidR="005776BC" w:rsidRPr="00B1522E">
        <w:rPr>
          <w:rFonts w:eastAsia="Calibri" w:cstheme="minorHAnsi"/>
        </w:rPr>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Perkins et al. (2010)</w:t>
      </w:r>
      <w:r w:rsidRPr="00B1522E">
        <w:rPr>
          <w:rFonts w:eastAsia="Calibri" w:cstheme="minorHAnsi"/>
        </w:rPr>
        <w:fldChar w:fldCharType="end"/>
      </w:r>
      <w:r w:rsidRPr="00B1522E">
        <w:rPr>
          <w:rFonts w:eastAsia="Calibri" w:cstheme="minorHAnsi"/>
        </w:rPr>
        <w:t xml:space="preserve"> </w:t>
      </w:r>
      <w:r w:rsidRPr="00B1522E">
        <w:rPr>
          <w:rFonts w:cstheme="minorHAnsi"/>
        </w:rPr>
        <w:t xml:space="preserve">found that secondary school students (11-18 years old) consumed more sugary beverages themselves if they believed that peers also did so. However, these perceptions are not always accurate as they do not always reflect peers’ actual reported behaviour and/or attitudes </w:t>
      </w:r>
      <w:r w:rsidRPr="00B1522E">
        <w:rPr>
          <w:rFonts w:cstheme="minorHAnsi"/>
        </w:rPr>
        <w:fldChar w:fldCharType="begin" w:fldLock="1"/>
      </w:r>
      <w:r w:rsidR="006741EA"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rFonts w:cstheme="minorHAnsi"/>
        </w:rPr>
        <w:fldChar w:fldCharType="separate"/>
      </w:r>
      <w:r w:rsidRPr="00B1522E">
        <w:rPr>
          <w:rFonts w:cstheme="minorHAnsi"/>
          <w:noProof/>
        </w:rPr>
        <w:t>(Lally et al., 2011)</w:t>
      </w:r>
      <w:r w:rsidRPr="00B1522E">
        <w:rPr>
          <w:rFonts w:cstheme="minorHAnsi"/>
        </w:rPr>
        <w:fldChar w:fldCharType="end"/>
      </w:r>
      <w:r w:rsidRPr="00B1522E">
        <w:rPr>
          <w:rFonts w:cstheme="minorHAnsi"/>
        </w:rPr>
        <w:t xml:space="preserve">. </w:t>
      </w:r>
      <w:r w:rsidRPr="00B1522E">
        <w:rPr>
          <w:rFonts w:eastAsia="Calibri" w:cstheme="minorHAnsi"/>
        </w:rPr>
        <w:t xml:space="preserve">For example, </w:t>
      </w:r>
      <w:r w:rsidRPr="00B1522E">
        <w:rPr>
          <w:rFonts w:cstheme="minorHAnsi"/>
        </w:rPr>
        <w:t xml:space="preserve">Lally et al. (2011) found that older adolescents (16-19 years of age) overestimated peers’ consumption of unhealthy snacks and perceived peers to have a more positive attitude towards unhealthy snacking than they actually had. The greater these overestimations, the increased likelihood that individuals will engage in unhealthy behaviours </w:t>
      </w:r>
      <w:r w:rsidRPr="00B1522E">
        <w:rPr>
          <w:rFonts w:cstheme="minorHAnsi"/>
        </w:rPr>
        <w:fldChar w:fldCharType="begin" w:fldLock="1"/>
      </w:r>
      <w:r w:rsidR="000B6159" w:rsidRPr="00B1522E">
        <w:rPr>
          <w:rFonts w:cstheme="minorHAnsi"/>
        </w:rPr>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approach","type":"chapter"},"uris":["http://www.mendeley.com/documents/?uuid=7e72ac3f-525d-40f4-9876-d8bb37f8a3fc"]}],"mendeley":{"formattedCitation":"(Berkowitz, 2005)","plainTextFormattedCitation":"(Berkowitz, 2005)","previouslyFormattedCitation":"(Berkowitz, 2005)"},"properties":{"noteIndex":0},"schema":"https://github.com/citation-style-language/schema/raw/master/csl-citation.json"}</w:instrText>
      </w:r>
      <w:r w:rsidRPr="00B1522E">
        <w:rPr>
          <w:rFonts w:cstheme="minorHAnsi"/>
        </w:rPr>
        <w:fldChar w:fldCharType="separate"/>
      </w:r>
      <w:r w:rsidRPr="00B1522E">
        <w:rPr>
          <w:rFonts w:cstheme="minorHAnsi"/>
          <w:noProof/>
        </w:rPr>
        <w:t>(Berkowitz, 2005)</w:t>
      </w:r>
      <w:r w:rsidRPr="00B1522E">
        <w:rPr>
          <w:rFonts w:cstheme="minorHAnsi"/>
        </w:rPr>
        <w:fldChar w:fldCharType="end"/>
      </w:r>
      <w:r w:rsidRPr="00B1522E">
        <w:rPr>
          <w:rFonts w:cstheme="minorHAnsi"/>
        </w:rPr>
        <w:t>, for example, consuming a large number of unhealthy snacks.</w:t>
      </w:r>
    </w:p>
    <w:p w14:paraId="52DF0C0E" w14:textId="3B58CCE0" w:rsidR="00730501" w:rsidRPr="00B1522E" w:rsidRDefault="00730501" w:rsidP="00264C75">
      <w:pPr>
        <w:spacing w:line="480" w:lineRule="auto"/>
        <w:ind w:firstLine="720"/>
        <w:jc w:val="both"/>
        <w:rPr>
          <w:rFonts w:cstheme="minorHAnsi"/>
        </w:rPr>
      </w:pPr>
      <w:r w:rsidRPr="00B1522E">
        <w:rPr>
          <w:rFonts w:cstheme="minorHAnsi"/>
          <w:noProof/>
        </w:rPr>
        <w:t xml:space="preserve">An evidence-based approach has developed which focuses on the </w:t>
      </w:r>
      <w:r w:rsidRPr="00B1522E">
        <w:rPr>
          <w:rFonts w:cstheme="minorHAnsi"/>
        </w:rPr>
        <w:t xml:space="preserve">influence of misperceptions of the social norms of a variety of positive and negative health behaviours, on personal behaviours (the “Social Norms Approach”) </w:t>
      </w:r>
      <w:r w:rsidRPr="00B1522E">
        <w:rPr>
          <w:rFonts w:cstheme="minorHAnsi"/>
        </w:rPr>
        <w:fldChar w:fldCharType="begin" w:fldLock="1"/>
      </w:r>
      <w:r w:rsidR="007463D4" w:rsidRPr="00B1522E">
        <w:rPr>
          <w:rFonts w:cstheme="minorHAnsi"/>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cstheme="minorHAnsi"/>
        </w:rPr>
        <w:fldChar w:fldCharType="separate"/>
      </w:r>
      <w:r w:rsidR="002908AE" w:rsidRPr="00B1522E">
        <w:rPr>
          <w:rFonts w:cstheme="minorHAnsi"/>
          <w:noProof/>
        </w:rPr>
        <w:t>(Dempsey et al., 2018)</w:t>
      </w:r>
      <w:r w:rsidRPr="00B1522E">
        <w:rPr>
          <w:rFonts w:cstheme="minorHAnsi"/>
        </w:rPr>
        <w:fldChar w:fldCharType="end"/>
      </w:r>
      <w:r w:rsidRPr="00B1522E">
        <w:rPr>
          <w:rFonts w:cstheme="minorHAnsi"/>
        </w:rPr>
        <w:t xml:space="preserve">. </w:t>
      </w:r>
      <w:r w:rsidRPr="00B1522E">
        <w:rPr>
          <w:rFonts w:cstheme="minorHAnsi"/>
          <w:noProof/>
        </w:rPr>
        <w:t xml:space="preserve">The Social Norms Approach operates on the assumption that individuals often misperceive the behaviour and attitudes of their peers, and </w:t>
      </w:r>
      <w:r w:rsidRPr="00B1522E">
        <w:rPr>
          <w:rFonts w:cstheme="minorHAnsi"/>
        </w:rPr>
        <w:t>that</w:t>
      </w:r>
      <w:r w:rsidRPr="00B1522E">
        <w:rPr>
          <w:rFonts w:cstheme="minorHAnsi"/>
          <w:noProof/>
        </w:rPr>
        <w:t xml:space="preserve"> these commonly-held misperceptions can </w:t>
      </w:r>
      <w:r w:rsidRPr="00B1522E">
        <w:rPr>
          <w:rFonts w:eastAsia="Calibri" w:cstheme="minorHAnsi"/>
          <w:noProof/>
        </w:rPr>
        <w:t xml:space="preserve">lead to an increase in personal unhealthy behaviours </w:t>
      </w:r>
      <w:r w:rsidRPr="00B1522E">
        <w:rPr>
          <w:rFonts w:cstheme="minorHAnsi"/>
          <w:noProof/>
        </w:rPr>
        <w:fldChar w:fldCharType="begin" w:fldLock="1"/>
      </w:r>
      <w:r w:rsidR="004A684E" w:rsidRPr="00B1522E">
        <w:rPr>
          <w:rFonts w:cstheme="minorHAnsi"/>
          <w:noProof/>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rPr>
          <w:rFonts w:cstheme="minorHAnsi"/>
          <w:noProof/>
        </w:rPr>
        <w:fldChar w:fldCharType="separate"/>
      </w:r>
      <w:r w:rsidRPr="00B1522E">
        <w:rPr>
          <w:rFonts w:cstheme="minorHAnsi"/>
          <w:noProof/>
        </w:rPr>
        <w:t>(Perkins &amp; Berkowitz, 1986)</w:t>
      </w:r>
      <w:r w:rsidRPr="00B1522E">
        <w:rPr>
          <w:rFonts w:cstheme="minorHAnsi"/>
          <w:noProof/>
        </w:rPr>
        <w:fldChar w:fldCharType="end"/>
      </w:r>
      <w:r w:rsidRPr="00B1522E">
        <w:rPr>
          <w:rFonts w:cstheme="minorHAnsi"/>
          <w:noProof/>
        </w:rPr>
        <w:t xml:space="preserve">. </w:t>
      </w:r>
      <w:r w:rsidRPr="00B1522E">
        <w:rPr>
          <w:rFonts w:cstheme="minorHAnsi"/>
        </w:rPr>
        <w:t xml:space="preserve">Pluralistic ignorance may lead individuals to believe that their behaviour and/or attitudes (e.g. not consuming alcohol) are not aligned with the norm (e.g. consuming alcohol) when their behaviour actually is the norm </w:t>
      </w:r>
      <w:r w:rsidRPr="00B1522E">
        <w:rPr>
          <w:rFonts w:cstheme="minorHAnsi"/>
        </w:rPr>
        <w:fldChar w:fldCharType="begin" w:fldLock="1"/>
      </w:r>
      <w:r w:rsidRPr="00B1522E">
        <w:rPr>
          <w:rFonts w:cstheme="minorHAnsi"/>
        </w:rPr>
        <w:instrText>ADDIN CSL_CITATION {"citationItems":[{"id":"ITEM-1","itemData":{"ISSN":"0021-9029","author":[{"dropping-particle":"","family":"Schroeder","given":"Christine M","non-dropping-particle":"","parse-names":false,"suffix":""},{"dropping-particle":"","family":"Prentice","given":"Deborah A","non-dropping-particle":"","parse-names":false,"suffix":""}],"container-title":"Journal of Applied Social Psychology","id":"ITEM-1","issue":"23","issued":{"date-parts":[["1998"]]},"page":"2150-2180","publisher":"Wiley Online Library","title":"Exposing Pluralistic Ignorance to Reduce Alcohol Use Among College Students 1","type":"article-journal","volume":"28"},"uris":["http://www.mendeley.com/documents/?uuid=cceb5df0-828e-496c-ba30-b1d53440ddb1"]}],"mendeley":{"formattedCitation":"(Schroeder &amp; Prentice, 1998)","plainTextFormattedCitation":"(Schroeder &amp; Prentice, 1998)","previouslyFormattedCitation":"(Schroeder &amp; Prentice, 1998)"},"properties":{"noteIndex":0},"schema":"https://github.com/citation-style-language/schema/raw/master/csl-citation.json"}</w:instrText>
      </w:r>
      <w:r w:rsidRPr="00B1522E">
        <w:rPr>
          <w:rFonts w:cstheme="minorHAnsi"/>
        </w:rPr>
        <w:fldChar w:fldCharType="separate"/>
      </w:r>
      <w:r w:rsidRPr="00B1522E">
        <w:rPr>
          <w:rFonts w:cstheme="minorHAnsi"/>
          <w:noProof/>
        </w:rPr>
        <w:t>(Schroeder &amp; Prentice, 1998)</w:t>
      </w:r>
      <w:r w:rsidRPr="00B1522E">
        <w:rPr>
          <w:rFonts w:cstheme="minorHAnsi"/>
        </w:rPr>
        <w:fldChar w:fldCharType="end"/>
      </w:r>
      <w:r w:rsidRPr="00B1522E">
        <w:rPr>
          <w:rFonts w:cstheme="minorHAnsi"/>
        </w:rPr>
        <w:t>. This can occur when an individual witnesses another individual’s highly memorable behaviour (</w:t>
      </w:r>
      <w:r w:rsidR="007D734F" w:rsidRPr="00B1522E">
        <w:rPr>
          <w:rFonts w:cstheme="minorHAnsi"/>
        </w:rPr>
        <w:t>e.g.,</w:t>
      </w:r>
      <w:r w:rsidRPr="00B1522E">
        <w:rPr>
          <w:rFonts w:cstheme="minorHAnsi"/>
        </w:rPr>
        <w:t xml:space="preserve"> consuming a large amount of alcohol) and incorrectly assuming that to be the norm. Individuals, it is suggested, avoid behaviours and attitudes that are incorrectly believed to be non-normative and alternatively engage in unhealthy </w:t>
      </w:r>
      <w:r w:rsidRPr="00B1522E">
        <w:rPr>
          <w:rFonts w:cstheme="minorHAnsi"/>
        </w:rPr>
        <w:lastRenderedPageBreak/>
        <w:t xml:space="preserve">behaviours that are incorrectly perceived to be normative </w:t>
      </w:r>
      <w:r w:rsidRPr="00B1522E">
        <w:rPr>
          <w:rFonts w:cstheme="minorHAnsi"/>
        </w:rPr>
        <w:fldChar w:fldCharType="begin" w:fldLock="1"/>
      </w:r>
      <w:r w:rsidR="004A684E" w:rsidRPr="00B1522E">
        <w:rPr>
          <w:rFonts w:cstheme="minorHAnsi"/>
        </w:rPr>
        <w:instrText>ADDIN CSL_CITATION {"citationItems":[{"id":"ITEM-1","itemData":{"author":[{"dropping-particle":"","family":"Kim","given":"J","non-dropping-particle":"","parse-names":false,"suffix":""},{"dropping-particle":"","family":"Lee","given":"Z","non-dropping-particle":"","parse-names":false,"suffix":""},{"dropping-particle":"","family":"Yoon","given":"S","non-dropping-particle":"","parse-names":false,"suffix":""}],"container-title":"AMCIS 2005 Proceedings","id":"ITEM-1","issue":"6","issued":{"date-parts":[["2005"]]},"page":"446-452","title":"Pluralistic ignorance in the personal use of the Internet and system monitoring","type":"article-journal"},"uris":["http://www.mendeley.com/documents/?uuid=5c5325fa-c67c-4530-b38a-e7e307733a95"]}],"mendeley":{"formattedCitation":"(J. Kim et al., 2005)","manualFormatting":"(Kim et al., 2005)","plainTextFormattedCitation":"(J. Kim et al., 2005)","previouslyFormattedCitation":"(J. Kim et al., 2005)"},"properties":{"noteIndex":0},"schema":"https://github.com/citation-style-language/schema/raw/master/csl-citation.json"}</w:instrText>
      </w:r>
      <w:r w:rsidRPr="00B1522E">
        <w:rPr>
          <w:rFonts w:cstheme="minorHAnsi"/>
        </w:rPr>
        <w:fldChar w:fldCharType="separate"/>
      </w:r>
      <w:r w:rsidR="0048570A" w:rsidRPr="00B1522E">
        <w:rPr>
          <w:rFonts w:cstheme="minorHAnsi"/>
          <w:noProof/>
        </w:rPr>
        <w:t>(Kim et al., 2005)</w:t>
      </w:r>
      <w:r w:rsidRPr="00B1522E">
        <w:rPr>
          <w:rFonts w:cstheme="minorHAnsi"/>
        </w:rPr>
        <w:fldChar w:fldCharType="end"/>
      </w:r>
      <w:r w:rsidRPr="00B1522E">
        <w:rPr>
          <w:rFonts w:cstheme="minorHAnsi"/>
        </w:rPr>
        <w:t xml:space="preserve"> in response to perceived social pressures </w:t>
      </w:r>
      <w:r w:rsidRPr="00B1522E">
        <w:rPr>
          <w:rFonts w:cstheme="minorHAnsi"/>
        </w:rPr>
        <w:fldChar w:fldCharType="begin" w:fldLock="1"/>
      </w:r>
      <w:r w:rsidRPr="00B1522E">
        <w:rPr>
          <w:rFonts w:cstheme="minorHAnsi"/>
        </w:rPr>
        <w:instrText>ADDIN CSL_CITATION {"citationItems":[{"id":"ITEM-1","itemData":{"ISSN":"0096-851X","author":[{"dropping-particle":"","family":"Deutsch","given":"Morton","non-dropping-particle":"","parse-names":false,"suffix":""},{"dropping-particle":"","family":"Gerard","given":"Harold B","non-dropping-particle":"","parse-names":false,"suffix":""}],"container-title":"The journal of abnormal and social psychology","id":"ITEM-1","issue":"3","issued":{"date-parts":[["1955"]]},"page":"629-631","publisher":"American Psychological Association","title":"A study of normative and informational social influences upon individual judgment.","type":"article-journal","volume":"51"},"uris":["http://www.mendeley.com/documents/?uuid=5962b903-3494-4f50-8ba8-60da5e4a8727"]}],"mendeley":{"formattedCitation":"(Deutsch &amp; Gerard, 1955)","plainTextFormattedCitation":"(Deutsch &amp; Gerard, 1955)","previouslyFormattedCitation":"(Deutsch &amp; Gerard, 1955)"},"properties":{"noteIndex":0},"schema":"https://github.com/citation-style-language/schema/raw/master/csl-citation.json"}</w:instrText>
      </w:r>
      <w:r w:rsidRPr="00B1522E">
        <w:rPr>
          <w:rFonts w:cstheme="minorHAnsi"/>
        </w:rPr>
        <w:fldChar w:fldCharType="separate"/>
      </w:r>
      <w:r w:rsidRPr="00B1522E">
        <w:rPr>
          <w:rFonts w:cstheme="minorHAnsi"/>
          <w:noProof/>
        </w:rPr>
        <w:t>(Deutsch &amp; Gerard, 1955)</w:t>
      </w:r>
      <w:r w:rsidRPr="00B1522E">
        <w:rPr>
          <w:rFonts w:cstheme="minorHAnsi"/>
        </w:rPr>
        <w:fldChar w:fldCharType="end"/>
      </w:r>
      <w:r w:rsidRPr="00B1522E">
        <w:rPr>
          <w:rFonts w:cstheme="minorHAnsi"/>
        </w:rPr>
        <w:t xml:space="preserve">. </w:t>
      </w:r>
    </w:p>
    <w:p w14:paraId="51DE52E5" w14:textId="7A53D9A4" w:rsidR="00730501" w:rsidRPr="00B1522E" w:rsidRDefault="00730501" w:rsidP="00264C75">
      <w:pPr>
        <w:spacing w:line="480" w:lineRule="auto"/>
        <w:ind w:firstLine="720"/>
        <w:jc w:val="both"/>
        <w:rPr>
          <w:rFonts w:cstheme="minorHAnsi"/>
        </w:rPr>
      </w:pPr>
      <w:r w:rsidRPr="00B1522E">
        <w:rPr>
          <w:rFonts w:cstheme="minorHAnsi"/>
        </w:rPr>
        <w:t xml:space="preserve">The Social Norms Approach focuses on two different types of norms which influence behaviour: descriptive norms (the perceived behavioural practices of peers); and injunctive norms (perceived attitudes or perceived approval of peers) </w:t>
      </w:r>
      <w:r w:rsidRPr="00B1522E">
        <w:rPr>
          <w:rFonts w:cstheme="minorHAnsi"/>
        </w:rPr>
        <w:fldChar w:fldCharType="begin" w:fldLock="1"/>
      </w:r>
      <w:r w:rsidR="004A684E" w:rsidRPr="00B1522E">
        <w:rPr>
          <w:rFonts w:cstheme="minorHAnsi"/>
        </w:rPr>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rPr>
          <w:rFonts w:cstheme="minorHAnsi"/>
        </w:rPr>
        <w:fldChar w:fldCharType="separate"/>
      </w:r>
      <w:r w:rsidRPr="00B1522E">
        <w:rPr>
          <w:rFonts w:cstheme="minorHAnsi"/>
          <w:noProof/>
        </w:rPr>
        <w:t>(Perkins &amp; Berkowitz, 1986)</w:t>
      </w:r>
      <w:r w:rsidRPr="00B1522E">
        <w:rPr>
          <w:rFonts w:cstheme="minorHAnsi"/>
        </w:rPr>
        <w:fldChar w:fldCharType="end"/>
      </w:r>
      <w:r w:rsidRPr="00B1522E">
        <w:rPr>
          <w:rFonts w:cstheme="minorHAnsi"/>
        </w:rPr>
        <w:t xml:space="preserve">. There is a considerable amount of evidence that supports that adolescents often misperceive the prevalence of unhealthy behaviours (descriptive norm) in their peers and believe peers to be more accepting of these behaviours (injunctive norm), which can impact an individual’s behaviour </w:t>
      </w:r>
      <w:r w:rsidRPr="00B1522E">
        <w:rPr>
          <w:rFonts w:cstheme="minorHAnsi"/>
        </w:rPr>
        <w:fldChar w:fldCharType="begin" w:fldLock="1"/>
      </w:r>
      <w:r w:rsidR="00D20B1B" w:rsidRPr="00B1522E">
        <w:rPr>
          <w:rFonts w:cstheme="minorHAnsi"/>
        </w:rPr>
        <w:instrText>ADDIN CSL_CITATION {"citationItems":[{"id":"ITEM-1","itemData":{"ISSN":"1057-9230","author":[{"dropping-particle":"","family":"Amialchuk","given":"Aliaksandr","non-dropping-particle":"","parse-names":false,"suffix":""},{"dropping-particle":"","family":"Ajilore","given":"Olugbenga","non-dropping-particle":"","parse-names":false,"suffix":""},{"dropping-particle":"","family":"Egan","given":"Kevin","non-dropping-particle":"","parse-names":false,"suffix":""}],"container-title":"Health economics","id":"ITEM-1","issue":"6","issued":{"date-parts":[["2019"]]},"page":"736-747","publisher":"Wiley Online Library","title":"The influence of misperceptions about social norms on substance use among school‐aged adolescents","type":"article-journal","volume":"28"},"uris":["http://www.mendeley.com/documents/?uuid=6163c7af-8408-466b-84fd-80b90d29aaa9"]},{"id":"ITEM-2","itemData":{"ISSN":"0268-1153","abstract":"Adolescents tend to overestimate peer drinking; the resulting misperception of the social norm predicts the child’s own future drinking. This study examined the misperception’s relatedness to a person’s drinking pattern in order to facilitate the segmentation of the audience for health education interventions. Adolescent Health and Lifestyle Survey (Finland) data on 14 year olds’ drinking patterns and perceptions of peer drinking were gathered using self‐administered mailed questionnaires in 1989 (N = 3105, response rate 77%), 1995 (N = 8382, 79%) and 2001 (N = 7292, 70%). The perceptions of peer drinking were significantly related to respondents’ drinking patterns. Non‐drinkers and those drinking recurrently until drunkenness held reasonably correct views of their peers’ drinking. However, the segment between these two extremes comprising around half of the cohort incorrectly thought that their peers drank more; they misperceived the normative drinking pattern to be drunkenness. From health education perspective, three different target audiences can be identified: non‐drinkers, moderate drinkers and heavy drinkers. The intermediate group, drinkers not normally getting drunk, holds the view most influenced by the social norm misperception and are likely to feel pressured to increase their drinking. The social norms marketing approach to health education should find this group the most viable target.","author":[{"dropping-particle":"","family":"Lintonen","given":"T P","non-dropping-particle":"","parse-names":false,"suffix":""},{"dropping-particle":"","family":"Konu","given":"A I","non-dropping-particle":"","parse-names":false,"suffix":""}],"container-title":"Health Education Research","id":"ITEM-2","issue":"1","issued":{"date-parts":[["2004","2","1"]]},"page":"64-70","title":"The misperceived social norm of drunkenness among early adolescents in Finland","type":"article-journal","volume":"19"},"uris":["http://www.mendeley.com/documents/?uuid=07bb30e7-494c-47b3-a908-36b32f219235"]},{"id":"ITEM-3","itemData":{"ISSN":"1937-1888","author":[{"dropping-particle":"","family":"Perkins","given":"J.M","non-dropping-particle":"","parse-names":false,"suffix":""},{"dropping-particle":"","family":"Perkins","given":"H. W","non-dropping-particle":"","parse-names":false,"suffix":""},{"dropping-particle":"","family":"Jurinsky","given":"J","non-dropping-particle":"","parse-names":false,"suffix":""},{"dropping-particle":"","family":"Craig","given":"D.W","non-dropping-particle":"","parse-names":false,"suffix":""}],"container-title":"Journal of Studies on Alcohol and Drugs","id":"ITEM-3","issue":"6","issued":{"date-parts":[["2019"]]},"page":"659-668","publisher":"Rutgers University","title":"Adolescent Tobacco Use and Misperceptions of Social Norms Across Schools in the United States","type":"article-journal","volume":"80"},"uris":["http://www.mendeley.com/documents/?uuid=36401d15-38e8-4f27-a26d-4e5fd7c0f718"]}],"mendeley":{"formattedCitation":"(Amialchuk et al., 2019; Lintonen &amp; Konu, 2004; J. . Perkins et al., 2019)","manualFormatting":"(Amialchuk et al., 2019; Lintonen &amp; Konu, 2004; Perkins et al., 2019)","plainTextFormattedCitation":"(Amialchuk et al., 2019; Lintonen &amp; Konu, 2004; J. . Perkins et al., 2019)","previouslyFormattedCitation":"(Amialchuk et al., 2019; Lintonen &amp; Konu, 2004; J. . Perkins et al., 2019)"},"properties":{"noteIndex":0},"schema":"https://github.com/citation-style-language/schema/raw/master/csl-citation.json"}</w:instrText>
      </w:r>
      <w:r w:rsidRPr="00B1522E">
        <w:rPr>
          <w:rFonts w:cstheme="minorHAnsi"/>
        </w:rPr>
        <w:fldChar w:fldCharType="separate"/>
      </w:r>
      <w:r w:rsidRPr="00B1522E">
        <w:rPr>
          <w:rFonts w:cstheme="minorHAnsi"/>
          <w:noProof/>
          <w:lang w:val="nl-NL"/>
        </w:rPr>
        <w:t>(Amialchuk et al., 2019; Lintonen &amp; Konu, 2004; Perkins et al., 2019)</w:t>
      </w:r>
      <w:r w:rsidRPr="00B1522E">
        <w:rPr>
          <w:rFonts w:cstheme="minorHAnsi"/>
        </w:rPr>
        <w:fldChar w:fldCharType="end"/>
      </w:r>
      <w:r w:rsidRPr="00B1522E">
        <w:rPr>
          <w:rFonts w:cstheme="minorHAnsi"/>
          <w:lang w:val="nl-NL"/>
        </w:rPr>
        <w:t xml:space="preserve">. </w:t>
      </w:r>
      <w:r w:rsidRPr="00B1522E">
        <w:rPr>
          <w:rFonts w:cstheme="minorHAnsi"/>
        </w:rPr>
        <w:fldChar w:fldCharType="begin" w:fldLock="1"/>
      </w:r>
      <w:r w:rsidRPr="00B1522E">
        <w:rPr>
          <w:rFonts w:cstheme="minorHAnsi"/>
          <w:lang w:val="nl-NL"/>
        </w:rPr>
        <w:instrText>ADDIN CSL_CITATION {"citationItems":[{"id":"ITEM-1","itemData":{"ISSN":"1057-9230","author":[{"dropping-particle":"","family":"Amialchuk","given":"Aliaksandr","non-dropping-particle":"","parse-names":false,"suffix":""},{"dropping-particle":"","family":"Ajilore","given":"Olugbenga","non-dropping-particle":"","parse-names":false,"suffix":""},{"dropping-particle":"","family":"Egan","given":"Kevin","non-dropping-particle":"","parse-names":false,"suffix":""}],"container-title":"Health economics","id":"ITEM-1","issue":"6","issued":{"date-parts":[["2019"]]},"page":"736-747","publisher":"Wiley Online Library","title":"The influence of misperceptions about social norms on substance use among school‐aged adolescents","type":"article-journal","volume":"28"},"uris":["http://www.mendeley.com/documents/?uuid=6163c7af-8408-466b-84fd-80b90d29aaa9"]}],"mendeley":{"formattedCitation":"(Amialchuk et al., 2019)","manualFormatting":"Amialchuk et al. (2019)","plainTextFormattedCitation":"(Amialchuk et al., 2019)","previouslyFormattedCitation":"(Amialchuk et al., 2019)"},"properties":{"noteIndex":0},"schema":"https://github.com/citation-style-language/schema/raw/master/csl-citation.json"}</w:instrText>
      </w:r>
      <w:r w:rsidRPr="00B1522E">
        <w:rPr>
          <w:rFonts w:cstheme="minorHAnsi"/>
        </w:rPr>
        <w:fldChar w:fldCharType="separate"/>
      </w:r>
      <w:r w:rsidRPr="00B1522E">
        <w:rPr>
          <w:rFonts w:cstheme="minorHAnsi"/>
          <w:noProof/>
          <w:lang w:val="nl-NL"/>
        </w:rPr>
        <w:t xml:space="preserve">Amialchuk et al. </w:t>
      </w:r>
      <w:r w:rsidRPr="00B1522E">
        <w:rPr>
          <w:rFonts w:cstheme="minorHAnsi"/>
          <w:noProof/>
        </w:rPr>
        <w:t>(2019)</w:t>
      </w:r>
      <w:r w:rsidRPr="00B1522E">
        <w:rPr>
          <w:rFonts w:cstheme="minorHAnsi"/>
        </w:rPr>
        <w:fldChar w:fldCharType="end"/>
      </w:r>
      <w:r w:rsidRPr="00B1522E">
        <w:rPr>
          <w:rFonts w:cstheme="minorHAnsi"/>
        </w:rPr>
        <w:t xml:space="preserve"> found that adolescents’ (11-19 years old) overestimation of peers’ substance abuse (alcohol, cigarettes and marijuana) was related to an increase in individual use of these substances one year later. Research indicates that interventions that aim to challenge current normative misperception, by presenting individuals with accurate normative information, can lead to a reduction in the unhealthy behaviour </w:t>
      </w:r>
      <w:r w:rsidRPr="00B1522E">
        <w:rPr>
          <w:rFonts w:cstheme="minorHAnsi"/>
        </w:rPr>
        <w:fldChar w:fldCharType="begin" w:fldLock="1"/>
      </w:r>
      <w:r w:rsidRPr="00B1522E">
        <w:rPr>
          <w:rFonts w:cstheme="minorHAnsi"/>
        </w:rPr>
        <w:instrText>ADDIN CSL_CITATION {"citationItems":[{"id":"ITEM-1","itemData":{"ISSN":"078796459X","author":[{"dropping-particle":"","family":"Linkenbach","given":"Jeffrey W","non-dropping-particle":"","parse-names":false,"suffix":""},{"dropping-particle":"","family":"Perkins","given":"H W","non-dropping-particle":"","parse-names":false,"suffix":""}],"container-title":"The social norms approach to preventing school and college age substance abuse: A handbook for educators, counselor","id":"ITEM-1","issued":{"date-parts":[["2003"]]},"number-of-pages":"224-234","publisher":"Jossey-Bass","publisher-place":"New York, NY","title":"MOST of us are tobacco free: An eight-month social norms campaign reducing youth initiation of smoking in Montana. In H. W. Perkins (Ed.),","type":"book"},"uris":["http://www.mendeley.com/documents/?uuid=b109719e-3e59-4ba5-a1e0-1eee468ae30b"]}],"mendeley":{"formattedCitation":"(Linkenbach &amp; Perkins, 2003)","plainTextFormattedCitation":"(Linkenbach &amp; Perkins, 2003)","previouslyFormattedCitation":"(Linkenbach &amp; Perkins, 2003)"},"properties":{"noteIndex":0},"schema":"https://github.com/citation-style-language/schema/raw/master/csl-citation.json"}</w:instrText>
      </w:r>
      <w:r w:rsidRPr="00B1522E">
        <w:rPr>
          <w:rFonts w:cstheme="minorHAnsi"/>
        </w:rPr>
        <w:fldChar w:fldCharType="separate"/>
      </w:r>
      <w:r w:rsidRPr="00B1522E">
        <w:rPr>
          <w:rFonts w:cstheme="minorHAnsi"/>
          <w:noProof/>
        </w:rPr>
        <w:t>(Linkenbach &amp; Perkins, 2003)</w:t>
      </w:r>
      <w:r w:rsidRPr="00B1522E">
        <w:rPr>
          <w:rFonts w:cstheme="minorHAnsi"/>
        </w:rPr>
        <w:fldChar w:fldCharType="end"/>
      </w:r>
      <w:r w:rsidRPr="00B1522E">
        <w:rPr>
          <w:rFonts w:cstheme="minorHAnsi"/>
        </w:rPr>
        <w:t xml:space="preserve">, changes in related attitudes </w:t>
      </w:r>
      <w:r w:rsidRPr="00B1522E">
        <w:rPr>
          <w:rFonts w:cstheme="minorHAnsi"/>
        </w:rPr>
        <w:fldChar w:fldCharType="begin" w:fldLock="1"/>
      </w:r>
      <w:r w:rsidR="004A684E" w:rsidRPr="00B1522E">
        <w:rPr>
          <w:rFonts w:cstheme="minorHAnsi"/>
        </w:rPr>
        <w:instrText>ADDIN CSL_CITATION {"citationItems":[{"id":"ITEM-1","itemData":{"ISSN":"1368-4302","author":[{"dropping-particle":"","family":"Perkins","given":"H.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Relations","id":"ITEM-1","issue":"5","issued":{"date-parts":[["2011"]]},"page":"703-722","publisher":"Sage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schools","type":"article-journal","volume":"14"},"uris":["http://www.mendeley.com/documents/?uuid=6378a98a-771f-425a-8e50-f7c8134e913c"]}],"mendeley":{"formattedCitation":"(H. W Perkins et al., 2011)","manualFormatting":"(Perkins et al., 2011)","plainTextFormattedCitation":"(H. W Perkins et al., 2011)","previouslyFormattedCitation":"(H. W Perkins et al., 2011)"},"properties":{"noteIndex":0},"schema":"https://github.com/citation-style-language/schema/raw/master/csl-citation.json"}</w:instrText>
      </w:r>
      <w:r w:rsidRPr="00B1522E">
        <w:rPr>
          <w:rFonts w:cstheme="minorHAnsi"/>
        </w:rPr>
        <w:fldChar w:fldCharType="separate"/>
      </w:r>
      <w:r w:rsidRPr="00B1522E">
        <w:rPr>
          <w:rFonts w:cstheme="minorHAnsi"/>
          <w:noProof/>
        </w:rPr>
        <w:t>(Perkins et al., 2011)</w:t>
      </w:r>
      <w:r w:rsidRPr="00B1522E">
        <w:rPr>
          <w:rFonts w:cstheme="minorHAnsi"/>
        </w:rPr>
        <w:fldChar w:fldCharType="end"/>
      </w:r>
      <w:r w:rsidRPr="00B1522E">
        <w:rPr>
          <w:rFonts w:cstheme="minorHAnsi"/>
        </w:rPr>
        <w:t xml:space="preserve"> and a stronger intention to reduce the unhealthy behaviour </w:t>
      </w:r>
      <w:r w:rsidRPr="00B1522E">
        <w:rPr>
          <w:rFonts w:eastAsia="Calibri" w:cstheme="minorHAnsi"/>
        </w:rPr>
        <w:fldChar w:fldCharType="begin" w:fldLock="1"/>
      </w:r>
      <w:r w:rsidRPr="00B1522E">
        <w:rPr>
          <w:rFonts w:eastAsia="Calibri" w:cstheme="minorHAnsi"/>
        </w:rPr>
        <w:instrText>ADDIN CSL_CITATION {"citationItems":[{"id":"ITEM-1","itemData":{"ISSN":"1930-7810 (Electronic)","PMID":"23646838","abstract":"OBJECTIVE: Despite long-standing social psychological research supporting the influence of injunctive norms (i.e., what is commonly approved or disapproved) on behavior, support for this influence on health behaviors is limited. We examined the utility of correcting misperceptions of injunctive norms for improving sun protection and whether changes in attitudes mediated the injunctive norm-intention relationship. METHOD: At baseline 263 community residing primarily White women, aged 37 to 77 years, reported their beliefs about sun protection and tanning and their perceptions of \"typical women's\" approval of sun protection versus tanning. Women underestimated approval of sun protection and overestimated approval of tanning. In a randomized trial, 189 of these women received either information about sun protection or information plus personalized normative feedback (PNF). PNF compared each woman's own perceptions of typical women's approval of tanning and sun protection with actual normative values, both measured at baseline. PNF communicated that most women approve of others who sun protect. RESULTS: PNF led to more positive sun protection injunctive norms, attitudes, and intentions at immediate posttest and more positive intentions and self-reported behavior at 4-week follow-up. Baseline discrepancy between a woman's beliefs and actual normative values related negatively to changes in sun protection in the control condition but positively in the PNF condition. As hypothesized, changes in attitudes partially mediated the influence of PNF on changes in intentions. CONCLUSIONS: The present research demonstrates the utility of correcting injunctive norm misperceptions for promoting healthy behaviors. That attitudes changed in response to PNF and mediated the norm-intention relationship suggests a method for influencing attitudes that may limit reactance.","author":[{"dropping-particle":"","family":"Reid","given":"Allecia E","non-dropping-particle":"","parse-names":false,"suffix":""},{"dropping-particle":"","family":"Aiken","given":"Leona S","non-dropping-particle":"","parse-names":false,"suffix":""}],"container-title":"Health psychology : official journal of the Division of Health Psychology, American Psychological Association","id":"ITEM-1","issue":"5","issued":{"date-parts":[["2013","5"]]},"language":"eng","page":"551-560","publisher-place":"United States","title":"Correcting injunctive norm misperceptions motivates behavior change: a randomized controlled sun protection intervention.","type":"article-journal","volume":"32"},"uris":["http://www.mendeley.com/documents/?uuid=9519fd8f-8198-4d1b-b62f-7557d4fabb51"]},{"id":"ITEM-2","itemData":{"ISSN":"1050-3293","abstract":"We articulate the role of norms within the social identity perspective as a basis for theorizing a number of manifestly communicative phenomena. We describe how group norms are cognitively represented as context-dependent prototypes that capture the distinctive properties of groups. The same process that governs the psychological salience of different prototypes, and thus generates group normative behavior, can be used to understand the formation, perception, and diffusion of norms, and also how some group members, for example, leaders, have more normative influence than others. We illustrate this process across a number of phenomena and make suggestions for future interfaces between the social identity perspective and communication research. We believe that the social identity approach represents a truly integrative force for the communication discipline.","author":[{"dropping-particle":"","family":"Hogg","given":"Michael A","non-dropping-particle":"","parse-names":false,"suffix":""},{"dropping-particle":"","family":"Reid","given":"Scott A","non-dropping-particle":"","parse-names":false,"suffix":""}],"container-title":"Communication Theory","id":"ITEM-2","issue":"1","issued":{"date-parts":[["2006","2","1"]]},"note":"doi: 10.1111/j.1468-2885.2006.00003.x","page":"7-30","publisher":"John Wiley &amp; Sons, Ltd","title":"Social Identity, Self-Categorization, and the Communication of Group Norms","type":"article-journal","volume":"16"},"uris":["http://www.mendeley.com/documents/?uuid=38926882-acdc-4fde-a8a1-6ecc679cd6c5"]}],"mendeley":{"formattedCitation":"(Hogg &amp; Reid, 2006; Reid &amp; Aiken, 2013)","plainTextFormattedCitation":"(Hogg &amp; Reid, 2006; Reid &amp; Aiken, 2013)","previouslyFormattedCitation":"(Hogg &amp; Reid, 2006; Reid &amp; Aiken, 2013)"},"properties":{"noteIndex":0},"schema":"https://github.com/citation-style-language/schema/raw/master/csl-citation.json"}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(Hogg &amp; Reid, 2006; Reid &amp; Aiken, 2013)</w:t>
      </w:r>
      <w:r w:rsidRPr="00B1522E">
        <w:rPr>
          <w:rFonts w:eastAsia="Calibri" w:cstheme="minorHAnsi"/>
        </w:rPr>
        <w:fldChar w:fldCharType="end"/>
      </w:r>
      <w:r w:rsidRPr="00B1522E">
        <w:rPr>
          <w:rFonts w:eastAsia="Calibri" w:cstheme="minorHAnsi"/>
        </w:rPr>
        <w:t xml:space="preserve">. </w:t>
      </w:r>
      <w:r w:rsidRPr="00B1522E">
        <w:rPr>
          <w:rFonts w:cstheme="minorHAnsi"/>
        </w:rPr>
        <w:t xml:space="preserve">There is some suggestion that there may be a stronger relationship between social norms and personal behaviours </w:t>
      </w:r>
      <w:r w:rsidRPr="00B1522E">
        <w:rPr>
          <w:rFonts w:cstheme="minorHAnsi"/>
        </w:rPr>
        <w:fldChar w:fldCharType="begin" w:fldLock="1"/>
      </w:r>
      <w:r w:rsidR="005776BC" w:rsidRPr="00B1522E">
        <w:rPr>
          <w:rFonts w:cstheme="minorHAnsi"/>
        </w:rPr>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rPr>
          <w:rFonts w:cstheme="minorHAnsi"/>
        </w:rPr>
        <w:fldChar w:fldCharType="separate"/>
      </w:r>
      <w:r w:rsidRPr="00B1522E">
        <w:rPr>
          <w:rFonts w:cstheme="minorHAnsi"/>
          <w:noProof/>
        </w:rPr>
        <w:t>(Perkins et al., 2010)</w:t>
      </w:r>
      <w:r w:rsidRPr="00B1522E">
        <w:rPr>
          <w:rFonts w:cstheme="minorHAnsi"/>
        </w:rPr>
        <w:fldChar w:fldCharType="end"/>
      </w:r>
      <w:r w:rsidRPr="00B1522E">
        <w:rPr>
          <w:rFonts w:cstheme="minorHAnsi"/>
        </w:rPr>
        <w:t xml:space="preserve">, related attitudes </w:t>
      </w:r>
      <w:r w:rsidRPr="00B1522E">
        <w:rPr>
          <w:rFonts w:cstheme="minorHAnsi"/>
        </w:rPr>
        <w:fldChar w:fldCharType="begin" w:fldLock="1"/>
      </w:r>
      <w:r w:rsidR="005710FF" w:rsidRPr="00B1522E">
        <w:rPr>
          <w:rFonts w:cstheme="minorHAnsi"/>
        </w:rPr>
        <w:instrText>ADDIN CSL_CITATION {"citationItems":[{"id":"ITEM-1","itemData":{"ISBN":"9789039360781","ISSN":"00157120","PMID":"4944437","abstract":"How do social structures and group behaviors arise from the interaction of individuals? Growing Artificial Societies approaches this question with cutting-edge computer simulation techniques.","author":[{"dropping-particle":"","family":"Stok","given":"F","non-dropping-particle":"","parse-names":false,"suffix":""}],"id":"ITEM-1","issued":{"date-parts":[["2014"]]},"number-of-pages":"162","publisher":"Utrecht University","title":"Eating by the norm : The influence of social norms on young people’ s eating behavior","type":"thesis"},"uris":["http://www.mendeley.com/documents/?uuid=feaee5b8-ac0c-4ae6-af4a-7fbb6c852f97"]}],"mendeley":{"formattedCitation":"(F. Stok, 2014)","manualFormatting":"(Stok, 2014)","plainTextFormattedCitation":"(F. Stok, 2014)","previouslyFormattedCitation":"(F. Stok, 2014)"},"properties":{"noteIndex":0},"schema":"https://github.com/citation-style-language/schema/raw/master/csl-citation.json"}</w:instrText>
      </w:r>
      <w:r w:rsidRPr="00B1522E">
        <w:rPr>
          <w:rFonts w:cstheme="minorHAnsi"/>
        </w:rPr>
        <w:fldChar w:fldCharType="separate"/>
      </w:r>
      <w:r w:rsidR="00782D30" w:rsidRPr="00B1522E">
        <w:rPr>
          <w:rFonts w:cstheme="minorHAnsi"/>
          <w:noProof/>
        </w:rPr>
        <w:t>(Stok, 2014)</w:t>
      </w:r>
      <w:r w:rsidRPr="00B1522E">
        <w:rPr>
          <w:rFonts w:cstheme="minorHAnsi"/>
        </w:rPr>
        <w:fldChar w:fldCharType="end"/>
      </w:r>
      <w:r w:rsidRPr="00B1522E">
        <w:rPr>
          <w:rFonts w:cstheme="minorHAnsi"/>
        </w:rPr>
        <w:t xml:space="preserve">, and behavioural intentions in adolescents compared to other age groups </w:t>
      </w:r>
      <w:r w:rsidRPr="00B1522E">
        <w:rPr>
          <w:rFonts w:cstheme="minorHAnsi"/>
        </w:rPr>
        <w:fldChar w:fldCharType="begin" w:fldLock="1"/>
      </w:r>
      <w:r w:rsidRPr="00B1522E">
        <w:rPr>
          <w:rFonts w:cstheme="minorHAnsi"/>
        </w:rPr>
        <w:instrText>ADDIN CSL_CITATION {"citationItems":[{"id":"ITEM-1","itemData":{"ISSN":"0737-8262","author":[{"dropping-particle":"","family":"Rivis","given":"Amanda","non-dropping-particle":"","parse-names":false,"suffix":""},{"dropping-particle":"","family":"Sheeran","given":"Paschal","non-dropping-particle":"","parse-names":false,"suffix":""}],"container-title":"Current Psychology","id":"ITEM-1","issue":"3","issued":{"date-parts":[["2003"]]},"page":"218-233","publisher":"Springer","title":"Descriptive norms as an additional predictor in the theory of planned behaviour: A meta-analysis","type":"article-journal","volume":"22"},"uris":["http://www.mendeley.com/documents/?uuid=bc265272-4995-4458-9a7d-ae124aa891c8"]},{"id":"ITEM-2","itemData":{"ISSN":"0021-9029","author":[{"dropping-particle":"","family":"Zaleski","given":"Adam C","non-dropping-particle":"","parse-names":false,"suffix":""},{"dropping-particle":"","family":"Aloise‐Young","given":"Patricia A","non-dropping-particle":"","parse-names":false,"suffix":""}],"container-title":"Journal of applied social psychology","id":"ITEM-2","issued":{"date-parts":[["2013"]]},"page":"124-131","publisher":"Wiley Online Library","title":"Using peer injunctive norms to predict early adolescent cigarette smoking intentions","type":"article-journal","volume":"43"},"uris":["http://www.mendeley.com/documents/?uuid=b96af6dc-e7fb-4c28-ada5-bf00ea4f6031"]}],"mendeley":{"formattedCitation":"(Rivis &amp; Sheeran, 2003; Zaleski &amp; Aloise‐Young, 2013)","manualFormatting":"(Rivis &amp; Sheeran, 2003; Zaleski &amp; Aloise-Young, 2013)","plainTextFormattedCitation":"(Rivis &amp; Sheeran, 2003; Zaleski &amp; Aloise‐Young, 2013)","previouslyFormattedCitation":"(Rivis &amp; Sheeran, 2003; Zaleski &amp; Aloise‐Young, 2013)"},"properties":{"noteIndex":0},"schema":"https://github.com/citation-style-language/schema/raw/master/csl-citation.json"}</w:instrText>
      </w:r>
      <w:r w:rsidRPr="00B1522E">
        <w:rPr>
          <w:rFonts w:cstheme="minorHAnsi"/>
        </w:rPr>
        <w:fldChar w:fldCharType="separate"/>
      </w:r>
      <w:r w:rsidRPr="00B1522E">
        <w:rPr>
          <w:rFonts w:cstheme="minorHAnsi"/>
          <w:noProof/>
        </w:rPr>
        <w:t>(Rivis &amp; Sheeran, 2003; Zaleski &amp; Aloise-Young, 2013)</w:t>
      </w:r>
      <w:r w:rsidRPr="00B1522E">
        <w:rPr>
          <w:rFonts w:cstheme="minorHAnsi"/>
        </w:rPr>
        <w:fldChar w:fldCharType="end"/>
      </w:r>
      <w:r w:rsidRPr="00B1522E">
        <w:rPr>
          <w:rFonts w:cstheme="minorHAnsi"/>
        </w:rPr>
        <w:t xml:space="preserve">, as adolescents are heavily influenced by their perceptions of what is deemed to be socially-acceptable behaviour </w:t>
      </w:r>
      <w:r w:rsidRPr="00B1522E">
        <w:rPr>
          <w:rFonts w:cstheme="minorHAnsi"/>
        </w:rPr>
        <w:fldChar w:fldCharType="begin" w:fldLock="1"/>
      </w:r>
      <w:r w:rsidRPr="00B1522E">
        <w:rPr>
          <w:rFonts w:cstheme="minorHAnsi"/>
        </w:rPr>
        <w:instrText>ADDIN CSL_CITATION {"citationItems":[{"id":"ITEM-1","itemData":{"ISSN":"0737-8262","author":[{"dropping-particle":"","family":"Rivis","given":"Amanda","non-dropping-particle":"","parse-names":false,"suffix":""},{"dropping-particle":"","family":"Sheeran","given":"Paschal","non-dropping-particle":"","parse-names":false,"suffix":""}],"container-title":"Current Psychology","id":"ITEM-1","issue":"3","issued":{"date-parts":[["2003"]]},"page":"218-233","publisher":"Springer","title":"Descriptive norms as an additional predictor in the theory of planned behaviour: A meta-analysis","type":"article-journal","volume":"22"},"uris":["http://www.mendeley.com/documents/?uuid=bc265272-4995-4458-9a7d-ae124aa891c8"]},{"id":"ITEM-2","itemData":{"ISSN":"1054-8289 (Print)","PMID":"16532661","abstract":"Mary Story, Karen Kaphingst, and Simone French argue that U.S. schools offer many opportunities for developing obesity-prevention strategies by providing more nutritious food, offering greater opportunities for physical activity, and providing obesity-related health services. Meals at school are available both through the U.S. Department of Agriculture's school breakfast and lunch programs and through \"competitive foods\" sold a la carte in cafeterias, vending machines, and snack bars. School breakfasts and school lunches must meet federal nutrition standards, but competitive foods are exempt from such requirements. And budget pressures force schools to sell the popular but nutritionally poor foods a la carte. Public discomfort with the school food environment is growing. But can schools provide more healthful food options without losing money? Limited evidence shows that they can. Although federal nutrition regulations are inadequate, they permit state and local authorities to impose additional restrictions. And many are doing so. Some states limit sales of nonnutritious foods, and many large school districts restrict competitive foods. Several interventions have changed school food environments, for example, by reducing fat content of food in vending machines and making more fruits and vegetables available. Interventions are just beginning to target the availability of competitive foods. Other pressures can also compromise schools' efforts to encourage physical activity. As states use standardized tests to hold schools and students academically accountable, physical education and recess have become a lower priority. But some states are now mandating and promoting more physical activity in schools. School health services can also help address obesity by providing screening, health information, and referrals to students, especially low-income students, who are at high risk of obesity, tend to be underinsured, and may not receive health services elsewhere.","author":[{"dropping-particle":"","family":"Story","given":"Mary","non-dropping-particle":"","parse-names":false,"suffix":""},{"dropping-particle":"","family":"Kaphingst","given":"Karen M","non-dropping-particle":"","parse-names":false,"suffix":""},{"dropping-particle":"","family":"French","given":"Simone","non-dropping-particle":"","parse-names":false,"suffix":""}],"container-title":"The Future of children","id":"ITEM-2","issue":"1","issued":{"date-parts":[["2006"]]},"language":"eng","page":"109-142","publisher-place":"United States, United States","title":"The role of schools in obesity prevention.","type":"article-journal","volume":"16"},"uris":["http://www.mendeley.com/documents/?uuid=fc0f6045-929f-4566-ac70-4e40fc98e684"]}],"mendeley":{"formattedCitation":"(Rivis &amp; Sheeran, 2003; Story et al., 2006)","plainTextFormattedCitation":"(Rivis &amp; Sheeran, 2003; Story et al., 2006)","previouslyFormattedCitation":"(Rivis &amp; Sheeran, 2003; Story et al., 2006)"},"properties":{"noteIndex":0},"schema":"https://github.com/citation-style-language/schema/raw/master/csl-citation.json"}</w:instrText>
      </w:r>
      <w:r w:rsidRPr="00B1522E">
        <w:rPr>
          <w:rFonts w:cstheme="minorHAnsi"/>
        </w:rPr>
        <w:fldChar w:fldCharType="separate"/>
      </w:r>
      <w:r w:rsidRPr="00B1522E">
        <w:rPr>
          <w:rFonts w:cstheme="minorHAnsi"/>
          <w:noProof/>
        </w:rPr>
        <w:t>(Rivis &amp; Sheeran, 2003; Story et al., 2006)</w:t>
      </w:r>
      <w:r w:rsidRPr="00B1522E">
        <w:rPr>
          <w:rFonts w:cstheme="minorHAnsi"/>
        </w:rPr>
        <w:fldChar w:fldCharType="end"/>
      </w:r>
      <w:r w:rsidRPr="00B1522E">
        <w:rPr>
          <w:rFonts w:cstheme="minorHAnsi"/>
        </w:rPr>
        <w:t>.</w:t>
      </w:r>
      <w:r w:rsidRPr="00B1522E">
        <w:rPr>
          <w:rFonts w:eastAsia="Calibri" w:cstheme="minorHAnsi"/>
        </w:rPr>
        <w:t xml:space="preserve"> </w:t>
      </w:r>
      <w:r w:rsidRPr="00B1522E">
        <w:rPr>
          <w:rFonts w:cstheme="minorHAnsi"/>
        </w:rPr>
        <w:t xml:space="preserve">When aiming to improve unhealthy behaviours in adolescents, it is important to consider current normative perceptions and how they are associated with personal behaviour </w:t>
      </w:r>
      <w:r w:rsidR="0048570A" w:rsidRPr="00B1522E">
        <w:rPr>
          <w:rFonts w:cstheme="minorHAnsi"/>
        </w:rPr>
        <w:fldChar w:fldCharType="begin" w:fldLock="1"/>
      </w:r>
      <w:r w:rsidR="00C654DE" w:rsidRPr="00B1522E">
        <w:rPr>
          <w:rFonts w:cstheme="minorHAnsi"/>
        </w:rPr>
        <w:instrText>ADDIN CSL_CITATION {"citationItems":[{"id":"ITEM-1","itemData":{"ISSN":"1467-789X (Electronic)","PMID":"30550629","abstract":"Childhood obesity is a global health concern, which has both short- and long-term health consequences for the individual, and is a potential burden on health care services and the wider economy. The school environment is a setting where changes can be applied to dietary behaviours, as schools have direct and intensive contact with children. This systematic review evaluated school-based interventions designed to improve dietary behaviours among adolescents (11- to 16-year-olds). The aims were to review types of interventions delivered, dietary behaviours targeted, and interventions' effectiveness in improving dietary behaviour and associated intervention components. Twenty-nine school-based interventional studies with this population were identified for review. The data were synthesized by identifying and comparing individual studies' results, intervention components, and characteristics. Interventions appeared more effective when they involved peers, used educational media to deliver health messages, increased availability of healthy foods in school, and incorporated computer-based individualized feedback with normative information on eating behaviours. A limitation of the review was the lack of description in certain reviewed studies and the nonfeasibility of conducting a meta-analysis owing to study heterogeneity. Future interventions with this population could consider including the aforementioned components, gender-specific feedback, and both short- and long-term follow-ups as change may not be apparent immediately and to determine if changes are sustained.","author":[{"dropping-particle":"","family":"Calvert","given":"Sian","non-dropping-particle":"","parse-names":false,"suffix":""},{"dropping-particle":"","family":"Dempsey","given":"Robert C","non-dropping-particle":"","parse-names":false,"suffix":""},{"dropping-particle":"","family":"Povey","given":"Rachel","non-dropping-particle":"","parse-names":false,"suffix":""}],"container-title":"Obesity Reviews","id":"ITEM-1","issue":"4","issued":{"date-parts":[["2019","4"]]},"language":"eng","page":"543-553","publisher-place":"England","title":"Delivering in-school interventions to improve dietary behaviours amongst 11- to 16-year-olds: A systematic review.","type":"article-journal","volume":"20"},"uris":["http://www.mendeley.com/documents/?uuid=2a47b1c0-b7a8-4533-b072-390e15ff8b1f"]},{"id":"ITEM-2","itemData":{"ISSN":"0007-070X","abstract":"Purpose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Journal","id":"ITEM-2","issue":"4","issued":{"date-parts":[["2020","1","1"]]},"page":"1027-1039","publisher":"Emerald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2019, 2020)","plainTextFormattedCitation":"(Calvert et al., 2019, 2020)","previouslyFormattedCitation":"(Calvert et al., 2019, 2020)"},"properties":{"noteIndex":0},"schema":"https://github.com/citation-style-language/schema/raw/master/csl-citation.json"}</w:instrText>
      </w:r>
      <w:r w:rsidR="0048570A" w:rsidRPr="00B1522E">
        <w:rPr>
          <w:rFonts w:cstheme="minorHAnsi"/>
        </w:rPr>
        <w:fldChar w:fldCharType="separate"/>
      </w:r>
      <w:r w:rsidR="00355350" w:rsidRPr="00B1522E">
        <w:rPr>
          <w:rFonts w:cstheme="minorHAnsi"/>
          <w:noProof/>
        </w:rPr>
        <w:t>(Calvert et al., 2019, 2020)</w:t>
      </w:r>
      <w:r w:rsidR="0048570A" w:rsidRPr="00B1522E">
        <w:rPr>
          <w:rFonts w:cstheme="minorHAnsi"/>
        </w:rPr>
        <w:fldChar w:fldCharType="end"/>
      </w:r>
      <w:r w:rsidR="005711D6" w:rsidRPr="00B1522E">
        <w:rPr>
          <w:rFonts w:eastAsia="Calibri" w:cstheme="minorHAnsi"/>
          <w:noProof/>
        </w:rPr>
        <w:t>,</w:t>
      </w:r>
      <w:r w:rsidRPr="00B1522E">
        <w:rPr>
          <w:rFonts w:cstheme="minorHAnsi"/>
        </w:rPr>
        <w:t xml:space="preserve"> related attitudes </w:t>
      </w:r>
      <w:r w:rsidRPr="00B1522E">
        <w:rPr>
          <w:rFonts w:cstheme="minorHAnsi"/>
        </w:rPr>
        <w:fldChar w:fldCharType="begin" w:fldLock="1"/>
      </w:r>
      <w:r w:rsidRPr="00B1522E">
        <w:rPr>
          <w:rFonts w:cstheme="minorHAnsi"/>
        </w:rPr>
        <w:instrText>ADDIN CSL_CITATION {"citationItems":[{"id":"ITEM-1","itemData":{"ISSN":"1930-7810","abstract":"OBJECTIVE: Prior research has documented the influence of social norms on health-related behaviors, though social norms may affect behaviors in more complex ways than have conventionally been modeled. The present research evaluates parent norms and teens' own attitudes as moderators of associations between perceived peer norms and diet and physical activity behaviors (both health-promoting and health-impairing) in a national sample of U.S. adolescents. METHODS: Adolescent participants (N = 1,859; ages 12-17) from the 2014 Family Life, Activity, Sun, Health, and Eating study reported on the extent to which their friends eat fruits and vegetables; eat junk food or drink sugary drinks; exercise; and watch TV, play on the computer, or play electronic games most days of the week. They also reported on their own attitudes and behaviors as well as their parents' corresponding behaviors and rules. RESULTS: Perceived peer norms were associated with teens' own health-promoting behaviors such as fruit and vegetable consumption and physical activity as well as health-impairing behaviors such as junk food consumption and sedentary habits. Teens who reported liking fru</w:instrText>
      </w:r>
      <w:r w:rsidRPr="00B1522E">
        <w:rPr>
          <w:rFonts w:cstheme="minorHAnsi"/>
          <w:lang w:val="fr-FR"/>
        </w:rPr>
        <w:instrText>its and vegetables or physical activity or perceiving congruent descriptive parental norms demonstrated the strongest po</w:instrText>
      </w:r>
      <w:r w:rsidRPr="00B1522E">
        <w:rPr>
          <w:rFonts w:cstheme="minorHAnsi"/>
        </w:rPr>
        <w:instrText>sitive associations between peer norms and their own behavior. CONCLUSIONS: Perceived social norms may play a significant role in both health-impairing and health-promoting behaviors, particularly when congruent with attitudes or descriptive parental norms about those behaviors. The findings may inform interventions such as social norms marketing campaigns that aim to change perceptions of peer norms for health-promoting behavior. (PsycINFO Database Record (c) 2019 APA, all rights reserved).","author":[{"dropping-particle":"","family":"Rice","given":"Elise L","non-dropping-particle":"","parse-names":false,"suffix":""},{"dropping-particle":"","family":"Klein","given":"William M P","non-dropping-particle":"","parse-names":false,"suffix":""}],"container-title":"Health psychology : official journal of the Division of Health Psychology, American Psychological Association","id":"ITEM-1","issue":"3","issued":{"date-parts":[["2019","3"]]},"language":"eng","page":"268-275","title":"Interactions among perceived norms and attitudes about health-related behaviors in U.S. adolescents","type":"article-journal","volume":"38"},"uris":["http://www.mendeley.com/documents/?uuid=da558c87-2365-4078-bd28-4544f64521e6"]}],"mendeley":{"formattedCitation":"(Rice &amp; Klein, 2019)","plainTextFormattedCitation":"(Rice &amp; Klein, 2019)","previouslyFormattedCitation":"(Rice &amp; Klein, 2019)"},"properties":{"noteIndex":0},"schema":"https://github.com/citation-style-language/schema/raw/master/csl-citation.json"}</w:instrText>
      </w:r>
      <w:r w:rsidRPr="00B1522E">
        <w:rPr>
          <w:rFonts w:cstheme="minorHAnsi"/>
        </w:rPr>
        <w:fldChar w:fldCharType="separate"/>
      </w:r>
      <w:r w:rsidRPr="00B1522E">
        <w:rPr>
          <w:rFonts w:cstheme="minorHAnsi"/>
          <w:noProof/>
        </w:rPr>
        <w:t>(Rice &amp; Klein, 2019)</w:t>
      </w:r>
      <w:r w:rsidRPr="00B1522E">
        <w:rPr>
          <w:rFonts w:cstheme="minorHAnsi"/>
        </w:rPr>
        <w:fldChar w:fldCharType="end"/>
      </w:r>
      <w:r w:rsidRPr="00B1522E">
        <w:rPr>
          <w:rFonts w:cstheme="minorHAnsi"/>
        </w:rPr>
        <w:t xml:space="preserve"> and intentions to reduce the unhealthy behaviour </w:t>
      </w:r>
      <w:r w:rsidRPr="00B1522E">
        <w:rPr>
          <w:rFonts w:cstheme="minorHAnsi"/>
        </w:rPr>
        <w:fldChar w:fldCharType="begin" w:fldLock="1"/>
      </w:r>
      <w:r w:rsidRPr="00B1522E">
        <w:rPr>
          <w:rFonts w:cstheme="minorHAnsi"/>
        </w:rPr>
        <w:instrText>ADDIN CSL_CITATION {"citationItems":[{"id":"ITEM-1","itemData":{"ISSN":"0021-9029","author":[{"dropping-particle":"","family":"Zaleski","given":"Adam C","non-dropping-particle":"","parse-names":false,"suffix":""},{"dropping-particle":"","family":"Aloise‐Young","given":"Patricia A","non-dropping-particle":"","parse-names":false,"suffix":""}],"container-title":"Journal of applied social psychology","id":"ITEM-1","issued":{"date-parts":[["2013"]]},"page":"124-131","publisher":"Wiley Online Library","title":"Using peer injunctive norms to predict early adolescent cigarette smoking intentions","type":"article-journal","volume":"43"},"uris":["http://www.mendeley.com/documents/?uuid=b96af6dc-e7fb-4c28-ada5-bf00ea4f6031"]}],"mendeley":{"formattedCitation":"(Zaleski &amp; Aloise‐Young, 2013)","manualFormatting":"(Zaleski &amp; Aloise-Young, 2013)","plainTextFormattedCitation":"(Zaleski &amp; Aloise‐Young, 2013)","previouslyFormattedCitation":"(Zaleski &amp; Aloise‐Young, 2013)"},"properties":{"noteIndex":0},"schema":"https://github.com/citation-style-language/schema/raw/master/csl-citation.json"}</w:instrText>
      </w:r>
      <w:r w:rsidRPr="00B1522E">
        <w:rPr>
          <w:rFonts w:cstheme="minorHAnsi"/>
        </w:rPr>
        <w:fldChar w:fldCharType="separate"/>
      </w:r>
      <w:r w:rsidRPr="00B1522E">
        <w:rPr>
          <w:rFonts w:cstheme="minorHAnsi"/>
          <w:noProof/>
        </w:rPr>
        <w:t>(Zaleski &amp; Aloise-Young, 2013)</w:t>
      </w:r>
      <w:r w:rsidRPr="00B1522E">
        <w:rPr>
          <w:rFonts w:cstheme="minorHAnsi"/>
        </w:rPr>
        <w:fldChar w:fldCharType="end"/>
      </w:r>
      <w:r w:rsidRPr="00B1522E">
        <w:rPr>
          <w:rFonts w:cstheme="minorHAnsi"/>
        </w:rPr>
        <w:t xml:space="preserve">. </w:t>
      </w:r>
    </w:p>
    <w:p w14:paraId="591F04EA" w14:textId="7D3BD861" w:rsidR="00730501" w:rsidRPr="00B1522E" w:rsidRDefault="00730501" w:rsidP="00264C75">
      <w:pPr>
        <w:spacing w:line="480" w:lineRule="auto"/>
        <w:ind w:firstLine="720"/>
        <w:jc w:val="both"/>
        <w:rPr>
          <w:rFonts w:eastAsia="Calibri" w:cstheme="minorHAnsi"/>
        </w:rPr>
      </w:pPr>
      <w:r w:rsidRPr="00B1522E">
        <w:rPr>
          <w:rFonts w:eastAsia="Calibri" w:cstheme="minorHAnsi"/>
          <w:noProof/>
        </w:rPr>
        <w:t xml:space="preserve">To date, there has been limited research that utilises the Social Norms Approach to </w:t>
      </w:r>
      <w:r w:rsidRPr="00B1522E">
        <w:rPr>
          <w:rFonts w:cstheme="minorHAnsi"/>
        </w:rPr>
        <w:t xml:space="preserve">understand and challenge current normative misperception as a way to improve </w:t>
      </w:r>
      <w:r w:rsidRPr="00B1522E">
        <w:rPr>
          <w:rFonts w:eastAsia="Calibri" w:cstheme="minorHAnsi"/>
          <w:noProof/>
        </w:rPr>
        <w:t xml:space="preserve">unhealthy dietary </w:t>
      </w:r>
      <w:r w:rsidRPr="00B1522E">
        <w:rPr>
          <w:rFonts w:eastAsia="Calibri" w:cstheme="minorHAnsi"/>
          <w:noProof/>
        </w:rPr>
        <w:lastRenderedPageBreak/>
        <w:t xml:space="preserve">behaviours, and there is no research to our knowledge that uses this approach to understand eating behaviours with </w:t>
      </w:r>
      <w:r w:rsidRPr="00B1522E">
        <w:rPr>
          <w:rFonts w:cstheme="minorHAnsi"/>
          <w:noProof/>
        </w:rPr>
        <w:t>young adolescents (11-12 years old).</w:t>
      </w:r>
      <w:r w:rsidRPr="00B1522E">
        <w:rPr>
          <w:rFonts w:eastAsia="Calibri" w:cstheme="minorHAnsi"/>
          <w:noProof/>
        </w:rPr>
        <w:t xml:space="preserve"> The current study aimed to investigate whether there are </w:t>
      </w:r>
      <w:bookmarkStart w:id="180" w:name="_Hlk64553910"/>
      <w:r w:rsidRPr="00B1522E">
        <w:rPr>
          <w:rFonts w:cstheme="minorHAnsi"/>
          <w:noProof/>
        </w:rPr>
        <w:t>discrepancies</w:t>
      </w:r>
      <w:r w:rsidRPr="00B1522E">
        <w:rPr>
          <w:rFonts w:eastAsia="Calibri" w:cstheme="minorHAnsi"/>
          <w:noProof/>
        </w:rPr>
        <w:t xml:space="preserve"> between actual snacking-related behaviours and attitudes and perceived snacking-related norms of 11- to 12-year-olds</w:t>
      </w:r>
      <w:bookmarkEnd w:id="180"/>
      <w:r w:rsidRPr="00B1522E">
        <w:rPr>
          <w:rFonts w:eastAsia="Calibri" w:cstheme="minorHAnsi"/>
          <w:noProof/>
        </w:rPr>
        <w:t>, and investigate th</w:t>
      </w:r>
      <w:r w:rsidRPr="00B1522E">
        <w:rPr>
          <w:rFonts w:eastAsia="Calibri" w:cstheme="minorHAnsi"/>
        </w:rPr>
        <w:t>e extent to which these misperceptions are associated with students’ own snacking-related behaviours, attitudes and intention to reduce snacking. Th</w:t>
      </w:r>
      <w:r w:rsidR="0088126B" w:rsidRPr="00B1522E">
        <w:rPr>
          <w:rFonts w:eastAsia="Calibri" w:cstheme="minorHAnsi"/>
        </w:rPr>
        <w:t>e current research</w:t>
      </w:r>
      <w:r w:rsidRPr="00B1522E">
        <w:rPr>
          <w:rFonts w:cstheme="minorHAnsi"/>
        </w:rPr>
        <w:t xml:space="preserve"> focuses on baseline data</w:t>
      </w:r>
      <w:r w:rsidRPr="00B1522E">
        <w:rPr>
          <w:rFonts w:eastAsia="Calibri" w:cstheme="minorHAnsi"/>
        </w:rPr>
        <w:t xml:space="preserve"> </w:t>
      </w:r>
      <w:r w:rsidRPr="00B1522E">
        <w:rPr>
          <w:rFonts w:cstheme="minorHAnsi"/>
          <w:shd w:val="clear" w:color="auto" w:fill="FFFFFF"/>
        </w:rPr>
        <w:t xml:space="preserve">of </w:t>
      </w:r>
      <w:r w:rsidR="006F791E" w:rsidRPr="00B1522E">
        <w:rPr>
          <w:rFonts w:cstheme="minorHAnsi"/>
          <w:shd w:val="clear" w:color="auto" w:fill="FFFFFF"/>
        </w:rPr>
        <w:t>the SNA</w:t>
      </w:r>
      <w:r w:rsidRPr="00B1522E">
        <w:rPr>
          <w:rFonts w:cstheme="minorHAnsi"/>
          <w:shd w:val="clear" w:color="auto" w:fill="FFFFFF"/>
        </w:rPr>
        <w:t xml:space="preserve"> intervention targeting </w:t>
      </w:r>
      <w:r w:rsidRPr="00B1522E">
        <w:rPr>
          <w:rFonts w:eastAsia="Calibri" w:cstheme="minorHAnsi"/>
          <w:noProof/>
        </w:rPr>
        <w:t>11- to 12-year-old</w:t>
      </w:r>
      <w:r w:rsidRPr="00B1522E">
        <w:rPr>
          <w:rFonts w:eastAsia="Calibri" w:cstheme="minorHAnsi"/>
          <w:strike/>
          <w:noProof/>
        </w:rPr>
        <w:t>s</w:t>
      </w:r>
      <w:r w:rsidRPr="00B1522E">
        <w:rPr>
          <w:rFonts w:cstheme="minorHAnsi"/>
          <w:shd w:val="clear" w:color="auto" w:fill="FFFFFF"/>
        </w:rPr>
        <w:t xml:space="preserve"> secondary school students.</w:t>
      </w:r>
      <w:r w:rsidRPr="00B1522E">
        <w:rPr>
          <w:rFonts w:eastAsia="Calibri" w:cstheme="minorHAnsi"/>
        </w:rPr>
        <w:t xml:space="preserve"> </w:t>
      </w:r>
    </w:p>
    <w:p w14:paraId="755188F9" w14:textId="0E87EBD8" w:rsidR="00730501" w:rsidRPr="00B1522E" w:rsidRDefault="00730501" w:rsidP="00264C75">
      <w:pPr>
        <w:spacing w:line="480" w:lineRule="auto"/>
        <w:ind w:firstLine="720"/>
        <w:jc w:val="both"/>
        <w:rPr>
          <w:rFonts w:cstheme="minorHAnsi"/>
        </w:rPr>
      </w:pPr>
      <w:r w:rsidRPr="00B1522E">
        <w:rPr>
          <w:rFonts w:cstheme="minorHAnsi"/>
        </w:rPr>
        <w:t xml:space="preserve">Based on the previously discussed research </w:t>
      </w:r>
      <w:r w:rsidRPr="00B1522E">
        <w:rPr>
          <w:rFonts w:cstheme="minorHAnsi"/>
        </w:rPr>
        <w:fldChar w:fldCharType="begin" w:fldLock="1"/>
      </w:r>
      <w:r w:rsidR="00D20B1B"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Association","id":"ITEM-2","issue":"12","issued":{"date-parts":[["2010"]]},"page":"1916-1921","publisher":"Elsevier","title":"Misperceptions of peer norms as a risk factor for sugar-sweetened beverage consumption among secondary school students","type":"article-journal","volume":"110"},"uris":["http://www.mendeley.com/documents/?uuid=057ae4b5-514d-47a6-bfd8-bd60f5e335ea"]},{"id":"ITEM-3","itemData":{"author":[{"dropping-particle":"","family":"Berkowitz","given":"Alan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-3","issued":{"date-parts":[["2005"]]},"page":"193-214","title":"An overview of the social norms approach","type":"chapter"},"uris":["http://www.mendeley.com/documents/?uuid=7e72ac3f-525d-40f4-9876-d8bb37f8a3fc"]},{"id":"ITEM-4","itemData":{"ISSN":"1937-1888","author":[{"dropping-particle":"","family":"Perkins","given":"J.M","non-dropping-particle":"","parse-names":false,"suffix":""},{"dropping-particle":"","family":"Perkins","given":"H. W","non-dropping-particle":"","parse-names":false,"suffix":""},{"dropping-particle":"","family":"Jurinsky","given":"J","non-dropping-particle":"","parse-names":false,"suffix":""},{"dropping-particle":"","family":"Craig","given":"D.W","non-dropping-particle":"","parse-names":false,"suffix":""}],"container-title":"Journal of Studies on Alcohol and Drugs","id":"ITEM-4","issue":"6","issued":{"date-parts":[["2019"]]},"page":"659-668","publisher":"Rutgers University","title":"Adolescent Tobacco Use and Misperceptions of Social Norms Across Schools in the United States","type":"article-journal","volume":"80"},"uris":["http://www.mendeley.com/documents/?uuid=36401d15-38e8-4f27-a26d-4e5fd7c0f718"]},{"id":"ITEM-5","itemData":{"ISSN":"1057-9230","author":[{"dropping-particle":"","family":"Amialchuk","given":"Aliaksandr","non-dropping-particle":"","parse-names":false,"suffix":""},{"dropping-particle":"","family":"Ajilore","given":"Olugbenga","non-dropping-particle":"","parse-names":false,"suffix":""},{"dropping-particle":"","family":"Egan","given":"Kevin","non-dropping-particle":"","parse-names":false,"suffix":""}],"container-title":"Health economics","id":"ITEM-5","issue":"6","issued":{"date-parts":[["2019"]]},"page":"736-747","publisher":"Wiley Online Library","title":"The influence of misperceptions about social norms on substance use among school‐aged adolescents","type":"article-journal","volume":"28"},"uris":["http://www.mendeley.com/documents/?uuid=6163c7af-8408-466b-84fd-80b90d29aaa9"]},{"id":"ITEM-6","itemData":{"ISSN":"0268-1153","abstract":"Adolescents tend to overestimate peer drinking; the resulting misperception of the social norm predicts the child’s own future drinking. This study examined the misperception’s relatedness to a person’s drinking pattern in order to facilitate the segmentation of the audience for health education interventions. Adolescent Health and Lifestyle Survey (Finland) data on 14 year olds’ drinking patterns and perceptions of peer drinking were gathered using self‐administered mailed questionnaires in 1989 (N = 3105, response rate 77%), 1995 (N = 8382, 79%) and 2001 (N = 7292, 70%). The perceptions of peer drinking were significantly related to respondents’ drinking patterns. Non‐drinkers and those drinking recurrently until drunkenness held reasonably correct views of their peers’ drinking. However, the segment between these two extremes comprising around half of the cohort incorrectly thought that their peers drank more; they misperceived the normative drinking pattern to be drunkenness. From health education perspective, three different target audiences can be identified: non‐drinkers, moderate drinkers and heavy drinkers. The intermediate group, drinkers not normally getting drunk, holds the view most influenced by the social norm misperception and are likely to feel pressured to increase their drinking. The social norms marketing approach to health education should find this group the most viable target.","author":[{"dropping-particle":"","family":"Lintonen","given":"T P","non-dropping-particle":"","parse-names":false,"suffix":""},{"dropping-particle":"","family":"Konu","given":"A I","non-dropping-particle":"","parse-names":false,"suffix":""}],"container-title":"Health Education Research","id":"ITEM-6","issue":"1","issued":{"date-parts":[["2004","2","1"]]},"page":"64-70","title":"The misperceived social norm of drunkenness among early adolescents in Finland","type":"article-journal","volume":"19"},"uris":["http://www.mendeley.com/documents/?uuid=07bb30e7-494c-47b3-a908-36b32f219235"]}],"mendeley":{"formattedCitation":"(Amialchuk et al., 2019; Berkowitz, 2005; P Lally et al., 2011; Lintonen &amp; Konu, 2004; J. . Perkins et al., 2019; J. M. Perkins et al., 2010)","manualFormatting":"(Amialchuk et al., 2019; Berkowitz, 2005; Lally et al., 2011; Lintonen &amp; Konu, 2004; Perkins et al., 2010; Perkins, Perkins, et al., 2019)","plainTextFormattedCitation":"(Amialchuk et al., 2019; Berkowitz, 2005; P Lally et al., 2011; Lintonen &amp; Konu, 2004; J. . Perkins et al., 2019; J. M. Perkins et al., 2010)","previouslyFormattedCitation":"(Amialchuk et al., 2019; Berkowitz, 2005; P Lally et al., 2011; Lintonen &amp; Konu, 2004; J. . Perkins et al., 2019; J. M. Perkins et al., 2010)"},"properties":{"noteIndex":0},"schema":"https://github.com/citation-style-language/schema/raw/master/csl-citation.json"}</w:instrText>
      </w:r>
      <w:r w:rsidRPr="00B1522E">
        <w:rPr>
          <w:rFonts w:cstheme="minorHAnsi"/>
        </w:rPr>
        <w:fldChar w:fldCharType="separate"/>
      </w:r>
      <w:r w:rsidRPr="00B1522E">
        <w:rPr>
          <w:rFonts w:cstheme="minorHAnsi"/>
          <w:noProof/>
        </w:rPr>
        <w:t>(Amialchuk et al., 2019; Berkowitz, 2005; Lally et al., 2011; Lintonen &amp; Konu, 2004; Perkins et al., 2010; Perkins, Perkins, et al., 2019)</w:t>
      </w:r>
      <w:r w:rsidRPr="00B1522E">
        <w:rPr>
          <w:rFonts w:cstheme="minorHAnsi"/>
        </w:rPr>
        <w:fldChar w:fldCharType="end"/>
      </w:r>
      <w:r w:rsidRPr="00B1522E">
        <w:rPr>
          <w:rFonts w:cstheme="minorHAnsi"/>
        </w:rPr>
        <w:t>, it was hypothesised that: (1) s</w:t>
      </w:r>
      <w:r w:rsidRPr="00B1522E">
        <w:rPr>
          <w:rFonts w:cstheme="minorHAnsi"/>
          <w:shd w:val="clear" w:color="auto" w:fill="FCFCFC"/>
        </w:rPr>
        <w:t xml:space="preserve">tudents will misperceive peers to consume more unhealthy snacks and have more positive attitudes towards unhealthy snacking, than the reported group norm; (2) </w:t>
      </w:r>
      <w:r w:rsidRPr="00B1522E">
        <w:rPr>
          <w:rFonts w:cstheme="minorHAnsi"/>
        </w:rPr>
        <w:t xml:space="preserve">students who overestimate peers’ unhealthy snacking behaviour and misperceive peers to have positive attitudes towards unhealthy snacking will consume more unhealthy snacks themselves; (3) students who perceive peers to have more positive attitudes about unhealthy snacking will have more positive attitudes themselves about consuming unhealthy snacks; (4) students’ normative misperceptions about unhealthy snacking will be associated with personal intentions to reduce unhealthy snacking. </w:t>
      </w:r>
    </w:p>
    <w:p w14:paraId="56AF03E3" w14:textId="77777777" w:rsidR="004906B4" w:rsidRPr="00B1522E" w:rsidRDefault="004906B4" w:rsidP="004906B4">
      <w:pPr>
        <w:spacing w:line="480" w:lineRule="auto"/>
        <w:jc w:val="both"/>
        <w:rPr>
          <w:rFonts w:cstheme="minorHAnsi"/>
        </w:rPr>
      </w:pPr>
    </w:p>
    <w:bookmarkStart w:id="181" w:name="_Toc84678945"/>
    <w:p w14:paraId="261614F1" w14:textId="35510A87" w:rsidR="00F62378" w:rsidRPr="00B1522E" w:rsidRDefault="00D83CE6" w:rsidP="00E01363">
      <w:pPr>
        <w:spacing w:line="480" w:lineRule="auto"/>
        <w:rPr>
          <w:b/>
          <w:bCs/>
        </w:rPr>
      </w:pPr>
      <w:r w:rsidRPr="00B1522E">
        <w:fldChar w:fldCharType="begin"/>
      </w:r>
      <w:r w:rsidRPr="00B1522E">
        <w:instrText xml:space="preserve"> TC  "</w:instrText>
      </w:r>
      <w:bookmarkStart w:id="182" w:name="_Toc97310483"/>
      <w:r w:rsidRPr="00B1522E">
        <w:instrText>7.3 Methods</w:instrText>
      </w:r>
      <w:bookmarkEnd w:id="182"/>
      <w:r w:rsidRPr="00B1522E">
        <w:instrText xml:space="preserve"> " \f x\l 2 </w:instrText>
      </w:r>
      <w:r w:rsidRPr="00B1522E">
        <w:fldChar w:fldCharType="end"/>
      </w:r>
      <w:r w:rsidR="00132E73" w:rsidRPr="00B1522E">
        <w:rPr>
          <w:b/>
          <w:bCs/>
        </w:rPr>
        <w:t xml:space="preserve">7.3 </w:t>
      </w:r>
      <w:r w:rsidR="00730501" w:rsidRPr="00B1522E">
        <w:rPr>
          <w:b/>
          <w:bCs/>
        </w:rPr>
        <w:t>Methods</w:t>
      </w:r>
      <w:bookmarkEnd w:id="181"/>
    </w:p>
    <w:bookmarkStart w:id="183" w:name="_Toc84678946"/>
    <w:p w14:paraId="23161594" w14:textId="76A967B4" w:rsidR="00730501" w:rsidRPr="00B1522E" w:rsidRDefault="00D83CE6" w:rsidP="00E01363">
      <w:pPr>
        <w:spacing w:line="480" w:lineRule="auto"/>
        <w:rPr>
          <w:rFonts w:cstheme="minorHAnsi"/>
          <w:b/>
          <w:bCs/>
          <w:noProof/>
        </w:rPr>
      </w:pPr>
      <w:r w:rsidRPr="00B1522E">
        <w:fldChar w:fldCharType="begin"/>
      </w:r>
      <w:r w:rsidRPr="00B1522E">
        <w:instrText xml:space="preserve"> TC  "</w:instrText>
      </w:r>
      <w:bookmarkStart w:id="184" w:name="_Toc97310484"/>
      <w:r w:rsidRPr="00B1522E">
        <w:instrText>7.3.1 Design and Participants</w:instrText>
      </w:r>
      <w:bookmarkEnd w:id="184"/>
      <w:r w:rsidRPr="00B1522E">
        <w:instrText xml:space="preserve"> " \f x\l </w:instrText>
      </w:r>
      <w:r w:rsidR="00A74724" w:rsidRPr="00B1522E">
        <w:instrText>3</w:instrText>
      </w:r>
      <w:r w:rsidRPr="00B1522E">
        <w:instrText xml:space="preserve"> </w:instrText>
      </w:r>
      <w:r w:rsidRPr="00B1522E">
        <w:fldChar w:fldCharType="end"/>
      </w:r>
      <w:r w:rsidR="00132E73" w:rsidRPr="00B1522E">
        <w:t>7</w:t>
      </w:r>
      <w:r w:rsidR="00730501" w:rsidRPr="00B1522E">
        <w:t>.</w:t>
      </w:r>
      <w:r w:rsidR="00132E73" w:rsidRPr="00B1522E">
        <w:t>3.</w:t>
      </w:r>
      <w:r w:rsidR="00730501" w:rsidRPr="00B1522E">
        <w:t>1 Design and Participants</w:t>
      </w:r>
      <w:bookmarkEnd w:id="183"/>
      <w:r w:rsidR="00730501" w:rsidRPr="00B1522E">
        <w:rPr>
          <w:rFonts w:cstheme="minorHAnsi"/>
          <w:noProof/>
        </w:rPr>
        <w:t xml:space="preserve"> </w:t>
      </w:r>
    </w:p>
    <w:p w14:paraId="214696C6" w14:textId="6498BC1D" w:rsidR="00730501" w:rsidRPr="00B1522E" w:rsidRDefault="00730501" w:rsidP="00264C75">
      <w:pPr>
        <w:spacing w:line="480" w:lineRule="auto"/>
        <w:jc w:val="both"/>
        <w:rPr>
          <w:rFonts w:cstheme="minorHAnsi"/>
          <w:noProof/>
        </w:rPr>
      </w:pPr>
      <w:r w:rsidRPr="00B1522E">
        <w:rPr>
          <w:rFonts w:cstheme="minorHAnsi"/>
          <w:shd w:val="clear" w:color="auto" w:fill="FFFFFF"/>
        </w:rPr>
        <w:t xml:space="preserve">The present study was a cross-sectional analysis of baseline data of a </w:t>
      </w:r>
      <w:r w:rsidR="006F791E" w:rsidRPr="00B1522E">
        <w:rPr>
          <w:rFonts w:cstheme="minorHAnsi"/>
          <w:shd w:val="clear" w:color="auto" w:fill="FFFFFF"/>
        </w:rPr>
        <w:t>SNA</w:t>
      </w:r>
      <w:r w:rsidRPr="00B1522E">
        <w:rPr>
          <w:rFonts w:cstheme="minorHAnsi"/>
          <w:shd w:val="clear" w:color="auto" w:fill="FFFFFF"/>
        </w:rPr>
        <w:t xml:space="preserve"> intervention targeting secondary school students in deprived areas of the UK. </w:t>
      </w:r>
      <w:r w:rsidRPr="00B1522E">
        <w:rPr>
          <w:rFonts w:cstheme="minorHAnsi"/>
          <w:noProof/>
        </w:rPr>
        <w:t xml:space="preserve">Two secondary schools from the North and Midlands of England were involved in the study, both schools being located within the 30% most deprived areas of England </w:t>
      </w:r>
      <w:r w:rsidRPr="00B1522E">
        <w:rPr>
          <w:rFonts w:cstheme="minorHAnsi"/>
          <w:noProof/>
        </w:rPr>
        <w:fldChar w:fldCharType="begin" w:fldLock="1"/>
      </w:r>
      <w:r w:rsidR="005710FF" w:rsidRPr="00B1522E">
        <w:rPr>
          <w:rFonts w:cstheme="minorHAnsi"/>
          <w:noProof/>
        </w:rPr>
        <w:instrText>ADDIN CSL_CITATION {"citationItems":[{"id":"ITEM-1","itemData":{"author":[{"dropping-particle":"","family":"Smith","given":"Tom","non-dropping-particle":"","parse-names":false,"suffix":""},{"dropping-particle":"","family":"Noble","given":"Michael","non-dropping-particle":"","parse-names":false,"suffix":""},{"dropping-particle":"","family":"Noble","given":"Stefan","non-dropping-particle":"","parse-names":false,"suffix":""},{"dropping-particle":"","family":"Wright","given":"Gemma","non-dropping-particle":"","parse-names":false,"suffix":""},{"dropping-particle":"","family":"McLennan","given":"David","non-dropping-particle":"","parse-names":false,"suffix":""},{"dropping-particle":"","family":"Plunkett","given":"Emma","non-dropping-particle":"","parse-names":false,"suffix":""}],"id":"ITEM-1","issued":{"date-parts":[["2015"]]},"title":"The English indices of deprivation 2015","type":"report"},"uris":["http://www.mendeley.com/documents/?uuid=57cb2e9c-e3ee-41dd-8d5e-8870b7827f46"]},{"id":"ITEM-2","itemData":{"author":[{"dropping-particle":"","family":"Noble","given":"Stefan","non-dropping-particle":"","parse-names":false,"suffix":""},{"dropping-particle":"","family":"McLennan","given":"David","non-dropping-particle":"","parse-names":false,"suffix":""},{"dropping-particle":"","family":"Noble","given":"Michael","non-dropping-particle":"","parse-names":false,"suffix":""},{"dropping-particle":"","family":"Plunkett","given":"Emma","non-dropping-particle":"","parse-names":false,"suffix":""},{"dropping-particle":"","family":"Gutacker","given":"Nils","non-dropping-particle":"","parse-names":false,"suffix":""},{"dropping-particle":"","family":"Silk","given":"Mary","non-dropping-particle":"","parse-names":false,"suffix":""},{"dropping-particle":"","family":"Wright","given":"Gemma","non-dropping-particle":"","parse-names":false,"suffix":""}],"id":"ITEM-2","issued":{"date-parts":[["2019"]]},"publisher":"Ministry of Housing, Communities and Local Government","title":"The English indices of deprivation 2019","type":"report"},"uris":["http://www.mendeley.com/documents/?uuid=c2ffbd70-f225-4156-97a9-c107b1be01bd"]}],"mendeley":{"formattedCitation":"(Noble et al., 2019; T. Smith et al., 2015)","manualFormatting":"(Noble et al., 2019; Smith et al., 2015)","plainTextFormattedCitation":"(Noble et al., 2019; T. Smith et al., 2015)","previouslyFormattedCitation":"(Noble et al., 2019; T. Smith et al., 2015)"},"properties":{"noteIndex":0},"schema":"https://github.com/citation-style-language/schema/raw/master/csl-citation.json"}</w:instrText>
      </w:r>
      <w:r w:rsidRPr="00B1522E">
        <w:rPr>
          <w:rFonts w:cstheme="minorHAnsi"/>
          <w:noProof/>
        </w:rPr>
        <w:fldChar w:fldCharType="separate"/>
      </w:r>
      <w:r w:rsidR="0048570A" w:rsidRPr="00B1522E">
        <w:rPr>
          <w:rFonts w:cstheme="minorHAnsi"/>
          <w:noProof/>
        </w:rPr>
        <w:t>(Noble et al., 2019; Smith et al., 2015)</w:t>
      </w:r>
      <w:r w:rsidRPr="00B1522E">
        <w:rPr>
          <w:rFonts w:cstheme="minorHAnsi"/>
          <w:noProof/>
        </w:rPr>
        <w:fldChar w:fldCharType="end"/>
      </w:r>
      <w:r w:rsidRPr="00B1522E">
        <w:rPr>
          <w:rFonts w:cstheme="minorHAnsi"/>
          <w:noProof/>
        </w:rPr>
        <w:t xml:space="preserve">. </w:t>
      </w:r>
      <w:r w:rsidRPr="00B1522E">
        <w:rPr>
          <w:rFonts w:cstheme="minorHAnsi"/>
        </w:rPr>
        <w:t xml:space="preserve">An a-priori power analysis revealed that a minimum of 200 participants (100 per school) was required, to achieve a desired power of 0.8 </w:t>
      </w:r>
      <w:r w:rsidRPr="00B1522E">
        <w:rPr>
          <w:rFonts w:cstheme="minorHAnsi"/>
        </w:rPr>
        <w:lastRenderedPageBreak/>
        <w:t>with medium effect size (R</w:t>
      </w:r>
      <w:r w:rsidRPr="00B1522E">
        <w:rPr>
          <w:rFonts w:cstheme="minorHAnsi"/>
          <w:vertAlign w:val="superscript"/>
        </w:rPr>
        <w:t xml:space="preserve">2 </w:t>
      </w:r>
      <w:r w:rsidRPr="00B1522E">
        <w:rPr>
          <w:rFonts w:cstheme="minorHAnsi"/>
        </w:rPr>
        <w:t xml:space="preserve">= 0.13) for a series of hierarchical multiple regression to be conducted </w:t>
      </w:r>
      <w:r w:rsidRPr="00B1522E">
        <w:rPr>
          <w:rFonts w:cstheme="minorHAnsi"/>
        </w:rPr>
        <w:fldChar w:fldCharType="begin" w:fldLock="1"/>
      </w:r>
      <w:r w:rsidR="0048570A" w:rsidRPr="00B1522E">
        <w:rPr>
          <w:rFonts w:cstheme="minorHAnsi"/>
        </w:rPr>
        <w:instrText>ADDIN CSL_CITATION {"citationItems":[{"id":"ITEM-1","itemData":{"ISBN":"1315398133","author":[{"dropping-particle":"","family":"Clark-Carter","given":"David","non-dropping-particle":"","parse-names":false,"suffix":""}],"edition":"4","id":"ITEM-1","issued":{"date-parts":[["2018"]]},"publisher":"Routledge","publisher-place":"Oxford","title":"Quantitative psychological research: The complete student's companion","type":"book"},"uris":["http://www.mendeley.com/documents/?uuid=f5b38bb5-f542-4aa0-bb14-11142db55002"]}],"mendeley":{"formattedCitation":"(Clark-Carter, 2018)","plainTextFormattedCitation":"(Clark-Carter, 2018)","previouslyFormattedCitation":"(Clark-Carter, 2018)"},"properties":{"noteIndex":0},"schema":"https://github.com/citation-style-language/schema/raw/master/csl-citation.json"}</w:instrText>
      </w:r>
      <w:r w:rsidRPr="00B1522E">
        <w:rPr>
          <w:rFonts w:cstheme="minorHAnsi"/>
        </w:rPr>
        <w:fldChar w:fldCharType="separate"/>
      </w:r>
      <w:r w:rsidRPr="00B1522E">
        <w:rPr>
          <w:rFonts w:cstheme="minorHAnsi"/>
          <w:noProof/>
        </w:rPr>
        <w:t>(Clark-Carter, 2018)</w:t>
      </w:r>
      <w:r w:rsidRPr="00B1522E">
        <w:rPr>
          <w:rFonts w:cstheme="minorHAnsi"/>
        </w:rPr>
        <w:fldChar w:fldCharType="end"/>
      </w:r>
      <w:r w:rsidRPr="00B1522E">
        <w:rPr>
          <w:rFonts w:cstheme="minorHAnsi"/>
        </w:rPr>
        <w:t xml:space="preserve">. </w:t>
      </w:r>
      <w:r w:rsidRPr="00B1522E">
        <w:rPr>
          <w:rFonts w:cstheme="minorHAnsi"/>
        </w:rPr>
        <w:fldChar w:fldCharType="begin" w:fldLock="1"/>
      </w:r>
      <w:r w:rsidR="007463D4" w:rsidRPr="00B1522E">
        <w:rPr>
          <w:rFonts w:cstheme="minorHAnsi"/>
        </w:rPr>
        <w:instrText>ADDIN CSL_CITATION {"citationItems":[{"id":"ITEM-1","itemData":{"ISSN":"1939-1455","author":[{"dropping-particle":"","family":"Cohen","given":"Jacob","non-dropping-particle":"","parse-names":false,"suffix":""}],"container-title":"Psychological bulletin","id":"ITEM-1","issue":"1","issued":{"date-parts":[["1992"]]},"page":"155-159","publisher":"American Psychological Association","title":"A power primer.","type":"article-journal","volume":"112"},"uris":["http://www.mendeley.com/documents/?uuid=b50dfffd-f5da-4393-b8ac-14e529a0e1e0"]}],"mendeley":{"formattedCitation":"(Cohen, 1992)","manualFormatting":"Cohen (1992)","plainTextFormattedCitation":"(Cohen, 1992)","previouslyFormattedCitation":"(Cohen, 1992)"},"properties":{"noteIndex":0},"schema":"https://github.com/citation-style-language/schema/raw/master/csl-citation.json"}</w:instrText>
      </w:r>
      <w:r w:rsidRPr="00B1522E">
        <w:rPr>
          <w:rFonts w:cstheme="minorHAnsi"/>
        </w:rPr>
        <w:fldChar w:fldCharType="separate"/>
      </w:r>
      <w:r w:rsidRPr="00B1522E">
        <w:rPr>
          <w:rFonts w:cstheme="minorHAnsi"/>
          <w:noProof/>
        </w:rPr>
        <w:t>Cohen (1992)</w:t>
      </w:r>
      <w:r w:rsidRPr="00B1522E">
        <w:rPr>
          <w:rFonts w:cstheme="minorHAnsi"/>
        </w:rPr>
        <w:fldChar w:fldCharType="end"/>
      </w:r>
      <w:r w:rsidRPr="00B1522E">
        <w:rPr>
          <w:rFonts w:cstheme="minorHAnsi"/>
        </w:rPr>
        <w:t xml:space="preserve"> suggests using a medium effect size as it would approximate the average sample size observed across various fields. </w:t>
      </w:r>
      <w:r w:rsidRPr="00B1522E">
        <w:rPr>
          <w:rFonts w:cstheme="minorHAnsi"/>
          <w:noProof/>
        </w:rPr>
        <w:t>All students from (school) Year 7 (aged 11-12 years) were eligible to participate</w:t>
      </w:r>
      <w:r w:rsidRPr="00B1522E">
        <w:rPr>
          <w:rFonts w:cstheme="minorHAnsi"/>
        </w:rPr>
        <w:t xml:space="preserve"> and a</w:t>
      </w:r>
      <w:r w:rsidRPr="00B1522E">
        <w:rPr>
          <w:rFonts w:cstheme="minorHAnsi"/>
          <w:noProof/>
        </w:rPr>
        <w:t xml:space="preserve"> total of 252 students (125 males and 127 females; School A = 157; School B = 95) completed a paper-based questionnaire in September 2017.</w:t>
      </w:r>
      <w:r w:rsidRPr="00B1522E">
        <w:rPr>
          <w:rFonts w:cstheme="minorHAnsi"/>
        </w:rPr>
        <w:t xml:space="preserve"> The average quest</w:t>
      </w:r>
      <w:r w:rsidRPr="00B1522E">
        <w:rPr>
          <w:rFonts w:cstheme="minorHAnsi"/>
          <w:noProof/>
        </w:rPr>
        <w:t xml:space="preserve">ionnaire response rate across schools was 70%. </w:t>
      </w:r>
    </w:p>
    <w:p w14:paraId="2C12F2C3" w14:textId="77777777" w:rsidR="00730501" w:rsidRPr="00B1522E" w:rsidRDefault="00730501" w:rsidP="00264C75">
      <w:pPr>
        <w:spacing w:line="480" w:lineRule="auto"/>
        <w:jc w:val="both"/>
        <w:rPr>
          <w:rFonts w:cstheme="minorHAnsi"/>
          <w:shd w:val="clear" w:color="auto" w:fill="FFFFFF"/>
        </w:rPr>
      </w:pPr>
    </w:p>
    <w:bookmarkStart w:id="185" w:name="_Toc84678947"/>
    <w:p w14:paraId="6DF7EB98" w14:textId="248892E1" w:rsidR="00730501" w:rsidRPr="00B1522E" w:rsidRDefault="00A74724" w:rsidP="00264C75">
      <w:pPr>
        <w:spacing w:line="480" w:lineRule="auto"/>
      </w:pPr>
      <w:r w:rsidRPr="00B1522E">
        <w:fldChar w:fldCharType="begin"/>
      </w:r>
      <w:r w:rsidRPr="00B1522E">
        <w:instrText xml:space="preserve"> TC  "</w:instrText>
      </w:r>
      <w:bookmarkStart w:id="186" w:name="_Toc97310485"/>
      <w:r w:rsidRPr="00B1522E">
        <w:instrText>7.3.2 Procedure</w:instrText>
      </w:r>
      <w:bookmarkEnd w:id="186"/>
      <w:r w:rsidRPr="00B1522E">
        <w:instrText xml:space="preserve"> " \f x\l 3 </w:instrText>
      </w:r>
      <w:r w:rsidRPr="00B1522E">
        <w:fldChar w:fldCharType="end"/>
      </w:r>
      <w:r w:rsidR="00132E73" w:rsidRPr="00B1522E">
        <w:t>7.3</w:t>
      </w:r>
      <w:r w:rsidR="00730501" w:rsidRPr="00B1522E">
        <w:t>.2 Procedure</w:t>
      </w:r>
      <w:bookmarkEnd w:id="185"/>
      <w:r w:rsidR="00730501" w:rsidRPr="00B1522E">
        <w:t xml:space="preserve"> </w:t>
      </w:r>
    </w:p>
    <w:p w14:paraId="5B160E5E" w14:textId="5A001144" w:rsidR="00730501" w:rsidRPr="00B1522E" w:rsidRDefault="00730501" w:rsidP="00264C75">
      <w:pPr>
        <w:spacing w:line="480" w:lineRule="auto"/>
        <w:jc w:val="both"/>
        <w:rPr>
          <w:rFonts w:cstheme="minorHAnsi"/>
          <w:noProof/>
        </w:rPr>
      </w:pPr>
      <w:r w:rsidRPr="00B1522E">
        <w:rPr>
          <w:rFonts w:cstheme="minorHAnsi"/>
          <w:noProof/>
        </w:rPr>
        <w:t xml:space="preserve">Guardians and students were informed of the study via letters </w:t>
      </w:r>
      <w:r w:rsidR="005711D6" w:rsidRPr="00B1522E">
        <w:rPr>
          <w:rFonts w:cstheme="minorHAnsi"/>
          <w:noProof/>
        </w:rPr>
        <w:t xml:space="preserve">(Appendix </w:t>
      </w:r>
      <w:r w:rsidR="0020034C" w:rsidRPr="00B1522E">
        <w:rPr>
          <w:rFonts w:cstheme="minorHAnsi"/>
          <w:noProof/>
        </w:rPr>
        <w:t>1</w:t>
      </w:r>
      <w:r w:rsidR="00E73C3A" w:rsidRPr="00B1522E">
        <w:rPr>
          <w:rFonts w:cstheme="minorHAnsi"/>
          <w:noProof/>
        </w:rPr>
        <w:t>6</w:t>
      </w:r>
      <w:r w:rsidR="0020034C" w:rsidRPr="00B1522E">
        <w:rPr>
          <w:rFonts w:cstheme="minorHAnsi"/>
          <w:noProof/>
        </w:rPr>
        <w:t xml:space="preserve"> </w:t>
      </w:r>
      <w:r w:rsidR="00562955" w:rsidRPr="00B1522E">
        <w:rPr>
          <w:rFonts w:cstheme="minorHAnsi"/>
          <w:noProof/>
        </w:rPr>
        <w:t>and</w:t>
      </w:r>
      <w:r w:rsidR="0020034C" w:rsidRPr="00B1522E">
        <w:rPr>
          <w:rFonts w:cstheme="minorHAnsi"/>
          <w:noProof/>
        </w:rPr>
        <w:t xml:space="preserve"> 1</w:t>
      </w:r>
      <w:r w:rsidR="00E73C3A" w:rsidRPr="00B1522E">
        <w:rPr>
          <w:rFonts w:cstheme="minorHAnsi"/>
          <w:noProof/>
        </w:rPr>
        <w:t>7</w:t>
      </w:r>
      <w:r w:rsidR="005711D6" w:rsidRPr="00B1522E">
        <w:rPr>
          <w:rFonts w:cstheme="minorHAnsi"/>
          <w:noProof/>
        </w:rPr>
        <w:t xml:space="preserve">) </w:t>
      </w:r>
      <w:r w:rsidRPr="00B1522E">
        <w:rPr>
          <w:rFonts w:cstheme="minorHAnsi"/>
          <w:noProof/>
        </w:rPr>
        <w:t xml:space="preserve">sent home from the respective schools, which included guardian/parent opt-out consent forms. </w:t>
      </w:r>
      <w:r w:rsidRPr="00B1522E">
        <w:rPr>
          <w:rFonts w:cstheme="minorHAnsi"/>
          <w:noProof/>
          <w:shd w:val="clear" w:color="auto" w:fill="FFFFFF"/>
        </w:rPr>
        <w:t xml:space="preserve">Students who were interested in participating after reading the study information </w:t>
      </w:r>
      <w:r w:rsidR="009B785A" w:rsidRPr="00B1522E">
        <w:rPr>
          <w:rFonts w:cstheme="minorHAnsi"/>
          <w:noProof/>
          <w:shd w:val="clear" w:color="auto" w:fill="FFFFFF"/>
        </w:rPr>
        <w:t>(Appendix</w:t>
      </w:r>
      <w:r w:rsidR="009B3AFB" w:rsidRPr="00B1522E">
        <w:rPr>
          <w:rFonts w:cstheme="minorHAnsi"/>
          <w:noProof/>
          <w:shd w:val="clear" w:color="auto" w:fill="FFFFFF"/>
        </w:rPr>
        <w:t xml:space="preserve"> 1</w:t>
      </w:r>
      <w:r w:rsidR="00E73C3A" w:rsidRPr="00B1522E">
        <w:rPr>
          <w:rFonts w:cstheme="minorHAnsi"/>
          <w:noProof/>
          <w:shd w:val="clear" w:color="auto" w:fill="FFFFFF"/>
        </w:rPr>
        <w:t>8</w:t>
      </w:r>
      <w:r w:rsidR="00C96127" w:rsidRPr="00B1522E">
        <w:rPr>
          <w:rFonts w:cstheme="minorHAnsi"/>
          <w:noProof/>
          <w:shd w:val="clear" w:color="auto" w:fill="FFFFFF"/>
        </w:rPr>
        <w:t xml:space="preserve"> </w:t>
      </w:r>
      <w:r w:rsidR="009B3AFB" w:rsidRPr="00B1522E">
        <w:rPr>
          <w:rFonts w:cstheme="minorHAnsi"/>
          <w:noProof/>
          <w:shd w:val="clear" w:color="auto" w:fill="FFFFFF"/>
        </w:rPr>
        <w:t xml:space="preserve">and </w:t>
      </w:r>
      <w:r w:rsidR="00C96127" w:rsidRPr="00B1522E">
        <w:rPr>
          <w:rFonts w:cstheme="minorHAnsi"/>
          <w:noProof/>
          <w:shd w:val="clear" w:color="auto" w:fill="FFFFFF"/>
        </w:rPr>
        <w:t>1</w:t>
      </w:r>
      <w:r w:rsidR="00E73C3A" w:rsidRPr="00B1522E">
        <w:rPr>
          <w:rFonts w:cstheme="minorHAnsi"/>
          <w:noProof/>
          <w:shd w:val="clear" w:color="auto" w:fill="FFFFFF"/>
        </w:rPr>
        <w:t>9</w:t>
      </w:r>
      <w:r w:rsidR="00A36F19" w:rsidRPr="00B1522E">
        <w:rPr>
          <w:rFonts w:cstheme="minorHAnsi"/>
          <w:noProof/>
          <w:shd w:val="clear" w:color="auto" w:fill="FFFFFF"/>
        </w:rPr>
        <w:t>)</w:t>
      </w:r>
      <w:r w:rsidR="009B785A" w:rsidRPr="00B1522E">
        <w:rPr>
          <w:rFonts w:cstheme="minorHAnsi"/>
          <w:noProof/>
          <w:shd w:val="clear" w:color="auto" w:fill="FFFFFF"/>
        </w:rPr>
        <w:t xml:space="preserve"> </w:t>
      </w:r>
      <w:r w:rsidRPr="00B1522E">
        <w:rPr>
          <w:rFonts w:cstheme="minorHAnsi"/>
          <w:noProof/>
          <w:shd w:val="clear" w:color="auto" w:fill="FFFFFF"/>
        </w:rPr>
        <w:t xml:space="preserve">were asked to </w:t>
      </w:r>
      <w:r w:rsidRPr="00646E6A">
        <w:rPr>
          <w:rFonts w:cstheme="minorHAnsi"/>
          <w:noProof/>
          <w:shd w:val="clear" w:color="auto" w:fill="FFFFFF"/>
        </w:rPr>
        <w:t xml:space="preserve">provide their own </w:t>
      </w:r>
      <w:r w:rsidR="00E5196C" w:rsidRPr="00646E6A">
        <w:rPr>
          <w:rFonts w:cstheme="minorHAnsi"/>
          <w:noProof/>
          <w:shd w:val="clear" w:color="auto" w:fill="FFFFFF"/>
        </w:rPr>
        <w:t>assent</w:t>
      </w:r>
      <w:r w:rsidRPr="00646E6A">
        <w:rPr>
          <w:rFonts w:cstheme="minorHAnsi"/>
          <w:noProof/>
          <w:shd w:val="clear" w:color="auto" w:fill="FFFFFF"/>
        </w:rPr>
        <w:t xml:space="preserve"> </w:t>
      </w:r>
      <w:r w:rsidR="004B5678" w:rsidRPr="00646E6A">
        <w:rPr>
          <w:rFonts w:cstheme="minorHAnsi"/>
          <w:noProof/>
        </w:rPr>
        <w:t xml:space="preserve">(Appendix </w:t>
      </w:r>
      <w:r w:rsidR="009B3AFB" w:rsidRPr="00646E6A">
        <w:rPr>
          <w:rFonts w:cstheme="minorHAnsi"/>
          <w:noProof/>
        </w:rPr>
        <w:t>2</w:t>
      </w:r>
      <w:r w:rsidR="00E73C3A" w:rsidRPr="00646E6A">
        <w:rPr>
          <w:rFonts w:cstheme="minorHAnsi"/>
          <w:noProof/>
        </w:rPr>
        <w:t>0</w:t>
      </w:r>
      <w:r w:rsidR="004B5678" w:rsidRPr="00646E6A">
        <w:rPr>
          <w:rFonts w:cstheme="minorHAnsi"/>
          <w:noProof/>
        </w:rPr>
        <w:t xml:space="preserve">) </w:t>
      </w:r>
      <w:r w:rsidRPr="00646E6A">
        <w:rPr>
          <w:rFonts w:cstheme="minorHAnsi"/>
          <w:noProof/>
          <w:shd w:val="clear" w:color="auto" w:fill="FFFFFF"/>
        </w:rPr>
        <w:t>prior to completing a paper-based questionnaire</w:t>
      </w:r>
      <w:r w:rsidR="004B5678" w:rsidRPr="00646E6A">
        <w:rPr>
          <w:rFonts w:cstheme="minorHAnsi"/>
          <w:noProof/>
          <w:shd w:val="clear" w:color="auto" w:fill="FFFFFF"/>
        </w:rPr>
        <w:t xml:space="preserve"> </w:t>
      </w:r>
      <w:r w:rsidR="004B5678" w:rsidRPr="00646E6A">
        <w:rPr>
          <w:rFonts w:cstheme="minorHAnsi"/>
          <w:noProof/>
        </w:rPr>
        <w:t>(Appendix</w:t>
      </w:r>
      <w:r w:rsidR="004B5678" w:rsidRPr="00B1522E">
        <w:rPr>
          <w:rFonts w:cstheme="minorHAnsi"/>
          <w:noProof/>
        </w:rPr>
        <w:t xml:space="preserve"> </w:t>
      </w:r>
      <w:r w:rsidR="00E73C3A" w:rsidRPr="00B1522E">
        <w:rPr>
          <w:rFonts w:cstheme="minorHAnsi"/>
          <w:noProof/>
        </w:rPr>
        <w:t>21</w:t>
      </w:r>
      <w:r w:rsidR="004B5678" w:rsidRPr="00B1522E">
        <w:rPr>
          <w:rFonts w:cstheme="minorHAnsi"/>
          <w:noProof/>
        </w:rPr>
        <w:t>)</w:t>
      </w:r>
      <w:r w:rsidRPr="00B1522E">
        <w:rPr>
          <w:rFonts w:cstheme="minorHAnsi"/>
          <w:noProof/>
        </w:rPr>
        <w:t>.  Data collection was facilitated by teachers and was completed during school hours within a timetabled teaching session.  The project was approved by</w:t>
      </w:r>
      <w:r w:rsidR="00AC1881" w:rsidRPr="00B1522E">
        <w:rPr>
          <w:rFonts w:cstheme="minorHAnsi"/>
        </w:rPr>
        <w:t xml:space="preserve"> Staffordshire University </w:t>
      </w:r>
      <w:r w:rsidRPr="00B1522E">
        <w:rPr>
          <w:rFonts w:cstheme="minorHAnsi"/>
          <w:noProof/>
        </w:rPr>
        <w:t>Ethics Committee</w:t>
      </w:r>
      <w:r w:rsidR="00544094" w:rsidRPr="00B1522E">
        <w:rPr>
          <w:rFonts w:cstheme="minorHAnsi"/>
          <w:noProof/>
        </w:rPr>
        <w:t xml:space="preserve"> (Appendix </w:t>
      </w:r>
      <w:r w:rsidR="00892DD3" w:rsidRPr="00B1522E">
        <w:rPr>
          <w:rFonts w:cstheme="minorHAnsi"/>
          <w:noProof/>
        </w:rPr>
        <w:t>1</w:t>
      </w:r>
      <w:r w:rsidR="00815081" w:rsidRPr="00B1522E">
        <w:rPr>
          <w:rFonts w:cstheme="minorHAnsi"/>
          <w:noProof/>
        </w:rPr>
        <w:t>5</w:t>
      </w:r>
      <w:r w:rsidR="00892DD3" w:rsidRPr="00B1522E">
        <w:rPr>
          <w:rFonts w:cstheme="minorHAnsi"/>
          <w:noProof/>
        </w:rPr>
        <w:t>)</w:t>
      </w:r>
      <w:r w:rsidRPr="00B1522E">
        <w:rPr>
          <w:rFonts w:cstheme="minorHAnsi"/>
          <w:noProof/>
        </w:rPr>
        <w:t>.</w:t>
      </w:r>
    </w:p>
    <w:p w14:paraId="78321891" w14:textId="77777777" w:rsidR="00730501" w:rsidRPr="00B1522E" w:rsidRDefault="00730501" w:rsidP="00730501">
      <w:pPr>
        <w:spacing w:line="480" w:lineRule="auto"/>
        <w:jc w:val="both"/>
        <w:rPr>
          <w:rFonts w:eastAsia="Calibri" w:cstheme="minorHAnsi"/>
        </w:rPr>
      </w:pPr>
    </w:p>
    <w:bookmarkStart w:id="187" w:name="_Toc84678948"/>
    <w:p w14:paraId="34E56C83" w14:textId="7B24CAB4" w:rsidR="00730501" w:rsidRPr="00B1522E" w:rsidRDefault="00673C6F" w:rsidP="00264C75">
      <w:pPr>
        <w:spacing w:line="480" w:lineRule="auto"/>
      </w:pPr>
      <w:r w:rsidRPr="00B1522E">
        <w:fldChar w:fldCharType="begin"/>
      </w:r>
      <w:r w:rsidRPr="00B1522E">
        <w:instrText xml:space="preserve"> TC  "</w:instrText>
      </w:r>
      <w:bookmarkStart w:id="188" w:name="_Toc97310486"/>
      <w:r w:rsidRPr="00B1522E">
        <w:instrText>7.3.</w:instrText>
      </w:r>
      <w:r w:rsidR="00A74724" w:rsidRPr="00B1522E">
        <w:instrText>3</w:instrText>
      </w:r>
      <w:r w:rsidRPr="00B1522E">
        <w:instrText xml:space="preserve"> Design and Participants</w:instrText>
      </w:r>
      <w:bookmarkEnd w:id="188"/>
      <w:r w:rsidRPr="00B1522E">
        <w:instrText xml:space="preserve"> " \f x\l </w:instrText>
      </w:r>
      <w:r w:rsidR="00A74724" w:rsidRPr="00B1522E">
        <w:instrText>3</w:instrText>
      </w:r>
      <w:r w:rsidRPr="00B1522E">
        <w:instrText xml:space="preserve"> </w:instrText>
      </w:r>
      <w:r w:rsidRPr="00B1522E">
        <w:fldChar w:fldCharType="end"/>
      </w:r>
      <w:r w:rsidR="00DC105E" w:rsidRPr="00B1522E">
        <w:t>7.3</w:t>
      </w:r>
      <w:r w:rsidR="00730501" w:rsidRPr="00B1522E">
        <w:t>.3 Measures</w:t>
      </w:r>
      <w:bookmarkEnd w:id="187"/>
      <w:r w:rsidR="00730501" w:rsidRPr="00B1522E">
        <w:t xml:space="preserve"> </w:t>
      </w:r>
    </w:p>
    <w:p w14:paraId="60809E8D" w14:textId="174F80B1" w:rsidR="00730501" w:rsidRPr="00B1522E" w:rsidRDefault="00730501" w:rsidP="00264C75">
      <w:pPr>
        <w:spacing w:line="480" w:lineRule="auto"/>
        <w:jc w:val="both"/>
        <w:rPr>
          <w:rFonts w:cstheme="minorHAnsi"/>
          <w:noProof/>
        </w:rPr>
      </w:pPr>
      <w:r w:rsidRPr="00B1522E">
        <w:rPr>
          <w:rFonts w:cstheme="minorHAnsi"/>
        </w:rPr>
        <w:t xml:space="preserve">The questionnaires were developed, considering relevant research, and in collaboration with the schools. The key contact within both schools reviewed the questionnaires to check language and understandability, as schools indicated that literacy and understanding of students was below age-related expectation. </w:t>
      </w:r>
      <w:r w:rsidRPr="00B1522E">
        <w:rPr>
          <w:rFonts w:cstheme="minorHAnsi"/>
          <w:noProof/>
        </w:rPr>
        <w:t xml:space="preserve">Focus groups conducted in both schools prior to this study </w:t>
      </w:r>
      <w:r w:rsidRPr="00B1522E">
        <w:rPr>
          <w:rFonts w:eastAsia="Calibri" w:cstheme="minorHAnsi"/>
          <w:noProof/>
        </w:rPr>
        <w:t>identified that there were differences between boys and girls in their beliefs about eating behaviours, and in the perceived social influences on their own dietary behaviour</w:t>
      </w:r>
      <w:r w:rsidR="001A72DA" w:rsidRPr="00B1522E">
        <w:rPr>
          <w:rFonts w:eastAsia="Calibri" w:cstheme="minorHAnsi"/>
          <w:noProof/>
        </w:rPr>
        <w:t xml:space="preserve"> (Chapter </w:t>
      </w:r>
      <w:r w:rsidR="00E86159" w:rsidRPr="00B1522E">
        <w:rPr>
          <w:rFonts w:eastAsia="Calibri" w:cstheme="minorHAnsi"/>
          <w:noProof/>
        </w:rPr>
        <w:t>5)</w:t>
      </w:r>
      <w:r w:rsidRPr="00B1522E">
        <w:rPr>
          <w:rFonts w:eastAsia="Calibri" w:cstheme="minorHAnsi"/>
          <w:noProof/>
        </w:rPr>
        <w:t xml:space="preserve"> </w:t>
      </w:r>
      <w:r w:rsidR="004B5678" w:rsidRPr="00B1522E">
        <w:rPr>
          <w:rFonts w:eastAsia="Calibri" w:cstheme="minorHAnsi"/>
          <w:noProof/>
        </w:rPr>
        <w:fldChar w:fldCharType="begin" w:fldLock="1"/>
      </w:r>
      <w:r w:rsidR="00C654DE" w:rsidRPr="00B1522E">
        <w:rPr>
          <w:rFonts w:eastAsia="Calibri" w:cstheme="minorHAnsi"/>
          <w:noProof/>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004B5678" w:rsidRPr="00B1522E">
        <w:rPr>
          <w:rFonts w:eastAsia="Calibri" w:cstheme="minorHAnsi"/>
          <w:noProof/>
        </w:rPr>
        <w:fldChar w:fldCharType="separate"/>
      </w:r>
      <w:r w:rsidR="00355350" w:rsidRPr="00B1522E">
        <w:rPr>
          <w:rFonts w:eastAsia="Calibri" w:cstheme="minorHAnsi"/>
          <w:noProof/>
        </w:rPr>
        <w:t>(Calvert et al., 2020)</w:t>
      </w:r>
      <w:r w:rsidR="004B5678" w:rsidRPr="00B1522E">
        <w:rPr>
          <w:rFonts w:eastAsia="Calibri" w:cstheme="minorHAnsi"/>
          <w:noProof/>
        </w:rPr>
        <w:fldChar w:fldCharType="end"/>
      </w:r>
      <w:r w:rsidRPr="00B1522E">
        <w:rPr>
          <w:rFonts w:eastAsia="Calibri" w:cstheme="minorHAnsi"/>
          <w:noProof/>
        </w:rPr>
        <w:t>. Based on the results of these focus groups, questionnaires included normative items that referred to same-sex same-</w:t>
      </w:r>
      <w:r w:rsidRPr="00B1522E">
        <w:rPr>
          <w:rFonts w:eastAsia="Calibri" w:cstheme="minorHAnsi"/>
          <w:noProof/>
        </w:rPr>
        <w:lastRenderedPageBreak/>
        <w:t>school peers</w:t>
      </w:r>
      <w:r w:rsidRPr="00B1522E">
        <w:rPr>
          <w:rStyle w:val="CommentReference"/>
          <w:rFonts w:cstheme="minorHAnsi"/>
          <w:noProof/>
          <w:sz w:val="22"/>
          <w:szCs w:val="22"/>
        </w:rPr>
        <w:t xml:space="preserve">. </w:t>
      </w:r>
      <w:r w:rsidRPr="00B1522E">
        <w:rPr>
          <w:rFonts w:eastAsia="Calibri" w:cstheme="minorHAnsi"/>
          <w:noProof/>
        </w:rPr>
        <w:t>The student focus groups also identified foodstuffs that were commonly referred to as unhealthy snacks within the target population and the frequency of consumption of these foodstuffs was measured within the questionnaire (e.g. chocolate, crisps).</w:t>
      </w:r>
      <w:r w:rsidRPr="00B1522E">
        <w:rPr>
          <w:rStyle w:val="CommentReference"/>
          <w:rFonts w:cstheme="minorHAnsi"/>
          <w:noProof/>
          <w:sz w:val="22"/>
          <w:szCs w:val="22"/>
        </w:rPr>
        <w:t xml:space="preserve"> </w:t>
      </w:r>
      <w:r w:rsidRPr="00B1522E">
        <w:rPr>
          <w:rFonts w:eastAsia="Calibri" w:cstheme="minorHAnsi"/>
          <w:noProof/>
        </w:rPr>
        <w:t xml:space="preserve">Demographic data including students’ sex and date of birth were collected. </w:t>
      </w:r>
    </w:p>
    <w:p w14:paraId="414F7392" w14:textId="77777777" w:rsidR="00730501" w:rsidRPr="00B1522E" w:rsidRDefault="00730501" w:rsidP="00730501">
      <w:pPr>
        <w:spacing w:line="480" w:lineRule="auto"/>
        <w:jc w:val="both"/>
        <w:rPr>
          <w:rFonts w:cstheme="minorHAnsi"/>
          <w:noProof/>
        </w:rPr>
      </w:pPr>
    </w:p>
    <w:p w14:paraId="337FAEAF" w14:textId="4A7F107C" w:rsidR="009B1E26" w:rsidRPr="00B1522E" w:rsidRDefault="00DC105E" w:rsidP="000B7EFC">
      <w:pPr>
        <w:spacing w:line="480" w:lineRule="auto"/>
      </w:pPr>
      <w:r w:rsidRPr="00B1522E">
        <w:t>7.3</w:t>
      </w:r>
      <w:r w:rsidR="00730501" w:rsidRPr="00B1522E">
        <w:t>.3.1 Dietary Behaviours</w:t>
      </w:r>
    </w:p>
    <w:p w14:paraId="58B0BD6E" w14:textId="5F788117" w:rsidR="00730501" w:rsidRPr="00B1522E" w:rsidRDefault="00730501" w:rsidP="000B7EFC">
      <w:pPr>
        <w:spacing w:line="480" w:lineRule="auto"/>
        <w:jc w:val="both"/>
        <w:rPr>
          <w:rFonts w:eastAsia="Calibri" w:cstheme="minorHAnsi"/>
          <w:iCs/>
        </w:rPr>
      </w:pPr>
      <w:r w:rsidRPr="00B1522E">
        <w:rPr>
          <w:rFonts w:eastAsia="Calibri" w:cstheme="minorHAnsi"/>
          <w:iCs/>
          <w:noProof/>
        </w:rPr>
        <w:t xml:space="preserve">Students’ personal dietary behaviours were assessed using an adapted version of a food frequency questionnaire (FFQ) previously used by </w:t>
      </w:r>
      <w:r w:rsidRPr="00B1522E">
        <w:rPr>
          <w:rFonts w:eastAsia="Calibri" w:cstheme="minorHAnsi"/>
          <w:iCs/>
          <w:noProof/>
        </w:rPr>
        <w:fldChar w:fldCharType="begin" w:fldLock="1"/>
      </w:r>
      <w:r w:rsidR="006741EA" w:rsidRPr="00B1522E">
        <w:rPr>
          <w:rFonts w:eastAsia="Calibri" w:cstheme="minorHAnsi"/>
          <w:iCs/>
          <w:noProof/>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rFonts w:eastAsia="Calibri" w:cstheme="minorHAnsi"/>
          <w:iCs/>
          <w:noProof/>
        </w:rPr>
        <w:fldChar w:fldCharType="separate"/>
      </w:r>
      <w:r w:rsidRPr="00B1522E">
        <w:rPr>
          <w:rFonts w:eastAsia="Calibri" w:cstheme="minorHAnsi"/>
          <w:iCs/>
          <w:noProof/>
        </w:rPr>
        <w:t>Lally et al. (2011)</w:t>
      </w:r>
      <w:r w:rsidRPr="00B1522E">
        <w:rPr>
          <w:rFonts w:eastAsia="Calibri" w:cstheme="minorHAnsi"/>
          <w:iCs/>
          <w:noProof/>
        </w:rPr>
        <w:fldChar w:fldCharType="end"/>
      </w:r>
      <w:r w:rsidRPr="00B1522E">
        <w:rPr>
          <w:rFonts w:eastAsia="Calibri" w:cstheme="minorHAnsi"/>
          <w:iCs/>
          <w:noProof/>
        </w:rPr>
        <w:t xml:space="preserve">. The items asked students to self-report how often they consumed </w:t>
      </w:r>
      <w:r w:rsidRPr="00B1522E">
        <w:rPr>
          <w:rFonts w:eastAsia="Calibri" w:cstheme="minorHAnsi"/>
          <w:noProof/>
        </w:rPr>
        <w:t>chocolate, sweets, crisps, biscuits and cake</w:t>
      </w:r>
      <w:r w:rsidRPr="00B1522E">
        <w:rPr>
          <w:rFonts w:eastAsia="Calibri" w:cstheme="minorHAnsi"/>
          <w:iCs/>
          <w:noProof/>
        </w:rPr>
        <w:t xml:space="preserve">, </w:t>
      </w:r>
      <w:r w:rsidRPr="00B1522E">
        <w:rPr>
          <w:rFonts w:eastAsia="Calibri" w:cstheme="minorHAnsi"/>
          <w:iCs/>
        </w:rPr>
        <w:t>over the previous week and each foodstuff had a specified portion size (</w:t>
      </w:r>
      <w:r w:rsidR="007D734F" w:rsidRPr="00B1522E">
        <w:rPr>
          <w:rFonts w:eastAsia="Calibri" w:cstheme="minorHAnsi"/>
          <w:iCs/>
        </w:rPr>
        <w:t>e.g.,</w:t>
      </w:r>
      <w:r w:rsidRPr="00B1522E">
        <w:rPr>
          <w:rFonts w:eastAsia="Calibri" w:cstheme="minorHAnsi"/>
          <w:iCs/>
        </w:rPr>
        <w:t xml:space="preserve"> one slice of cake or a cupcake). Portion sizes were equal to one serving for each foodstuff based on a previously used and validated adolescent food frequency questionnaire </w:t>
      </w:r>
      <w:r w:rsidRPr="00B1522E">
        <w:rPr>
          <w:rFonts w:eastAsia="Calibri" w:cstheme="minorHAnsi"/>
          <w:iCs/>
        </w:rPr>
        <w:fldChar w:fldCharType="begin" w:fldLock="1"/>
      </w:r>
      <w:r w:rsidRPr="00B1522E">
        <w:rPr>
          <w:rFonts w:eastAsia="Calibri" w:cstheme="minorHAnsi"/>
          <w:iCs/>
        </w:rPr>
        <w:instrText>ADDIN CSL_CITATION {"citationItems":[{"id":"ITEM-1","itemData":{"ISSN":"0002-8223","author":[{"dropping-particle":"","family":"Rockett","given":"Helaine R H","non-dropping-particle":"","parse-names":false,"suffix":""},{"dropping-particle":"","family":"Wolf","given":"Anne M","non-dropping-particle":"","parse-names":false,"suffix":""},{"dropping-particle":"","family":"Colditz","given":"Graham A","non-dropping-particle":"","parse-names":false,"suffix":""}],"container-title":"Journal of the American Dietetic Association","id":"ITEM-1","issue":"3","issued":{"date-parts":[["1995"]]},"page":"336-340","publisher":"Elsevier","title":"Development and reproducibility of a food frequency questionnaire to assess diets of older children and adolescents","type":"article-journal","volume":"95"},"uris":["http://www.mendeley.com/documents/?uuid=637b0cef-3a6b-46dd-89e0-4d5eb68ec273"]}],"mendeley":{"formattedCitation":"(Rockett et al., 1995)","plainTextFormattedCitation":"(Rockett et al., 1995)","previouslyFormattedCitation":"(Rockett et al., 1995)"},"properties":{"noteIndex":0},"schema":"https://github.com/citation-style-language/schema/raw/master/csl-citation.json"}</w:instrText>
      </w:r>
      <w:r w:rsidRPr="00B1522E">
        <w:rPr>
          <w:rFonts w:eastAsia="Calibri" w:cstheme="minorHAnsi"/>
          <w:iCs/>
        </w:rPr>
        <w:fldChar w:fldCharType="separate"/>
      </w:r>
      <w:r w:rsidRPr="00B1522E">
        <w:rPr>
          <w:rFonts w:eastAsia="Calibri" w:cstheme="minorHAnsi"/>
          <w:iCs/>
          <w:noProof/>
        </w:rPr>
        <w:t>(Rockett et al., 1995)</w:t>
      </w:r>
      <w:r w:rsidRPr="00B1522E">
        <w:rPr>
          <w:rFonts w:eastAsia="Calibri" w:cstheme="minorHAnsi"/>
          <w:iCs/>
        </w:rPr>
        <w:fldChar w:fldCharType="end"/>
      </w:r>
      <w:r w:rsidRPr="00B1522E">
        <w:rPr>
          <w:rFonts w:eastAsia="Calibri" w:cstheme="minorHAnsi"/>
          <w:iCs/>
          <w:noProof/>
        </w:rPr>
        <w:t xml:space="preserve">. Response options ranged </w:t>
      </w:r>
      <w:r w:rsidRPr="00B1522E">
        <w:rPr>
          <w:rFonts w:eastAsia="Calibri" w:cstheme="minorHAnsi"/>
          <w:noProof/>
        </w:rPr>
        <w:t xml:space="preserve">from ‘less than once a week’ to ‘4 or more a day’. An example of an item wording is, </w:t>
      </w:r>
      <w:r w:rsidRPr="00B1522E">
        <w:rPr>
          <w:rFonts w:eastAsia="Calibri" w:cstheme="minorHAnsi"/>
          <w:i/>
          <w:iCs/>
          <w:noProof/>
        </w:rPr>
        <w:t>‘thinking back over the past week, how many servings of these foods did you eat?’</w:t>
      </w:r>
      <w:r w:rsidRPr="00B1522E">
        <w:rPr>
          <w:rFonts w:eastAsia="Calibri" w:cstheme="minorHAnsi"/>
          <w:noProof/>
        </w:rPr>
        <w:t xml:space="preserve">. For the analysis response options ‘don’t know’, ‘less than one a week’, ‘1 a week’, ‘2-3 a week’, ‘4-6 a week’, ‘1 a day’, ‘2 a day’, ‘3 a day’, ‘4 or more a day’ were converted into values to reflect frequency of consumption per week. For example, ‘less than once per week’ was coded as 0.5 up to ‘4 or more a day’ which was coded as 28. A summary measure of snacking behaviour over a week was constructed by summing responses to chocolate, sweets, crisps, biscuits and cake. The internal reliability (Cronbach’s alpha) for these items combined was 0.70.  </w:t>
      </w:r>
    </w:p>
    <w:p w14:paraId="0F600300" w14:textId="77777777" w:rsidR="00730501" w:rsidRPr="00B1522E" w:rsidRDefault="00730501" w:rsidP="00730501">
      <w:pPr>
        <w:spacing w:line="480" w:lineRule="auto"/>
        <w:jc w:val="both"/>
        <w:rPr>
          <w:rFonts w:eastAsia="Calibri" w:cstheme="minorHAnsi"/>
          <w:iCs/>
          <w:noProof/>
        </w:rPr>
      </w:pPr>
    </w:p>
    <w:p w14:paraId="715FC8E6" w14:textId="445D4DE9" w:rsidR="00730501" w:rsidRPr="00B1522E" w:rsidRDefault="00DC105E" w:rsidP="000B7EFC">
      <w:pPr>
        <w:spacing w:line="480" w:lineRule="auto"/>
      </w:pPr>
      <w:r w:rsidRPr="00B1522E">
        <w:t>7.3</w:t>
      </w:r>
      <w:r w:rsidR="00730501" w:rsidRPr="00B1522E">
        <w:t>.3.2 Snacking attitudes</w:t>
      </w:r>
    </w:p>
    <w:p w14:paraId="02AB1EB6" w14:textId="5E0C85C2" w:rsidR="00730501" w:rsidRPr="00B1522E" w:rsidRDefault="00730501" w:rsidP="000B7EFC">
      <w:pPr>
        <w:spacing w:line="480" w:lineRule="auto"/>
        <w:jc w:val="both"/>
        <w:rPr>
          <w:rFonts w:eastAsia="Calibri" w:cstheme="minorHAnsi"/>
          <w:noProof/>
        </w:rPr>
      </w:pPr>
      <w:r w:rsidRPr="00B1522E">
        <w:rPr>
          <w:rFonts w:eastAsia="Calibri" w:cstheme="minorHAnsi"/>
          <w:iCs/>
          <w:noProof/>
        </w:rPr>
        <w:t xml:space="preserve">Students’ personal attitude towards snacking was assessed using two separate items (these items were not summed together). </w:t>
      </w:r>
      <w:r w:rsidRPr="00B1522E">
        <w:rPr>
          <w:rFonts w:eastAsia="Calibri" w:cstheme="minorHAnsi"/>
          <w:i/>
          <w:iCs/>
          <w:noProof/>
        </w:rPr>
        <w:t xml:space="preserve">‘In general, do you think that eating two or more unhealthy snack foods on most days is? </w:t>
      </w:r>
      <w:r w:rsidRPr="00B1522E">
        <w:rPr>
          <w:rFonts w:eastAsia="Calibri" w:cstheme="minorHAnsi"/>
          <w:noProof/>
        </w:rPr>
        <w:t xml:space="preserve">and </w:t>
      </w:r>
      <w:r w:rsidRPr="00B1522E">
        <w:rPr>
          <w:rFonts w:eastAsia="Calibri" w:cstheme="minorHAnsi"/>
          <w:i/>
          <w:iCs/>
          <w:noProof/>
        </w:rPr>
        <w:t>‘For me to eat fewer unhealthy snacks over the next month would be’</w:t>
      </w:r>
      <w:r w:rsidRPr="00B1522E">
        <w:rPr>
          <w:rFonts w:eastAsia="Calibri" w:cstheme="minorHAnsi"/>
          <w:noProof/>
        </w:rPr>
        <w:t xml:space="preserve">. The item </w:t>
      </w:r>
      <w:r w:rsidRPr="00B1522E">
        <w:rPr>
          <w:rFonts w:eastAsia="Calibri" w:cstheme="minorHAnsi"/>
          <w:noProof/>
        </w:rPr>
        <w:lastRenderedPageBreak/>
        <w:t xml:space="preserve">wording and scales were previously used by </w:t>
      </w:r>
      <w:r w:rsidRPr="00B1522E">
        <w:rPr>
          <w:rFonts w:eastAsia="Calibri" w:cstheme="minorHAnsi"/>
          <w:noProof/>
        </w:rPr>
        <w:fldChar w:fldCharType="begin" w:fldLock="1"/>
      </w:r>
      <w:r w:rsidR="006741EA" w:rsidRPr="00B1522E">
        <w:rPr>
          <w:rFonts w:eastAsia="Calibri" w:cstheme="minorHAnsi"/>
          <w:noProof/>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rFonts w:eastAsia="Calibri" w:cstheme="minorHAnsi"/>
          <w:noProof/>
        </w:rPr>
        <w:fldChar w:fldCharType="separate"/>
      </w:r>
      <w:r w:rsidRPr="00B1522E">
        <w:rPr>
          <w:rFonts w:eastAsia="Calibri" w:cstheme="minorHAnsi"/>
          <w:noProof/>
        </w:rPr>
        <w:t>Lally et al. (2011)</w:t>
      </w:r>
      <w:r w:rsidRPr="00B1522E">
        <w:rPr>
          <w:rFonts w:eastAsia="Calibri" w:cstheme="minorHAnsi"/>
          <w:noProof/>
        </w:rPr>
        <w:fldChar w:fldCharType="end"/>
      </w:r>
      <w:r w:rsidRPr="00B1522E">
        <w:rPr>
          <w:rFonts w:eastAsia="Calibri" w:cstheme="minorHAnsi"/>
          <w:noProof/>
        </w:rPr>
        <w:t xml:space="preserve"> and </w:t>
      </w:r>
      <w:r w:rsidRPr="00B1522E">
        <w:rPr>
          <w:rFonts w:eastAsia="Calibri" w:cstheme="minorHAnsi"/>
          <w:noProof/>
        </w:rPr>
        <w:fldChar w:fldCharType="begin" w:fldLock="1"/>
      </w:r>
      <w:r w:rsidRPr="00B1522E">
        <w:rPr>
          <w:rFonts w:eastAsia="Calibri" w:cstheme="minorHAnsi"/>
          <w:noProof/>
        </w:rPr>
        <w:instrText>ADDIN CSL_CITATION {"citationItems":[{"id":"ITEM-1","itemData":{"author":[{"dropping-particle":"","family":"Sheridan","given":"Sabrina","non-dropping-particle":"","parse-names":false,"suffix":""}],"id":"ITEM-1","issued":{"date-parts":[["2014"]]},"publisher":"Dublin Business School","title":"Unhealthy Snacking: An exploration of the theory of planned behaviour, impulsivity, reward sensitivity and BMI.","type":"thesis"},"uris":["http://www.mendeley.com/documents/?uuid=896c3e04-ccfb-4e99-b3a7-223721a8f144"]}],"mendeley":{"formattedCitation":"(Sheridan, 2014)","manualFormatting":"Sheridan (2014)","plainTextFormattedCitation":"(Sheridan, 2014)","previouslyFormattedCitation":"(Sheridan, 2014)"},"properties":{"noteIndex":0},"schema":"https://github.com/citation-style-language/schema/raw/master/csl-citation.json"}</w:instrText>
      </w:r>
      <w:r w:rsidRPr="00B1522E">
        <w:rPr>
          <w:rFonts w:eastAsia="Calibri" w:cstheme="minorHAnsi"/>
          <w:noProof/>
        </w:rPr>
        <w:fldChar w:fldCharType="separate"/>
      </w:r>
      <w:r w:rsidRPr="00B1522E">
        <w:rPr>
          <w:rFonts w:eastAsia="Calibri" w:cstheme="minorHAnsi"/>
          <w:noProof/>
        </w:rPr>
        <w:t>Sheridan (2014)</w:t>
      </w:r>
      <w:r w:rsidRPr="00B1522E">
        <w:rPr>
          <w:rFonts w:eastAsia="Calibri" w:cstheme="minorHAnsi"/>
          <w:noProof/>
        </w:rPr>
        <w:fldChar w:fldCharType="end"/>
      </w:r>
      <w:r w:rsidRPr="00B1522E">
        <w:rPr>
          <w:rFonts w:eastAsia="Calibri" w:cstheme="minorHAnsi"/>
          <w:noProof/>
        </w:rPr>
        <w:t>. Students indicated their personal attitude on a pair of Likert scales ranging from 1 (bad) to 5 (good), and 1 (foolish) to 5 (sensible), which were summed to give a total attitude score ranging from 2-10 for each item.</w:t>
      </w:r>
    </w:p>
    <w:p w14:paraId="79C5E908" w14:textId="77777777" w:rsidR="00730501" w:rsidRPr="00B1522E" w:rsidRDefault="00730501" w:rsidP="00730501">
      <w:pPr>
        <w:spacing w:line="480" w:lineRule="auto"/>
        <w:jc w:val="both"/>
        <w:rPr>
          <w:rFonts w:eastAsia="Calibri" w:cstheme="minorHAnsi"/>
          <w:noProof/>
        </w:rPr>
      </w:pPr>
    </w:p>
    <w:p w14:paraId="3889CB99" w14:textId="08EB1647" w:rsidR="00730501" w:rsidRPr="00B1522E" w:rsidRDefault="00DC105E" w:rsidP="000B7EFC">
      <w:pPr>
        <w:spacing w:line="480" w:lineRule="auto"/>
      </w:pPr>
      <w:r w:rsidRPr="00B1522E">
        <w:t>7.3</w:t>
      </w:r>
      <w:r w:rsidR="00730501" w:rsidRPr="00B1522E">
        <w:t>.3.3 Descriptive and injunctive Norms</w:t>
      </w:r>
    </w:p>
    <w:p w14:paraId="19548886" w14:textId="0A556FFB" w:rsidR="00730501" w:rsidRPr="00B1522E" w:rsidRDefault="00730501" w:rsidP="000B7EFC">
      <w:pPr>
        <w:spacing w:line="480" w:lineRule="auto"/>
        <w:jc w:val="both"/>
        <w:rPr>
          <w:rFonts w:eastAsia="Calibri" w:cstheme="minorHAnsi"/>
          <w:iCs/>
        </w:rPr>
      </w:pPr>
      <w:r w:rsidRPr="00B1522E">
        <w:rPr>
          <w:rFonts w:eastAsia="Calibri" w:cstheme="minorHAnsi"/>
          <w:iCs/>
        </w:rPr>
        <w:t xml:space="preserve">Students’ normative perceptions of their peers’ dietary behaviours were assessed by asking how often over the previous week students thought the majority of same-sex peers at their school consumed </w:t>
      </w:r>
      <w:r w:rsidRPr="00B1522E">
        <w:rPr>
          <w:rFonts w:eastAsia="Calibri" w:cstheme="minorHAnsi"/>
        </w:rPr>
        <w:t>chocolate, sweets, crisps, biscuits, cake</w:t>
      </w:r>
      <w:r w:rsidRPr="00B1522E">
        <w:rPr>
          <w:rFonts w:eastAsia="Calibri" w:cstheme="minorHAnsi"/>
          <w:iCs/>
        </w:rPr>
        <w:t xml:space="preserve">. Response options ranged </w:t>
      </w:r>
      <w:r w:rsidRPr="00B1522E">
        <w:rPr>
          <w:rFonts w:eastAsia="Calibri" w:cstheme="minorHAnsi"/>
        </w:rPr>
        <w:t xml:space="preserve">from ‘less than once a week’ to ‘4 or more a day’. An example of an item </w:t>
      </w:r>
      <w:r w:rsidR="007D734F" w:rsidRPr="00B1522E">
        <w:rPr>
          <w:rFonts w:eastAsia="Calibri" w:cstheme="minorHAnsi"/>
        </w:rPr>
        <w:t>was:</w:t>
      </w:r>
      <w:r w:rsidRPr="00B1522E">
        <w:rPr>
          <w:rFonts w:eastAsia="Calibri" w:cstheme="minorHAnsi"/>
        </w:rPr>
        <w:t xml:space="preserve"> ‘</w:t>
      </w:r>
      <w:r w:rsidRPr="00B1522E">
        <w:rPr>
          <w:rFonts w:eastAsia="Calibri" w:cstheme="minorHAnsi"/>
          <w:i/>
          <w:iCs/>
        </w:rPr>
        <w:t xml:space="preserve">how many servings of each of the following do you think most of the </w:t>
      </w:r>
      <w:r w:rsidRPr="00B1522E">
        <w:rPr>
          <w:rFonts w:eastAsia="Calibri" w:cstheme="minorHAnsi"/>
        </w:rPr>
        <w:t>[boys/girls]</w:t>
      </w:r>
      <w:r w:rsidRPr="00B1522E">
        <w:rPr>
          <w:rFonts w:eastAsia="Calibri" w:cstheme="minorHAnsi"/>
          <w:i/>
          <w:iCs/>
        </w:rPr>
        <w:t xml:space="preserve"> at </w:t>
      </w:r>
      <w:r w:rsidRPr="00B1522E">
        <w:rPr>
          <w:rFonts w:eastAsia="Calibri" w:cstheme="minorHAnsi"/>
        </w:rPr>
        <w:t>[school name]</w:t>
      </w:r>
      <w:r w:rsidRPr="00B1522E">
        <w:rPr>
          <w:rFonts w:eastAsia="Calibri" w:cstheme="minorHAnsi"/>
          <w:i/>
          <w:iCs/>
        </w:rPr>
        <w:t xml:space="preserve"> have eaten over the past week?’</w:t>
      </w:r>
      <w:r w:rsidRPr="00B1522E">
        <w:rPr>
          <w:rFonts w:eastAsia="Calibri" w:cstheme="minorHAnsi"/>
        </w:rPr>
        <w:t xml:space="preserve">. The wording of the social norms item were adapted from existing measures (e.g., </w:t>
      </w:r>
      <w:r w:rsidRPr="00B1522E">
        <w:rPr>
          <w:rFonts w:eastAsia="Calibri" w:cstheme="minorHAnsi"/>
        </w:rPr>
        <w:fldChar w:fldCharType="begin" w:fldLock="1"/>
      </w:r>
      <w:r w:rsidRPr="00B1522E">
        <w:rPr>
          <w:rFonts w:eastAsia="Calibri" w:cstheme="minorHAnsi"/>
        </w:rPr>
        <w:instrText>ADDIN CSL_CITATION {"citationItems":[{"id":"ITEM-1","itemData":{"ISSN":"0306-4603","author":[{"dropping-particle":"","family":"Pischke","given":"Claudia R","non-dropping-particle":"","parse-names":false,"suffix":""},{"dropping-particle":"","family":"Helmer","given":"Stefanie M","non-dropping-particle":"","parse-names":false,"suffix":""},{"dropping-particle":"","family":"McAlaney","given":"John","non-dropping-particle":"","parse-names":false,"suffix":""},{"dropping-particle":"","family":"Bewick","given":"Bridgette M","non-dropping-particle":"","parse-names":false,"suffix":""},{"dropping-particle":"","family":"Vriesacker","given":"Bart","non-dropping-particle":"","parse-names":false,"suffix":""},{"dropping-particle":"","family":"Hal","given":"Guido","non-dropping-particle":"Van","parse-names":false,"suffix":""},{"dropping-particle":"","family":"Mikolajczyk","given":"Rafael T","non-dropping-particle":"","parse-names":false,"suffix":""},{"dropping-particle":"","family":"Akvardar","given":"Yildiz","non-dropping-particle":"","parse-names":false,"suffix":""},{"dropping-partic</w:instrText>
      </w:r>
      <w:r w:rsidRPr="00B1522E">
        <w:rPr>
          <w:rFonts w:eastAsia="Calibri" w:cstheme="minorHAnsi"/>
          <w:lang w:val="nl-NL"/>
        </w:rPr>
        <w:instrText>le":"","family":"Guillen-Grima","given":"Francisco","non-dropping-particle":"","parse-names":false,"suffix":""},{"dropping-particle":"","family":"Salonna","given":"Ferdinand","non-dropping-particle":"","parse-names":false,"suffix":""},{"dropping-particle":"","family":"Orosova","given":"Olga","non-dropping-particle":"","parse-names":false,"suffix":""},{"dropping-particle":"","family":"Dohrmann","given":"Solveig","non-dropping-particle":"","parse-names":false,"suffix":""},{"dropping-particle":"","family":"Dempsey","given":"Robert C","non-dropping-particle":"","parse-names":false,"suffix":""},{"dropping-particle":"","family":"Zeeb","given":"Hajo","non-dropping-particle":"","parse-names":false,"suffix":""}],"container-title":"Addictive Behaviors","id":"ITEM-1","issued":{"date-parts":[["2015"]]},"page":"158-164","publisher":"Elsevier","title":"Normative misperceptions of tobacco use among university students in seven European countries: Baseline findings of the ‘Social Norms Intervention for the prevention of Polydrug usE’study","type":"article-journal","volume":"51"},"uris":["http://www.mendeley.com/documents/?uuid=ddeb51c9-244c-4908-b795-34633f0d893d"]}],"mendeley":{"formattedCitation":"(Pischke et al., 2015)","manualFormatting":"Pischke et al., 2015;","plainTextFormattedCitation":"(Pischke et al., 2015)","previouslyFormattedCitation":"(Pischke et al., 2015)"},"properties":{"noteIndex":0},"schema":"https://github.com/citation-style-language/schema/raw/master/csl-citation.json"}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lang w:val="nl-NL"/>
        </w:rPr>
        <w:t>Pischke et al., 2015;</w:t>
      </w:r>
      <w:r w:rsidRPr="00B1522E">
        <w:rPr>
          <w:rFonts w:eastAsia="Calibri" w:cstheme="minorHAnsi"/>
        </w:rPr>
        <w:fldChar w:fldCharType="end"/>
      </w:r>
      <w:r w:rsidRPr="00B1522E">
        <w:rPr>
          <w:rFonts w:eastAsia="Calibri" w:cstheme="minorHAnsi"/>
          <w:lang w:val="nl-NL"/>
        </w:rPr>
        <w:t xml:space="preserve"> </w:t>
      </w:r>
      <w:r w:rsidRPr="00B1522E">
        <w:rPr>
          <w:rFonts w:eastAsia="Calibri" w:cstheme="minorHAnsi"/>
        </w:rPr>
        <w:fldChar w:fldCharType="begin" w:fldLock="1"/>
      </w:r>
      <w:r w:rsidR="006741EA" w:rsidRPr="00B1522E">
        <w:rPr>
          <w:rFonts w:eastAsia="Calibri" w:cstheme="minorHAnsi"/>
          <w:lang w:val="nl-NL"/>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lang w:val="nl-NL"/>
        </w:rPr>
        <w:t>Lally et al., 2011)</w:t>
      </w:r>
      <w:r w:rsidRPr="00B1522E">
        <w:rPr>
          <w:rFonts w:eastAsia="Calibri" w:cstheme="minorHAnsi"/>
        </w:rPr>
        <w:fldChar w:fldCharType="end"/>
      </w:r>
      <w:r w:rsidRPr="00B1522E">
        <w:rPr>
          <w:rFonts w:eastAsia="Calibri" w:cstheme="minorHAnsi"/>
          <w:lang w:val="nl-NL"/>
        </w:rPr>
        <w:t xml:space="preserve">. Chocolate, sweets, crisps, biscuits, cake descriptive norm responses were summed to give an unhealthy snacking norm score and internal reliability (Cronbach’s alpha) for these items combined was 0.82.  </w:t>
      </w:r>
      <w:r w:rsidRPr="00B1522E">
        <w:rPr>
          <w:rFonts w:eastAsia="Calibri" w:cstheme="minorHAnsi"/>
        </w:rPr>
        <w:t>For the analysis, options were coded into the same values as personal dietary behaviours.</w:t>
      </w:r>
    </w:p>
    <w:p w14:paraId="5B062B49" w14:textId="77777777" w:rsidR="00730501" w:rsidRPr="00B1522E" w:rsidRDefault="00730501" w:rsidP="000B7EFC">
      <w:pPr>
        <w:spacing w:line="480" w:lineRule="auto"/>
        <w:ind w:firstLine="720"/>
        <w:jc w:val="both"/>
        <w:rPr>
          <w:rStyle w:val="normaltextrun"/>
          <w:rFonts w:cstheme="minorHAnsi"/>
          <w:noProof/>
          <w:shd w:val="clear" w:color="auto" w:fill="FFFFFF"/>
        </w:rPr>
      </w:pPr>
      <w:r w:rsidRPr="00B1522E">
        <w:rPr>
          <w:rFonts w:eastAsia="Calibri" w:cstheme="minorHAnsi"/>
          <w:iCs/>
          <w:noProof/>
        </w:rPr>
        <w:t xml:space="preserve">Students’ normative perceptions about same-sex peer attitude towards snacking were assessed by two separate items based on previous research (Lally et al., 2011; Sheridan, 2014): </w:t>
      </w:r>
      <w:r w:rsidRPr="00B1522E">
        <w:rPr>
          <w:rFonts w:eastAsia="Calibri" w:cstheme="minorHAnsi"/>
          <w:noProof/>
        </w:rPr>
        <w:t>‘</w:t>
      </w:r>
      <w:r w:rsidRPr="00B1522E">
        <w:rPr>
          <w:rFonts w:eastAsia="Calibri" w:cstheme="minorHAnsi"/>
          <w:i/>
          <w:iCs/>
          <w:noProof/>
        </w:rPr>
        <w:t>In general, do you think that most of the</w:t>
      </w:r>
      <w:r w:rsidRPr="00B1522E">
        <w:rPr>
          <w:rFonts w:eastAsia="Calibri" w:cstheme="minorHAnsi"/>
          <w:noProof/>
        </w:rPr>
        <w:t xml:space="preserve"> [boys/girls]</w:t>
      </w:r>
      <w:r w:rsidRPr="00B1522E">
        <w:rPr>
          <w:rFonts w:eastAsia="Calibri" w:cstheme="minorHAnsi"/>
          <w:i/>
          <w:iCs/>
          <w:noProof/>
        </w:rPr>
        <w:t xml:space="preserve"> at</w:t>
      </w:r>
      <w:r w:rsidRPr="00B1522E">
        <w:rPr>
          <w:rFonts w:eastAsia="Calibri" w:cstheme="minorHAnsi"/>
          <w:noProof/>
        </w:rPr>
        <w:t xml:space="preserve"> [school name]</w:t>
      </w:r>
      <w:r w:rsidRPr="00B1522E">
        <w:rPr>
          <w:rFonts w:eastAsia="Calibri" w:cstheme="minorHAnsi"/>
          <w:i/>
          <w:iCs/>
          <w:noProof/>
        </w:rPr>
        <w:t xml:space="preserve"> think that eating two or more unhealthy snack foods on most days is?’ </w:t>
      </w:r>
      <w:r w:rsidRPr="00B1522E">
        <w:rPr>
          <w:rFonts w:eastAsia="Calibri" w:cstheme="minorHAnsi"/>
          <w:noProof/>
        </w:rPr>
        <w:t>and</w:t>
      </w:r>
      <w:r w:rsidRPr="00B1522E">
        <w:rPr>
          <w:rFonts w:eastAsia="Calibri" w:cstheme="minorHAnsi"/>
          <w:i/>
          <w:iCs/>
          <w:noProof/>
        </w:rPr>
        <w:t xml:space="preserve"> ‘</w:t>
      </w:r>
      <w:r w:rsidRPr="00B1522E">
        <w:rPr>
          <w:rStyle w:val="normaltextrun"/>
          <w:rFonts w:cstheme="minorHAnsi"/>
          <w:i/>
          <w:iCs/>
          <w:noProof/>
          <w:shd w:val="clear" w:color="auto" w:fill="FFFFFF"/>
        </w:rPr>
        <w:t>In general, do you think that most of the </w:t>
      </w:r>
      <w:r w:rsidRPr="00B1522E">
        <w:rPr>
          <w:rStyle w:val="normaltextrun"/>
          <w:rFonts w:cstheme="minorHAnsi"/>
          <w:noProof/>
          <w:shd w:val="clear" w:color="auto" w:fill="FFFFFF"/>
        </w:rPr>
        <w:t>[boys/girls]</w:t>
      </w:r>
      <w:r w:rsidRPr="00B1522E">
        <w:rPr>
          <w:rStyle w:val="normaltextrun"/>
          <w:rFonts w:cstheme="minorHAnsi"/>
          <w:i/>
          <w:iCs/>
          <w:noProof/>
          <w:shd w:val="clear" w:color="auto" w:fill="FFFFFF"/>
        </w:rPr>
        <w:t> at </w:t>
      </w:r>
      <w:r w:rsidRPr="00B1522E">
        <w:rPr>
          <w:rFonts w:eastAsia="Calibri" w:cstheme="minorHAnsi"/>
          <w:noProof/>
        </w:rPr>
        <w:t>[school name]</w:t>
      </w:r>
      <w:r w:rsidRPr="00B1522E">
        <w:rPr>
          <w:rStyle w:val="normaltextrun"/>
          <w:rFonts w:cstheme="minorHAnsi"/>
          <w:noProof/>
          <w:shd w:val="clear" w:color="auto" w:fill="FFFFFF"/>
        </w:rPr>
        <w:t> </w:t>
      </w:r>
      <w:r w:rsidRPr="00B1522E">
        <w:rPr>
          <w:rStyle w:val="normaltextrun"/>
          <w:rFonts w:cstheme="minorHAnsi"/>
          <w:i/>
          <w:iCs/>
          <w:noProof/>
          <w:shd w:val="clear" w:color="auto" w:fill="FFFFFF"/>
        </w:rPr>
        <w:t xml:space="preserve">think that eating fewer unhealthy snacks would be?’. </w:t>
      </w:r>
      <w:r w:rsidRPr="00B1522E">
        <w:rPr>
          <w:rStyle w:val="normaltextrun"/>
          <w:rFonts w:cstheme="minorHAnsi"/>
          <w:noProof/>
          <w:shd w:val="clear" w:color="auto" w:fill="FFFFFF"/>
        </w:rPr>
        <w:t>Students indicated their beliefs about peers’ attitude using the same rating scale as own snacking attitude.</w:t>
      </w:r>
    </w:p>
    <w:p w14:paraId="16B7689D" w14:textId="77777777" w:rsidR="00730501" w:rsidRPr="00B1522E" w:rsidRDefault="00730501" w:rsidP="00730501">
      <w:pPr>
        <w:spacing w:line="480" w:lineRule="auto"/>
        <w:jc w:val="both"/>
        <w:rPr>
          <w:rFonts w:eastAsia="Calibri" w:cstheme="minorHAnsi"/>
          <w:noProof/>
        </w:rPr>
      </w:pPr>
    </w:p>
    <w:p w14:paraId="15350164" w14:textId="6209385A" w:rsidR="00730501" w:rsidRPr="00B1522E" w:rsidRDefault="00DC105E" w:rsidP="000B7EFC">
      <w:pPr>
        <w:spacing w:line="480" w:lineRule="auto"/>
      </w:pPr>
      <w:r w:rsidRPr="00B1522E">
        <w:t>7</w:t>
      </w:r>
      <w:r w:rsidR="00677F23" w:rsidRPr="00B1522E">
        <w:t>.3</w:t>
      </w:r>
      <w:r w:rsidR="00730501" w:rsidRPr="00B1522E">
        <w:t>.3.4 Behavioural Intentions</w:t>
      </w:r>
    </w:p>
    <w:p w14:paraId="2D830F34" w14:textId="77777777" w:rsidR="00730501" w:rsidRPr="00B1522E" w:rsidRDefault="00730501" w:rsidP="000B7EFC">
      <w:pPr>
        <w:spacing w:line="480" w:lineRule="auto"/>
        <w:jc w:val="both"/>
        <w:rPr>
          <w:rFonts w:eastAsia="Calibri" w:cstheme="minorHAnsi"/>
          <w:i/>
          <w:noProof/>
        </w:rPr>
      </w:pPr>
      <w:r w:rsidRPr="00B1522E">
        <w:rPr>
          <w:rFonts w:eastAsia="Calibri" w:cstheme="minorHAnsi"/>
          <w:iCs/>
          <w:noProof/>
        </w:rPr>
        <w:t xml:space="preserve">Students’ intention to reduce unhealthy snacking was assessed by four items on a </w:t>
      </w:r>
      <w:r w:rsidRPr="00B1522E">
        <w:rPr>
          <w:rFonts w:cstheme="minorHAnsi"/>
          <w:noProof/>
        </w:rPr>
        <w:t>7-point Likert scale</w:t>
      </w:r>
      <w:r w:rsidRPr="00B1522E">
        <w:rPr>
          <w:rFonts w:eastAsia="Calibri" w:cstheme="minorHAnsi"/>
          <w:i/>
          <w:noProof/>
        </w:rPr>
        <w:t xml:space="preserve"> </w:t>
      </w:r>
      <w:r w:rsidRPr="00B1522E">
        <w:rPr>
          <w:rFonts w:cstheme="minorHAnsi"/>
          <w:noProof/>
        </w:rPr>
        <w:t xml:space="preserve">ranging from 1 (unlikely/false) to 7 (likely/true). The wording and scale selected was recommended </w:t>
      </w:r>
      <w:r w:rsidRPr="00B1522E">
        <w:rPr>
          <w:rFonts w:cstheme="minorHAnsi"/>
          <w:noProof/>
        </w:rPr>
        <w:lastRenderedPageBreak/>
        <w:t xml:space="preserve">by </w:t>
      </w:r>
      <w:r w:rsidRPr="00B1522E">
        <w:rPr>
          <w:rFonts w:cstheme="minorHAnsi"/>
          <w:noProof/>
        </w:rPr>
        <w:fldChar w:fldCharType="begin" w:fldLock="1"/>
      </w:r>
      <w:r w:rsidRPr="00B1522E">
        <w:rPr>
          <w:rFonts w:cstheme="minorHAnsi"/>
          <w:noProof/>
        </w:rPr>
        <w:instrText>ADDIN CSL_CITATION {"citationItems":[{"id":"ITEM-1","itemData":{"ISSN":"0749-5978","author":[{"dropping-particle":"","family":"Ajzen","given":"Icek","non-dropping-particle":"","parse-names":false,"suffix":""}],"container-title":"Organizational behavior and human decision processes","id":"ITEM-1","issue":"2","issued":{"date-parts":[["1991"]]},"page":"179-211","publisher":"San Diego","title":"The theory of planned behavior","type":"article-journal","volume":"50"},"uris":["http://www.mendeley.com/documents/?uuid=746475a6-a37d-4237-afae-ec806f921d98"]}],"mendeley":{"formattedCitation":"(Ajzen, 1991)","manualFormatting":"Ajzen (1991)","plainTextFormattedCitation":"(Ajzen, 1991)","previouslyFormattedCitation":"(Ajzen, 1991)"},"properties":{"noteIndex":0},"schema":"https://github.com/citation-style-language/schema/raw/master/csl-citation.json"}</w:instrText>
      </w:r>
      <w:r w:rsidRPr="00B1522E">
        <w:rPr>
          <w:rFonts w:cstheme="minorHAnsi"/>
          <w:noProof/>
        </w:rPr>
        <w:fldChar w:fldCharType="separate"/>
      </w:r>
      <w:r w:rsidRPr="00B1522E">
        <w:rPr>
          <w:rFonts w:cstheme="minorHAnsi"/>
          <w:noProof/>
        </w:rPr>
        <w:t>Ajzen (1991)</w:t>
      </w:r>
      <w:r w:rsidRPr="00B1522E">
        <w:rPr>
          <w:rFonts w:cstheme="minorHAnsi"/>
          <w:noProof/>
        </w:rPr>
        <w:fldChar w:fldCharType="end"/>
      </w:r>
      <w:r w:rsidRPr="00B1522E">
        <w:rPr>
          <w:rFonts w:cstheme="minorHAnsi"/>
          <w:noProof/>
        </w:rPr>
        <w:t xml:space="preserve"> and had been adapted by others for unhealthy snacking behaviours </w:t>
      </w:r>
      <w:r w:rsidRPr="00B1522E">
        <w:rPr>
          <w:rFonts w:cstheme="minorHAnsi"/>
          <w:noProof/>
        </w:rPr>
        <w:fldChar w:fldCharType="begin" w:fldLock="1"/>
      </w:r>
      <w:r w:rsidRPr="00B1522E">
        <w:rPr>
          <w:rFonts w:cstheme="minorHAnsi"/>
          <w:noProof/>
        </w:rPr>
        <w:instrText>ADDIN CSL_CITATION {"citationItems":[{"id":"ITEM-1","itemData":{"author":[{"dropping-particle":"","family":"Sheridan","given":"Sabrina","non-dropping-particle":"","parse-names":false,"suffix":""}],"id":"ITEM-1","issued":{"date-parts":[["2014"]]},"publisher":"Dublin Business School","title":"Unhealthy Snacking: An exploration of the theory of planned behaviour, impulsivity, reward sensitivity and BMI.","type":"thesis"},"uris":["http://www.mendeley.com/documents/?uuid=896c3e04-ccfb-4e99-b3a7-223721a8f144"]},{"id":"ITEM-2","itemData":{"ISSN":"0046-2772","abstract":"Abstract Implementation intentions have been shown to effectively change counter-intentional habits. Research has, however, almost solely been concerned with the effectiveness of a single plan. In the present research, we investigated the behavioral and cognitive implications of making multiple implementation intentions targeting unhealthy snacking habits and its underlying processes, linking multiple habitual snacking cues to healthy alternatives. Study 1 revealed that formulating multiple implementation intentions was not effective in decreasing unhealthy snacking, whereas formulating a single plan successfully induced behavior change. By using a lexical decision task in Study 2, it was found that when making a single plan, but not multiple plans, the healthy alternative became cognitively more accessible in response to a critical cue prime than the habitual response. However, when making additional plans in an unrelated domain, the negative effects of making multiple plans were absent. In sum, the current findings suggest that formulating multiple implementation intentions is ineffective when changing unwanted behavior. These reduced effects of multiple implementation intentions do not occur when making the plan but are rather due to interference in the enacting phase of the planning process. Copyright ? 2013 John Wiley &amp; Sons, Ltd.","author":[{"dropping-particle":"","family":"Verhoeven","given":"Aukje A C","non-dropping-particle":"","parse-names":false,"suffix":""},{"dropping-particle":"","family":"Adriaanse","given":"Marieke A","non-dropping-particle":"","parse-names":false,"suffix":""},{"dropping-particle":"","family":"Ridder","given":"Denise T D","non-dropping-particle":"de","parse-names":false,"suffix":""},{"dropping-particle":"","family":"Vet","given":"Emely","non-dropping-particle":"de","parse-names":false,"suffix":""},{"dropping-particle":"","family":"Fennis","given":"Bob M","non-dropping-particle":"","parse-names":false,"suffix":""}],"container-title":"European Journal of Social Psychology","id":"ITEM-2","issue":"5","issued":{"date-parts":[["2013","8","1"]]},"note":"doi: 10.1002/ejsp.1963","page":"344-354","publisher":"John Wiley &amp; Sons, Ltd","title":"Less is more: The effect of multiple implementation intentions targeting unhealthy snacking habits","type":"article-journal","volume":"43"},"uris":["http://www.mendeley.com/documents/?uuid=801181b9-e60e-4348-b476-679dd8592cf2"]}],"mendeley":{"formattedCitation":"(Sheridan, 2014; Verhoeven et al., 2013)","plainTextFormattedCitation":"(Sheridan, 2014; Verhoeven et al., 2013)","previouslyFormattedCitation":"(Sheridan, 2014; Verhoeven et al., 2013)"},"properties":{"noteIndex":0},"schema":"https://github.com/citation-style-language/schema/raw/master/csl-citation.json"}</w:instrText>
      </w:r>
      <w:r w:rsidRPr="00B1522E">
        <w:rPr>
          <w:rFonts w:cstheme="minorHAnsi"/>
          <w:noProof/>
        </w:rPr>
        <w:fldChar w:fldCharType="separate"/>
      </w:r>
      <w:r w:rsidRPr="00B1522E">
        <w:rPr>
          <w:rFonts w:cstheme="minorHAnsi"/>
          <w:noProof/>
        </w:rPr>
        <w:t>(Sheridan, 2014; Verhoeven et al., 2013)</w:t>
      </w:r>
      <w:r w:rsidRPr="00B1522E">
        <w:rPr>
          <w:rFonts w:cstheme="minorHAnsi"/>
          <w:noProof/>
        </w:rPr>
        <w:fldChar w:fldCharType="end"/>
      </w:r>
      <w:r w:rsidRPr="00B1522E">
        <w:rPr>
          <w:rFonts w:cstheme="minorHAnsi"/>
          <w:noProof/>
        </w:rPr>
        <w:t>. An example item is: ‘</w:t>
      </w:r>
      <w:r w:rsidRPr="00B1522E">
        <w:rPr>
          <w:rFonts w:cstheme="minorHAnsi"/>
          <w:i/>
          <w:iCs/>
          <w:noProof/>
        </w:rPr>
        <w:t>I intend to eat fewer unhealthy snacks over the next month’</w:t>
      </w:r>
      <w:r w:rsidRPr="00B1522E">
        <w:rPr>
          <w:rFonts w:cstheme="minorHAnsi"/>
          <w:noProof/>
        </w:rPr>
        <w:t xml:space="preserve">. The four item scores were summed to give a total intention score </w:t>
      </w:r>
      <w:r w:rsidRPr="00B1522E">
        <w:rPr>
          <w:rFonts w:eastAsia="Calibri" w:cstheme="minorHAnsi"/>
          <w:noProof/>
        </w:rPr>
        <w:t>and internal reliability (Cronbach’s alpha) for these items combined was 0.74</w:t>
      </w:r>
      <w:r w:rsidRPr="00B1522E">
        <w:rPr>
          <w:rFonts w:cstheme="minorHAnsi"/>
          <w:noProof/>
        </w:rPr>
        <w:t>. The higher the intention score, the stronger the intention to reduce unhealthy snacking.</w:t>
      </w:r>
    </w:p>
    <w:p w14:paraId="17EB085F" w14:textId="77777777" w:rsidR="00730501" w:rsidRPr="00B1522E" w:rsidRDefault="00730501" w:rsidP="00730501">
      <w:pPr>
        <w:spacing w:line="480" w:lineRule="auto"/>
        <w:jc w:val="both"/>
        <w:rPr>
          <w:rFonts w:cstheme="minorHAnsi"/>
          <w:noProof/>
        </w:rPr>
      </w:pPr>
    </w:p>
    <w:bookmarkStart w:id="189" w:name="_Toc84678949"/>
    <w:p w14:paraId="2EACED1E" w14:textId="74CDB610" w:rsidR="00730501" w:rsidRPr="00B1522E" w:rsidRDefault="009852CA" w:rsidP="000B7EFC">
      <w:pPr>
        <w:spacing w:line="480" w:lineRule="auto"/>
      </w:pPr>
      <w:r w:rsidRPr="00B1522E">
        <w:fldChar w:fldCharType="begin"/>
      </w:r>
      <w:r w:rsidRPr="00B1522E">
        <w:instrText xml:space="preserve"> TC  "</w:instrText>
      </w:r>
      <w:bookmarkStart w:id="190" w:name="_Toc97310487"/>
      <w:r w:rsidRPr="00B1522E">
        <w:instrText>7.3.4 Analysis</w:instrText>
      </w:r>
      <w:bookmarkEnd w:id="190"/>
      <w:r w:rsidRPr="00B1522E">
        <w:instrText xml:space="preserve"> " \f x\l 3 </w:instrText>
      </w:r>
      <w:r w:rsidRPr="00B1522E">
        <w:fldChar w:fldCharType="end"/>
      </w:r>
      <w:r w:rsidR="00677F23" w:rsidRPr="00B1522E">
        <w:t>7</w:t>
      </w:r>
      <w:r w:rsidR="00730501" w:rsidRPr="00B1522E">
        <w:t>.</w:t>
      </w:r>
      <w:r w:rsidR="00C601CA" w:rsidRPr="00B1522E">
        <w:t xml:space="preserve">3.4 </w:t>
      </w:r>
      <w:r w:rsidR="00730501" w:rsidRPr="00B1522E">
        <w:t>Analysis</w:t>
      </w:r>
      <w:bookmarkEnd w:id="189"/>
      <w:r w:rsidR="00730501" w:rsidRPr="00B1522E">
        <w:t xml:space="preserve"> </w:t>
      </w:r>
    </w:p>
    <w:p w14:paraId="3B11721D" w14:textId="77777777" w:rsidR="00730501" w:rsidRPr="00B1522E" w:rsidRDefault="00730501" w:rsidP="000B7EFC">
      <w:pPr>
        <w:spacing w:line="480" w:lineRule="auto"/>
        <w:jc w:val="both"/>
        <w:rPr>
          <w:rFonts w:cstheme="minorHAnsi"/>
        </w:rPr>
      </w:pPr>
      <w:r w:rsidRPr="00B1522E">
        <w:rPr>
          <w:rFonts w:cstheme="minorHAnsi"/>
          <w:noProof/>
        </w:rPr>
        <w:t>Misperceptions of behaviour were calculated as suggested by Perkins et al. (2010) by subtracting the median of self-reported unhealthy snacking behaviour of the group (actual norm) from each student’s reported perception (descriptive) of peers’ unhealthy snacking behaviour. Perkins et al. (2010) recommended using the median rather than mean because the median allows a response category to be selected, whereas the mean may produce a response that may fall between two categories. A positive score indicated that students perceived peers to consume the foodstuff more often than the reported group norm</w:t>
      </w:r>
      <w:r w:rsidRPr="00B1522E">
        <w:rPr>
          <w:rFonts w:cstheme="minorHAnsi"/>
        </w:rPr>
        <w:t xml:space="preserve">. </w:t>
      </w:r>
    </w:p>
    <w:p w14:paraId="275390B0" w14:textId="3999BBF5" w:rsidR="00730501" w:rsidRPr="00B1522E" w:rsidRDefault="00730501" w:rsidP="00730501">
      <w:pPr>
        <w:spacing w:line="480" w:lineRule="auto"/>
        <w:jc w:val="both"/>
        <w:rPr>
          <w:rFonts w:cstheme="minorHAnsi"/>
        </w:rPr>
      </w:pPr>
      <w:r w:rsidRPr="00B1522E">
        <w:rPr>
          <w:rFonts w:cstheme="minorHAnsi"/>
        </w:rPr>
        <w:tab/>
        <w:t>Misperceptions of peers’ attitudes were calculated using the same method as for misperceptions of behaviour: by subtracting the median score of self-reported attitude of the group (actual norm) from each students’ reported perception score of peers’ attitudes (injunctive norm). This created two attitude misperception scores: (1) peers’ attitude towards unhealthy snacking; and (2) peers’ attitude towards reducing unhealthy snacking. A positive score indicated that students thought that their peers had a more positive attitude towards the behaviour than was the actual reported group norm. Students needed to have completed in full the questions about behaviour/attitude and the questions about normative perception (descriptive/injunctive) to enable calculation of the misperceptions score. Therefore, only students with complete data in these variables were included in the analyses (</w:t>
      </w:r>
      <w:r w:rsidR="00EF3069" w:rsidRPr="00B1522E">
        <w:rPr>
          <w:rFonts w:cstheme="minorHAnsi"/>
        </w:rPr>
        <w:t>T</w:t>
      </w:r>
      <w:r w:rsidRPr="00B1522E">
        <w:rPr>
          <w:rFonts w:cstheme="minorHAnsi"/>
        </w:rPr>
        <w:t xml:space="preserve">ables </w:t>
      </w:r>
      <w:r w:rsidR="00EF3069" w:rsidRPr="00B1522E">
        <w:rPr>
          <w:rFonts w:cstheme="minorHAnsi"/>
        </w:rPr>
        <w:t>1</w:t>
      </w:r>
      <w:r w:rsidR="00C80B12" w:rsidRPr="00B1522E">
        <w:rPr>
          <w:rFonts w:cstheme="minorHAnsi"/>
        </w:rPr>
        <w:t>2</w:t>
      </w:r>
      <w:r w:rsidRPr="00B1522E">
        <w:rPr>
          <w:rFonts w:cstheme="minorHAnsi"/>
        </w:rPr>
        <w:t xml:space="preserve"> and </w:t>
      </w:r>
      <w:r w:rsidR="00EF3069" w:rsidRPr="00B1522E">
        <w:rPr>
          <w:rFonts w:cstheme="minorHAnsi"/>
        </w:rPr>
        <w:t>1</w:t>
      </w:r>
      <w:r w:rsidR="00C80B12" w:rsidRPr="00B1522E">
        <w:rPr>
          <w:rFonts w:cstheme="minorHAnsi"/>
        </w:rPr>
        <w:t>3</w:t>
      </w:r>
      <w:r w:rsidRPr="00B1522E">
        <w:rPr>
          <w:rFonts w:cstheme="minorHAnsi"/>
        </w:rPr>
        <w:t xml:space="preserve">). </w:t>
      </w:r>
    </w:p>
    <w:p w14:paraId="4BE274B9" w14:textId="1CB5D09D" w:rsidR="00730501" w:rsidRPr="00B1522E" w:rsidRDefault="00730501" w:rsidP="000B7EFC">
      <w:pPr>
        <w:spacing w:line="480" w:lineRule="auto"/>
        <w:ind w:firstLine="720"/>
        <w:jc w:val="both"/>
        <w:rPr>
          <w:rFonts w:cstheme="minorHAnsi"/>
        </w:rPr>
      </w:pPr>
      <w:r w:rsidRPr="00B1522E">
        <w:rPr>
          <w:rFonts w:cstheme="minorHAnsi"/>
        </w:rPr>
        <w:lastRenderedPageBreak/>
        <w:t xml:space="preserve">To test whether students significantly misperceived peers’ unhealthy snacking behaviour and attitudes, a series of one-sample tests were conducted comparing mean misperception scores to a test value of zero, based on previous research </w:t>
      </w:r>
      <w:r w:rsidRPr="00B1522E">
        <w:rPr>
          <w:rFonts w:cstheme="minorHAnsi"/>
        </w:rPr>
        <w:fldChar w:fldCharType="begin" w:fldLock="1"/>
      </w:r>
      <w:r w:rsidR="00F74BC0"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rFonts w:cstheme="minorHAnsi"/>
        </w:rPr>
        <w:fldChar w:fldCharType="separate"/>
      </w:r>
      <w:r w:rsidR="00795693" w:rsidRPr="00B1522E">
        <w:rPr>
          <w:rFonts w:cstheme="minorHAnsi"/>
          <w:noProof/>
        </w:rPr>
        <w:t>(Lally et al., 2011)</w:t>
      </w:r>
      <w:r w:rsidRPr="00B1522E">
        <w:rPr>
          <w:rFonts w:cstheme="minorHAnsi"/>
        </w:rPr>
        <w:fldChar w:fldCharType="end"/>
      </w:r>
      <w:r w:rsidRPr="00B1522E">
        <w:rPr>
          <w:rFonts w:cstheme="minorHAnsi"/>
        </w:rPr>
        <w:t xml:space="preserve">. Finally, three linear multiple regressions were conducted to explore whether students’ normative misperceptions were associated with: (1) students’ personal snacking behaviour; (2) attitudes towards unhealthy snacking; and (3) intention to reduce snacking. </w:t>
      </w:r>
    </w:p>
    <w:p w14:paraId="49A4AD4E" w14:textId="77777777" w:rsidR="00730501" w:rsidRPr="00B1522E" w:rsidRDefault="00730501" w:rsidP="00730501">
      <w:pPr>
        <w:spacing w:line="480" w:lineRule="auto"/>
        <w:jc w:val="both"/>
        <w:rPr>
          <w:rFonts w:cstheme="minorHAnsi"/>
        </w:rPr>
      </w:pPr>
    </w:p>
    <w:bookmarkStart w:id="191" w:name="_Toc84678950"/>
    <w:p w14:paraId="4D9969D8" w14:textId="1F2E0DCF" w:rsidR="00730501" w:rsidRPr="00B1522E" w:rsidRDefault="009852CA" w:rsidP="003D7632">
      <w:pPr>
        <w:rPr>
          <w:b/>
          <w:bCs/>
        </w:rPr>
      </w:pPr>
      <w:r w:rsidRPr="00B1522E">
        <w:fldChar w:fldCharType="begin"/>
      </w:r>
      <w:r w:rsidRPr="00B1522E">
        <w:instrText xml:space="preserve"> TC  "</w:instrText>
      </w:r>
      <w:bookmarkStart w:id="192" w:name="_Toc97310488"/>
      <w:r w:rsidRPr="00B1522E">
        <w:instrText>7.4 Results</w:instrText>
      </w:r>
      <w:bookmarkEnd w:id="192"/>
      <w:r w:rsidRPr="00B1522E">
        <w:instrText xml:space="preserve">" \f x\l 2 </w:instrText>
      </w:r>
      <w:r w:rsidRPr="00B1522E">
        <w:fldChar w:fldCharType="end"/>
      </w:r>
      <w:r w:rsidR="00C601CA" w:rsidRPr="00B1522E">
        <w:rPr>
          <w:b/>
          <w:bCs/>
        </w:rPr>
        <w:t xml:space="preserve">7.4 </w:t>
      </w:r>
      <w:r w:rsidR="00730501" w:rsidRPr="00B1522E">
        <w:rPr>
          <w:b/>
          <w:bCs/>
        </w:rPr>
        <w:t>Results</w:t>
      </w:r>
      <w:bookmarkEnd w:id="191"/>
    </w:p>
    <w:p w14:paraId="44D4830F" w14:textId="77777777" w:rsidR="00F62378" w:rsidRPr="00B1522E" w:rsidRDefault="00F62378" w:rsidP="003D7632">
      <w:pPr>
        <w:rPr>
          <w:b/>
          <w:bCs/>
        </w:rPr>
      </w:pPr>
    </w:p>
    <w:bookmarkStart w:id="193" w:name="_Toc84678951"/>
    <w:p w14:paraId="117E5B83" w14:textId="4C343282" w:rsidR="00730501" w:rsidRPr="00B1522E" w:rsidRDefault="009852CA" w:rsidP="000B7EFC">
      <w:pPr>
        <w:spacing w:line="480" w:lineRule="auto"/>
      </w:pPr>
      <w:r w:rsidRPr="00B1522E">
        <w:fldChar w:fldCharType="begin"/>
      </w:r>
      <w:r w:rsidRPr="00B1522E">
        <w:instrText xml:space="preserve"> TC  "</w:instrText>
      </w:r>
      <w:bookmarkStart w:id="194" w:name="_Toc97310489"/>
      <w:r w:rsidRPr="00B1522E">
        <w:instrText>7.4.1 Data screening</w:instrText>
      </w:r>
      <w:bookmarkEnd w:id="194"/>
      <w:r w:rsidRPr="00B1522E">
        <w:instrText xml:space="preserve"> " \f x\l 3 </w:instrText>
      </w:r>
      <w:r w:rsidRPr="00B1522E">
        <w:fldChar w:fldCharType="end"/>
      </w:r>
      <w:r w:rsidR="00C601CA" w:rsidRPr="00B1522E">
        <w:t>7.4</w:t>
      </w:r>
      <w:r w:rsidR="00730501" w:rsidRPr="00B1522E">
        <w:t>.1 Data screening</w:t>
      </w:r>
      <w:bookmarkEnd w:id="193"/>
    </w:p>
    <w:p w14:paraId="3789747A" w14:textId="633F8AF0" w:rsidR="00730501" w:rsidRPr="00B1522E" w:rsidRDefault="00730501" w:rsidP="000B7EFC">
      <w:pPr>
        <w:spacing w:line="480" w:lineRule="auto"/>
        <w:jc w:val="both"/>
        <w:rPr>
          <w:rFonts w:cstheme="minorHAnsi"/>
        </w:rPr>
      </w:pPr>
      <w:bookmarkStart w:id="195" w:name="_Hlk52803112"/>
      <w:r w:rsidRPr="00B1522E">
        <w:rPr>
          <w:rFonts w:cstheme="minorHAnsi"/>
        </w:rPr>
        <w:t xml:space="preserve">The data were screened for missing values, normality, and multivariate outliers. There were a number of missing values across the dataset and Little’s test indicated that data values were missing not at random (MNAR),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w:r w:rsidRPr="00B1522E">
        <w:rPr>
          <w:rFonts w:cstheme="minorHAnsi"/>
        </w:rPr>
        <w:t xml:space="preserve">= 3099.882, </w:t>
      </w:r>
      <w:r w:rsidRPr="00B1522E">
        <w:rPr>
          <w:rFonts w:cstheme="minorHAnsi"/>
          <w:i/>
          <w:iCs/>
        </w:rPr>
        <w:t xml:space="preserve">p </w:t>
      </w:r>
      <w:r w:rsidRPr="00B1522E">
        <w:rPr>
          <w:rFonts w:cstheme="minorHAnsi"/>
        </w:rPr>
        <w:t xml:space="preserve">&lt;.001. Although there was some indication that students who reported a weaker intention to reduce unhealthy snacking, were less likely to fully report their personal unhealthy snacking consumption (by not completing all snacking behaviour measures) this did not change the outcomes of the analyses. A sensitivity analysis was conducted with frequency scores being substituted by a median and scale scores being substituted by a mean. Conducting sensitivity analysis when data is MNAR will help ensure that conclusions drawn from the original data are robust </w:t>
      </w:r>
      <w:r w:rsidRPr="00B1522E">
        <w:rPr>
          <w:rFonts w:cstheme="minorHAnsi"/>
        </w:rPr>
        <w:fldChar w:fldCharType="begin" w:fldLock="1"/>
      </w:r>
      <w:r w:rsidRPr="00B1522E">
        <w:rPr>
          <w:rFonts w:cstheme="minorHAnsi"/>
        </w:rPr>
        <w:instrText>ADDIN CSL_CITATION {"citationItems":[{"id":"ITEM-1","itemData":{"ISSN":"1533-4406 (Electronic)","PMID":"23034025","author":[{"dropping-particle":"","family":"Little","given":"Roderick J","non-dropping-particle":"","parse-names":false,"suffix":""},{"dropping-particle":"","family":"D'Agostino","given":"Ralph","non-dropping-particle":"","parse-names":false,"suffix":""},{"dropping-particle":"","family":"Cohen","given":"Michael L","non-dropping-particle":"","parse-names":false,"suffix":""},{"dropping-particle":"","family":"Dickersin","given":"Kay","non-dropping-particle":"","parse-names":false,"suffix":""},{"dropping-particle":"","family":"Emerson","given":"Scott S","non-dropping-particle":"","parse-names":false,"suffix":""},{"dropping-particle":"","family":"Farrar","given":"John T","non-dropping-particle":"","parse-names":false,"suffix":""},{"dropping-particle":"","family":"Frangakis","given":"Constantine","non-dropping-particle":"","parse-names":false,"suffix":""},{"dropping-particle":"","family":"Hogan","given":"Joseph W","non-dropping-particle":"","parse-names":false,"suffix":""},{"dropping-particle":"","family":"Molenberghs","given":"Geert","non-dropping-particle":"","parse-names":false,"suffix":""},{"dropping-particle":"","family":"Murphy","given":"Susan A","non-dropping-particle":"","parse-names":false,"suffix":""},{"dropping-particle":"","family":"Neaton","given":"James D","non-dropping-particle":"","parse-names":false,"suffix":""},{"dropping-particle":"","family":"Rotnitzky","given":"Andrea","non-dropping-particle":"","parse-names":false,"suffix":""},{"dropping-particle":"","family":"Scharfstein","given":"Daniel","non-dropping-particle":"","parse-names":false,"suffix":""},{"dropping-particle":"","family":"Shih","given":"Weichung J","non-dropping-particle":"","parse-names":false,"suffix":""},{"dropping-particle":"","family":"Siegel","given":"Jay P","non-dropping-particle":"","parse-names":false,"suffix":""},{"dropping-particle":"","family":"Stern","given":"Hal","non-dropping-particle":"","parse-names":false,"suffix":""}],"container-title":"The New England journal of medicine","id":"ITEM-1","issue":"14","issued":{"date-parts":[["2012","10"]]},"language":"eng","page":"1355-1360","title":"The prevention and treatment of missing data in clinical trials.","type":"article-journal","volume":"367"},"uris":["http://www.mendeley.com/documents/?uuid=74e40723-a6c2-4fd1-9d64-da702f7baefb"]},{"id":"ITEM-2","itemData":{"ISSN":"1471-2288","abstract":"Sensitivity analyses play a crucial role in assessing the robustness of the findings or conclusions based on primary analyses of data in clinical trials. They are a critical way to assess the impact, effect or influence of key assumptions or variations—such as different methods of analysis, definitions of outcomes, protocol deviations, missing data, and outliers—on the overall conclusions of a study.","author":[{"dropping-particle":"","family":"Thabane","given":"Lehana","non-dropping-particle":"","parse-names":false,"suffix":""},{"dropping-particle":"","family":"Mbuagbaw","given":"Lawrence","non-dropping-particle":"","parse-names":false,"suffix":""},{"dropping-particle":"","family":"Zhang","given":"Shiyuan","non-dropping-particle":"","parse-names":false,"suffix":""},{"dropping-particle":"","family":"Samaan","given":"Zainab","non-dropping-particle":"","parse-names":false,"suffix":""},{"dropping-particle":"","family":"Marcucci","given":"Maura","non-dropping-particle":"","parse-names":false,"suffix":""},{"dropping-particle":"","family":"Ye","given":"Chenglin","non-dropping-particle":"","parse-names":false,"suffix":""},{"dropping-particle":"","family":"Thabane","given":"Marroon","non-dropping-particle":"","parse-names":false,"suffix":""},{"dropping-particle":"","family":"Giangregorio","given":"Lora","non-dropping-particle":"","parse-names":false,"suffix":""},{"dropping-particle":"","family":"Dennis","given":"Brittany","non-dropping-particle":"","parse-names":false,"suffix":""},{"dropping-particle":"","family":"Kosa","given":"Daisy","non-dropping-particle":"","parse-names":false,"suffix":""},{"dropping-particle":"","family":"Debono","given":"Victoria Borg","non-dropping-particle":"","parse-names":false,"suffix":""},{"dropping-particle":"","family":"Dillenburg","given":"Rejane","non-dropping-particle":"","parse-names":false,"suffix":""},{"dropping-particle":"","family":"Fruci","given":"Vincent","non-dropping-particle":"","parse-names":false,"suffix":""},{"dropping-particle":"","family":"Bawor","given":"Monica","non-dropping-particle":"","parse-names":false,"suffix":""},{"dropping-particle":"","family":"Lee","given":"Juneyoung","non-dropping-particle":"","parse-names":false,"suffix":""},{"dropping-particle":"","family":"Wells","given":"George","non-dropping-particle":"","parse-names":false,"suffix":""},{"dropping-particle":"","family":"Goldsmith","given":"Charles H","non-dropping-particle":"","parse-names":false,"suffix":""}],"container-title":"BMC Medical Research Methodology","id":"ITEM-2","issue":"1","issued":{"date-parts":[["2013"]]},"page":"92","title":"A tutorial on sensitivity analyses in clinical trials: the what, why, when and how","type":"article-journal","volume":"13"},"uris":["http://www.mendeley.com/documents/?uuid=ef236c83-eb87-4e85-a576-07d27e0ef02e"]}],"mendeley":{"formattedCitation":"(Little et al., 2012; Thabane et al., 2013)","plainTextFormattedCitation":"(Little et al., 2012; Thabane et al., 2013)","previouslyFormattedCitation":"(Little et al., 2012; Thabane et al., 2013)"},"properties":{"noteIndex":0},"schema":"https://github.com/citation-style-language/schema/raw/master/csl-citation.json"}</w:instrText>
      </w:r>
      <w:r w:rsidRPr="00B1522E">
        <w:rPr>
          <w:rFonts w:cstheme="minorHAnsi"/>
        </w:rPr>
        <w:fldChar w:fldCharType="separate"/>
      </w:r>
      <w:r w:rsidRPr="00B1522E">
        <w:rPr>
          <w:rFonts w:cstheme="minorHAnsi"/>
          <w:noProof/>
        </w:rPr>
        <w:t>(Little et al., 2012; Thabane et al., 2013)</w:t>
      </w:r>
      <w:r w:rsidRPr="00B1522E">
        <w:rPr>
          <w:rFonts w:cstheme="minorHAnsi"/>
        </w:rPr>
        <w:fldChar w:fldCharType="end"/>
      </w:r>
      <w:r w:rsidRPr="00B1522E">
        <w:rPr>
          <w:rFonts w:cstheme="minorHAnsi"/>
        </w:rPr>
        <w:t>. The results from the substituted data were not dissimilar from original data; therefore, no further action was taken, and the original data will be reported</w:t>
      </w:r>
      <w:bookmarkEnd w:id="195"/>
      <w:r w:rsidRPr="00B1522E">
        <w:rPr>
          <w:rFonts w:cstheme="minorHAnsi"/>
        </w:rPr>
        <w:t>.</w:t>
      </w:r>
    </w:p>
    <w:p w14:paraId="2F463587" w14:textId="013CC888" w:rsidR="00730501" w:rsidRPr="00B1522E" w:rsidRDefault="00730501" w:rsidP="000B7EFC">
      <w:pPr>
        <w:spacing w:line="480" w:lineRule="auto"/>
        <w:ind w:firstLine="720"/>
        <w:jc w:val="both"/>
        <w:rPr>
          <w:rFonts w:cstheme="minorHAnsi"/>
        </w:rPr>
      </w:pPr>
      <w:r w:rsidRPr="00B1522E">
        <w:rPr>
          <w:rFonts w:cstheme="minorHAnsi"/>
        </w:rPr>
        <w:t xml:space="preserve">Subsequently, distribution for all variables was examined; all variables were normally distributed (all skewness and kurtosis values were within the -1 to +1 range), with the exception of personal unhealthy snacking behaviours (skewness 2.37 and kurtosis 7.40) and misperceptions of peers’ unhealthy snacking behaviour (skewness 1.72 and kurtosis 2.86). Therefore, when investigating </w:t>
      </w:r>
      <w:r w:rsidRPr="00B1522E">
        <w:rPr>
          <w:rFonts w:cstheme="minorHAnsi"/>
        </w:rPr>
        <w:lastRenderedPageBreak/>
        <w:t xml:space="preserve">whether students significantly misperceived peers’ unhealthy snacking behaviour, a non-parametric one-sample test was conducted. Literature suggests that regressions are robust against violation of normality of variables </w:t>
      </w:r>
      <w:r w:rsidRPr="00B1522E">
        <w:rPr>
          <w:rFonts w:cstheme="minorHAnsi"/>
        </w:rPr>
        <w:fldChar w:fldCharType="begin" w:fldLock="1"/>
      </w:r>
      <w:r w:rsidR="0048570A" w:rsidRPr="00B1522E">
        <w:rPr>
          <w:rFonts w:cstheme="minorHAnsi"/>
        </w:rPr>
        <w:instrText>ADDIN CSL_CITATION {"citationItems":[{"id":"ITEM-1","itemData":{"ISBN":"1446274586","author":[{"dropping-particle":"","family":"Field","given":"Andy","non-dropping-particle":"","parse-names":false,"suffix":""}],"id":"ITEM-1","issued":{"date-parts":[["2013"]]},"publisher":"Sage","publisher-place":"London","title":"Discovering statistics using IBM SPSS statistics","type":"book"},"uris":["http://www.mendeley.com/documents/?uuid=1e097d10-b099-44d2-bb82-0323b21b4daf"]},{"id":"ITEM-2","itemData":{"ISBN":"1315398133","author":[{"dropping-particle":"","family":"Clark-Carter","given":"David","non-dropping-particle":"","parse-names":false,"suffix":""}],"edition":"4","id":"ITEM-2","issued":{"date-parts":[["2018"]]},"publisher":"Routledge","publisher-place":"Oxford","title":"Quantitative psychological research: The complete student's companion","type":"book"},"uris":["http://www.mendeley.com/documents/?uuid=f5b38bb5-f542-4aa0-bb14-11142db55002"]}],"mendeley":{"formattedCitation":"(Clark-Carter, 2018; Field, 2013)","plainTextFormattedCitation":"(Clark-Carter, 2018; Field, 2013)","previouslyFormattedCitation":"(Clark-Carter, 2018; Field, 2013)"},"properties":{"noteIndex":0},"schema":"https://github.com/citation-style-language/schema/raw/master/csl-citation.json"}</w:instrText>
      </w:r>
      <w:r w:rsidRPr="00B1522E">
        <w:rPr>
          <w:rFonts w:cstheme="minorHAnsi"/>
        </w:rPr>
        <w:fldChar w:fldCharType="separate"/>
      </w:r>
      <w:r w:rsidRPr="00B1522E">
        <w:rPr>
          <w:rFonts w:cstheme="minorHAnsi"/>
          <w:noProof/>
        </w:rPr>
        <w:t>(Clark-Carter, 2018; Field, 2013)</w:t>
      </w:r>
      <w:r w:rsidRPr="00B1522E">
        <w:rPr>
          <w:rFonts w:cstheme="minorHAnsi"/>
        </w:rPr>
        <w:fldChar w:fldCharType="end"/>
      </w:r>
      <w:r w:rsidRPr="00B1522E">
        <w:rPr>
          <w:rFonts w:cstheme="minorHAnsi"/>
        </w:rPr>
        <w:t xml:space="preserve">, so no further action was taken prior to conducting the regression analyses.  </w:t>
      </w:r>
    </w:p>
    <w:p w14:paraId="33804147" w14:textId="2CCF5D00" w:rsidR="00730501" w:rsidRPr="00B1522E" w:rsidRDefault="00730501" w:rsidP="000B7EFC">
      <w:pPr>
        <w:spacing w:line="480" w:lineRule="auto"/>
        <w:ind w:firstLine="720"/>
        <w:jc w:val="both"/>
        <w:rPr>
          <w:rFonts w:cstheme="minorHAnsi"/>
        </w:rPr>
      </w:pPr>
      <w:r w:rsidRPr="00B1522E">
        <w:rPr>
          <w:rFonts w:cstheme="minorHAnsi"/>
        </w:rPr>
        <w:t xml:space="preserve">To screen for multivariate outliers among the </w:t>
      </w:r>
      <w:r w:rsidR="007D734F" w:rsidRPr="00B1522E">
        <w:rPr>
          <w:rFonts w:cstheme="minorHAnsi"/>
        </w:rPr>
        <w:t>variable’s</w:t>
      </w:r>
      <w:r w:rsidRPr="00B1522E">
        <w:rPr>
          <w:rFonts w:cstheme="minorHAnsi"/>
        </w:rPr>
        <w:t xml:space="preserve">, </w:t>
      </w:r>
      <w:r w:rsidRPr="00B1522E">
        <w:rPr>
          <w:rFonts w:cstheme="minorHAnsi"/>
          <w:shd w:val="clear" w:color="auto" w:fill="FFFFFF"/>
        </w:rPr>
        <w:t>standardized residuals were reviewed, and Mahalanobis d</w:t>
      </w:r>
      <w:r w:rsidRPr="00B1522E">
        <w:rPr>
          <w:rFonts w:cstheme="minorHAnsi"/>
        </w:rPr>
        <w:t xml:space="preserve">istance scores were generated for the predictor variables. There was one case with a standardized residual (4.94) outside of the range of +/- 3.29 </w:t>
      </w:r>
      <w:r w:rsidRPr="00B1522E">
        <w:rPr>
          <w:rFonts w:cstheme="minorHAnsi"/>
        </w:rPr>
        <w:fldChar w:fldCharType="begin" w:fldLock="1"/>
      </w:r>
      <w:r w:rsidRPr="00B1522E">
        <w:rPr>
          <w:rFonts w:cstheme="minorHAnsi"/>
        </w:rPr>
        <w:instrText>ADDIN CSL_CITATION {"citationItems":[{"id":"ITEM-1","itemData":{"ISBN":"1446274586","author":[{"dropping-particle":"","family":"Field","given":"Andy","non-dropping-particle":"","parse-names":false,"suffix":""}],"id":"ITEM-1","issued":{"date-parts":[["2013"]]},"publisher":"Sage","publisher-place":"London","title":"Discovering statistics using IBM SPSS statistics","type":"book"},"uris":["http://www.mendeley.com/documents/?uuid=1e097d10-b099-44d2-bb82-0323b21b4daf"]}],"mendeley":{"formattedCitation":"(Field, 2013)","plainTextFormattedCitation":"(Field, 2013)","previouslyFormattedCitation":"(Field, 2013)"},"properties":{"noteIndex":0},"schema":"https://github.com/citation-style-language/schema/raw/master/csl-citation.json"}</w:instrText>
      </w:r>
      <w:r w:rsidRPr="00B1522E">
        <w:rPr>
          <w:rFonts w:cstheme="minorHAnsi"/>
        </w:rPr>
        <w:fldChar w:fldCharType="separate"/>
      </w:r>
      <w:r w:rsidRPr="00B1522E">
        <w:rPr>
          <w:rFonts w:cstheme="minorHAnsi"/>
          <w:noProof/>
        </w:rPr>
        <w:t>(Field, 2013)</w:t>
      </w:r>
      <w:r w:rsidRPr="00B1522E">
        <w:rPr>
          <w:rFonts w:cstheme="minorHAnsi"/>
        </w:rPr>
        <w:fldChar w:fldCharType="end"/>
      </w:r>
      <w:r w:rsidRPr="00B1522E">
        <w:rPr>
          <w:rFonts w:cstheme="minorHAnsi"/>
        </w:rPr>
        <w:t xml:space="preserve"> and which also exceeded the critical Chi-square value of above 24.32 (at </w:t>
      </w:r>
      <w:r w:rsidRPr="00B1522E">
        <w:rPr>
          <w:rFonts w:cstheme="minorHAnsi"/>
        </w:rPr>
        <w:sym w:font="Symbol" w:char="F061"/>
      </w:r>
      <w:r w:rsidRPr="00B1522E">
        <w:rPr>
          <w:rFonts w:cstheme="minorHAnsi"/>
        </w:rPr>
        <w:t xml:space="preserve"> = .001) </w:t>
      </w:r>
      <w:r w:rsidRPr="00B1522E">
        <w:rPr>
          <w:rFonts w:cstheme="minorHAnsi"/>
        </w:rPr>
        <w:fldChar w:fldCharType="begin" w:fldLock="1"/>
      </w:r>
      <w:r w:rsidRPr="00B1522E">
        <w:rPr>
          <w:rFonts w:cstheme="minorHAnsi"/>
        </w:rPr>
        <w:instrText>ADDIN CSL_CITATION {"citationItems":[{"id":"ITEM-1","itemData":{"author":[{"dropping-particle":"","family":"Barnett","given":"Vic","non-dropping-particle":"","parse-names":false,"suffix":""},{"dropping-particle":"","family":"Lewis","given":"Toby","non-dropping-particle":"","parse-names":false,"suffix":""}],"id":"ITEM-1","issued":{"date-parts":[["1984"]]},"publisher":"Wiley","publisher-place":"Chichester","title":"Outliers in statistical data","type":"book"},"uris":["http://www.mendeley.com/documents/?uuid=d7f81c34-3d54-4a78-ab6d-5e56058742b5"]}],"mendeley":{"formattedCitation":"(Barnett &amp; Lewis, 1984)","plainTextFormattedCitation":"(Barnett &amp; Lewis, 1984)","previouslyFormattedCitation":"(Barnett &amp; Lewis, 1984)"},"properties":{"noteIndex":0},"schema":"https://github.com/citation-style-language/schema/raw/master/csl-citation.json"}</w:instrText>
      </w:r>
      <w:r w:rsidRPr="00B1522E">
        <w:rPr>
          <w:rFonts w:cstheme="minorHAnsi"/>
        </w:rPr>
        <w:fldChar w:fldCharType="separate"/>
      </w:r>
      <w:r w:rsidRPr="00B1522E">
        <w:rPr>
          <w:rFonts w:cstheme="minorHAnsi"/>
          <w:noProof/>
        </w:rPr>
        <w:t>(Barnett &amp; Lewis, 1984)</w:t>
      </w:r>
      <w:r w:rsidRPr="00B1522E">
        <w:rPr>
          <w:rFonts w:cstheme="minorHAnsi"/>
        </w:rPr>
        <w:fldChar w:fldCharType="end"/>
      </w:r>
      <w:r w:rsidRPr="00B1522E">
        <w:rPr>
          <w:rFonts w:cstheme="minorHAnsi"/>
        </w:rPr>
        <w:t xml:space="preserve">. Examination of the case revealed that the individuals’ response pattern indicated a systematic reporting of extreme scores. This case was removed from the dataset consistent with recommendations from </w:t>
      </w:r>
      <w:r w:rsidRPr="00B1522E">
        <w:rPr>
          <w:rFonts w:cstheme="minorHAnsi"/>
        </w:rPr>
        <w:fldChar w:fldCharType="begin" w:fldLock="1"/>
      </w:r>
      <w:r w:rsidR="00DF6CCC" w:rsidRPr="00B1522E">
        <w:rPr>
          <w:rFonts w:cstheme="minorHAnsi"/>
        </w:rPr>
        <w:instrText>ADDIN CSL_CITATION {"citationItems":[{"id":"ITEM-1","itemData":{"ISSN":"0022-1031","abstract":"A look at the psychology literature reveals that researchers still seem to encounter difficulties in coping with multivariate outliers. Multivariate outliers can severely distort the estimation of population parameters. Detecting multivariate outliers is mainly disregarded or done by using the basic Mahalanobis distance. However, that indicator uses the multivariate sample mean and covariance matrix that are particularly sensitive to outliers. Hence, this method is problematic. We highlight the disadvantages of the basic Mahalanobis distance and argue instead in favor of a robust Mahalanobis distance. In particular, we present a variant based on the Minimum Covariance Determinant, a more robust procedure that is easy to implement. Using Monte Carlo simulations of bivariate sample distributions varying in size (ns=20, 100, 500) and population correlation coefficient (ρ=.10, .30, .50), we demonstrate the detrimental impact of outliers on parameter estimation and show the superiority of the MCD over the Mahalanobis distance. We also make recommendations for deciding whether to include vs. exclude outliers. Finally, we provide the procedures for calculating this indicator in R and SPSS software.","author":[{"dropping-particle":"","family":"Leys","given":"Christophe","non-dropping-particle":"","parse-names":false,"suffix":""},{"dropping-particle":"","family":"Klein","given":"Olivier","non-dropping-particle":"","parse-names":false,"suffix":""},{"dropping-particle":"","family":"Dominicy","given":"Yves","non-dropping-particle":"","parse-names":false,"suffix":""},{"dropping-particle":"","family":"Ley","given":"Christophe","non-dropping-particle":"","parse-names":false,"suffix":""}],"container-title":"Journal of Experimental Social Psychology","id":"ITEM-1","issued":{"date-parts":[["2018"]]},"page":"150-156","title":"Detecting multivariate outliers: Use a robust variant of the Mahalanobis distance","type":"article-journal","volume":"74"},"uris":["http://www.mendeley.com/documents/?uuid=d1eade4f-754e-44cd-8074-c705e4c7f478"]}],"mendeley":{"formattedCitation":"(Leys et al., 2018)","manualFormatting":"Leys et al. (2018)","plainTextFormattedCitation":"(Leys et al., 2018)","previouslyFormattedCitation":"(Leys et al., 2018)"},"properties":{"noteIndex":0},"schema":"https://github.com/citation-style-language/schema/raw/master/csl-citation.json"}</w:instrText>
      </w:r>
      <w:r w:rsidRPr="00B1522E">
        <w:rPr>
          <w:rFonts w:cstheme="minorHAnsi"/>
        </w:rPr>
        <w:fldChar w:fldCharType="separate"/>
      </w:r>
      <w:r w:rsidRPr="00B1522E">
        <w:rPr>
          <w:rFonts w:cstheme="minorHAnsi"/>
          <w:noProof/>
        </w:rPr>
        <w:t>Leys et al. (2018)</w:t>
      </w:r>
      <w:r w:rsidRPr="00B1522E">
        <w:rPr>
          <w:rFonts w:cstheme="minorHAnsi"/>
        </w:rPr>
        <w:fldChar w:fldCharType="end"/>
      </w:r>
      <w:r w:rsidRPr="00B1522E">
        <w:rPr>
          <w:rFonts w:cstheme="minorHAnsi"/>
        </w:rPr>
        <w:t xml:space="preserve"> as such cases may indicate participants may not be attending to questions or may have misunderstood the content.</w:t>
      </w:r>
    </w:p>
    <w:p w14:paraId="5A551456" w14:textId="77777777" w:rsidR="00730501" w:rsidRPr="00B1522E" w:rsidRDefault="00730501" w:rsidP="00730501">
      <w:pPr>
        <w:spacing w:line="480" w:lineRule="auto"/>
        <w:jc w:val="both"/>
        <w:rPr>
          <w:rFonts w:cstheme="minorHAnsi"/>
        </w:rPr>
      </w:pPr>
    </w:p>
    <w:bookmarkStart w:id="196" w:name="_Toc84678952"/>
    <w:p w14:paraId="0CFA1564" w14:textId="1AED0208" w:rsidR="00730501" w:rsidRPr="00B1522E" w:rsidRDefault="00B932D9" w:rsidP="002D6D48">
      <w:pPr>
        <w:spacing w:line="480" w:lineRule="auto"/>
      </w:pPr>
      <w:r w:rsidRPr="00B1522E">
        <w:fldChar w:fldCharType="begin"/>
      </w:r>
      <w:r w:rsidRPr="00B1522E">
        <w:instrText xml:space="preserve"> TC  "</w:instrText>
      </w:r>
      <w:bookmarkStart w:id="197" w:name="_Toc97310490"/>
      <w:r w:rsidRPr="00B1522E">
        <w:instrText>7.3.2 Students personal snacking behaviour</w:instrText>
      </w:r>
      <w:bookmarkEnd w:id="197"/>
      <w:r w:rsidRPr="00B1522E">
        <w:instrText xml:space="preserve"> " \f x\l 3 </w:instrText>
      </w:r>
      <w:r w:rsidRPr="00B1522E">
        <w:fldChar w:fldCharType="end"/>
      </w:r>
      <w:r w:rsidR="00C601CA" w:rsidRPr="00B1522E">
        <w:t>7.4</w:t>
      </w:r>
      <w:r w:rsidR="00730501" w:rsidRPr="00B1522E">
        <w:t>.2 Students’ personal snacking behaviour</w:t>
      </w:r>
      <w:bookmarkEnd w:id="196"/>
    </w:p>
    <w:p w14:paraId="71135140" w14:textId="74B8FEC5" w:rsidR="00730501" w:rsidRPr="00B1522E" w:rsidRDefault="00730501" w:rsidP="002D6D48">
      <w:pPr>
        <w:spacing w:line="480" w:lineRule="auto"/>
        <w:jc w:val="both"/>
        <w:rPr>
          <w:rFonts w:cstheme="minorHAnsi"/>
        </w:rPr>
      </w:pPr>
      <w:r w:rsidRPr="00B1522E">
        <w:rPr>
          <w:rFonts w:cstheme="minorHAnsi"/>
        </w:rPr>
        <w:t xml:space="preserve">Results indicated that students’ average reported weekly intake of unhealthy snacks was 19.15 portions (approx. daily intake of 2.7 portions). Table </w:t>
      </w:r>
      <w:r w:rsidR="005003CF" w:rsidRPr="00B1522E">
        <w:rPr>
          <w:rFonts w:cstheme="minorHAnsi"/>
        </w:rPr>
        <w:t>10</w:t>
      </w:r>
      <w:r w:rsidRPr="00B1522E">
        <w:rPr>
          <w:rFonts w:cstheme="minorHAnsi"/>
        </w:rPr>
        <w:t xml:space="preserve"> presents the means and standards deviations of reported personal weekly consumption of each unhealthy snack.</w:t>
      </w:r>
    </w:p>
    <w:p w14:paraId="79CD9C52" w14:textId="19BD41F0" w:rsidR="000414FE" w:rsidRPr="00B1522E" w:rsidRDefault="003F74FC" w:rsidP="000414FE">
      <w:pPr>
        <w:pStyle w:val="Caption"/>
        <w:keepNext/>
        <w:spacing w:after="0"/>
        <w:rPr>
          <w:rFonts w:cstheme="minorHAnsi"/>
          <w:i w:val="0"/>
          <w:iCs w:val="0"/>
          <w:color w:val="auto"/>
          <w:sz w:val="22"/>
          <w:szCs w:val="22"/>
        </w:rPr>
      </w:pPr>
      <w:r w:rsidRPr="00B1522E">
        <w:rPr>
          <w:b/>
          <w:bCs/>
          <w:i w:val="0"/>
          <w:iCs w:val="0"/>
          <w:color w:val="auto"/>
          <w:sz w:val="22"/>
          <w:szCs w:val="22"/>
        </w:rPr>
        <w:fldChar w:fldCharType="begin"/>
      </w:r>
      <w:r w:rsidRPr="00B1522E">
        <w:rPr>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198" w:name="_Toc97557133"/>
      <w:r w:rsidRPr="00B1522E">
        <w:rPr>
          <w:rFonts w:cstheme="minorHAnsi"/>
          <w:i w:val="0"/>
          <w:iCs w:val="0"/>
          <w:color w:val="auto"/>
          <w:sz w:val="22"/>
          <w:szCs w:val="22"/>
        </w:rPr>
        <w:instrText xml:space="preserve">Table </w:instrText>
      </w:r>
      <w:r w:rsidR="00620661" w:rsidRPr="00B1522E">
        <w:rPr>
          <w:rFonts w:cstheme="minorHAnsi"/>
          <w:i w:val="0"/>
          <w:iCs w:val="0"/>
          <w:color w:val="auto"/>
          <w:sz w:val="22"/>
          <w:szCs w:val="22"/>
        </w:rPr>
        <w:instrText>10</w:instrText>
      </w:r>
      <w:r w:rsidRPr="00B1522E">
        <w:rPr>
          <w:rFonts w:cstheme="minorHAnsi"/>
          <w:i w:val="0"/>
          <w:iCs w:val="0"/>
          <w:color w:val="auto"/>
          <w:sz w:val="22"/>
          <w:szCs w:val="22"/>
        </w:rPr>
        <w:instrText>. Means and Standard Deviations of students’ personal unhealthy snacking behaviour for each foodstuff.</w:instrText>
      </w:r>
      <w:bookmarkEnd w:id="198"/>
      <w:r w:rsidRPr="00B1522E">
        <w:rPr>
          <w:b/>
          <w:bCs/>
          <w:i w:val="0"/>
          <w:iCs w:val="0"/>
          <w:color w:val="auto"/>
          <w:sz w:val="22"/>
          <w:szCs w:val="22"/>
        </w:rPr>
        <w:instrText xml:space="preserve">" \f z\l 2 </w:instrText>
      </w:r>
      <w:r w:rsidRPr="00B1522E">
        <w:rPr>
          <w:b/>
          <w:bCs/>
          <w:i w:val="0"/>
          <w:iCs w:val="0"/>
          <w:color w:val="auto"/>
          <w:sz w:val="22"/>
          <w:szCs w:val="22"/>
        </w:rPr>
        <w:fldChar w:fldCharType="end"/>
      </w:r>
      <w:r w:rsidR="000414FE" w:rsidRPr="00B1522E">
        <w:rPr>
          <w:rFonts w:cstheme="minorHAnsi"/>
          <w:i w:val="0"/>
          <w:iCs w:val="0"/>
          <w:color w:val="auto"/>
          <w:sz w:val="22"/>
          <w:szCs w:val="22"/>
        </w:rPr>
        <w:t xml:space="preserve">Table </w:t>
      </w:r>
      <w:r w:rsidR="00620661" w:rsidRPr="00B1522E">
        <w:rPr>
          <w:rFonts w:cstheme="minorHAnsi"/>
          <w:i w:val="0"/>
          <w:iCs w:val="0"/>
          <w:color w:val="auto"/>
          <w:sz w:val="22"/>
          <w:szCs w:val="22"/>
        </w:rPr>
        <w:t>10</w:t>
      </w:r>
      <w:r w:rsidR="00ED3D13" w:rsidRPr="00B1522E">
        <w:rPr>
          <w:rFonts w:cstheme="minorHAnsi"/>
          <w:i w:val="0"/>
          <w:iCs w:val="0"/>
          <w:color w:val="auto"/>
          <w:sz w:val="22"/>
          <w:szCs w:val="22"/>
        </w:rPr>
        <w:t xml:space="preserve">. </w:t>
      </w:r>
      <w:r w:rsidR="000414FE" w:rsidRPr="00B1522E">
        <w:rPr>
          <w:rFonts w:cstheme="minorHAnsi"/>
          <w:i w:val="0"/>
          <w:iCs w:val="0"/>
          <w:color w:val="auto"/>
          <w:sz w:val="22"/>
          <w:szCs w:val="22"/>
        </w:rPr>
        <w:t>Means and Standard Deviations of students’ personal unhealthy snacking behaviour for each foodstuff.</w:t>
      </w:r>
    </w:p>
    <w:tbl>
      <w:tblPr>
        <w:tblStyle w:val="TableGrid"/>
        <w:tblpPr w:leftFromText="181" w:rightFromText="181" w:vertAnchor="text" w:horzAnchor="margin" w:tblpY="250"/>
        <w:tblOverlap w:val="never"/>
        <w:tblW w:w="50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19"/>
        <w:gridCol w:w="3020"/>
      </w:tblGrid>
      <w:tr w:rsidR="00E77769" w:rsidRPr="00B1522E" w14:paraId="506644D3" w14:textId="77777777" w:rsidTr="00B811CC">
        <w:trPr>
          <w:trHeight w:val="272"/>
        </w:trPr>
        <w:tc>
          <w:tcPr>
            <w:tcW w:w="1666" w:type="pct"/>
            <w:tcBorders>
              <w:top w:val="single" w:sz="4" w:space="0" w:color="auto"/>
              <w:bottom w:val="single" w:sz="4" w:space="0" w:color="auto"/>
            </w:tcBorders>
            <w:vAlign w:val="bottom"/>
          </w:tcPr>
          <w:p w14:paraId="5FF2DC97" w14:textId="77777777" w:rsidR="000414FE" w:rsidRPr="00B1522E" w:rsidRDefault="000414FE" w:rsidP="00B811CC">
            <w:pPr>
              <w:rPr>
                <w:rFonts w:cstheme="minorHAnsi"/>
              </w:rPr>
            </w:pPr>
          </w:p>
        </w:tc>
        <w:tc>
          <w:tcPr>
            <w:tcW w:w="1666" w:type="pct"/>
            <w:tcBorders>
              <w:top w:val="single" w:sz="4" w:space="0" w:color="auto"/>
              <w:bottom w:val="single" w:sz="4" w:space="0" w:color="auto"/>
            </w:tcBorders>
            <w:vAlign w:val="center"/>
          </w:tcPr>
          <w:p w14:paraId="03056ECA" w14:textId="77777777" w:rsidR="000414FE" w:rsidRPr="00B1522E" w:rsidRDefault="000414FE" w:rsidP="00B811CC">
            <w:pPr>
              <w:jc w:val="center"/>
              <w:rPr>
                <w:rFonts w:cstheme="minorHAnsi"/>
              </w:rPr>
            </w:pPr>
            <w:r w:rsidRPr="00B1522E">
              <w:rPr>
                <w:rFonts w:cstheme="minorHAnsi"/>
              </w:rPr>
              <w:t>Mean</w:t>
            </w:r>
          </w:p>
        </w:tc>
        <w:tc>
          <w:tcPr>
            <w:tcW w:w="1667" w:type="pct"/>
            <w:tcBorders>
              <w:top w:val="single" w:sz="4" w:space="0" w:color="auto"/>
              <w:bottom w:val="single" w:sz="4" w:space="0" w:color="auto"/>
            </w:tcBorders>
            <w:vAlign w:val="center"/>
          </w:tcPr>
          <w:p w14:paraId="0277FE5F" w14:textId="77777777" w:rsidR="000414FE" w:rsidRPr="00B1522E" w:rsidRDefault="000414FE" w:rsidP="00B811CC">
            <w:pPr>
              <w:jc w:val="center"/>
              <w:rPr>
                <w:rFonts w:cstheme="minorHAnsi"/>
              </w:rPr>
            </w:pPr>
            <w:r w:rsidRPr="00B1522E">
              <w:rPr>
                <w:rFonts w:cstheme="minorHAnsi"/>
              </w:rPr>
              <w:t>SD</w:t>
            </w:r>
          </w:p>
        </w:tc>
      </w:tr>
      <w:tr w:rsidR="00E77769" w:rsidRPr="00B1522E" w14:paraId="71A7F5C4" w14:textId="77777777" w:rsidTr="00B64DC8">
        <w:trPr>
          <w:trHeight w:val="536"/>
        </w:trPr>
        <w:tc>
          <w:tcPr>
            <w:tcW w:w="1666" w:type="pct"/>
            <w:tcBorders>
              <w:top w:val="single" w:sz="4" w:space="0" w:color="auto"/>
            </w:tcBorders>
            <w:vAlign w:val="center"/>
          </w:tcPr>
          <w:p w14:paraId="7E6B39F8" w14:textId="77777777" w:rsidR="000414FE" w:rsidRPr="00B1522E" w:rsidRDefault="000414FE" w:rsidP="00C029A1">
            <w:pPr>
              <w:jc w:val="center"/>
              <w:rPr>
                <w:rFonts w:cstheme="minorHAnsi"/>
              </w:rPr>
            </w:pPr>
            <w:r w:rsidRPr="00B1522E">
              <w:rPr>
                <w:rFonts w:cstheme="minorHAnsi"/>
              </w:rPr>
              <w:t>Chocolate</w:t>
            </w:r>
          </w:p>
        </w:tc>
        <w:tc>
          <w:tcPr>
            <w:tcW w:w="1666" w:type="pct"/>
            <w:tcBorders>
              <w:top w:val="single" w:sz="4" w:space="0" w:color="auto"/>
            </w:tcBorders>
            <w:vAlign w:val="center"/>
          </w:tcPr>
          <w:p w14:paraId="729BEA28" w14:textId="77777777" w:rsidR="000414FE" w:rsidRPr="00B1522E" w:rsidRDefault="000414FE" w:rsidP="00C029A1">
            <w:pPr>
              <w:jc w:val="center"/>
              <w:rPr>
                <w:rFonts w:cstheme="minorHAnsi"/>
              </w:rPr>
            </w:pPr>
            <w:r w:rsidRPr="00B1522E">
              <w:rPr>
                <w:rFonts w:cstheme="minorHAnsi"/>
              </w:rPr>
              <w:t>3.66</w:t>
            </w:r>
          </w:p>
        </w:tc>
        <w:tc>
          <w:tcPr>
            <w:tcW w:w="1667" w:type="pct"/>
            <w:tcBorders>
              <w:top w:val="single" w:sz="4" w:space="0" w:color="auto"/>
            </w:tcBorders>
            <w:vAlign w:val="center"/>
          </w:tcPr>
          <w:p w14:paraId="62730587" w14:textId="77777777" w:rsidR="000414FE" w:rsidRPr="00B1522E" w:rsidRDefault="000414FE" w:rsidP="00FA7183">
            <w:pPr>
              <w:jc w:val="center"/>
              <w:rPr>
                <w:rFonts w:cstheme="minorHAnsi"/>
              </w:rPr>
            </w:pPr>
            <w:r w:rsidRPr="00B1522E">
              <w:rPr>
                <w:rFonts w:cstheme="minorHAnsi"/>
              </w:rPr>
              <w:t>5.80</w:t>
            </w:r>
          </w:p>
        </w:tc>
      </w:tr>
      <w:tr w:rsidR="00E77769" w:rsidRPr="00B1522E" w14:paraId="2EE41837" w14:textId="77777777" w:rsidTr="00B64DC8">
        <w:trPr>
          <w:trHeight w:val="536"/>
        </w:trPr>
        <w:tc>
          <w:tcPr>
            <w:tcW w:w="1666" w:type="pct"/>
            <w:vAlign w:val="center"/>
          </w:tcPr>
          <w:p w14:paraId="538C455B" w14:textId="77777777" w:rsidR="000414FE" w:rsidRPr="00B1522E" w:rsidRDefault="000414FE" w:rsidP="00B64DC8">
            <w:pPr>
              <w:jc w:val="center"/>
              <w:rPr>
                <w:rFonts w:cstheme="minorHAnsi"/>
              </w:rPr>
            </w:pPr>
            <w:r w:rsidRPr="00B1522E">
              <w:rPr>
                <w:rFonts w:cstheme="minorHAnsi"/>
              </w:rPr>
              <w:t>Sweets</w:t>
            </w:r>
          </w:p>
        </w:tc>
        <w:tc>
          <w:tcPr>
            <w:tcW w:w="1666" w:type="pct"/>
            <w:vAlign w:val="center"/>
          </w:tcPr>
          <w:p w14:paraId="474D964A" w14:textId="77777777" w:rsidR="000414FE" w:rsidRPr="00B1522E" w:rsidRDefault="000414FE" w:rsidP="00B64DC8">
            <w:pPr>
              <w:jc w:val="center"/>
              <w:rPr>
                <w:rFonts w:cstheme="minorHAnsi"/>
              </w:rPr>
            </w:pPr>
            <w:r w:rsidRPr="00B1522E">
              <w:rPr>
                <w:rFonts w:cstheme="minorHAnsi"/>
              </w:rPr>
              <w:t>4.32</w:t>
            </w:r>
          </w:p>
        </w:tc>
        <w:tc>
          <w:tcPr>
            <w:tcW w:w="1667" w:type="pct"/>
            <w:vAlign w:val="center"/>
          </w:tcPr>
          <w:p w14:paraId="068B73BF" w14:textId="77777777" w:rsidR="000414FE" w:rsidRPr="00B1522E" w:rsidRDefault="000414FE" w:rsidP="00B64DC8">
            <w:pPr>
              <w:jc w:val="center"/>
              <w:rPr>
                <w:rFonts w:cstheme="minorHAnsi"/>
              </w:rPr>
            </w:pPr>
            <w:r w:rsidRPr="00B1522E">
              <w:rPr>
                <w:rFonts w:cstheme="minorHAnsi"/>
              </w:rPr>
              <w:t>6.45</w:t>
            </w:r>
          </w:p>
        </w:tc>
      </w:tr>
      <w:tr w:rsidR="00E77769" w:rsidRPr="00B1522E" w14:paraId="7F45B4DF" w14:textId="77777777" w:rsidTr="00B64DC8">
        <w:trPr>
          <w:trHeight w:val="536"/>
        </w:trPr>
        <w:tc>
          <w:tcPr>
            <w:tcW w:w="1666" w:type="pct"/>
            <w:vAlign w:val="center"/>
          </w:tcPr>
          <w:p w14:paraId="7F81C7CC" w14:textId="77777777" w:rsidR="000414FE" w:rsidRPr="00B1522E" w:rsidRDefault="000414FE" w:rsidP="00B64DC8">
            <w:pPr>
              <w:jc w:val="center"/>
              <w:rPr>
                <w:rFonts w:cstheme="minorHAnsi"/>
              </w:rPr>
            </w:pPr>
            <w:r w:rsidRPr="00B1522E">
              <w:rPr>
                <w:rFonts w:cstheme="minorHAnsi"/>
              </w:rPr>
              <w:t>Crisps</w:t>
            </w:r>
          </w:p>
        </w:tc>
        <w:tc>
          <w:tcPr>
            <w:tcW w:w="1666" w:type="pct"/>
            <w:vAlign w:val="center"/>
          </w:tcPr>
          <w:p w14:paraId="30DAEACD" w14:textId="77777777" w:rsidR="000414FE" w:rsidRPr="00B1522E" w:rsidRDefault="000414FE" w:rsidP="00B64DC8">
            <w:pPr>
              <w:jc w:val="center"/>
              <w:rPr>
                <w:rFonts w:cstheme="minorHAnsi"/>
              </w:rPr>
            </w:pPr>
            <w:r w:rsidRPr="00B1522E">
              <w:rPr>
                <w:rFonts w:cstheme="minorHAnsi"/>
              </w:rPr>
              <w:t>4.98</w:t>
            </w:r>
          </w:p>
        </w:tc>
        <w:tc>
          <w:tcPr>
            <w:tcW w:w="1667" w:type="pct"/>
            <w:vAlign w:val="center"/>
          </w:tcPr>
          <w:p w14:paraId="596E8088" w14:textId="77777777" w:rsidR="000414FE" w:rsidRPr="00B1522E" w:rsidRDefault="000414FE" w:rsidP="00B64DC8">
            <w:pPr>
              <w:jc w:val="center"/>
              <w:rPr>
                <w:rFonts w:cstheme="minorHAnsi"/>
              </w:rPr>
            </w:pPr>
            <w:r w:rsidRPr="00B1522E">
              <w:rPr>
                <w:rFonts w:cstheme="minorHAnsi"/>
              </w:rPr>
              <w:t>6.55</w:t>
            </w:r>
          </w:p>
        </w:tc>
      </w:tr>
      <w:tr w:rsidR="00E77769" w:rsidRPr="00B1522E" w14:paraId="40D76DA8" w14:textId="77777777" w:rsidTr="00B64DC8">
        <w:trPr>
          <w:trHeight w:val="536"/>
        </w:trPr>
        <w:tc>
          <w:tcPr>
            <w:tcW w:w="1666" w:type="pct"/>
            <w:vAlign w:val="center"/>
          </w:tcPr>
          <w:p w14:paraId="3038DC8D" w14:textId="77777777" w:rsidR="000414FE" w:rsidRPr="00B1522E" w:rsidRDefault="000414FE" w:rsidP="00B64DC8">
            <w:pPr>
              <w:jc w:val="center"/>
              <w:rPr>
                <w:rFonts w:cstheme="minorHAnsi"/>
              </w:rPr>
            </w:pPr>
            <w:r w:rsidRPr="00B1522E">
              <w:rPr>
                <w:rFonts w:cstheme="minorHAnsi"/>
              </w:rPr>
              <w:t>Biscuits</w:t>
            </w:r>
          </w:p>
        </w:tc>
        <w:tc>
          <w:tcPr>
            <w:tcW w:w="1666" w:type="pct"/>
            <w:vAlign w:val="center"/>
          </w:tcPr>
          <w:p w14:paraId="1071EBB6" w14:textId="77777777" w:rsidR="000414FE" w:rsidRPr="00B1522E" w:rsidRDefault="000414FE" w:rsidP="00B64DC8">
            <w:pPr>
              <w:jc w:val="center"/>
              <w:rPr>
                <w:rFonts w:cstheme="minorHAnsi"/>
              </w:rPr>
            </w:pPr>
            <w:r w:rsidRPr="00B1522E">
              <w:rPr>
                <w:rFonts w:cstheme="minorHAnsi"/>
              </w:rPr>
              <w:t>4.82</w:t>
            </w:r>
          </w:p>
        </w:tc>
        <w:tc>
          <w:tcPr>
            <w:tcW w:w="1667" w:type="pct"/>
            <w:vAlign w:val="center"/>
          </w:tcPr>
          <w:p w14:paraId="7D6C5A76" w14:textId="77777777" w:rsidR="000414FE" w:rsidRPr="00B1522E" w:rsidRDefault="000414FE" w:rsidP="00B64DC8">
            <w:pPr>
              <w:jc w:val="center"/>
              <w:rPr>
                <w:rFonts w:cstheme="minorHAnsi"/>
              </w:rPr>
            </w:pPr>
            <w:r w:rsidRPr="00B1522E">
              <w:rPr>
                <w:rFonts w:cstheme="minorHAnsi"/>
              </w:rPr>
              <w:t>7.98</w:t>
            </w:r>
          </w:p>
        </w:tc>
      </w:tr>
      <w:tr w:rsidR="00E77769" w:rsidRPr="00B1522E" w14:paraId="70527296" w14:textId="77777777" w:rsidTr="00B64DC8">
        <w:trPr>
          <w:trHeight w:val="536"/>
        </w:trPr>
        <w:tc>
          <w:tcPr>
            <w:tcW w:w="1666" w:type="pct"/>
            <w:tcBorders>
              <w:bottom w:val="single" w:sz="4" w:space="0" w:color="auto"/>
            </w:tcBorders>
            <w:vAlign w:val="center"/>
          </w:tcPr>
          <w:p w14:paraId="2396AB90" w14:textId="77777777" w:rsidR="000414FE" w:rsidRPr="00B1522E" w:rsidRDefault="000414FE" w:rsidP="00B64DC8">
            <w:pPr>
              <w:jc w:val="center"/>
              <w:rPr>
                <w:rFonts w:cstheme="minorHAnsi"/>
              </w:rPr>
            </w:pPr>
            <w:r w:rsidRPr="00B1522E">
              <w:rPr>
                <w:rFonts w:cstheme="minorHAnsi"/>
              </w:rPr>
              <w:t>Cake</w:t>
            </w:r>
          </w:p>
        </w:tc>
        <w:tc>
          <w:tcPr>
            <w:tcW w:w="1666" w:type="pct"/>
            <w:tcBorders>
              <w:bottom w:val="single" w:sz="4" w:space="0" w:color="auto"/>
            </w:tcBorders>
            <w:vAlign w:val="center"/>
          </w:tcPr>
          <w:p w14:paraId="66406B82" w14:textId="77777777" w:rsidR="000414FE" w:rsidRPr="00B1522E" w:rsidRDefault="000414FE" w:rsidP="00B64DC8">
            <w:pPr>
              <w:jc w:val="center"/>
              <w:rPr>
                <w:rFonts w:cstheme="minorHAnsi"/>
              </w:rPr>
            </w:pPr>
            <w:r w:rsidRPr="00B1522E">
              <w:rPr>
                <w:rFonts w:cstheme="minorHAnsi"/>
              </w:rPr>
              <w:t>2.12</w:t>
            </w:r>
          </w:p>
        </w:tc>
        <w:tc>
          <w:tcPr>
            <w:tcW w:w="1667" w:type="pct"/>
            <w:tcBorders>
              <w:bottom w:val="single" w:sz="4" w:space="0" w:color="auto"/>
            </w:tcBorders>
            <w:vAlign w:val="center"/>
          </w:tcPr>
          <w:p w14:paraId="50693CE8" w14:textId="77777777" w:rsidR="000414FE" w:rsidRPr="00B1522E" w:rsidRDefault="000414FE" w:rsidP="00B64DC8">
            <w:pPr>
              <w:keepNext/>
              <w:jc w:val="center"/>
              <w:rPr>
                <w:rFonts w:cstheme="minorHAnsi"/>
              </w:rPr>
            </w:pPr>
            <w:r w:rsidRPr="00B1522E">
              <w:rPr>
                <w:rFonts w:cstheme="minorHAnsi"/>
              </w:rPr>
              <w:t>5.05</w:t>
            </w:r>
          </w:p>
        </w:tc>
      </w:tr>
    </w:tbl>
    <w:bookmarkStart w:id="199" w:name="_Toc84678953"/>
    <w:p w14:paraId="2F213518" w14:textId="70DCD422" w:rsidR="00730501" w:rsidRPr="00B1522E" w:rsidRDefault="00B932D9" w:rsidP="00552458">
      <w:pPr>
        <w:spacing w:line="480" w:lineRule="auto"/>
      </w:pPr>
      <w:r w:rsidRPr="00B1522E">
        <w:lastRenderedPageBreak/>
        <w:fldChar w:fldCharType="begin"/>
      </w:r>
      <w:r w:rsidRPr="00B1522E">
        <w:instrText xml:space="preserve"> TC  "</w:instrText>
      </w:r>
      <w:bookmarkStart w:id="200" w:name="_Toc97310491"/>
      <w:r w:rsidRPr="00B1522E">
        <w:instrText>7.4.3 Differences between males and females</w:instrText>
      </w:r>
      <w:bookmarkEnd w:id="200"/>
      <w:r w:rsidRPr="00B1522E">
        <w:instrText xml:space="preserve"> " \f x\l 3 </w:instrText>
      </w:r>
      <w:r w:rsidRPr="00B1522E">
        <w:fldChar w:fldCharType="end"/>
      </w:r>
      <w:r w:rsidR="00E61CDA" w:rsidRPr="00B1522E">
        <w:t>7.4</w:t>
      </w:r>
      <w:r w:rsidR="00730501" w:rsidRPr="00B1522E">
        <w:t>.3 Differences between males and females</w:t>
      </w:r>
      <w:bookmarkEnd w:id="199"/>
    </w:p>
    <w:p w14:paraId="0964520A" w14:textId="319EB7AD" w:rsidR="001102B8" w:rsidRPr="00B1522E" w:rsidRDefault="00730501" w:rsidP="00552458">
      <w:pPr>
        <w:spacing w:line="480" w:lineRule="auto"/>
        <w:jc w:val="both"/>
        <w:rPr>
          <w:rFonts w:cstheme="minorHAnsi"/>
        </w:rPr>
      </w:pPr>
      <w:r w:rsidRPr="00B1522E">
        <w:rPr>
          <w:rFonts w:cstheme="minorHAnsi"/>
        </w:rPr>
        <w:t xml:space="preserve">A series of independent sample t-tests were conducted to understand if there was a significant difference between males’ and females’ personal unhealthy snacking consumption, related attitudes, and intention to reduce unhealthy snacking (Table </w:t>
      </w:r>
      <w:r w:rsidR="00EF3069" w:rsidRPr="00B1522E">
        <w:rPr>
          <w:rFonts w:cstheme="minorHAnsi"/>
        </w:rPr>
        <w:t>1</w:t>
      </w:r>
      <w:r w:rsidR="005003CF" w:rsidRPr="00B1522E">
        <w:rPr>
          <w:rFonts w:cstheme="minorHAnsi"/>
        </w:rPr>
        <w:t>1</w:t>
      </w:r>
      <w:r w:rsidRPr="00B1522E">
        <w:rPr>
          <w:rFonts w:cstheme="minorHAnsi"/>
        </w:rPr>
        <w:t>). The t-tests for personal unhealthy snacking consumption and behavioural intention were significant and the means indicated that male students consumed more unhealthy snacks and have a weaker intention to reduce unhealthy snacking compared to female students.</w:t>
      </w:r>
    </w:p>
    <w:p w14:paraId="2A832862" w14:textId="77777777" w:rsidR="00556711" w:rsidRPr="00B1522E" w:rsidRDefault="00556711" w:rsidP="00552458">
      <w:pPr>
        <w:spacing w:line="480" w:lineRule="auto"/>
        <w:jc w:val="both"/>
        <w:rPr>
          <w:rFonts w:cstheme="minorHAnsi"/>
          <w:sz w:val="4"/>
          <w:szCs w:val="4"/>
        </w:rPr>
      </w:pPr>
    </w:p>
    <w:p w14:paraId="50A3276F" w14:textId="02360499" w:rsidR="008A0BC9" w:rsidRPr="00B1522E" w:rsidRDefault="003F74FC" w:rsidP="008A0BC9">
      <w:r w:rsidRPr="00B1522E">
        <w:rPr>
          <w:b/>
          <w:bCs/>
        </w:rPr>
        <w:fldChar w:fldCharType="begin"/>
      </w:r>
      <w:r w:rsidRPr="00B1522E">
        <w:rPr>
          <w:b/>
          <w:bCs/>
        </w:rPr>
        <w:instrText xml:space="preserve"> TC  "</w:instrText>
      </w:r>
      <w:r w:rsidRPr="00B1522E">
        <w:instrText xml:space="preserve"> </w:instrText>
      </w:r>
      <w:bookmarkStart w:id="201" w:name="_Toc97557134"/>
      <w:r w:rsidRPr="00B1522E">
        <w:instrText xml:space="preserve">Table </w:instrText>
      </w:r>
      <w:r w:rsidR="00B61682" w:rsidRPr="00B1522E">
        <w:instrText>1</w:instrText>
      </w:r>
      <w:r w:rsidR="00620661" w:rsidRPr="00B1522E">
        <w:instrText>1</w:instrText>
      </w:r>
      <w:r w:rsidRPr="00B1522E">
        <w:instrText xml:space="preserve">. </w:instrText>
      </w:r>
      <w:r w:rsidRPr="00B1522E">
        <w:rPr>
          <w:rFonts w:cstheme="minorHAnsi"/>
        </w:rPr>
        <w:instrText>Means and Standard Deviations of males’ and female’s personal unhealthy snacking behaviour, related attitudes, and behavioural intention.</w:instrText>
      </w:r>
      <w:bookmarkEnd w:id="201"/>
      <w:r w:rsidRPr="00B1522E">
        <w:rPr>
          <w:b/>
          <w:bCs/>
        </w:rPr>
        <w:instrText xml:space="preserve">" \f z\l 2 </w:instrText>
      </w:r>
      <w:r w:rsidRPr="00B1522E">
        <w:rPr>
          <w:b/>
          <w:bCs/>
        </w:rPr>
        <w:fldChar w:fldCharType="end"/>
      </w:r>
      <w:r w:rsidR="008A0BC9" w:rsidRPr="00B1522E">
        <w:t xml:space="preserve">Table </w:t>
      </w:r>
      <w:r w:rsidR="00B61682" w:rsidRPr="00B1522E">
        <w:t>1</w:t>
      </w:r>
      <w:r w:rsidR="00620661" w:rsidRPr="00B1522E">
        <w:t>1</w:t>
      </w:r>
      <w:r w:rsidR="008A0BC9" w:rsidRPr="00B1522E">
        <w:t xml:space="preserve">. </w:t>
      </w:r>
      <w:r w:rsidR="008A0BC9" w:rsidRPr="00B1522E">
        <w:rPr>
          <w:rFonts w:cstheme="minorHAnsi"/>
        </w:rPr>
        <w:t>Means and Standard Deviations of males’ and female’s personal unhealthy snacking behaviour, related attitudes, and behavioural intention.</w:t>
      </w:r>
    </w:p>
    <w:tbl>
      <w:tblPr>
        <w:tblStyle w:val="TableGrid"/>
        <w:tblW w:w="0" w:type="auto"/>
        <w:tblLook w:val="04A0" w:firstRow="1" w:lastRow="0" w:firstColumn="1" w:lastColumn="0" w:noHBand="0" w:noVBand="1"/>
      </w:tblPr>
      <w:tblGrid>
        <w:gridCol w:w="3686"/>
        <w:gridCol w:w="1066"/>
        <w:gridCol w:w="1066"/>
        <w:gridCol w:w="1066"/>
        <w:gridCol w:w="1066"/>
        <w:gridCol w:w="1066"/>
      </w:tblGrid>
      <w:tr w:rsidR="00E77769" w:rsidRPr="00B1522E" w14:paraId="1AB83BD4" w14:textId="77777777" w:rsidTr="00B811CC">
        <w:tc>
          <w:tcPr>
            <w:tcW w:w="3686" w:type="dxa"/>
            <w:tcBorders>
              <w:top w:val="single" w:sz="4" w:space="0" w:color="auto"/>
              <w:left w:val="nil"/>
              <w:bottom w:val="nil"/>
              <w:right w:val="nil"/>
            </w:tcBorders>
          </w:tcPr>
          <w:p w14:paraId="1E2C9FD3" w14:textId="77777777" w:rsidR="008A0BC9" w:rsidRPr="00B1522E" w:rsidRDefault="008A0BC9" w:rsidP="00B811CC"/>
        </w:tc>
        <w:tc>
          <w:tcPr>
            <w:tcW w:w="2132" w:type="dxa"/>
            <w:gridSpan w:val="2"/>
            <w:tcBorders>
              <w:top w:val="single" w:sz="4" w:space="0" w:color="auto"/>
              <w:left w:val="nil"/>
              <w:bottom w:val="single" w:sz="4" w:space="0" w:color="auto"/>
              <w:right w:val="nil"/>
            </w:tcBorders>
          </w:tcPr>
          <w:p w14:paraId="30FC149B" w14:textId="77777777" w:rsidR="008A0BC9" w:rsidRPr="00B1522E" w:rsidRDefault="008A0BC9" w:rsidP="00B811CC">
            <w:pPr>
              <w:jc w:val="center"/>
            </w:pPr>
            <w:r w:rsidRPr="00B1522E">
              <w:t>Males</w:t>
            </w:r>
          </w:p>
        </w:tc>
        <w:tc>
          <w:tcPr>
            <w:tcW w:w="2132" w:type="dxa"/>
            <w:gridSpan w:val="2"/>
            <w:tcBorders>
              <w:top w:val="single" w:sz="4" w:space="0" w:color="auto"/>
              <w:left w:val="nil"/>
              <w:bottom w:val="single" w:sz="4" w:space="0" w:color="auto"/>
              <w:right w:val="nil"/>
            </w:tcBorders>
          </w:tcPr>
          <w:p w14:paraId="51AF4591" w14:textId="77777777" w:rsidR="008A0BC9" w:rsidRPr="00B1522E" w:rsidRDefault="008A0BC9" w:rsidP="00B811CC">
            <w:pPr>
              <w:jc w:val="center"/>
            </w:pPr>
            <w:r w:rsidRPr="00B1522E">
              <w:t>Females</w:t>
            </w:r>
          </w:p>
        </w:tc>
        <w:tc>
          <w:tcPr>
            <w:tcW w:w="1066" w:type="dxa"/>
            <w:tcBorders>
              <w:top w:val="single" w:sz="4" w:space="0" w:color="auto"/>
              <w:left w:val="nil"/>
              <w:bottom w:val="nil"/>
              <w:right w:val="nil"/>
            </w:tcBorders>
          </w:tcPr>
          <w:p w14:paraId="4C0C9B8D" w14:textId="77777777" w:rsidR="008A0BC9" w:rsidRPr="00B1522E" w:rsidRDefault="008A0BC9" w:rsidP="00B811CC">
            <w:pPr>
              <w:jc w:val="center"/>
            </w:pPr>
          </w:p>
        </w:tc>
      </w:tr>
      <w:tr w:rsidR="00E77769" w:rsidRPr="00B1522E" w14:paraId="4C46D954" w14:textId="77777777" w:rsidTr="00B811CC">
        <w:tc>
          <w:tcPr>
            <w:tcW w:w="3686" w:type="dxa"/>
            <w:tcBorders>
              <w:top w:val="nil"/>
              <w:left w:val="nil"/>
              <w:bottom w:val="single" w:sz="4" w:space="0" w:color="auto"/>
              <w:right w:val="nil"/>
            </w:tcBorders>
          </w:tcPr>
          <w:p w14:paraId="28DBF20F" w14:textId="77777777" w:rsidR="008A0BC9" w:rsidRPr="00B1522E" w:rsidRDefault="008A0BC9" w:rsidP="00B811CC"/>
        </w:tc>
        <w:tc>
          <w:tcPr>
            <w:tcW w:w="1066" w:type="dxa"/>
            <w:tcBorders>
              <w:top w:val="single" w:sz="4" w:space="0" w:color="auto"/>
              <w:left w:val="nil"/>
              <w:bottom w:val="single" w:sz="4" w:space="0" w:color="auto"/>
              <w:right w:val="nil"/>
            </w:tcBorders>
          </w:tcPr>
          <w:p w14:paraId="18E1EC37" w14:textId="77777777" w:rsidR="008A0BC9" w:rsidRPr="00B1522E" w:rsidRDefault="008A0BC9" w:rsidP="00B811CC">
            <w:pPr>
              <w:jc w:val="center"/>
            </w:pPr>
            <w:r w:rsidRPr="00B1522E">
              <w:t>Means</w:t>
            </w:r>
          </w:p>
        </w:tc>
        <w:tc>
          <w:tcPr>
            <w:tcW w:w="1066" w:type="dxa"/>
            <w:tcBorders>
              <w:top w:val="single" w:sz="4" w:space="0" w:color="auto"/>
              <w:left w:val="nil"/>
              <w:bottom w:val="single" w:sz="4" w:space="0" w:color="auto"/>
              <w:right w:val="nil"/>
            </w:tcBorders>
          </w:tcPr>
          <w:p w14:paraId="2E2FA763" w14:textId="77777777" w:rsidR="008A0BC9" w:rsidRPr="00B1522E" w:rsidRDefault="008A0BC9" w:rsidP="00B811CC">
            <w:pPr>
              <w:jc w:val="center"/>
            </w:pPr>
            <w:r w:rsidRPr="00B1522E">
              <w:t>SD</w:t>
            </w:r>
          </w:p>
        </w:tc>
        <w:tc>
          <w:tcPr>
            <w:tcW w:w="1066" w:type="dxa"/>
            <w:tcBorders>
              <w:top w:val="single" w:sz="4" w:space="0" w:color="auto"/>
              <w:left w:val="nil"/>
              <w:bottom w:val="single" w:sz="4" w:space="0" w:color="auto"/>
              <w:right w:val="nil"/>
            </w:tcBorders>
          </w:tcPr>
          <w:p w14:paraId="75355DA6" w14:textId="77777777" w:rsidR="008A0BC9" w:rsidRPr="00B1522E" w:rsidRDefault="008A0BC9" w:rsidP="00B811CC">
            <w:pPr>
              <w:jc w:val="center"/>
            </w:pPr>
            <w:r w:rsidRPr="00B1522E">
              <w:t>Means</w:t>
            </w:r>
          </w:p>
        </w:tc>
        <w:tc>
          <w:tcPr>
            <w:tcW w:w="1066" w:type="dxa"/>
            <w:tcBorders>
              <w:top w:val="single" w:sz="4" w:space="0" w:color="auto"/>
              <w:left w:val="nil"/>
              <w:bottom w:val="single" w:sz="4" w:space="0" w:color="auto"/>
              <w:right w:val="nil"/>
            </w:tcBorders>
          </w:tcPr>
          <w:p w14:paraId="1B569D99" w14:textId="77777777" w:rsidR="008A0BC9" w:rsidRPr="00B1522E" w:rsidRDefault="008A0BC9" w:rsidP="00B811CC">
            <w:pPr>
              <w:jc w:val="center"/>
            </w:pPr>
            <w:r w:rsidRPr="00B1522E">
              <w:t>SD</w:t>
            </w:r>
          </w:p>
        </w:tc>
        <w:tc>
          <w:tcPr>
            <w:tcW w:w="1066" w:type="dxa"/>
            <w:tcBorders>
              <w:top w:val="nil"/>
              <w:left w:val="nil"/>
              <w:bottom w:val="single" w:sz="4" w:space="0" w:color="auto"/>
              <w:right w:val="nil"/>
            </w:tcBorders>
          </w:tcPr>
          <w:p w14:paraId="64E8A676" w14:textId="77777777" w:rsidR="008A0BC9" w:rsidRPr="00B1522E" w:rsidRDefault="008A0BC9" w:rsidP="00B811CC">
            <w:pPr>
              <w:jc w:val="center"/>
            </w:pPr>
            <w:r w:rsidRPr="00B1522E">
              <w:t>t-tests</w:t>
            </w:r>
          </w:p>
        </w:tc>
      </w:tr>
      <w:tr w:rsidR="00E77769" w:rsidRPr="00B1522E" w14:paraId="7EA75911" w14:textId="77777777" w:rsidTr="00B64DC8">
        <w:trPr>
          <w:trHeight w:val="624"/>
        </w:trPr>
        <w:tc>
          <w:tcPr>
            <w:tcW w:w="3686" w:type="dxa"/>
            <w:tcBorders>
              <w:top w:val="single" w:sz="4" w:space="0" w:color="auto"/>
              <w:left w:val="nil"/>
              <w:bottom w:val="nil"/>
              <w:right w:val="nil"/>
            </w:tcBorders>
            <w:vAlign w:val="center"/>
          </w:tcPr>
          <w:p w14:paraId="53A23C29" w14:textId="2BD36E84" w:rsidR="008A0BC9" w:rsidRPr="00B1522E" w:rsidRDefault="008A0BC9" w:rsidP="00C029A1">
            <w:r w:rsidRPr="00B1522E">
              <w:rPr>
                <w:rFonts w:cstheme="minorHAnsi"/>
                <w:noProof/>
              </w:rPr>
              <w:t>Unhealthy snacking behaviour</w:t>
            </w:r>
            <w:r w:rsidRPr="00B1522E">
              <w:rPr>
                <w:rFonts w:cstheme="minorHAnsi"/>
                <w:noProof/>
                <w:vertAlign w:val="superscript"/>
              </w:rPr>
              <w:t>a</w:t>
            </w:r>
          </w:p>
        </w:tc>
        <w:tc>
          <w:tcPr>
            <w:tcW w:w="1066" w:type="dxa"/>
            <w:tcBorders>
              <w:top w:val="single" w:sz="4" w:space="0" w:color="auto"/>
              <w:left w:val="nil"/>
              <w:bottom w:val="nil"/>
              <w:right w:val="nil"/>
            </w:tcBorders>
            <w:vAlign w:val="center"/>
          </w:tcPr>
          <w:p w14:paraId="11EACC3C" w14:textId="77777777" w:rsidR="008A0BC9" w:rsidRPr="00B1522E" w:rsidRDefault="008A0BC9" w:rsidP="00B811CC">
            <w:pPr>
              <w:tabs>
                <w:tab w:val="decimal" w:pos="298"/>
              </w:tabs>
              <w:jc w:val="center"/>
            </w:pPr>
            <w:r w:rsidRPr="00B1522E">
              <w:t>22.40</w:t>
            </w:r>
          </w:p>
        </w:tc>
        <w:tc>
          <w:tcPr>
            <w:tcW w:w="1066" w:type="dxa"/>
            <w:tcBorders>
              <w:top w:val="single" w:sz="4" w:space="0" w:color="auto"/>
              <w:left w:val="nil"/>
              <w:bottom w:val="nil"/>
              <w:right w:val="nil"/>
            </w:tcBorders>
            <w:vAlign w:val="center"/>
          </w:tcPr>
          <w:p w14:paraId="77A9DD61" w14:textId="77777777" w:rsidR="008A0BC9" w:rsidRPr="00B1522E" w:rsidRDefault="008A0BC9" w:rsidP="00B811CC">
            <w:pPr>
              <w:tabs>
                <w:tab w:val="decimal" w:pos="363"/>
              </w:tabs>
              <w:jc w:val="center"/>
            </w:pPr>
            <w:r w:rsidRPr="00B1522E">
              <w:t>24.64</w:t>
            </w:r>
          </w:p>
        </w:tc>
        <w:tc>
          <w:tcPr>
            <w:tcW w:w="1066" w:type="dxa"/>
            <w:tcBorders>
              <w:top w:val="single" w:sz="4" w:space="0" w:color="auto"/>
              <w:left w:val="nil"/>
              <w:bottom w:val="nil"/>
              <w:right w:val="nil"/>
            </w:tcBorders>
            <w:vAlign w:val="center"/>
          </w:tcPr>
          <w:p w14:paraId="4A9ECC4C" w14:textId="77777777" w:rsidR="008A0BC9" w:rsidRPr="00B1522E" w:rsidRDefault="008A0BC9" w:rsidP="00B811CC">
            <w:pPr>
              <w:tabs>
                <w:tab w:val="decimal" w:pos="267"/>
              </w:tabs>
              <w:jc w:val="center"/>
            </w:pPr>
            <w:r w:rsidRPr="00B1522E">
              <w:t>16.29</w:t>
            </w:r>
          </w:p>
        </w:tc>
        <w:tc>
          <w:tcPr>
            <w:tcW w:w="1066" w:type="dxa"/>
            <w:tcBorders>
              <w:top w:val="single" w:sz="4" w:space="0" w:color="auto"/>
              <w:left w:val="nil"/>
              <w:bottom w:val="nil"/>
              <w:right w:val="nil"/>
            </w:tcBorders>
            <w:vAlign w:val="center"/>
          </w:tcPr>
          <w:p w14:paraId="49105567" w14:textId="77777777" w:rsidR="008A0BC9" w:rsidRPr="00B1522E" w:rsidRDefault="008A0BC9" w:rsidP="00B811CC">
            <w:pPr>
              <w:tabs>
                <w:tab w:val="decimal" w:pos="192"/>
              </w:tabs>
              <w:jc w:val="center"/>
            </w:pPr>
            <w:r w:rsidRPr="00B1522E">
              <w:t>16.88</w:t>
            </w:r>
          </w:p>
        </w:tc>
        <w:tc>
          <w:tcPr>
            <w:tcW w:w="1066" w:type="dxa"/>
            <w:tcBorders>
              <w:top w:val="single" w:sz="4" w:space="0" w:color="auto"/>
              <w:left w:val="nil"/>
              <w:bottom w:val="nil"/>
              <w:right w:val="nil"/>
            </w:tcBorders>
            <w:vAlign w:val="center"/>
          </w:tcPr>
          <w:p w14:paraId="12A92970" w14:textId="77777777" w:rsidR="008A0BC9" w:rsidRPr="00B1522E" w:rsidRDefault="008A0BC9" w:rsidP="00B64DC8">
            <w:pPr>
              <w:tabs>
                <w:tab w:val="decimal" w:pos="310"/>
              </w:tabs>
            </w:pPr>
            <w:r w:rsidRPr="00B1522E">
              <w:t>2.041*</w:t>
            </w:r>
          </w:p>
        </w:tc>
      </w:tr>
      <w:tr w:rsidR="00E77769" w:rsidRPr="00B1522E" w14:paraId="244320E4" w14:textId="77777777" w:rsidTr="00B64DC8">
        <w:trPr>
          <w:trHeight w:val="624"/>
        </w:trPr>
        <w:tc>
          <w:tcPr>
            <w:tcW w:w="3686" w:type="dxa"/>
            <w:tcBorders>
              <w:top w:val="nil"/>
              <w:left w:val="nil"/>
              <w:bottom w:val="nil"/>
              <w:right w:val="nil"/>
            </w:tcBorders>
            <w:vAlign w:val="center"/>
          </w:tcPr>
          <w:p w14:paraId="7510E7E5" w14:textId="77777777" w:rsidR="008A0BC9" w:rsidRPr="00B1522E" w:rsidRDefault="008A0BC9" w:rsidP="00C029A1">
            <w:pPr>
              <w:rPr>
                <w:rFonts w:cstheme="minorHAnsi"/>
                <w:noProof/>
              </w:rPr>
            </w:pPr>
            <w:r w:rsidRPr="00B1522E">
              <w:rPr>
                <w:rFonts w:cstheme="minorHAnsi"/>
                <w:noProof/>
              </w:rPr>
              <w:t>Attitude towards unhealthy snacking</w:t>
            </w:r>
          </w:p>
          <w:p w14:paraId="249D2CD0" w14:textId="77777777" w:rsidR="008A0BC9" w:rsidRPr="00B1522E" w:rsidRDefault="008A0BC9" w:rsidP="00C029A1"/>
        </w:tc>
        <w:tc>
          <w:tcPr>
            <w:tcW w:w="1066" w:type="dxa"/>
            <w:tcBorders>
              <w:top w:val="nil"/>
              <w:left w:val="nil"/>
              <w:bottom w:val="nil"/>
              <w:right w:val="nil"/>
            </w:tcBorders>
            <w:vAlign w:val="center"/>
          </w:tcPr>
          <w:p w14:paraId="3CCCDB57" w14:textId="77777777" w:rsidR="008A0BC9" w:rsidRPr="00B1522E" w:rsidRDefault="008A0BC9" w:rsidP="00B811CC">
            <w:pPr>
              <w:tabs>
                <w:tab w:val="decimal" w:pos="298"/>
              </w:tabs>
              <w:jc w:val="center"/>
            </w:pPr>
            <w:r w:rsidRPr="00B1522E">
              <w:t>5.34</w:t>
            </w:r>
          </w:p>
        </w:tc>
        <w:tc>
          <w:tcPr>
            <w:tcW w:w="1066" w:type="dxa"/>
            <w:tcBorders>
              <w:top w:val="nil"/>
              <w:left w:val="nil"/>
              <w:bottom w:val="nil"/>
              <w:right w:val="nil"/>
            </w:tcBorders>
            <w:vAlign w:val="center"/>
          </w:tcPr>
          <w:p w14:paraId="1A075FCA" w14:textId="77777777" w:rsidR="008A0BC9" w:rsidRPr="00B1522E" w:rsidRDefault="008A0BC9" w:rsidP="00B811CC">
            <w:pPr>
              <w:tabs>
                <w:tab w:val="decimal" w:pos="363"/>
              </w:tabs>
              <w:jc w:val="center"/>
            </w:pPr>
            <w:r w:rsidRPr="00B1522E">
              <w:t>1.94</w:t>
            </w:r>
          </w:p>
        </w:tc>
        <w:tc>
          <w:tcPr>
            <w:tcW w:w="1066" w:type="dxa"/>
            <w:tcBorders>
              <w:top w:val="nil"/>
              <w:left w:val="nil"/>
              <w:bottom w:val="nil"/>
              <w:right w:val="nil"/>
            </w:tcBorders>
            <w:vAlign w:val="center"/>
          </w:tcPr>
          <w:p w14:paraId="27F2914A" w14:textId="77777777" w:rsidR="008A0BC9" w:rsidRPr="00B1522E" w:rsidRDefault="008A0BC9" w:rsidP="00B811CC">
            <w:pPr>
              <w:tabs>
                <w:tab w:val="decimal" w:pos="267"/>
              </w:tabs>
              <w:jc w:val="center"/>
            </w:pPr>
            <w:r w:rsidRPr="00B1522E">
              <w:t>5.31</w:t>
            </w:r>
          </w:p>
        </w:tc>
        <w:tc>
          <w:tcPr>
            <w:tcW w:w="1066" w:type="dxa"/>
            <w:tcBorders>
              <w:top w:val="nil"/>
              <w:left w:val="nil"/>
              <w:bottom w:val="nil"/>
              <w:right w:val="nil"/>
            </w:tcBorders>
            <w:vAlign w:val="center"/>
          </w:tcPr>
          <w:p w14:paraId="1FBC939C" w14:textId="77777777" w:rsidR="008A0BC9" w:rsidRPr="00B1522E" w:rsidRDefault="008A0BC9" w:rsidP="00B811CC">
            <w:pPr>
              <w:tabs>
                <w:tab w:val="decimal" w:pos="192"/>
              </w:tabs>
              <w:jc w:val="center"/>
            </w:pPr>
            <w:r w:rsidRPr="00B1522E">
              <w:t>1.81</w:t>
            </w:r>
          </w:p>
        </w:tc>
        <w:tc>
          <w:tcPr>
            <w:tcW w:w="1066" w:type="dxa"/>
            <w:tcBorders>
              <w:top w:val="nil"/>
              <w:left w:val="nil"/>
              <w:bottom w:val="nil"/>
              <w:right w:val="nil"/>
            </w:tcBorders>
            <w:vAlign w:val="center"/>
          </w:tcPr>
          <w:p w14:paraId="20778557" w14:textId="77777777" w:rsidR="008A0BC9" w:rsidRPr="00B1522E" w:rsidRDefault="008A0BC9" w:rsidP="00B64DC8">
            <w:pPr>
              <w:tabs>
                <w:tab w:val="decimal" w:pos="310"/>
              </w:tabs>
            </w:pPr>
            <w:r w:rsidRPr="00B1522E">
              <w:t>.127</w:t>
            </w:r>
          </w:p>
        </w:tc>
      </w:tr>
      <w:tr w:rsidR="00E77769" w:rsidRPr="00B1522E" w14:paraId="11C110C8" w14:textId="77777777" w:rsidTr="00B64DC8">
        <w:trPr>
          <w:trHeight w:val="624"/>
        </w:trPr>
        <w:tc>
          <w:tcPr>
            <w:tcW w:w="3686" w:type="dxa"/>
            <w:tcBorders>
              <w:top w:val="nil"/>
              <w:left w:val="nil"/>
              <w:bottom w:val="nil"/>
              <w:right w:val="nil"/>
            </w:tcBorders>
            <w:vAlign w:val="center"/>
          </w:tcPr>
          <w:p w14:paraId="3E518CD7" w14:textId="77777777" w:rsidR="008A0BC9" w:rsidRPr="00B1522E" w:rsidRDefault="008A0BC9" w:rsidP="00C029A1">
            <w:pPr>
              <w:rPr>
                <w:rFonts w:cstheme="minorHAnsi"/>
                <w:noProof/>
              </w:rPr>
            </w:pPr>
            <w:r w:rsidRPr="00B1522E">
              <w:rPr>
                <w:rFonts w:cstheme="minorHAnsi"/>
                <w:noProof/>
              </w:rPr>
              <w:t>Attitude towards reducing unhealthy snacking</w:t>
            </w:r>
          </w:p>
          <w:p w14:paraId="5994EEEB" w14:textId="77777777" w:rsidR="008A0BC9" w:rsidRPr="00B1522E" w:rsidRDefault="008A0BC9" w:rsidP="00C029A1"/>
        </w:tc>
        <w:tc>
          <w:tcPr>
            <w:tcW w:w="1066" w:type="dxa"/>
            <w:tcBorders>
              <w:top w:val="nil"/>
              <w:left w:val="nil"/>
              <w:bottom w:val="nil"/>
              <w:right w:val="nil"/>
            </w:tcBorders>
            <w:vAlign w:val="center"/>
          </w:tcPr>
          <w:p w14:paraId="419E8CE8" w14:textId="77777777" w:rsidR="008A0BC9" w:rsidRPr="00B1522E" w:rsidRDefault="008A0BC9" w:rsidP="00B811CC">
            <w:pPr>
              <w:tabs>
                <w:tab w:val="decimal" w:pos="298"/>
              </w:tabs>
              <w:jc w:val="center"/>
            </w:pPr>
            <w:r w:rsidRPr="00B1522E">
              <w:t>6.67</w:t>
            </w:r>
          </w:p>
        </w:tc>
        <w:tc>
          <w:tcPr>
            <w:tcW w:w="1066" w:type="dxa"/>
            <w:tcBorders>
              <w:top w:val="nil"/>
              <w:left w:val="nil"/>
              <w:bottom w:val="nil"/>
              <w:right w:val="nil"/>
            </w:tcBorders>
            <w:vAlign w:val="center"/>
          </w:tcPr>
          <w:p w14:paraId="7A906A75" w14:textId="77777777" w:rsidR="008A0BC9" w:rsidRPr="00B1522E" w:rsidRDefault="008A0BC9" w:rsidP="00B811CC">
            <w:pPr>
              <w:tabs>
                <w:tab w:val="decimal" w:pos="363"/>
              </w:tabs>
              <w:jc w:val="center"/>
            </w:pPr>
            <w:r w:rsidRPr="00B1522E">
              <w:t>2.51</w:t>
            </w:r>
          </w:p>
        </w:tc>
        <w:tc>
          <w:tcPr>
            <w:tcW w:w="1066" w:type="dxa"/>
            <w:tcBorders>
              <w:top w:val="nil"/>
              <w:left w:val="nil"/>
              <w:bottom w:val="nil"/>
              <w:right w:val="nil"/>
            </w:tcBorders>
            <w:vAlign w:val="center"/>
          </w:tcPr>
          <w:p w14:paraId="115103F7" w14:textId="77777777" w:rsidR="008A0BC9" w:rsidRPr="00B1522E" w:rsidRDefault="008A0BC9" w:rsidP="00B811CC">
            <w:pPr>
              <w:tabs>
                <w:tab w:val="decimal" w:pos="267"/>
              </w:tabs>
              <w:jc w:val="center"/>
            </w:pPr>
            <w:r w:rsidRPr="00B1522E">
              <w:t>7.04</w:t>
            </w:r>
          </w:p>
        </w:tc>
        <w:tc>
          <w:tcPr>
            <w:tcW w:w="1066" w:type="dxa"/>
            <w:tcBorders>
              <w:top w:val="nil"/>
              <w:left w:val="nil"/>
              <w:bottom w:val="nil"/>
              <w:right w:val="nil"/>
            </w:tcBorders>
            <w:vAlign w:val="center"/>
          </w:tcPr>
          <w:p w14:paraId="6C11DF23" w14:textId="77777777" w:rsidR="008A0BC9" w:rsidRPr="00B1522E" w:rsidRDefault="008A0BC9" w:rsidP="00B811CC">
            <w:pPr>
              <w:tabs>
                <w:tab w:val="decimal" w:pos="192"/>
              </w:tabs>
              <w:jc w:val="center"/>
            </w:pPr>
            <w:r w:rsidRPr="00B1522E">
              <w:t>2.30</w:t>
            </w:r>
          </w:p>
        </w:tc>
        <w:tc>
          <w:tcPr>
            <w:tcW w:w="1066" w:type="dxa"/>
            <w:tcBorders>
              <w:top w:val="nil"/>
              <w:left w:val="nil"/>
              <w:bottom w:val="nil"/>
              <w:right w:val="nil"/>
            </w:tcBorders>
            <w:vAlign w:val="center"/>
          </w:tcPr>
          <w:p w14:paraId="04AA3BB4" w14:textId="77777777" w:rsidR="008A0BC9" w:rsidRPr="00B1522E" w:rsidRDefault="008A0BC9" w:rsidP="00B64DC8">
            <w:pPr>
              <w:tabs>
                <w:tab w:val="decimal" w:pos="310"/>
              </w:tabs>
            </w:pPr>
            <w:r w:rsidRPr="00B1522E">
              <w:t>-1.046</w:t>
            </w:r>
          </w:p>
        </w:tc>
      </w:tr>
      <w:tr w:rsidR="008A0BC9" w:rsidRPr="00B1522E" w14:paraId="7E50FFFE" w14:textId="77777777" w:rsidTr="00B64DC8">
        <w:trPr>
          <w:trHeight w:val="624"/>
        </w:trPr>
        <w:tc>
          <w:tcPr>
            <w:tcW w:w="3686" w:type="dxa"/>
            <w:tcBorders>
              <w:top w:val="nil"/>
              <w:left w:val="nil"/>
              <w:bottom w:val="single" w:sz="4" w:space="0" w:color="auto"/>
              <w:right w:val="nil"/>
            </w:tcBorders>
            <w:vAlign w:val="center"/>
          </w:tcPr>
          <w:p w14:paraId="36AD7876" w14:textId="77777777" w:rsidR="008A0BC9" w:rsidRPr="00B1522E" w:rsidRDefault="008A0BC9" w:rsidP="00C029A1">
            <w:r w:rsidRPr="00B1522E">
              <w:t>Intention to reduce unhealthy snacking</w:t>
            </w:r>
          </w:p>
        </w:tc>
        <w:tc>
          <w:tcPr>
            <w:tcW w:w="1066" w:type="dxa"/>
            <w:tcBorders>
              <w:top w:val="nil"/>
              <w:left w:val="nil"/>
              <w:bottom w:val="single" w:sz="4" w:space="0" w:color="auto"/>
              <w:right w:val="nil"/>
            </w:tcBorders>
            <w:vAlign w:val="center"/>
          </w:tcPr>
          <w:p w14:paraId="37F31C5C" w14:textId="77777777" w:rsidR="008A0BC9" w:rsidRPr="00B1522E" w:rsidRDefault="008A0BC9" w:rsidP="00B811CC">
            <w:pPr>
              <w:tabs>
                <w:tab w:val="decimal" w:pos="298"/>
              </w:tabs>
              <w:jc w:val="center"/>
            </w:pPr>
            <w:r w:rsidRPr="00B1522E">
              <w:t>16.81</w:t>
            </w:r>
          </w:p>
        </w:tc>
        <w:tc>
          <w:tcPr>
            <w:tcW w:w="1066" w:type="dxa"/>
            <w:tcBorders>
              <w:top w:val="nil"/>
              <w:left w:val="nil"/>
              <w:bottom w:val="single" w:sz="4" w:space="0" w:color="auto"/>
              <w:right w:val="nil"/>
            </w:tcBorders>
            <w:vAlign w:val="center"/>
          </w:tcPr>
          <w:p w14:paraId="0493D8EE" w14:textId="77777777" w:rsidR="008A0BC9" w:rsidRPr="00B1522E" w:rsidRDefault="008A0BC9" w:rsidP="00B811CC">
            <w:pPr>
              <w:tabs>
                <w:tab w:val="decimal" w:pos="363"/>
              </w:tabs>
              <w:jc w:val="center"/>
            </w:pPr>
            <w:r w:rsidRPr="00B1522E">
              <w:t>5.58</w:t>
            </w:r>
          </w:p>
        </w:tc>
        <w:tc>
          <w:tcPr>
            <w:tcW w:w="1066" w:type="dxa"/>
            <w:tcBorders>
              <w:top w:val="nil"/>
              <w:left w:val="nil"/>
              <w:bottom w:val="single" w:sz="4" w:space="0" w:color="auto"/>
              <w:right w:val="nil"/>
            </w:tcBorders>
            <w:vAlign w:val="center"/>
          </w:tcPr>
          <w:p w14:paraId="36F5DE54" w14:textId="77777777" w:rsidR="008A0BC9" w:rsidRPr="00B1522E" w:rsidRDefault="008A0BC9" w:rsidP="00B811CC">
            <w:pPr>
              <w:tabs>
                <w:tab w:val="decimal" w:pos="267"/>
              </w:tabs>
              <w:jc w:val="center"/>
            </w:pPr>
            <w:r w:rsidRPr="00B1522E">
              <w:t>19.16</w:t>
            </w:r>
          </w:p>
        </w:tc>
        <w:tc>
          <w:tcPr>
            <w:tcW w:w="1066" w:type="dxa"/>
            <w:tcBorders>
              <w:top w:val="nil"/>
              <w:left w:val="nil"/>
              <w:bottom w:val="single" w:sz="4" w:space="0" w:color="auto"/>
              <w:right w:val="nil"/>
            </w:tcBorders>
            <w:vAlign w:val="center"/>
          </w:tcPr>
          <w:p w14:paraId="115F1B61" w14:textId="77777777" w:rsidR="008A0BC9" w:rsidRPr="00B1522E" w:rsidRDefault="008A0BC9" w:rsidP="00B811CC">
            <w:pPr>
              <w:tabs>
                <w:tab w:val="decimal" w:pos="192"/>
              </w:tabs>
              <w:jc w:val="center"/>
            </w:pPr>
            <w:r w:rsidRPr="00B1522E">
              <w:t>4.90</w:t>
            </w:r>
          </w:p>
        </w:tc>
        <w:tc>
          <w:tcPr>
            <w:tcW w:w="1066" w:type="dxa"/>
            <w:tcBorders>
              <w:top w:val="nil"/>
              <w:left w:val="nil"/>
              <w:bottom w:val="single" w:sz="4" w:space="0" w:color="auto"/>
              <w:right w:val="nil"/>
            </w:tcBorders>
            <w:vAlign w:val="center"/>
          </w:tcPr>
          <w:p w14:paraId="08AA0A12" w14:textId="77777777" w:rsidR="008A0BC9" w:rsidRPr="00B1522E" w:rsidRDefault="008A0BC9" w:rsidP="00B64DC8">
            <w:pPr>
              <w:tabs>
                <w:tab w:val="decimal" w:pos="310"/>
              </w:tabs>
            </w:pPr>
            <w:r w:rsidRPr="00B1522E">
              <w:t>-3.365*</w:t>
            </w:r>
          </w:p>
        </w:tc>
      </w:tr>
    </w:tbl>
    <w:p w14:paraId="0479C0F8" w14:textId="77777777" w:rsidR="008A0BC9" w:rsidRPr="00B1522E" w:rsidRDefault="008A0BC9" w:rsidP="008A0BC9">
      <w:pPr>
        <w:pStyle w:val="Caption"/>
        <w:keepNext/>
        <w:spacing w:after="0"/>
        <w:rPr>
          <w:rFonts w:cstheme="minorHAnsi"/>
          <w:i w:val="0"/>
          <w:iCs w:val="0"/>
          <w:color w:val="auto"/>
          <w:sz w:val="22"/>
          <w:szCs w:val="22"/>
        </w:rPr>
      </w:pPr>
    </w:p>
    <w:p w14:paraId="4DEC89CA" w14:textId="77777777" w:rsidR="008A0BC9" w:rsidRPr="00B1522E" w:rsidRDefault="008A0BC9" w:rsidP="000A26D0">
      <w:pPr>
        <w:pStyle w:val="Caption"/>
        <w:keepNext/>
        <w:spacing w:after="0"/>
        <w:rPr>
          <w:color w:val="auto"/>
          <w:sz w:val="22"/>
          <w:szCs w:val="22"/>
        </w:rPr>
      </w:pPr>
      <w:r w:rsidRPr="00B1522E">
        <w:rPr>
          <w:color w:val="auto"/>
          <w:sz w:val="22"/>
          <w:szCs w:val="22"/>
          <w:vertAlign w:val="superscript"/>
        </w:rPr>
        <w:t xml:space="preserve">a </w:t>
      </w:r>
      <w:r w:rsidRPr="00B1522E">
        <w:rPr>
          <w:color w:val="auto"/>
          <w:sz w:val="22"/>
          <w:szCs w:val="22"/>
        </w:rPr>
        <w:t>This is a sum of students’ self-reported consumption of unhealthy snacks over the previous week.</w:t>
      </w:r>
    </w:p>
    <w:p w14:paraId="066EDDDB" w14:textId="77777777" w:rsidR="008A0BC9" w:rsidRPr="00B1522E" w:rsidRDefault="008A0BC9" w:rsidP="000A26D0">
      <w:pPr>
        <w:pStyle w:val="Caption"/>
        <w:spacing w:before="240" w:after="0"/>
        <w:rPr>
          <w:rFonts w:cstheme="minorHAnsi"/>
          <w:color w:val="auto"/>
          <w:sz w:val="22"/>
          <w:szCs w:val="22"/>
        </w:rPr>
      </w:pPr>
      <w:r w:rsidRPr="00B1522E">
        <w:rPr>
          <w:rFonts w:cstheme="minorHAnsi"/>
          <w:color w:val="auto"/>
          <w:sz w:val="22"/>
          <w:szCs w:val="22"/>
        </w:rPr>
        <w:t>*p &lt; .05</w:t>
      </w:r>
    </w:p>
    <w:p w14:paraId="72888448" w14:textId="77777777" w:rsidR="000E33FD" w:rsidRPr="00B1522E" w:rsidRDefault="000E33FD" w:rsidP="002D6D48">
      <w:pPr>
        <w:spacing w:line="480" w:lineRule="auto"/>
      </w:pPr>
      <w:bookmarkStart w:id="202" w:name="_Toc84678954"/>
    </w:p>
    <w:p w14:paraId="54B964FC" w14:textId="237C4C51" w:rsidR="002D6D48" w:rsidRPr="00B1522E" w:rsidRDefault="00B932D9" w:rsidP="002D6D48">
      <w:pPr>
        <w:spacing w:line="480" w:lineRule="auto"/>
      </w:pPr>
      <w:r w:rsidRPr="00B1522E">
        <w:fldChar w:fldCharType="begin"/>
      </w:r>
      <w:r w:rsidRPr="00B1522E">
        <w:instrText xml:space="preserve"> TC  "</w:instrText>
      </w:r>
      <w:bookmarkStart w:id="203" w:name="_Toc97310492"/>
      <w:r w:rsidRPr="00B1522E">
        <w:instrText>7.4.4 Students’ normative perceptions about unhealthy snacking</w:instrText>
      </w:r>
      <w:bookmarkEnd w:id="203"/>
      <w:r w:rsidRPr="00B1522E">
        <w:instrText xml:space="preserve"> " \f x\l 3 </w:instrText>
      </w:r>
      <w:r w:rsidRPr="00B1522E">
        <w:fldChar w:fldCharType="end"/>
      </w:r>
      <w:r w:rsidR="00E61CDA" w:rsidRPr="00B1522E">
        <w:t>7.4</w:t>
      </w:r>
      <w:r w:rsidR="00730501" w:rsidRPr="00B1522E">
        <w:t>.4 Students’ normative perceptions about unhealthy snacking</w:t>
      </w:r>
      <w:bookmarkEnd w:id="202"/>
      <w:r w:rsidR="00730501" w:rsidRPr="00B1522E">
        <w:t xml:space="preserve"> </w:t>
      </w:r>
    </w:p>
    <w:p w14:paraId="4340DC61" w14:textId="615A7CA6" w:rsidR="000A26D0" w:rsidRPr="00B1522E" w:rsidRDefault="00730501" w:rsidP="002D6D48">
      <w:pPr>
        <w:spacing w:line="480" w:lineRule="auto"/>
        <w:jc w:val="both"/>
        <w:rPr>
          <w:rFonts w:cstheme="minorHAnsi"/>
        </w:rPr>
      </w:pPr>
      <w:r w:rsidRPr="00B1522E">
        <w:rPr>
          <w:rFonts w:cstheme="minorHAnsi"/>
        </w:rPr>
        <w:t>Testing hypothesis one, a series of one-sample tests were conducted comparing mean misperceptions scores to a test value of zero. The misperceptions of peers’ unhealthy snacking behaviour variable</w:t>
      </w:r>
      <w:r w:rsidRPr="00B1522E">
        <w:rPr>
          <w:rFonts w:cstheme="minorHAnsi"/>
          <w:shd w:val="clear" w:color="auto" w:fill="FFFFFF"/>
        </w:rPr>
        <w:t xml:space="preserve"> was not normally distributed; therefore, a one-sample Wilcoxon signed rank test was conducted to examine whether students </w:t>
      </w:r>
      <w:r w:rsidRPr="00B1522E">
        <w:rPr>
          <w:rFonts w:cstheme="minorHAnsi"/>
        </w:rPr>
        <w:t xml:space="preserve">significantly misperceive unhealthy snacking behaviour of their peers compared with a test value of zero. The </w:t>
      </w:r>
      <w:r w:rsidRPr="00B1522E">
        <w:rPr>
          <w:rFonts w:cstheme="minorHAnsi"/>
          <w:shd w:val="clear" w:color="auto" w:fill="FFFFFF"/>
        </w:rPr>
        <w:t>one-sample Wilcoxon</w:t>
      </w:r>
      <w:r w:rsidRPr="00B1522E">
        <w:rPr>
          <w:rFonts w:cstheme="minorHAnsi"/>
        </w:rPr>
        <w:t xml:space="preserve"> signed rank test demonstrated that students significantly overestimated peers’ weekly unhealthy snack consumption, on average, by </w:t>
      </w:r>
      <w:r w:rsidRPr="00B1522E">
        <w:rPr>
          <w:rFonts w:cstheme="minorHAnsi"/>
        </w:rPr>
        <w:lastRenderedPageBreak/>
        <w:t>22.27 portions per week (approx. daily overestimation of 3.2 portions) above the reported group norm</w:t>
      </w:r>
      <w:r w:rsidR="00AB4F9D" w:rsidRPr="00B1522E">
        <w:rPr>
          <w:rFonts w:cstheme="minorHAnsi"/>
        </w:rPr>
        <w:t xml:space="preserve"> </w:t>
      </w:r>
      <w:r w:rsidRPr="00B1522E">
        <w:rPr>
          <w:rFonts w:cstheme="minorHAnsi"/>
        </w:rPr>
        <w:t xml:space="preserve">(Table </w:t>
      </w:r>
      <w:r w:rsidR="00552458" w:rsidRPr="00B1522E">
        <w:rPr>
          <w:rFonts w:cstheme="minorHAnsi"/>
        </w:rPr>
        <w:t>1</w:t>
      </w:r>
      <w:r w:rsidR="005003CF" w:rsidRPr="00B1522E">
        <w:rPr>
          <w:rFonts w:cstheme="minorHAnsi"/>
        </w:rPr>
        <w:t>2</w:t>
      </w:r>
      <w:r w:rsidRPr="00B1522E">
        <w:rPr>
          <w:rFonts w:cstheme="minorHAnsi"/>
        </w:rPr>
        <w:t>).</w:t>
      </w:r>
    </w:p>
    <w:p w14:paraId="0C557FB2" w14:textId="20F616EB" w:rsidR="00B44020" w:rsidRPr="00B1522E" w:rsidRDefault="000A26D0" w:rsidP="00B44020">
      <w:pPr>
        <w:pStyle w:val="Caption"/>
        <w:framePr w:hSpace="180" w:wrap="around" w:vAnchor="text" w:hAnchor="page" w:x="1405" w:y="3214"/>
        <w:jc w:val="both"/>
        <w:rPr>
          <w:rFonts w:cstheme="minorHAnsi"/>
          <w:color w:val="auto"/>
          <w:sz w:val="22"/>
          <w:szCs w:val="22"/>
        </w:rPr>
      </w:pPr>
      <w:r w:rsidRPr="00B1522E">
        <w:rPr>
          <w:rFonts w:cstheme="minorHAnsi"/>
          <w:color w:val="auto"/>
          <w:sz w:val="22"/>
          <w:szCs w:val="22"/>
          <w:vertAlign w:val="superscript"/>
        </w:rPr>
        <w:t xml:space="preserve">a </w:t>
      </w:r>
      <w:r w:rsidRPr="00B1522E">
        <w:rPr>
          <w:rFonts w:cstheme="minorHAnsi"/>
          <w:color w:val="auto"/>
          <w:sz w:val="22"/>
          <w:szCs w:val="22"/>
        </w:rPr>
        <w:t>Only those participants who answered both the questions about personal snacking behaviour and descriptive norm were included.</w:t>
      </w:r>
    </w:p>
    <w:p w14:paraId="7E2B10BA" w14:textId="77777777" w:rsidR="000A26D0" w:rsidRPr="00B1522E" w:rsidRDefault="000A26D0" w:rsidP="000A26D0">
      <w:pPr>
        <w:framePr w:hSpace="180" w:wrap="around" w:vAnchor="text" w:hAnchor="page" w:x="1405" w:y="3214"/>
        <w:spacing w:line="240" w:lineRule="auto"/>
        <w:jc w:val="both"/>
        <w:rPr>
          <w:i/>
          <w:iCs/>
        </w:rPr>
      </w:pPr>
      <w:bookmarkStart w:id="204" w:name="_Hlk62773509"/>
      <w:r w:rsidRPr="00B1522E">
        <w:rPr>
          <w:i/>
          <w:iCs/>
          <w:vertAlign w:val="superscript"/>
        </w:rPr>
        <w:t xml:space="preserve">b </w:t>
      </w:r>
      <w:r w:rsidRPr="00B1522E">
        <w:rPr>
          <w:i/>
          <w:iCs/>
        </w:rPr>
        <w:t>This is a sum of students’ self-reported consumption of unhealthy snacks over the previous week.</w:t>
      </w:r>
    </w:p>
    <w:bookmarkEnd w:id="204"/>
    <w:p w14:paraId="552D9D44" w14:textId="77777777" w:rsidR="000A26D0" w:rsidRPr="00B1522E" w:rsidRDefault="000A26D0" w:rsidP="000A26D0">
      <w:pPr>
        <w:framePr w:hSpace="180" w:wrap="around" w:vAnchor="text" w:hAnchor="page" w:x="1405" w:y="3214"/>
        <w:spacing w:line="240" w:lineRule="auto"/>
        <w:jc w:val="both"/>
        <w:rPr>
          <w:i/>
          <w:iCs/>
        </w:rPr>
      </w:pPr>
      <w:r w:rsidRPr="00B1522E">
        <w:rPr>
          <w:i/>
          <w:iCs/>
          <w:vertAlign w:val="superscript"/>
        </w:rPr>
        <w:t>c</w:t>
      </w:r>
      <w:r w:rsidRPr="00B1522E">
        <w:rPr>
          <w:i/>
          <w:iCs/>
        </w:rPr>
        <w:t>Misperception scores were calculated by s</w:t>
      </w:r>
      <w:r w:rsidRPr="00B1522E">
        <w:rPr>
          <w:rFonts w:cstheme="minorHAnsi"/>
          <w:i/>
          <w:iCs/>
          <w:noProof/>
        </w:rPr>
        <w:t>ubtracting the median of personal unhealthy snacking behaviour of the group from students’ normative perception (descriptive) of peers behaviour.</w:t>
      </w:r>
    </w:p>
    <w:p w14:paraId="51F7108B" w14:textId="77777777" w:rsidR="000A26D0" w:rsidRPr="00B1522E" w:rsidRDefault="000A26D0" w:rsidP="000A26D0">
      <w:pPr>
        <w:pStyle w:val="Caption"/>
        <w:framePr w:hSpace="180" w:wrap="around" w:vAnchor="text" w:hAnchor="page" w:x="1405" w:y="3214"/>
        <w:jc w:val="both"/>
        <w:rPr>
          <w:rFonts w:cstheme="minorHAnsi"/>
          <w:color w:val="auto"/>
          <w:sz w:val="22"/>
          <w:szCs w:val="22"/>
        </w:rPr>
      </w:pPr>
      <w:r w:rsidRPr="00B1522E">
        <w:rPr>
          <w:rFonts w:cstheme="minorHAnsi"/>
          <w:color w:val="auto"/>
          <w:sz w:val="22"/>
          <w:szCs w:val="22"/>
          <w:vertAlign w:val="superscript"/>
        </w:rPr>
        <w:t xml:space="preserve">d </w:t>
      </w:r>
      <w:r w:rsidRPr="00B1522E">
        <w:rPr>
          <w:rFonts w:cstheme="minorHAnsi"/>
          <w:color w:val="auto"/>
          <w:sz w:val="22"/>
          <w:szCs w:val="22"/>
        </w:rPr>
        <w:t>One sample Wilcoxon signed rank compares misperceptions scores to a test value of zero.</w:t>
      </w:r>
    </w:p>
    <w:p w14:paraId="0E429258" w14:textId="77777777" w:rsidR="000A26D0" w:rsidRPr="00B1522E" w:rsidRDefault="000A26D0" w:rsidP="000A26D0">
      <w:pPr>
        <w:pStyle w:val="Caption"/>
        <w:framePr w:hSpace="180" w:wrap="around" w:vAnchor="text" w:hAnchor="page" w:x="1405" w:y="3214"/>
        <w:rPr>
          <w:rFonts w:cstheme="minorHAnsi"/>
          <w:color w:val="auto"/>
          <w:sz w:val="22"/>
          <w:szCs w:val="22"/>
        </w:rPr>
      </w:pPr>
      <w:r w:rsidRPr="00B1522E">
        <w:rPr>
          <w:rFonts w:cstheme="minorHAnsi"/>
          <w:color w:val="auto"/>
          <w:sz w:val="22"/>
          <w:szCs w:val="22"/>
        </w:rPr>
        <w:t>*p &lt; .05</w:t>
      </w:r>
    </w:p>
    <w:p w14:paraId="2AF4F863" w14:textId="77777777" w:rsidR="000A26D0" w:rsidRPr="00B1522E" w:rsidRDefault="000A26D0" w:rsidP="000A26D0">
      <w:pPr>
        <w:pStyle w:val="Caption"/>
        <w:framePr w:hSpace="180" w:wrap="around" w:vAnchor="text" w:hAnchor="page" w:x="1405" w:y="3214"/>
        <w:rPr>
          <w:rFonts w:ascii="Georgia" w:eastAsia="Times New Roman" w:hAnsi="Georgia" w:cs="Times New Roman"/>
          <w:color w:val="auto"/>
          <w:sz w:val="22"/>
          <w:szCs w:val="22"/>
          <w:vertAlign w:val="superscript"/>
          <w:lang w:eastAsia="en-GB"/>
        </w:rPr>
      </w:pPr>
      <w:r w:rsidRPr="00B1522E">
        <w:rPr>
          <w:rFonts w:cstheme="minorHAnsi"/>
          <w:color w:val="auto"/>
          <w:sz w:val="22"/>
          <w:szCs w:val="22"/>
        </w:rPr>
        <w:t>**p &lt; .001</w:t>
      </w:r>
      <w:r w:rsidRPr="00B1522E">
        <w:rPr>
          <w:rFonts w:ascii="Georgia" w:eastAsia="Times New Roman" w:hAnsi="Georgia" w:cs="Times New Roman"/>
          <w:color w:val="auto"/>
          <w:sz w:val="22"/>
          <w:szCs w:val="22"/>
          <w:vertAlign w:val="superscript"/>
          <w:lang w:eastAsia="en-GB"/>
        </w:rPr>
        <w:t xml:space="preserve"> </w:t>
      </w:r>
    </w:p>
    <w:p w14:paraId="00AFA971" w14:textId="47617E80" w:rsidR="003A1025" w:rsidRPr="00B1522E" w:rsidRDefault="002F6014" w:rsidP="003A1025">
      <w:pPr>
        <w:pStyle w:val="Caption"/>
        <w:keepNext/>
        <w:rPr>
          <w:i w:val="0"/>
          <w:iCs w:val="0"/>
          <w:color w:val="auto"/>
          <w:sz w:val="22"/>
          <w:szCs w:val="22"/>
        </w:rPr>
      </w:pPr>
      <w:r w:rsidRPr="00B1522E">
        <w:rPr>
          <w:b/>
          <w:bCs/>
          <w:i w:val="0"/>
          <w:iCs w:val="0"/>
          <w:color w:val="auto"/>
          <w:sz w:val="22"/>
          <w:szCs w:val="22"/>
        </w:rPr>
        <w:fldChar w:fldCharType="begin"/>
      </w:r>
      <w:r w:rsidRPr="00B1522E">
        <w:rPr>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205" w:name="_Toc97557135"/>
      <w:r w:rsidRPr="00B1522E">
        <w:rPr>
          <w:i w:val="0"/>
          <w:iCs w:val="0"/>
          <w:color w:val="auto"/>
          <w:sz w:val="22"/>
          <w:szCs w:val="22"/>
        </w:rPr>
        <w:instrText xml:space="preserve">Table </w:instrText>
      </w:r>
      <w:r w:rsidR="00B61682" w:rsidRPr="00B1522E">
        <w:rPr>
          <w:i w:val="0"/>
          <w:iCs w:val="0"/>
          <w:color w:val="auto"/>
          <w:sz w:val="22"/>
          <w:szCs w:val="22"/>
        </w:rPr>
        <w:instrText>1</w:instrText>
      </w:r>
      <w:r w:rsidR="00620661" w:rsidRPr="00B1522E">
        <w:rPr>
          <w:i w:val="0"/>
          <w:iCs w:val="0"/>
          <w:color w:val="auto"/>
          <w:sz w:val="22"/>
          <w:szCs w:val="22"/>
        </w:rPr>
        <w:instrText>2</w:instrText>
      </w:r>
      <w:r w:rsidRPr="00B1522E">
        <w:rPr>
          <w:i w:val="0"/>
          <w:iCs w:val="0"/>
          <w:color w:val="auto"/>
          <w:sz w:val="22"/>
          <w:szCs w:val="22"/>
        </w:rPr>
        <w:instrText>. Mean and Standard Deviation of personal weekly unhealthy snacking and misperceptions of peer groups’ weekly unhealthy snacking.</w:instrText>
      </w:r>
      <w:bookmarkEnd w:id="205"/>
      <w:r w:rsidRPr="00B1522E">
        <w:rPr>
          <w:b/>
          <w:bCs/>
          <w:i w:val="0"/>
          <w:iCs w:val="0"/>
          <w:color w:val="auto"/>
          <w:sz w:val="22"/>
          <w:szCs w:val="22"/>
        </w:rPr>
        <w:instrText xml:space="preserve">" \f z\l 2 </w:instrText>
      </w:r>
      <w:r w:rsidRPr="00B1522E">
        <w:rPr>
          <w:b/>
          <w:bCs/>
          <w:i w:val="0"/>
          <w:iCs w:val="0"/>
          <w:color w:val="auto"/>
          <w:sz w:val="22"/>
          <w:szCs w:val="22"/>
        </w:rPr>
        <w:fldChar w:fldCharType="end"/>
      </w:r>
      <w:r w:rsidR="003A1025" w:rsidRPr="00B1522E">
        <w:rPr>
          <w:i w:val="0"/>
          <w:iCs w:val="0"/>
          <w:color w:val="auto"/>
          <w:sz w:val="22"/>
          <w:szCs w:val="22"/>
        </w:rPr>
        <w:t xml:space="preserve">Table </w:t>
      </w:r>
      <w:r w:rsidR="00B61682" w:rsidRPr="00B1522E">
        <w:rPr>
          <w:i w:val="0"/>
          <w:iCs w:val="0"/>
          <w:color w:val="auto"/>
          <w:sz w:val="22"/>
          <w:szCs w:val="22"/>
        </w:rPr>
        <w:t>1</w:t>
      </w:r>
      <w:r w:rsidR="00620661" w:rsidRPr="00B1522E">
        <w:rPr>
          <w:i w:val="0"/>
          <w:iCs w:val="0"/>
          <w:color w:val="auto"/>
          <w:sz w:val="22"/>
          <w:szCs w:val="22"/>
        </w:rPr>
        <w:t>2</w:t>
      </w:r>
      <w:r w:rsidR="003A1025" w:rsidRPr="00B1522E">
        <w:rPr>
          <w:i w:val="0"/>
          <w:iCs w:val="0"/>
          <w:color w:val="auto"/>
          <w:sz w:val="22"/>
          <w:szCs w:val="22"/>
        </w:rPr>
        <w:t>. Mean and Standard Deviation of personal weekly unhealthy snacking and misperceptions of peer groups’ weekly unhealthy snacking.</w:t>
      </w:r>
    </w:p>
    <w:tbl>
      <w:tblPr>
        <w:tblStyle w:val="TableGrid"/>
        <w:tblpPr w:leftFromText="180" w:rightFromText="180" w:vertAnchor="text" w:horzAnchor="margin" w:tblpY="1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8"/>
        <w:gridCol w:w="1134"/>
        <w:gridCol w:w="1134"/>
        <w:gridCol w:w="1134"/>
        <w:gridCol w:w="1134"/>
        <w:gridCol w:w="1560"/>
      </w:tblGrid>
      <w:tr w:rsidR="00E77769" w:rsidRPr="00B1522E" w14:paraId="51364A0C" w14:textId="77777777" w:rsidTr="00B811CC">
        <w:trPr>
          <w:trHeight w:val="201"/>
        </w:trPr>
        <w:tc>
          <w:tcPr>
            <w:tcW w:w="2127" w:type="dxa"/>
            <w:tcBorders>
              <w:top w:val="single" w:sz="4" w:space="0" w:color="auto"/>
            </w:tcBorders>
          </w:tcPr>
          <w:p w14:paraId="6E041144" w14:textId="77777777" w:rsidR="003A1025" w:rsidRPr="00B1522E" w:rsidRDefault="003A1025" w:rsidP="00B811CC">
            <w:pPr>
              <w:jc w:val="center"/>
              <w:rPr>
                <w:rFonts w:cstheme="minorHAnsi"/>
                <w:noProof/>
              </w:rPr>
            </w:pPr>
          </w:p>
        </w:tc>
        <w:tc>
          <w:tcPr>
            <w:tcW w:w="708" w:type="dxa"/>
            <w:tcBorders>
              <w:top w:val="single" w:sz="4" w:space="0" w:color="auto"/>
            </w:tcBorders>
            <w:vAlign w:val="center"/>
          </w:tcPr>
          <w:p w14:paraId="2D1746E8" w14:textId="77777777" w:rsidR="003A1025" w:rsidRPr="00B1522E" w:rsidRDefault="003A1025" w:rsidP="00B811CC">
            <w:pPr>
              <w:jc w:val="center"/>
              <w:rPr>
                <w:rFonts w:cstheme="minorHAnsi"/>
                <w:noProof/>
                <w:vertAlign w:val="superscript"/>
              </w:rPr>
            </w:pPr>
            <w:bookmarkStart w:id="206" w:name="_Hlk57810908"/>
            <w:r w:rsidRPr="00B1522E">
              <w:rPr>
                <w:rFonts w:cstheme="minorHAnsi"/>
                <w:noProof/>
              </w:rPr>
              <w:t>N</w:t>
            </w:r>
            <w:r w:rsidRPr="00B1522E">
              <w:rPr>
                <w:rFonts w:cstheme="minorHAnsi"/>
                <w:noProof/>
                <w:vertAlign w:val="superscript"/>
              </w:rPr>
              <w:t>a</w:t>
            </w:r>
          </w:p>
        </w:tc>
        <w:tc>
          <w:tcPr>
            <w:tcW w:w="2268" w:type="dxa"/>
            <w:gridSpan w:val="2"/>
            <w:tcBorders>
              <w:top w:val="single" w:sz="4" w:space="0" w:color="auto"/>
              <w:bottom w:val="single" w:sz="4" w:space="0" w:color="auto"/>
            </w:tcBorders>
            <w:vAlign w:val="center"/>
          </w:tcPr>
          <w:p w14:paraId="7107F231" w14:textId="77777777" w:rsidR="003A1025" w:rsidRPr="00B1522E" w:rsidRDefault="003A1025" w:rsidP="00B811CC">
            <w:pPr>
              <w:jc w:val="center"/>
              <w:rPr>
                <w:rFonts w:cstheme="minorHAnsi"/>
                <w:noProof/>
                <w:vertAlign w:val="superscript"/>
              </w:rPr>
            </w:pPr>
            <w:r w:rsidRPr="00B1522E">
              <w:rPr>
                <w:rFonts w:cstheme="minorHAnsi"/>
                <w:noProof/>
              </w:rPr>
              <w:t>Students’ personal consumption of unhealthy snacks</w:t>
            </w:r>
            <w:r w:rsidRPr="00B1522E">
              <w:rPr>
                <w:rFonts w:cstheme="minorHAnsi"/>
                <w:noProof/>
                <w:vertAlign w:val="superscript"/>
              </w:rPr>
              <w:t>b</w:t>
            </w:r>
          </w:p>
        </w:tc>
        <w:tc>
          <w:tcPr>
            <w:tcW w:w="2268" w:type="dxa"/>
            <w:gridSpan w:val="2"/>
            <w:tcBorders>
              <w:top w:val="single" w:sz="4" w:space="0" w:color="auto"/>
              <w:bottom w:val="single" w:sz="4" w:space="0" w:color="auto"/>
            </w:tcBorders>
            <w:vAlign w:val="center"/>
          </w:tcPr>
          <w:p w14:paraId="58E33FAE" w14:textId="77777777" w:rsidR="003A1025" w:rsidRPr="00B1522E" w:rsidRDefault="003A1025" w:rsidP="00B811CC">
            <w:pPr>
              <w:jc w:val="center"/>
              <w:rPr>
                <w:rFonts w:cstheme="minorHAnsi"/>
                <w:noProof/>
                <w:vertAlign w:val="superscript"/>
              </w:rPr>
            </w:pPr>
            <w:r w:rsidRPr="00B1522E">
              <w:rPr>
                <w:rFonts w:cstheme="minorHAnsi"/>
                <w:noProof/>
              </w:rPr>
              <w:t xml:space="preserve">Misperception of </w:t>
            </w:r>
            <w:r w:rsidRPr="00B1522E">
              <w:rPr>
                <w:rFonts w:cstheme="minorHAnsi"/>
              </w:rPr>
              <w:t>peers’ unhealthy snack consumption</w:t>
            </w:r>
            <w:r w:rsidRPr="00B1522E">
              <w:rPr>
                <w:rFonts w:cstheme="minorHAnsi"/>
                <w:shd w:val="clear" w:color="auto" w:fill="FFFFFF"/>
                <w:vertAlign w:val="superscript"/>
              </w:rPr>
              <w:t>c</w:t>
            </w:r>
          </w:p>
        </w:tc>
        <w:tc>
          <w:tcPr>
            <w:tcW w:w="1560" w:type="dxa"/>
            <w:tcBorders>
              <w:top w:val="single" w:sz="4" w:space="0" w:color="auto"/>
            </w:tcBorders>
            <w:vAlign w:val="center"/>
          </w:tcPr>
          <w:p w14:paraId="210ED60C" w14:textId="77777777" w:rsidR="003A1025" w:rsidRPr="00B1522E" w:rsidRDefault="003A1025" w:rsidP="00B811CC">
            <w:pPr>
              <w:jc w:val="center"/>
              <w:rPr>
                <w:rFonts w:cstheme="minorHAnsi"/>
                <w:noProof/>
                <w:vertAlign w:val="superscript"/>
              </w:rPr>
            </w:pPr>
            <w:r w:rsidRPr="00B1522E">
              <w:rPr>
                <w:rFonts w:cstheme="minorHAnsi"/>
                <w:noProof/>
              </w:rPr>
              <w:t xml:space="preserve">One sample </w:t>
            </w:r>
            <w:r w:rsidRPr="00B1522E">
              <w:rPr>
                <w:rFonts w:cstheme="minorHAnsi"/>
                <w:shd w:val="clear" w:color="auto" w:fill="FFFFFF"/>
              </w:rPr>
              <w:t>Wilcoxon signed rank test</w:t>
            </w:r>
            <w:r w:rsidRPr="00B1522E">
              <w:rPr>
                <w:rFonts w:cstheme="minorHAnsi"/>
                <w:shd w:val="clear" w:color="auto" w:fill="FFFFFF"/>
                <w:vertAlign w:val="superscript"/>
              </w:rPr>
              <w:t>d</w:t>
            </w:r>
          </w:p>
        </w:tc>
      </w:tr>
      <w:tr w:rsidR="00E77769" w:rsidRPr="00B1522E" w14:paraId="31E0890F" w14:textId="77777777" w:rsidTr="00B811CC">
        <w:trPr>
          <w:trHeight w:val="357"/>
        </w:trPr>
        <w:tc>
          <w:tcPr>
            <w:tcW w:w="2127" w:type="dxa"/>
            <w:tcBorders>
              <w:bottom w:val="single" w:sz="4" w:space="0" w:color="auto"/>
            </w:tcBorders>
          </w:tcPr>
          <w:p w14:paraId="2AC39756" w14:textId="77777777" w:rsidR="003A1025" w:rsidRPr="00B1522E" w:rsidRDefault="003A1025" w:rsidP="00B811CC">
            <w:pPr>
              <w:jc w:val="center"/>
              <w:rPr>
                <w:rFonts w:cstheme="minorHAnsi"/>
                <w:noProof/>
              </w:rPr>
            </w:pPr>
          </w:p>
        </w:tc>
        <w:bookmarkEnd w:id="206"/>
        <w:tc>
          <w:tcPr>
            <w:tcW w:w="708" w:type="dxa"/>
            <w:tcBorders>
              <w:bottom w:val="single" w:sz="4" w:space="0" w:color="auto"/>
            </w:tcBorders>
            <w:vAlign w:val="center"/>
          </w:tcPr>
          <w:p w14:paraId="2C918414" w14:textId="77777777" w:rsidR="003A1025" w:rsidRPr="00B1522E" w:rsidRDefault="003A1025" w:rsidP="00B811CC">
            <w:pPr>
              <w:jc w:val="center"/>
              <w:rPr>
                <w:rFonts w:cstheme="minorHAnsi"/>
                <w:noProof/>
              </w:rPr>
            </w:pPr>
          </w:p>
        </w:tc>
        <w:tc>
          <w:tcPr>
            <w:tcW w:w="1134" w:type="dxa"/>
            <w:tcBorders>
              <w:top w:val="single" w:sz="4" w:space="0" w:color="auto"/>
              <w:bottom w:val="single" w:sz="4" w:space="0" w:color="auto"/>
            </w:tcBorders>
            <w:vAlign w:val="center"/>
          </w:tcPr>
          <w:p w14:paraId="6584B1D4" w14:textId="77777777" w:rsidR="003A1025" w:rsidRPr="00B1522E" w:rsidRDefault="003A1025" w:rsidP="00B811CC">
            <w:pPr>
              <w:jc w:val="center"/>
              <w:rPr>
                <w:rFonts w:cstheme="minorHAnsi"/>
                <w:i/>
                <w:iCs/>
                <w:noProof/>
              </w:rPr>
            </w:pPr>
            <w:r w:rsidRPr="00B1522E">
              <w:rPr>
                <w:rFonts w:cstheme="minorHAnsi"/>
                <w:i/>
                <w:iCs/>
                <w:noProof/>
              </w:rPr>
              <w:t>M</w:t>
            </w:r>
          </w:p>
        </w:tc>
        <w:tc>
          <w:tcPr>
            <w:tcW w:w="1134" w:type="dxa"/>
            <w:tcBorders>
              <w:top w:val="single" w:sz="4" w:space="0" w:color="auto"/>
              <w:bottom w:val="single" w:sz="4" w:space="0" w:color="auto"/>
            </w:tcBorders>
            <w:vAlign w:val="center"/>
          </w:tcPr>
          <w:p w14:paraId="2EA7058E" w14:textId="77777777" w:rsidR="003A1025" w:rsidRPr="00B1522E" w:rsidRDefault="003A1025" w:rsidP="00B811CC">
            <w:pPr>
              <w:jc w:val="center"/>
              <w:rPr>
                <w:rFonts w:cstheme="minorHAnsi"/>
                <w:i/>
                <w:iCs/>
                <w:noProof/>
              </w:rPr>
            </w:pPr>
            <w:r w:rsidRPr="00B1522E">
              <w:rPr>
                <w:rFonts w:cstheme="minorHAnsi"/>
                <w:i/>
                <w:iCs/>
                <w:noProof/>
              </w:rPr>
              <w:t>SD</w:t>
            </w:r>
          </w:p>
        </w:tc>
        <w:tc>
          <w:tcPr>
            <w:tcW w:w="1134" w:type="dxa"/>
            <w:tcBorders>
              <w:top w:val="single" w:sz="4" w:space="0" w:color="auto"/>
              <w:bottom w:val="single" w:sz="4" w:space="0" w:color="auto"/>
            </w:tcBorders>
            <w:vAlign w:val="center"/>
          </w:tcPr>
          <w:p w14:paraId="588CF5DF" w14:textId="77777777" w:rsidR="003A1025" w:rsidRPr="00B1522E" w:rsidRDefault="003A1025" w:rsidP="00B811CC">
            <w:pPr>
              <w:jc w:val="center"/>
              <w:rPr>
                <w:rFonts w:cstheme="minorHAnsi"/>
                <w:i/>
                <w:iCs/>
                <w:noProof/>
              </w:rPr>
            </w:pPr>
            <w:r w:rsidRPr="00B1522E">
              <w:rPr>
                <w:rFonts w:cstheme="minorHAnsi"/>
                <w:i/>
                <w:iCs/>
                <w:noProof/>
              </w:rPr>
              <w:t>M</w:t>
            </w:r>
          </w:p>
        </w:tc>
        <w:tc>
          <w:tcPr>
            <w:tcW w:w="1134" w:type="dxa"/>
            <w:tcBorders>
              <w:top w:val="single" w:sz="4" w:space="0" w:color="auto"/>
              <w:bottom w:val="single" w:sz="4" w:space="0" w:color="auto"/>
            </w:tcBorders>
            <w:vAlign w:val="center"/>
          </w:tcPr>
          <w:p w14:paraId="32C14B52" w14:textId="77777777" w:rsidR="003A1025" w:rsidRPr="00B1522E" w:rsidRDefault="003A1025" w:rsidP="00B811CC">
            <w:pPr>
              <w:jc w:val="center"/>
              <w:rPr>
                <w:rFonts w:cstheme="minorHAnsi"/>
                <w:i/>
                <w:iCs/>
                <w:noProof/>
              </w:rPr>
            </w:pPr>
            <w:r w:rsidRPr="00B1522E">
              <w:rPr>
                <w:rFonts w:cstheme="minorHAnsi"/>
                <w:i/>
                <w:iCs/>
                <w:noProof/>
              </w:rPr>
              <w:t>SD</w:t>
            </w:r>
          </w:p>
        </w:tc>
        <w:tc>
          <w:tcPr>
            <w:tcW w:w="1560" w:type="dxa"/>
            <w:tcBorders>
              <w:bottom w:val="single" w:sz="4" w:space="0" w:color="auto"/>
            </w:tcBorders>
            <w:vAlign w:val="center"/>
          </w:tcPr>
          <w:p w14:paraId="3C73646D" w14:textId="77777777" w:rsidR="003A1025" w:rsidRPr="00B1522E" w:rsidRDefault="003A1025" w:rsidP="00B811CC">
            <w:pPr>
              <w:jc w:val="center"/>
              <w:rPr>
                <w:rFonts w:cstheme="minorHAnsi"/>
                <w:noProof/>
              </w:rPr>
            </w:pPr>
          </w:p>
        </w:tc>
      </w:tr>
      <w:tr w:rsidR="00E77769" w:rsidRPr="00B1522E" w14:paraId="204B40B4" w14:textId="77777777" w:rsidTr="00B811CC">
        <w:trPr>
          <w:trHeight w:val="645"/>
        </w:trPr>
        <w:tc>
          <w:tcPr>
            <w:tcW w:w="2127" w:type="dxa"/>
            <w:tcBorders>
              <w:top w:val="single" w:sz="4" w:space="0" w:color="auto"/>
              <w:bottom w:val="single" w:sz="4" w:space="0" w:color="auto"/>
            </w:tcBorders>
          </w:tcPr>
          <w:p w14:paraId="0DF6C7AA" w14:textId="77777777" w:rsidR="003A1025" w:rsidRPr="00B1522E" w:rsidRDefault="003A1025" w:rsidP="005E22EA">
            <w:pPr>
              <w:spacing w:before="240"/>
              <w:ind w:left="340" w:hanging="340"/>
              <w:rPr>
                <w:rFonts w:cstheme="minorHAnsi"/>
                <w:noProof/>
              </w:rPr>
            </w:pPr>
            <w:r w:rsidRPr="00B1522E">
              <w:rPr>
                <w:rFonts w:cstheme="minorHAnsi"/>
                <w:noProof/>
              </w:rPr>
              <w:t>Unhealthy snacking behaviour</w:t>
            </w:r>
          </w:p>
        </w:tc>
        <w:tc>
          <w:tcPr>
            <w:tcW w:w="708" w:type="dxa"/>
            <w:tcBorders>
              <w:top w:val="single" w:sz="4" w:space="0" w:color="auto"/>
              <w:bottom w:val="single" w:sz="4" w:space="0" w:color="auto"/>
            </w:tcBorders>
            <w:vAlign w:val="center"/>
          </w:tcPr>
          <w:p w14:paraId="4F56759C" w14:textId="77777777" w:rsidR="003A1025" w:rsidRPr="00B1522E" w:rsidRDefault="003A1025" w:rsidP="00B811CC">
            <w:pPr>
              <w:spacing w:before="240"/>
              <w:jc w:val="center"/>
              <w:rPr>
                <w:rFonts w:cstheme="minorHAnsi"/>
                <w:noProof/>
              </w:rPr>
            </w:pPr>
            <w:r w:rsidRPr="00B1522E">
              <w:rPr>
                <w:rFonts w:cstheme="minorHAnsi"/>
                <w:noProof/>
              </w:rPr>
              <w:t>205</w:t>
            </w:r>
          </w:p>
        </w:tc>
        <w:tc>
          <w:tcPr>
            <w:tcW w:w="1134" w:type="dxa"/>
            <w:tcBorders>
              <w:top w:val="single" w:sz="4" w:space="0" w:color="auto"/>
              <w:bottom w:val="single" w:sz="4" w:space="0" w:color="auto"/>
            </w:tcBorders>
            <w:vAlign w:val="center"/>
          </w:tcPr>
          <w:p w14:paraId="42EACBFF" w14:textId="77777777" w:rsidR="003A1025" w:rsidRPr="00B1522E" w:rsidRDefault="003A1025" w:rsidP="00B811CC">
            <w:pPr>
              <w:spacing w:before="240"/>
              <w:jc w:val="center"/>
              <w:rPr>
                <w:rFonts w:cstheme="minorHAnsi"/>
                <w:noProof/>
              </w:rPr>
            </w:pPr>
            <w:r w:rsidRPr="00B1522E">
              <w:rPr>
                <w:rFonts w:cstheme="minorHAnsi"/>
                <w:noProof/>
              </w:rPr>
              <w:t>19.15</w:t>
            </w:r>
          </w:p>
        </w:tc>
        <w:tc>
          <w:tcPr>
            <w:tcW w:w="1134" w:type="dxa"/>
            <w:tcBorders>
              <w:top w:val="single" w:sz="4" w:space="0" w:color="auto"/>
              <w:bottom w:val="single" w:sz="4" w:space="0" w:color="auto"/>
            </w:tcBorders>
            <w:vAlign w:val="center"/>
          </w:tcPr>
          <w:p w14:paraId="44A0C5CF" w14:textId="77777777" w:rsidR="003A1025" w:rsidRPr="00B1522E" w:rsidRDefault="003A1025" w:rsidP="00B811CC">
            <w:pPr>
              <w:spacing w:before="240"/>
              <w:jc w:val="center"/>
              <w:rPr>
                <w:rFonts w:cstheme="minorHAnsi"/>
                <w:noProof/>
              </w:rPr>
            </w:pPr>
            <w:r w:rsidRPr="00B1522E">
              <w:rPr>
                <w:rFonts w:cstheme="minorHAnsi"/>
                <w:noProof/>
              </w:rPr>
              <w:t>21.05</w:t>
            </w:r>
          </w:p>
        </w:tc>
        <w:tc>
          <w:tcPr>
            <w:tcW w:w="1134" w:type="dxa"/>
            <w:tcBorders>
              <w:top w:val="single" w:sz="4" w:space="0" w:color="auto"/>
              <w:bottom w:val="single" w:sz="4" w:space="0" w:color="auto"/>
            </w:tcBorders>
            <w:vAlign w:val="center"/>
          </w:tcPr>
          <w:p w14:paraId="66D17DAC" w14:textId="77777777" w:rsidR="003A1025" w:rsidRPr="00B1522E" w:rsidRDefault="003A1025" w:rsidP="00B811CC">
            <w:pPr>
              <w:spacing w:before="240"/>
              <w:jc w:val="center"/>
              <w:rPr>
                <w:rFonts w:cstheme="minorHAnsi"/>
                <w:noProof/>
              </w:rPr>
            </w:pPr>
            <w:r w:rsidRPr="00B1522E">
              <w:rPr>
                <w:rFonts w:cstheme="minorHAnsi"/>
                <w:noProof/>
              </w:rPr>
              <w:t>22.27</w:t>
            </w:r>
          </w:p>
        </w:tc>
        <w:tc>
          <w:tcPr>
            <w:tcW w:w="1134" w:type="dxa"/>
            <w:tcBorders>
              <w:top w:val="single" w:sz="4" w:space="0" w:color="auto"/>
              <w:bottom w:val="single" w:sz="4" w:space="0" w:color="auto"/>
            </w:tcBorders>
            <w:vAlign w:val="center"/>
          </w:tcPr>
          <w:p w14:paraId="0DCF29C5" w14:textId="77777777" w:rsidR="003A1025" w:rsidRPr="00B1522E" w:rsidRDefault="003A1025" w:rsidP="00B811CC">
            <w:pPr>
              <w:spacing w:before="240"/>
              <w:jc w:val="center"/>
              <w:rPr>
                <w:rFonts w:cstheme="minorHAnsi"/>
                <w:noProof/>
              </w:rPr>
            </w:pPr>
            <w:r w:rsidRPr="00B1522E">
              <w:rPr>
                <w:rFonts w:cstheme="minorHAnsi"/>
                <w:noProof/>
              </w:rPr>
              <w:t>31.38</w:t>
            </w:r>
          </w:p>
        </w:tc>
        <w:tc>
          <w:tcPr>
            <w:tcW w:w="1560" w:type="dxa"/>
            <w:tcBorders>
              <w:top w:val="single" w:sz="4" w:space="0" w:color="auto"/>
              <w:bottom w:val="single" w:sz="4" w:space="0" w:color="auto"/>
            </w:tcBorders>
            <w:vAlign w:val="center"/>
          </w:tcPr>
          <w:p w14:paraId="5F822ED3" w14:textId="77777777" w:rsidR="003A1025" w:rsidRPr="00B1522E" w:rsidRDefault="003A1025" w:rsidP="00B811CC">
            <w:pPr>
              <w:keepNext/>
              <w:spacing w:before="240"/>
              <w:jc w:val="center"/>
              <w:rPr>
                <w:rFonts w:cstheme="minorHAnsi"/>
                <w:noProof/>
              </w:rPr>
            </w:pPr>
            <w:r w:rsidRPr="00B1522E">
              <w:rPr>
                <w:rFonts w:cstheme="minorHAnsi"/>
                <w:i/>
                <w:iCs/>
                <w:noProof/>
              </w:rPr>
              <w:t>Z</w:t>
            </w:r>
            <w:r w:rsidRPr="00B1522E">
              <w:rPr>
                <w:rFonts w:cstheme="minorHAnsi"/>
                <w:noProof/>
              </w:rPr>
              <w:t xml:space="preserve"> = 9.667**</w:t>
            </w:r>
          </w:p>
        </w:tc>
      </w:tr>
    </w:tbl>
    <w:p w14:paraId="404BE859" w14:textId="6AB8F6B2" w:rsidR="003A1025" w:rsidRPr="00B1522E" w:rsidRDefault="00730501" w:rsidP="00730501">
      <w:pPr>
        <w:spacing w:line="480" w:lineRule="auto"/>
        <w:jc w:val="both"/>
        <w:rPr>
          <w:rFonts w:cstheme="minorHAnsi"/>
        </w:rPr>
      </w:pPr>
      <w:r w:rsidRPr="00B1522E">
        <w:rPr>
          <w:rFonts w:cstheme="minorHAnsi"/>
        </w:rPr>
        <w:t xml:space="preserve">    </w:t>
      </w:r>
    </w:p>
    <w:p w14:paraId="2133CD02" w14:textId="544D7BDA" w:rsidR="00730501" w:rsidRPr="00B1522E" w:rsidRDefault="00730501" w:rsidP="002A5D26">
      <w:pPr>
        <w:spacing w:line="480" w:lineRule="auto"/>
        <w:ind w:firstLine="720"/>
        <w:jc w:val="both"/>
        <w:rPr>
          <w:rFonts w:cstheme="minorHAnsi"/>
        </w:rPr>
      </w:pPr>
      <w:r w:rsidRPr="00B1522E">
        <w:rPr>
          <w:rFonts w:cstheme="minorHAnsi"/>
        </w:rPr>
        <w:t>Two one-sample t-tests were conducted to examine whether students significantly misperceived unhealthy snacking related attitudes of their peers compared to a test value of zero. Both t-tests were statistically significant; the means indicated that students misperceived peers to have more positive attitudes towards consuming unhealthy snacks than the reported group norm,</w:t>
      </w:r>
      <w:r w:rsidRPr="00B1522E">
        <w:rPr>
          <w:rFonts w:cstheme="minorHAnsi"/>
          <w:i/>
          <w:iCs/>
        </w:rPr>
        <w:t xml:space="preserve"> </w:t>
      </w:r>
      <w:r w:rsidRPr="00B1522E">
        <w:rPr>
          <w:rFonts w:cstheme="minorHAnsi"/>
        </w:rPr>
        <w:t xml:space="preserve">and misperceived peers to have more negative attitudes towards reducing unhealthy snacking than the reported group norm (Table </w:t>
      </w:r>
      <w:r w:rsidR="00552458" w:rsidRPr="00B1522E">
        <w:rPr>
          <w:rFonts w:cstheme="minorHAnsi"/>
        </w:rPr>
        <w:t>1</w:t>
      </w:r>
      <w:r w:rsidR="005003CF" w:rsidRPr="00B1522E">
        <w:rPr>
          <w:rFonts w:cstheme="minorHAnsi"/>
        </w:rPr>
        <w:t>3</w:t>
      </w:r>
      <w:r w:rsidRPr="00B1522E">
        <w:rPr>
          <w:rFonts w:cstheme="minorHAnsi"/>
        </w:rPr>
        <w:t xml:space="preserve">). </w:t>
      </w:r>
    </w:p>
    <w:p w14:paraId="6FCEA96A" w14:textId="54DCF403" w:rsidR="000A26D0" w:rsidRPr="00B1522E" w:rsidRDefault="000A26D0" w:rsidP="002A5D26">
      <w:pPr>
        <w:spacing w:line="480" w:lineRule="auto"/>
        <w:ind w:firstLine="720"/>
        <w:jc w:val="both"/>
        <w:rPr>
          <w:rFonts w:cstheme="minorHAnsi"/>
        </w:rPr>
      </w:pPr>
    </w:p>
    <w:p w14:paraId="3B89FFC4" w14:textId="77777777" w:rsidR="000E33FD" w:rsidRPr="00B1522E" w:rsidRDefault="000E33FD" w:rsidP="002A5D26">
      <w:pPr>
        <w:spacing w:line="480" w:lineRule="auto"/>
        <w:ind w:firstLine="720"/>
        <w:jc w:val="both"/>
        <w:rPr>
          <w:rFonts w:cstheme="minorHAnsi"/>
        </w:rPr>
      </w:pPr>
    </w:p>
    <w:bookmarkStart w:id="207" w:name="_Hlk62655752"/>
    <w:p w14:paraId="00D20CB9" w14:textId="02059175" w:rsidR="009E2B5E" w:rsidRPr="00B1522E" w:rsidRDefault="003F74FC" w:rsidP="009E2B5E">
      <w:pPr>
        <w:pStyle w:val="Caption"/>
        <w:keepNext/>
        <w:spacing w:after="0"/>
        <w:rPr>
          <w:rFonts w:cstheme="minorHAnsi"/>
          <w:i w:val="0"/>
          <w:iCs w:val="0"/>
          <w:color w:val="auto"/>
          <w:sz w:val="22"/>
          <w:szCs w:val="22"/>
        </w:rPr>
      </w:pPr>
      <w:r w:rsidRPr="00B1522E">
        <w:rPr>
          <w:b/>
          <w:bCs/>
          <w:i w:val="0"/>
          <w:iCs w:val="0"/>
          <w:color w:val="auto"/>
          <w:sz w:val="22"/>
          <w:szCs w:val="22"/>
        </w:rPr>
        <w:lastRenderedPageBreak/>
        <w:fldChar w:fldCharType="begin"/>
      </w:r>
      <w:r w:rsidRPr="00B1522E">
        <w:rPr>
          <w:b/>
          <w:bCs/>
          <w:i w:val="0"/>
          <w:iCs w:val="0"/>
          <w:color w:val="auto"/>
          <w:sz w:val="22"/>
          <w:szCs w:val="22"/>
        </w:rPr>
        <w:instrText xml:space="preserve"> TC  "</w:instrText>
      </w:r>
      <w:r w:rsidRPr="00B1522E">
        <w:rPr>
          <w:i w:val="0"/>
          <w:iCs w:val="0"/>
          <w:color w:val="auto"/>
          <w:sz w:val="22"/>
          <w:szCs w:val="22"/>
        </w:rPr>
        <w:instrText xml:space="preserve"> </w:instrText>
      </w:r>
      <w:bookmarkStart w:id="208" w:name="_Toc97557136"/>
      <w:r w:rsidRPr="00B1522E">
        <w:rPr>
          <w:rFonts w:cstheme="minorHAnsi"/>
          <w:i w:val="0"/>
          <w:iCs w:val="0"/>
          <w:color w:val="auto"/>
          <w:sz w:val="22"/>
          <w:szCs w:val="22"/>
        </w:rPr>
        <w:instrText xml:space="preserve">Table </w:instrText>
      </w:r>
      <w:r w:rsidR="00B61682" w:rsidRPr="00B1522E">
        <w:rPr>
          <w:rFonts w:cstheme="minorHAnsi"/>
          <w:i w:val="0"/>
          <w:iCs w:val="0"/>
          <w:color w:val="auto"/>
          <w:sz w:val="22"/>
          <w:szCs w:val="22"/>
        </w:rPr>
        <w:instrText>1</w:instrText>
      </w:r>
      <w:r w:rsidR="00620661" w:rsidRPr="00B1522E">
        <w:rPr>
          <w:rFonts w:cstheme="minorHAnsi"/>
          <w:i w:val="0"/>
          <w:iCs w:val="0"/>
          <w:color w:val="auto"/>
          <w:sz w:val="22"/>
          <w:szCs w:val="22"/>
        </w:rPr>
        <w:instrText>3</w:instrText>
      </w:r>
      <w:r w:rsidRPr="00B1522E">
        <w:rPr>
          <w:rFonts w:cstheme="minorHAnsi"/>
          <w:i w:val="0"/>
          <w:iCs w:val="0"/>
          <w:color w:val="auto"/>
          <w:sz w:val="22"/>
          <w:szCs w:val="22"/>
        </w:rPr>
        <w:instrText>. Mean and Standard Deviation of personal snacking attitudes and misperceptions of peer group snacking attitudes.</w:instrText>
      </w:r>
      <w:bookmarkEnd w:id="208"/>
      <w:r w:rsidR="00686F5E" w:rsidRPr="00B1522E">
        <w:rPr>
          <w:rFonts w:cstheme="minorHAnsi"/>
          <w:i w:val="0"/>
          <w:iCs w:val="0"/>
          <w:color w:val="auto"/>
          <w:sz w:val="22"/>
          <w:szCs w:val="22"/>
        </w:rPr>
        <w:instrText>”</w:instrText>
      </w:r>
      <w:r w:rsidRPr="00B1522E">
        <w:rPr>
          <w:b/>
          <w:bCs/>
          <w:i w:val="0"/>
          <w:iCs w:val="0"/>
          <w:color w:val="auto"/>
          <w:sz w:val="22"/>
          <w:szCs w:val="22"/>
        </w:rPr>
        <w:instrText xml:space="preserve">\f z\l 2 </w:instrText>
      </w:r>
      <w:r w:rsidRPr="00B1522E">
        <w:rPr>
          <w:b/>
          <w:bCs/>
          <w:i w:val="0"/>
          <w:iCs w:val="0"/>
          <w:color w:val="auto"/>
          <w:sz w:val="22"/>
          <w:szCs w:val="22"/>
        </w:rPr>
        <w:fldChar w:fldCharType="end"/>
      </w:r>
      <w:r w:rsidR="009E2B5E" w:rsidRPr="00B1522E">
        <w:rPr>
          <w:rFonts w:cstheme="minorHAnsi"/>
          <w:i w:val="0"/>
          <w:iCs w:val="0"/>
          <w:color w:val="auto"/>
          <w:sz w:val="22"/>
          <w:szCs w:val="22"/>
        </w:rPr>
        <w:t xml:space="preserve">Table </w:t>
      </w:r>
      <w:r w:rsidR="00B61682" w:rsidRPr="00B1522E">
        <w:rPr>
          <w:rFonts w:cstheme="minorHAnsi"/>
          <w:i w:val="0"/>
          <w:iCs w:val="0"/>
          <w:color w:val="auto"/>
          <w:sz w:val="22"/>
          <w:szCs w:val="22"/>
        </w:rPr>
        <w:t>1</w:t>
      </w:r>
      <w:r w:rsidR="00620661" w:rsidRPr="00B1522E">
        <w:rPr>
          <w:rFonts w:cstheme="minorHAnsi"/>
          <w:i w:val="0"/>
          <w:iCs w:val="0"/>
          <w:color w:val="auto"/>
          <w:sz w:val="22"/>
          <w:szCs w:val="22"/>
        </w:rPr>
        <w:t>3</w:t>
      </w:r>
      <w:r w:rsidR="009E2B5E" w:rsidRPr="00B1522E">
        <w:rPr>
          <w:rFonts w:cstheme="minorHAnsi"/>
          <w:i w:val="0"/>
          <w:iCs w:val="0"/>
          <w:color w:val="auto"/>
          <w:sz w:val="22"/>
          <w:szCs w:val="22"/>
        </w:rPr>
        <w:t>. Mean and Standard Deviation of personal snacking attitudes and misperceptions of peer group snacking attitudes.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581"/>
        <w:gridCol w:w="1129"/>
        <w:gridCol w:w="1136"/>
        <w:gridCol w:w="1144"/>
        <w:gridCol w:w="992"/>
        <w:gridCol w:w="1361"/>
      </w:tblGrid>
      <w:tr w:rsidR="00E77769" w:rsidRPr="00B1522E" w14:paraId="0D4492CD" w14:textId="77777777" w:rsidTr="00B811CC">
        <w:trPr>
          <w:trHeight w:val="201"/>
        </w:trPr>
        <w:tc>
          <w:tcPr>
            <w:tcW w:w="2683" w:type="dxa"/>
            <w:tcBorders>
              <w:top w:val="single" w:sz="4" w:space="0" w:color="auto"/>
            </w:tcBorders>
            <w:vAlign w:val="center"/>
          </w:tcPr>
          <w:p w14:paraId="153EC8E9" w14:textId="77777777" w:rsidR="009E2B5E" w:rsidRPr="00B1522E" w:rsidRDefault="009E2B5E" w:rsidP="00B811CC">
            <w:pPr>
              <w:jc w:val="center"/>
              <w:rPr>
                <w:rFonts w:cstheme="minorHAnsi"/>
                <w:noProof/>
              </w:rPr>
            </w:pPr>
            <w:bookmarkStart w:id="209" w:name="_Hlk62655720"/>
            <w:bookmarkStart w:id="210" w:name="_Hlk62655793"/>
          </w:p>
        </w:tc>
        <w:tc>
          <w:tcPr>
            <w:tcW w:w="581" w:type="dxa"/>
            <w:tcBorders>
              <w:top w:val="single" w:sz="4" w:space="0" w:color="auto"/>
            </w:tcBorders>
            <w:vAlign w:val="center"/>
          </w:tcPr>
          <w:p w14:paraId="24AE52DC" w14:textId="77777777" w:rsidR="009E2B5E" w:rsidRPr="00B1522E" w:rsidRDefault="009E2B5E" w:rsidP="00B811CC">
            <w:pPr>
              <w:jc w:val="center"/>
              <w:rPr>
                <w:rFonts w:cstheme="minorHAnsi"/>
                <w:noProof/>
                <w:vertAlign w:val="superscript"/>
              </w:rPr>
            </w:pPr>
            <w:r w:rsidRPr="00B1522E">
              <w:rPr>
                <w:rFonts w:cstheme="minorHAnsi"/>
                <w:noProof/>
              </w:rPr>
              <w:t>N</w:t>
            </w:r>
            <w:r w:rsidRPr="00B1522E">
              <w:rPr>
                <w:rFonts w:cstheme="minorHAnsi"/>
                <w:noProof/>
                <w:vertAlign w:val="superscript"/>
              </w:rPr>
              <w:t>a</w:t>
            </w:r>
          </w:p>
        </w:tc>
        <w:tc>
          <w:tcPr>
            <w:tcW w:w="2265" w:type="dxa"/>
            <w:gridSpan w:val="2"/>
            <w:tcBorders>
              <w:top w:val="single" w:sz="4" w:space="0" w:color="auto"/>
              <w:bottom w:val="single" w:sz="4" w:space="0" w:color="auto"/>
            </w:tcBorders>
            <w:vAlign w:val="center"/>
          </w:tcPr>
          <w:p w14:paraId="4EAD9A73" w14:textId="77777777" w:rsidR="009E2B5E" w:rsidRPr="00B1522E" w:rsidRDefault="009E2B5E" w:rsidP="00B811CC">
            <w:pPr>
              <w:jc w:val="center"/>
              <w:rPr>
                <w:rFonts w:cstheme="minorHAnsi"/>
                <w:noProof/>
              </w:rPr>
            </w:pPr>
            <w:r w:rsidRPr="00B1522E">
              <w:rPr>
                <w:rFonts w:cstheme="minorHAnsi"/>
                <w:noProof/>
              </w:rPr>
              <w:t>Personal snacking attitude</w:t>
            </w:r>
          </w:p>
        </w:tc>
        <w:tc>
          <w:tcPr>
            <w:tcW w:w="2136" w:type="dxa"/>
            <w:gridSpan w:val="2"/>
            <w:tcBorders>
              <w:top w:val="single" w:sz="4" w:space="0" w:color="auto"/>
              <w:bottom w:val="single" w:sz="4" w:space="0" w:color="auto"/>
            </w:tcBorders>
            <w:vAlign w:val="center"/>
          </w:tcPr>
          <w:p w14:paraId="750B0BC6" w14:textId="77777777" w:rsidR="009E2B5E" w:rsidRPr="00B1522E" w:rsidRDefault="009E2B5E" w:rsidP="00B811CC">
            <w:pPr>
              <w:jc w:val="center"/>
              <w:rPr>
                <w:rFonts w:cstheme="minorHAnsi"/>
                <w:noProof/>
              </w:rPr>
            </w:pPr>
            <w:r w:rsidRPr="00B1522E">
              <w:rPr>
                <w:rFonts w:cstheme="minorHAnsi"/>
                <w:noProof/>
              </w:rPr>
              <w:t>Misperception of peers’ snacking attitudes</w:t>
            </w:r>
            <w:r w:rsidRPr="00B1522E">
              <w:rPr>
                <w:rFonts w:cstheme="minorHAnsi"/>
                <w:noProof/>
                <w:vertAlign w:val="superscript"/>
              </w:rPr>
              <w:t>b</w:t>
            </w:r>
            <w:r w:rsidRPr="00B1522E">
              <w:rPr>
                <w:rFonts w:cstheme="minorHAnsi"/>
                <w:noProof/>
              </w:rPr>
              <w:t xml:space="preserve"> </w:t>
            </w:r>
          </w:p>
        </w:tc>
        <w:tc>
          <w:tcPr>
            <w:tcW w:w="1361" w:type="dxa"/>
            <w:tcBorders>
              <w:top w:val="single" w:sz="4" w:space="0" w:color="auto"/>
            </w:tcBorders>
            <w:vAlign w:val="center"/>
          </w:tcPr>
          <w:p w14:paraId="43CF92EE" w14:textId="77777777" w:rsidR="009E2B5E" w:rsidRPr="00B1522E" w:rsidRDefault="009E2B5E" w:rsidP="00B811CC">
            <w:pPr>
              <w:jc w:val="center"/>
              <w:rPr>
                <w:rFonts w:cstheme="minorHAnsi"/>
                <w:noProof/>
                <w:vertAlign w:val="superscript"/>
              </w:rPr>
            </w:pPr>
            <w:r w:rsidRPr="00B1522E">
              <w:rPr>
                <w:rFonts w:cstheme="minorHAnsi"/>
                <w:noProof/>
              </w:rPr>
              <w:t>One sample t-test</w:t>
            </w:r>
            <w:r w:rsidRPr="00B1522E">
              <w:rPr>
                <w:rFonts w:cstheme="minorHAnsi"/>
                <w:noProof/>
                <w:vertAlign w:val="superscript"/>
              </w:rPr>
              <w:t>c</w:t>
            </w:r>
          </w:p>
        </w:tc>
      </w:tr>
      <w:tr w:rsidR="00E77769" w:rsidRPr="00B1522E" w14:paraId="1FC416B9" w14:textId="77777777" w:rsidTr="00B811CC">
        <w:trPr>
          <w:trHeight w:val="285"/>
        </w:trPr>
        <w:tc>
          <w:tcPr>
            <w:tcW w:w="2683" w:type="dxa"/>
            <w:tcBorders>
              <w:bottom w:val="single" w:sz="4" w:space="0" w:color="auto"/>
            </w:tcBorders>
            <w:vAlign w:val="center"/>
          </w:tcPr>
          <w:p w14:paraId="1AC069E3" w14:textId="77777777" w:rsidR="009E2B5E" w:rsidRPr="00B1522E" w:rsidRDefault="009E2B5E" w:rsidP="00B811CC">
            <w:pPr>
              <w:jc w:val="center"/>
              <w:rPr>
                <w:rFonts w:cstheme="minorHAnsi"/>
                <w:noProof/>
              </w:rPr>
            </w:pPr>
          </w:p>
        </w:tc>
        <w:tc>
          <w:tcPr>
            <w:tcW w:w="581" w:type="dxa"/>
            <w:tcBorders>
              <w:bottom w:val="single" w:sz="4" w:space="0" w:color="auto"/>
            </w:tcBorders>
            <w:vAlign w:val="center"/>
          </w:tcPr>
          <w:p w14:paraId="62AAF1C5" w14:textId="77777777" w:rsidR="009E2B5E" w:rsidRPr="00B1522E" w:rsidRDefault="009E2B5E" w:rsidP="00B811CC">
            <w:pPr>
              <w:jc w:val="center"/>
              <w:rPr>
                <w:rFonts w:cstheme="minorHAnsi"/>
                <w:noProof/>
              </w:rPr>
            </w:pPr>
          </w:p>
        </w:tc>
        <w:tc>
          <w:tcPr>
            <w:tcW w:w="1129" w:type="dxa"/>
            <w:tcBorders>
              <w:top w:val="single" w:sz="4" w:space="0" w:color="auto"/>
              <w:bottom w:val="single" w:sz="4" w:space="0" w:color="auto"/>
            </w:tcBorders>
            <w:vAlign w:val="center"/>
          </w:tcPr>
          <w:p w14:paraId="5309F745" w14:textId="77777777" w:rsidR="009E2B5E" w:rsidRPr="00B1522E" w:rsidRDefault="009E2B5E" w:rsidP="00B811CC">
            <w:pPr>
              <w:jc w:val="center"/>
              <w:rPr>
                <w:rFonts w:cstheme="minorHAnsi"/>
                <w:noProof/>
              </w:rPr>
            </w:pPr>
            <w:r w:rsidRPr="00B1522E">
              <w:rPr>
                <w:rFonts w:cstheme="minorHAnsi"/>
                <w:noProof/>
              </w:rPr>
              <w:t>Mean</w:t>
            </w:r>
          </w:p>
        </w:tc>
        <w:tc>
          <w:tcPr>
            <w:tcW w:w="1136" w:type="dxa"/>
            <w:tcBorders>
              <w:top w:val="single" w:sz="4" w:space="0" w:color="auto"/>
              <w:bottom w:val="single" w:sz="4" w:space="0" w:color="auto"/>
            </w:tcBorders>
            <w:vAlign w:val="center"/>
          </w:tcPr>
          <w:p w14:paraId="405FF0B3" w14:textId="77777777" w:rsidR="009E2B5E" w:rsidRPr="00B1522E" w:rsidRDefault="009E2B5E" w:rsidP="00B811CC">
            <w:pPr>
              <w:jc w:val="center"/>
              <w:rPr>
                <w:rFonts w:cstheme="minorHAnsi"/>
                <w:noProof/>
              </w:rPr>
            </w:pPr>
            <w:r w:rsidRPr="00B1522E">
              <w:rPr>
                <w:rFonts w:cstheme="minorHAnsi"/>
                <w:noProof/>
              </w:rPr>
              <w:t>SD</w:t>
            </w:r>
          </w:p>
        </w:tc>
        <w:tc>
          <w:tcPr>
            <w:tcW w:w="1144" w:type="dxa"/>
            <w:tcBorders>
              <w:top w:val="single" w:sz="4" w:space="0" w:color="auto"/>
              <w:bottom w:val="single" w:sz="4" w:space="0" w:color="auto"/>
            </w:tcBorders>
            <w:vAlign w:val="center"/>
          </w:tcPr>
          <w:p w14:paraId="3BA1ECAD" w14:textId="77777777" w:rsidR="009E2B5E" w:rsidRPr="00B1522E" w:rsidRDefault="009E2B5E" w:rsidP="00B811CC">
            <w:pPr>
              <w:jc w:val="center"/>
              <w:rPr>
                <w:rFonts w:cstheme="minorHAnsi"/>
                <w:noProof/>
              </w:rPr>
            </w:pPr>
            <w:r w:rsidRPr="00B1522E">
              <w:rPr>
                <w:rFonts w:cstheme="minorHAnsi"/>
                <w:noProof/>
              </w:rPr>
              <w:t>Mean</w:t>
            </w:r>
          </w:p>
        </w:tc>
        <w:tc>
          <w:tcPr>
            <w:tcW w:w="992" w:type="dxa"/>
            <w:tcBorders>
              <w:top w:val="single" w:sz="4" w:space="0" w:color="auto"/>
              <w:bottom w:val="single" w:sz="4" w:space="0" w:color="auto"/>
            </w:tcBorders>
            <w:vAlign w:val="center"/>
          </w:tcPr>
          <w:p w14:paraId="4E018708" w14:textId="77777777" w:rsidR="009E2B5E" w:rsidRPr="00B1522E" w:rsidRDefault="009E2B5E" w:rsidP="00B811CC">
            <w:pPr>
              <w:jc w:val="center"/>
              <w:rPr>
                <w:rFonts w:cstheme="minorHAnsi"/>
                <w:noProof/>
              </w:rPr>
            </w:pPr>
            <w:r w:rsidRPr="00B1522E">
              <w:rPr>
                <w:rFonts w:cstheme="minorHAnsi"/>
                <w:noProof/>
              </w:rPr>
              <w:t>SD</w:t>
            </w:r>
          </w:p>
        </w:tc>
        <w:tc>
          <w:tcPr>
            <w:tcW w:w="1361" w:type="dxa"/>
            <w:tcBorders>
              <w:bottom w:val="single" w:sz="4" w:space="0" w:color="auto"/>
            </w:tcBorders>
            <w:vAlign w:val="center"/>
          </w:tcPr>
          <w:p w14:paraId="2BA6241C" w14:textId="77777777" w:rsidR="009E2B5E" w:rsidRPr="00B1522E" w:rsidRDefault="009E2B5E" w:rsidP="00B811CC">
            <w:pPr>
              <w:jc w:val="center"/>
              <w:rPr>
                <w:rFonts w:cstheme="minorHAnsi"/>
                <w:noProof/>
              </w:rPr>
            </w:pPr>
          </w:p>
        </w:tc>
      </w:tr>
      <w:tr w:rsidR="00E77769" w:rsidRPr="00B1522E" w14:paraId="14711F62" w14:textId="77777777" w:rsidTr="00B811CC">
        <w:trPr>
          <w:trHeight w:val="387"/>
        </w:trPr>
        <w:tc>
          <w:tcPr>
            <w:tcW w:w="2683" w:type="dxa"/>
            <w:tcBorders>
              <w:top w:val="single" w:sz="4" w:space="0" w:color="auto"/>
            </w:tcBorders>
            <w:vAlign w:val="center"/>
          </w:tcPr>
          <w:p w14:paraId="40A874CC" w14:textId="77777777" w:rsidR="009E2B5E" w:rsidRPr="00B1522E" w:rsidRDefault="009E2B5E" w:rsidP="004918F7">
            <w:pPr>
              <w:spacing w:before="240"/>
              <w:ind w:left="340" w:hanging="340"/>
              <w:rPr>
                <w:rFonts w:cstheme="minorHAnsi"/>
                <w:noProof/>
              </w:rPr>
            </w:pPr>
            <w:r w:rsidRPr="00B1522E">
              <w:rPr>
                <w:rFonts w:cstheme="minorHAnsi"/>
                <w:noProof/>
              </w:rPr>
              <w:t>Attitude towards unhealthy snacking</w:t>
            </w:r>
          </w:p>
        </w:tc>
        <w:tc>
          <w:tcPr>
            <w:tcW w:w="581" w:type="dxa"/>
            <w:tcBorders>
              <w:top w:val="single" w:sz="4" w:space="0" w:color="auto"/>
            </w:tcBorders>
            <w:vAlign w:val="center"/>
          </w:tcPr>
          <w:p w14:paraId="19959BCA" w14:textId="77777777" w:rsidR="009E2B5E" w:rsidRPr="00B1522E" w:rsidRDefault="009E2B5E" w:rsidP="00B811CC">
            <w:pPr>
              <w:spacing w:before="240"/>
              <w:jc w:val="center"/>
              <w:rPr>
                <w:rFonts w:cstheme="minorHAnsi"/>
                <w:noProof/>
              </w:rPr>
            </w:pPr>
            <w:r w:rsidRPr="00B1522E">
              <w:rPr>
                <w:rFonts w:cstheme="minorHAnsi"/>
                <w:noProof/>
              </w:rPr>
              <w:t>186</w:t>
            </w:r>
          </w:p>
        </w:tc>
        <w:tc>
          <w:tcPr>
            <w:tcW w:w="1129" w:type="dxa"/>
            <w:tcBorders>
              <w:top w:val="single" w:sz="4" w:space="0" w:color="auto"/>
            </w:tcBorders>
            <w:vAlign w:val="center"/>
          </w:tcPr>
          <w:p w14:paraId="1B865A85" w14:textId="77777777" w:rsidR="009E2B5E" w:rsidRPr="00B1522E" w:rsidRDefault="009E2B5E" w:rsidP="00B811CC">
            <w:pPr>
              <w:spacing w:before="240"/>
              <w:jc w:val="center"/>
              <w:rPr>
                <w:rFonts w:cstheme="minorHAnsi"/>
                <w:noProof/>
              </w:rPr>
            </w:pPr>
            <w:r w:rsidRPr="00B1522E">
              <w:rPr>
                <w:rFonts w:cstheme="minorHAnsi"/>
                <w:noProof/>
              </w:rPr>
              <w:t>5.32</w:t>
            </w:r>
          </w:p>
        </w:tc>
        <w:tc>
          <w:tcPr>
            <w:tcW w:w="1136" w:type="dxa"/>
            <w:tcBorders>
              <w:top w:val="single" w:sz="4" w:space="0" w:color="auto"/>
            </w:tcBorders>
            <w:vAlign w:val="center"/>
          </w:tcPr>
          <w:p w14:paraId="0C4B5465" w14:textId="77777777" w:rsidR="009E2B5E" w:rsidRPr="00B1522E" w:rsidRDefault="009E2B5E" w:rsidP="00B811CC">
            <w:pPr>
              <w:spacing w:before="240"/>
              <w:jc w:val="center"/>
              <w:rPr>
                <w:rFonts w:cstheme="minorHAnsi"/>
                <w:noProof/>
              </w:rPr>
            </w:pPr>
            <w:r w:rsidRPr="00B1522E">
              <w:rPr>
                <w:rFonts w:cstheme="minorHAnsi"/>
                <w:noProof/>
              </w:rPr>
              <w:t>1.86</w:t>
            </w:r>
          </w:p>
        </w:tc>
        <w:tc>
          <w:tcPr>
            <w:tcW w:w="1144" w:type="dxa"/>
            <w:tcBorders>
              <w:top w:val="single" w:sz="4" w:space="0" w:color="auto"/>
            </w:tcBorders>
            <w:vAlign w:val="center"/>
          </w:tcPr>
          <w:p w14:paraId="40F16362" w14:textId="77777777" w:rsidR="009E2B5E" w:rsidRPr="00B1522E" w:rsidRDefault="009E2B5E" w:rsidP="00B811CC">
            <w:pPr>
              <w:spacing w:before="240"/>
              <w:jc w:val="center"/>
              <w:rPr>
                <w:rFonts w:cstheme="minorHAnsi"/>
                <w:noProof/>
              </w:rPr>
            </w:pPr>
            <w:r w:rsidRPr="00B1522E">
              <w:rPr>
                <w:rFonts w:cstheme="minorHAnsi"/>
                <w:noProof/>
              </w:rPr>
              <w:t>.78</w:t>
            </w:r>
          </w:p>
        </w:tc>
        <w:tc>
          <w:tcPr>
            <w:tcW w:w="992" w:type="dxa"/>
            <w:tcBorders>
              <w:top w:val="single" w:sz="4" w:space="0" w:color="auto"/>
            </w:tcBorders>
            <w:vAlign w:val="center"/>
          </w:tcPr>
          <w:p w14:paraId="077E8564" w14:textId="77777777" w:rsidR="009E2B5E" w:rsidRPr="00B1522E" w:rsidRDefault="009E2B5E" w:rsidP="00B811CC">
            <w:pPr>
              <w:spacing w:before="240"/>
              <w:jc w:val="center"/>
              <w:rPr>
                <w:rFonts w:cstheme="minorHAnsi"/>
                <w:noProof/>
              </w:rPr>
            </w:pPr>
            <w:r w:rsidRPr="00B1522E">
              <w:rPr>
                <w:rFonts w:cstheme="minorHAnsi"/>
                <w:noProof/>
              </w:rPr>
              <w:t>1.97</w:t>
            </w:r>
          </w:p>
        </w:tc>
        <w:tc>
          <w:tcPr>
            <w:tcW w:w="1361" w:type="dxa"/>
            <w:tcBorders>
              <w:top w:val="single" w:sz="4" w:space="0" w:color="auto"/>
            </w:tcBorders>
            <w:vAlign w:val="center"/>
          </w:tcPr>
          <w:p w14:paraId="1BCFF831" w14:textId="77777777" w:rsidR="009E2B5E" w:rsidRPr="00B1522E" w:rsidRDefault="009E2B5E" w:rsidP="00B811CC">
            <w:pPr>
              <w:spacing w:before="240"/>
              <w:jc w:val="center"/>
              <w:rPr>
                <w:rFonts w:cstheme="minorHAnsi"/>
                <w:noProof/>
              </w:rPr>
            </w:pPr>
            <w:r w:rsidRPr="00B1522E">
              <w:rPr>
                <w:rFonts w:cstheme="minorHAnsi"/>
                <w:i/>
                <w:iCs/>
                <w:noProof/>
              </w:rPr>
              <w:t xml:space="preserve">t </w:t>
            </w:r>
            <w:r w:rsidRPr="00B1522E">
              <w:rPr>
                <w:rFonts w:cstheme="minorHAnsi"/>
                <w:noProof/>
              </w:rPr>
              <w:t xml:space="preserve">= </w:t>
            </w:r>
            <w:r w:rsidRPr="00B1522E">
              <w:rPr>
                <w:rFonts w:cstheme="minorHAnsi"/>
              </w:rPr>
              <w:t>5.444</w:t>
            </w:r>
            <w:r w:rsidRPr="00B1522E">
              <w:rPr>
                <w:rFonts w:cstheme="minorHAnsi"/>
                <w:noProof/>
              </w:rPr>
              <w:t>**</w:t>
            </w:r>
          </w:p>
        </w:tc>
      </w:tr>
    </w:tbl>
    <w:bookmarkEnd w:id="209"/>
    <w:p w14:paraId="44A57F7F" w14:textId="77777777" w:rsidR="00C66A55" w:rsidRPr="00B1522E" w:rsidRDefault="00C66A55" w:rsidP="00C66A55">
      <w:pPr>
        <w:pStyle w:val="Caption"/>
        <w:framePr w:hSpace="180" w:wrap="around" w:vAnchor="text" w:hAnchor="page" w:x="1323" w:y="1016"/>
        <w:spacing w:before="240" w:after="0"/>
        <w:jc w:val="both"/>
        <w:rPr>
          <w:rFonts w:cstheme="minorHAnsi"/>
          <w:color w:val="auto"/>
          <w:sz w:val="22"/>
          <w:szCs w:val="22"/>
        </w:rPr>
      </w:pPr>
      <w:r w:rsidRPr="00B1522E">
        <w:rPr>
          <w:rFonts w:cstheme="minorHAnsi"/>
          <w:color w:val="auto"/>
          <w:sz w:val="22"/>
          <w:szCs w:val="22"/>
          <w:vertAlign w:val="superscript"/>
        </w:rPr>
        <w:t>a</w:t>
      </w:r>
      <w:r w:rsidRPr="00B1522E">
        <w:rPr>
          <w:rFonts w:cstheme="minorHAnsi"/>
          <w:color w:val="auto"/>
          <w:sz w:val="22"/>
          <w:szCs w:val="22"/>
        </w:rPr>
        <w:t xml:space="preserve"> Only those participants who answered both the questions about personal attitudes and injunctive norms were included.</w:t>
      </w:r>
    </w:p>
    <w:p w14:paraId="1C1904D4" w14:textId="77777777" w:rsidR="00C66A55" w:rsidRPr="00B1522E" w:rsidRDefault="00C66A55" w:rsidP="00C66A55">
      <w:pPr>
        <w:framePr w:hSpace="180" w:wrap="around" w:vAnchor="text" w:hAnchor="page" w:x="1323" w:y="1016"/>
        <w:spacing w:before="240" w:line="240" w:lineRule="auto"/>
        <w:jc w:val="both"/>
        <w:rPr>
          <w:i/>
          <w:iCs/>
        </w:rPr>
      </w:pPr>
      <w:r w:rsidRPr="00B1522E">
        <w:rPr>
          <w:i/>
          <w:iCs/>
          <w:vertAlign w:val="superscript"/>
        </w:rPr>
        <w:t xml:space="preserve">b </w:t>
      </w:r>
      <w:r w:rsidRPr="00B1522E">
        <w:rPr>
          <w:i/>
          <w:iCs/>
        </w:rPr>
        <w:t>Misperception scores were calculated by s</w:t>
      </w:r>
      <w:r w:rsidRPr="00B1522E">
        <w:rPr>
          <w:rFonts w:cstheme="minorHAnsi"/>
          <w:i/>
          <w:iCs/>
          <w:noProof/>
        </w:rPr>
        <w:t>ubtracting the median of personal snacking attitude of the group from the students’ normative perception (injunctive) of peers’ snacking attitudes.</w:t>
      </w:r>
    </w:p>
    <w:p w14:paraId="06DAFCC1" w14:textId="77777777" w:rsidR="00C66A55" w:rsidRPr="00B1522E" w:rsidRDefault="00C66A55" w:rsidP="00C66A55">
      <w:pPr>
        <w:pStyle w:val="Caption"/>
        <w:framePr w:hSpace="180" w:wrap="around" w:vAnchor="text" w:hAnchor="page" w:x="1323" w:y="1016"/>
        <w:spacing w:before="240"/>
        <w:jc w:val="both"/>
        <w:rPr>
          <w:rFonts w:cstheme="minorHAnsi"/>
          <w:color w:val="auto"/>
          <w:sz w:val="22"/>
          <w:szCs w:val="22"/>
        </w:rPr>
      </w:pPr>
      <w:r w:rsidRPr="00B1522E">
        <w:rPr>
          <w:rFonts w:cstheme="minorHAnsi"/>
          <w:color w:val="auto"/>
          <w:sz w:val="22"/>
          <w:szCs w:val="22"/>
          <w:vertAlign w:val="superscript"/>
        </w:rPr>
        <w:t xml:space="preserve">c </w:t>
      </w:r>
      <w:r w:rsidRPr="00B1522E">
        <w:rPr>
          <w:rFonts w:cstheme="minorHAnsi"/>
          <w:color w:val="auto"/>
          <w:sz w:val="22"/>
          <w:szCs w:val="22"/>
        </w:rPr>
        <w:t>One sample t-tests compare misperception scores to a test value of zero.</w:t>
      </w:r>
    </w:p>
    <w:p w14:paraId="1A1F3362" w14:textId="77777777" w:rsidR="00C66A55" w:rsidRPr="00B1522E" w:rsidRDefault="00C66A55" w:rsidP="00C66A55">
      <w:pPr>
        <w:pStyle w:val="Caption"/>
        <w:framePr w:hSpace="180" w:wrap="around" w:vAnchor="text" w:hAnchor="page" w:x="1323" w:y="1016"/>
        <w:spacing w:before="240"/>
        <w:rPr>
          <w:rFonts w:cstheme="minorHAnsi"/>
          <w:color w:val="auto"/>
          <w:sz w:val="22"/>
          <w:szCs w:val="22"/>
        </w:rPr>
      </w:pPr>
      <w:r w:rsidRPr="00B1522E">
        <w:rPr>
          <w:rFonts w:cstheme="minorHAnsi"/>
          <w:color w:val="auto"/>
          <w:sz w:val="22"/>
          <w:szCs w:val="22"/>
        </w:rPr>
        <w:t>*p &lt; .05</w:t>
      </w:r>
    </w:p>
    <w:p w14:paraId="3A030414" w14:textId="77777777" w:rsidR="00C66A55" w:rsidRPr="00B1522E" w:rsidRDefault="00C66A55" w:rsidP="00C66A55">
      <w:pPr>
        <w:pStyle w:val="Caption"/>
        <w:framePr w:hSpace="180" w:wrap="around" w:vAnchor="text" w:hAnchor="page" w:x="1323" w:y="1016"/>
        <w:spacing w:before="240"/>
        <w:rPr>
          <w:rFonts w:ascii="Georgia" w:eastAsia="Times New Roman" w:hAnsi="Georgia" w:cs="Times New Roman"/>
          <w:color w:val="auto"/>
          <w:sz w:val="22"/>
          <w:szCs w:val="22"/>
          <w:vertAlign w:val="superscript"/>
          <w:lang w:eastAsia="en-GB"/>
        </w:rPr>
      </w:pPr>
      <w:r w:rsidRPr="00B1522E">
        <w:rPr>
          <w:rFonts w:cstheme="minorHAnsi"/>
          <w:color w:val="auto"/>
          <w:sz w:val="22"/>
          <w:szCs w:val="22"/>
        </w:rPr>
        <w:t>**p &lt; .001</w:t>
      </w:r>
      <w:r w:rsidRPr="00B1522E">
        <w:rPr>
          <w:rFonts w:ascii="Georgia" w:eastAsia="Times New Roman" w:hAnsi="Georgia" w:cs="Times New Roman"/>
          <w:color w:val="auto"/>
          <w:sz w:val="22"/>
          <w:szCs w:val="22"/>
          <w:vertAlign w:val="superscript"/>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85"/>
        <w:gridCol w:w="1119"/>
        <w:gridCol w:w="1136"/>
        <w:gridCol w:w="1144"/>
        <w:gridCol w:w="992"/>
        <w:gridCol w:w="1361"/>
      </w:tblGrid>
      <w:tr w:rsidR="009E2B5E" w:rsidRPr="00B1522E" w14:paraId="6B672FE3" w14:textId="77777777" w:rsidTr="00B811CC">
        <w:trPr>
          <w:trHeight w:val="387"/>
        </w:trPr>
        <w:tc>
          <w:tcPr>
            <w:tcW w:w="2689" w:type="dxa"/>
            <w:tcBorders>
              <w:bottom w:val="single" w:sz="4" w:space="0" w:color="auto"/>
            </w:tcBorders>
            <w:vAlign w:val="center"/>
          </w:tcPr>
          <w:p w14:paraId="7F352225" w14:textId="356F9288" w:rsidR="009E2B5E" w:rsidRPr="00B1522E" w:rsidRDefault="009E2B5E" w:rsidP="005E22EA">
            <w:pPr>
              <w:spacing w:before="240"/>
              <w:ind w:left="340" w:hanging="340"/>
              <w:rPr>
                <w:rFonts w:cstheme="minorHAnsi"/>
                <w:noProof/>
              </w:rPr>
            </w:pPr>
            <w:r w:rsidRPr="00B1522E">
              <w:rPr>
                <w:rFonts w:cstheme="minorHAnsi"/>
                <w:noProof/>
              </w:rPr>
              <w:t>Attitude towards reducing unhealthy snacking</w:t>
            </w:r>
          </w:p>
        </w:tc>
        <w:tc>
          <w:tcPr>
            <w:tcW w:w="585" w:type="dxa"/>
            <w:tcBorders>
              <w:bottom w:val="single" w:sz="4" w:space="0" w:color="auto"/>
            </w:tcBorders>
            <w:vAlign w:val="center"/>
          </w:tcPr>
          <w:p w14:paraId="346BDB3B" w14:textId="77777777" w:rsidR="009E2B5E" w:rsidRPr="00B1522E" w:rsidRDefault="009E2B5E" w:rsidP="00B811CC">
            <w:pPr>
              <w:spacing w:before="240"/>
              <w:jc w:val="center"/>
              <w:rPr>
                <w:rFonts w:cstheme="minorHAnsi"/>
                <w:noProof/>
              </w:rPr>
            </w:pPr>
            <w:r w:rsidRPr="00B1522E">
              <w:rPr>
                <w:rFonts w:cstheme="minorHAnsi"/>
                <w:noProof/>
              </w:rPr>
              <w:t>190</w:t>
            </w:r>
          </w:p>
        </w:tc>
        <w:tc>
          <w:tcPr>
            <w:tcW w:w="1119" w:type="dxa"/>
            <w:tcBorders>
              <w:bottom w:val="single" w:sz="4" w:space="0" w:color="auto"/>
            </w:tcBorders>
            <w:vAlign w:val="center"/>
          </w:tcPr>
          <w:p w14:paraId="28C62E97" w14:textId="77777777" w:rsidR="009E2B5E" w:rsidRPr="00B1522E" w:rsidRDefault="009E2B5E" w:rsidP="00B811CC">
            <w:pPr>
              <w:spacing w:before="240"/>
              <w:jc w:val="center"/>
              <w:rPr>
                <w:rFonts w:cstheme="minorHAnsi"/>
                <w:noProof/>
              </w:rPr>
            </w:pPr>
            <w:r w:rsidRPr="00B1522E">
              <w:rPr>
                <w:rFonts w:cstheme="minorHAnsi"/>
                <w:noProof/>
              </w:rPr>
              <w:t>6.87</w:t>
            </w:r>
          </w:p>
        </w:tc>
        <w:tc>
          <w:tcPr>
            <w:tcW w:w="1136" w:type="dxa"/>
            <w:tcBorders>
              <w:bottom w:val="single" w:sz="4" w:space="0" w:color="auto"/>
            </w:tcBorders>
            <w:vAlign w:val="center"/>
          </w:tcPr>
          <w:p w14:paraId="55F62D9F" w14:textId="77777777" w:rsidR="009E2B5E" w:rsidRPr="00B1522E" w:rsidRDefault="009E2B5E" w:rsidP="00B811CC">
            <w:pPr>
              <w:spacing w:before="240"/>
              <w:jc w:val="center"/>
              <w:rPr>
                <w:rFonts w:cstheme="minorHAnsi"/>
                <w:noProof/>
              </w:rPr>
            </w:pPr>
            <w:r w:rsidRPr="00B1522E">
              <w:rPr>
                <w:rFonts w:cstheme="minorHAnsi"/>
                <w:noProof/>
              </w:rPr>
              <w:t>2.40</w:t>
            </w:r>
          </w:p>
        </w:tc>
        <w:tc>
          <w:tcPr>
            <w:tcW w:w="1144" w:type="dxa"/>
            <w:tcBorders>
              <w:bottom w:val="single" w:sz="4" w:space="0" w:color="auto"/>
            </w:tcBorders>
            <w:vAlign w:val="center"/>
          </w:tcPr>
          <w:p w14:paraId="604113A3" w14:textId="77777777" w:rsidR="009E2B5E" w:rsidRPr="00B1522E" w:rsidRDefault="009E2B5E" w:rsidP="00B811CC">
            <w:pPr>
              <w:spacing w:before="240"/>
              <w:jc w:val="center"/>
              <w:rPr>
                <w:rFonts w:cstheme="minorHAnsi"/>
                <w:noProof/>
              </w:rPr>
            </w:pPr>
            <w:r w:rsidRPr="00B1522E">
              <w:rPr>
                <w:rFonts w:cstheme="minorHAnsi"/>
                <w:noProof/>
              </w:rPr>
              <w:t>-.38</w:t>
            </w:r>
          </w:p>
        </w:tc>
        <w:tc>
          <w:tcPr>
            <w:tcW w:w="992" w:type="dxa"/>
            <w:tcBorders>
              <w:bottom w:val="single" w:sz="4" w:space="0" w:color="auto"/>
            </w:tcBorders>
            <w:vAlign w:val="center"/>
          </w:tcPr>
          <w:p w14:paraId="3B9B3D1D" w14:textId="77777777" w:rsidR="009E2B5E" w:rsidRPr="00B1522E" w:rsidRDefault="009E2B5E" w:rsidP="00B811CC">
            <w:pPr>
              <w:spacing w:before="240"/>
              <w:jc w:val="center"/>
              <w:rPr>
                <w:rFonts w:cstheme="minorHAnsi"/>
                <w:noProof/>
              </w:rPr>
            </w:pPr>
            <w:r w:rsidRPr="00B1522E">
              <w:rPr>
                <w:rFonts w:cstheme="minorHAnsi"/>
                <w:noProof/>
              </w:rPr>
              <w:t>2.42</w:t>
            </w:r>
          </w:p>
        </w:tc>
        <w:tc>
          <w:tcPr>
            <w:tcW w:w="1361" w:type="dxa"/>
            <w:tcBorders>
              <w:bottom w:val="single" w:sz="4" w:space="0" w:color="auto"/>
            </w:tcBorders>
            <w:vAlign w:val="center"/>
          </w:tcPr>
          <w:p w14:paraId="4D8466C3" w14:textId="77777777" w:rsidR="009E2B5E" w:rsidRPr="00B1522E" w:rsidRDefault="009E2B5E" w:rsidP="00B811CC">
            <w:pPr>
              <w:spacing w:before="240"/>
              <w:jc w:val="center"/>
              <w:rPr>
                <w:rFonts w:cstheme="minorHAnsi"/>
                <w:noProof/>
              </w:rPr>
            </w:pPr>
            <w:r w:rsidRPr="00B1522E">
              <w:rPr>
                <w:rFonts w:cstheme="minorHAnsi"/>
                <w:i/>
                <w:iCs/>
              </w:rPr>
              <w:t>t</w:t>
            </w:r>
            <w:r w:rsidRPr="00B1522E">
              <w:rPr>
                <w:rFonts w:cstheme="minorHAnsi"/>
              </w:rPr>
              <w:t xml:space="preserve"> = -2.159*</w:t>
            </w:r>
          </w:p>
        </w:tc>
      </w:tr>
      <w:bookmarkEnd w:id="207"/>
      <w:bookmarkEnd w:id="210"/>
    </w:tbl>
    <w:p w14:paraId="2727A655" w14:textId="77777777" w:rsidR="00730501" w:rsidRPr="00B1522E" w:rsidRDefault="00730501" w:rsidP="00730501">
      <w:pPr>
        <w:tabs>
          <w:tab w:val="left" w:pos="5387"/>
        </w:tabs>
        <w:spacing w:line="480" w:lineRule="auto"/>
        <w:jc w:val="both"/>
        <w:rPr>
          <w:rFonts w:cstheme="minorHAnsi"/>
        </w:rPr>
      </w:pPr>
    </w:p>
    <w:p w14:paraId="42CBE46D" w14:textId="77777777" w:rsidR="00556711" w:rsidRPr="00B1522E" w:rsidRDefault="00556711" w:rsidP="00E61CDA">
      <w:pPr>
        <w:pStyle w:val="Heading3"/>
        <w:rPr>
          <w:rFonts w:asciiTheme="minorHAnsi" w:hAnsiTheme="minorHAnsi" w:cstheme="minorHAnsi"/>
          <w:b w:val="0"/>
          <w:bCs w:val="0"/>
          <w:sz w:val="22"/>
          <w:szCs w:val="22"/>
        </w:rPr>
      </w:pPr>
    </w:p>
    <w:bookmarkStart w:id="211" w:name="_Toc84678955"/>
    <w:p w14:paraId="3C3B50FF" w14:textId="7782B545" w:rsidR="002D6D48" w:rsidRPr="00B1522E" w:rsidRDefault="00B932D9" w:rsidP="002A5D26">
      <w:pPr>
        <w:spacing w:line="480" w:lineRule="auto"/>
      </w:pPr>
      <w:r w:rsidRPr="00B1522E">
        <w:fldChar w:fldCharType="begin"/>
      </w:r>
      <w:r w:rsidRPr="00B1522E">
        <w:instrText xml:space="preserve"> TC  "</w:instrText>
      </w:r>
      <w:bookmarkStart w:id="212" w:name="_Toc97310493"/>
      <w:r w:rsidRPr="00B1522E">
        <w:instrText>7.4.5 Regression analyses</w:instrText>
      </w:r>
      <w:bookmarkEnd w:id="212"/>
      <w:r w:rsidRPr="00B1522E">
        <w:instrText xml:space="preserve"> " \f x\l 3 </w:instrText>
      </w:r>
      <w:r w:rsidRPr="00B1522E">
        <w:fldChar w:fldCharType="end"/>
      </w:r>
      <w:r w:rsidR="00E61CDA" w:rsidRPr="00B1522E">
        <w:t>7.4</w:t>
      </w:r>
      <w:r w:rsidR="00730501" w:rsidRPr="00B1522E">
        <w:t>.5 Regression analyses</w:t>
      </w:r>
      <w:bookmarkEnd w:id="211"/>
    </w:p>
    <w:p w14:paraId="23FE0FDE" w14:textId="63C92893" w:rsidR="00E61CDA" w:rsidRPr="00B1522E" w:rsidRDefault="00E61CDA" w:rsidP="002A5D26">
      <w:pPr>
        <w:spacing w:line="480" w:lineRule="auto"/>
      </w:pPr>
      <w:r w:rsidRPr="00B1522E">
        <w:t>7.4</w:t>
      </w:r>
      <w:r w:rsidR="00730501" w:rsidRPr="00B1522E">
        <w:t>.5.1 The role of perceived norms in predicting students’ unhealthy snacking</w:t>
      </w:r>
    </w:p>
    <w:p w14:paraId="717CCE66" w14:textId="6D9ABBDC" w:rsidR="00730501" w:rsidRPr="00B1522E" w:rsidRDefault="00730501" w:rsidP="002D6D48">
      <w:pPr>
        <w:spacing w:line="480" w:lineRule="auto"/>
        <w:jc w:val="both"/>
        <w:rPr>
          <w:rFonts w:cstheme="minorHAnsi"/>
        </w:rPr>
      </w:pPr>
      <w:r w:rsidRPr="00B1522E">
        <w:rPr>
          <w:rFonts w:cstheme="minorHAnsi"/>
        </w:rPr>
        <w:t>Testing hypothesis two, the first regression explores the association between students’ misperceptions of peers’ snacking behaviour and related attitudes, with students’ personal unhealthy snacking consumption. Students’ sex and p</w:t>
      </w:r>
      <w:r w:rsidRPr="00B1522E">
        <w:rPr>
          <w:rFonts w:cstheme="minorHAnsi"/>
          <w:noProof/>
        </w:rPr>
        <w:t xml:space="preserve">ersonal attitude towards unhealthy snacking were controlled and entered as a covariates in Block 1 of the regression </w:t>
      </w:r>
      <w:r w:rsidRPr="00B1522E">
        <w:rPr>
          <w:rFonts w:cstheme="minorHAnsi"/>
        </w:rPr>
        <w:t xml:space="preserve">(as previously-conducted focus groups indicated there could be sex differences in beliefs and perceptions </w:t>
      </w:r>
      <w:r w:rsidR="00E65A76" w:rsidRPr="00B1522E">
        <w:rPr>
          <w:rFonts w:cstheme="minorHAnsi"/>
        </w:rPr>
        <w:t xml:space="preserve">(Chapter 5) </w:t>
      </w:r>
      <w:r w:rsidR="005710FF" w:rsidRPr="00B1522E">
        <w:rPr>
          <w:rFonts w:cstheme="minorHAnsi"/>
        </w:rPr>
        <w:fldChar w:fldCharType="begin" w:fldLock="1"/>
      </w:r>
      <w:r w:rsidR="00C654DE" w:rsidRPr="00B1522E">
        <w:rPr>
          <w:rFonts w:cstheme="minorHAnsi"/>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005710FF" w:rsidRPr="00B1522E">
        <w:rPr>
          <w:rFonts w:cstheme="minorHAnsi"/>
        </w:rPr>
        <w:fldChar w:fldCharType="separate"/>
      </w:r>
      <w:r w:rsidR="00355350" w:rsidRPr="00B1522E">
        <w:rPr>
          <w:rFonts w:cstheme="minorHAnsi"/>
          <w:noProof/>
        </w:rPr>
        <w:t>(Calvert et al., 2020)</w:t>
      </w:r>
      <w:r w:rsidR="005710FF" w:rsidRPr="00B1522E">
        <w:rPr>
          <w:rFonts w:cstheme="minorHAnsi"/>
        </w:rPr>
        <w:fldChar w:fldCharType="end"/>
      </w:r>
      <w:r w:rsidR="00E65A76" w:rsidRPr="00B1522E">
        <w:rPr>
          <w:rFonts w:cstheme="minorHAnsi"/>
        </w:rPr>
        <w:t xml:space="preserve"> </w:t>
      </w:r>
      <w:r w:rsidRPr="00B1522E">
        <w:rPr>
          <w:rFonts w:cstheme="minorHAnsi"/>
        </w:rPr>
        <w:t xml:space="preserve">and as personal attitudes may influence personal behaviour; </w:t>
      </w:r>
      <w:r w:rsidRPr="00B1522E">
        <w:rPr>
          <w:rFonts w:cstheme="minorHAnsi"/>
        </w:rPr>
        <w:fldChar w:fldCharType="begin" w:fldLock="1"/>
      </w:r>
      <w:r w:rsidRPr="00B1522E">
        <w:rPr>
          <w:rFonts w:cstheme="minorHAnsi"/>
        </w:rPr>
        <w:instrText>ADDIN CSL_CITATION {"citationItems":[{"id":"ITEM-1","itemData":{"author":[{"dropping-particle":"","family":"Bem","given":"Daryl J","non-dropping-particle":"","parse-names":false,"suffix":""}],"container-title":"Advances in experimental social psychology","id":"ITEM-1","issue":"1","issued":{"date-parts":[["1972"]]},"page":"1-62","publisher":"New York, NY","title":"Self-perception theory","type":"article-journal","volume":"6"},"uris":["http://www.mendeley.com/documents/?uuid=e734037a-ef20-471d-8506-8a23c2164f5b"]}],"mendeley":{"formattedCitation":"(Bem, 1972)","manualFormatting":"Bem, 1972)","plainTextFormattedCitation":"(Bem, 1972)","previouslyFormattedCitation":"(Bem, 1972)"},"properties":{"noteIndex":0},"schema":"https://github.com/citation-style-language/schema/raw/master/csl-citation.json"}</w:instrText>
      </w:r>
      <w:r w:rsidRPr="00B1522E">
        <w:rPr>
          <w:rFonts w:cstheme="minorHAnsi"/>
        </w:rPr>
        <w:fldChar w:fldCharType="separate"/>
      </w:r>
      <w:r w:rsidRPr="00B1522E">
        <w:rPr>
          <w:rFonts w:cstheme="minorHAnsi"/>
          <w:noProof/>
        </w:rPr>
        <w:t>Bem, 1972)</w:t>
      </w:r>
      <w:r w:rsidRPr="00B1522E">
        <w:rPr>
          <w:rFonts w:cstheme="minorHAnsi"/>
        </w:rPr>
        <w:fldChar w:fldCharType="end"/>
      </w:r>
      <w:r w:rsidRPr="00B1522E">
        <w:rPr>
          <w:rFonts w:cstheme="minorHAnsi"/>
          <w:noProof/>
        </w:rPr>
        <w:t xml:space="preserve">, while misperceptions about peers’ snacking behaviour and misperceptions about peers’ attitude towards unhealthy snacking were entered in Block 2. </w:t>
      </w:r>
      <w:r w:rsidRPr="00B1522E">
        <w:rPr>
          <w:rFonts w:cstheme="minorHAnsi"/>
          <w:shd w:val="clear" w:color="auto" w:fill="FFFFFF"/>
        </w:rPr>
        <w:t xml:space="preserve">The regression indicated no evidence of collinearity after conducting </w:t>
      </w:r>
      <w:r w:rsidRPr="00B1522E">
        <w:rPr>
          <w:rFonts w:cstheme="minorHAnsi"/>
          <w:shd w:val="clear" w:color="auto" w:fill="FFFFFF"/>
        </w:rPr>
        <w:lastRenderedPageBreak/>
        <w:t xml:space="preserve">diagnostic tests, and an analysis of standard residuals revealed no cases to be outside the range +/- 3.29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BN":"1446274586","author":[{"dropping-particle":"","family":"Field","given":"Andy","non-dropping-particle":"","parse-names":false,"suffix":""}],"id":"ITEM-1","issued":{"date-parts":[["2013"]]},"publisher":"Sage","publisher-place":"London","title":"Discovering statistics using IBM SPSS statistics","type":"book"},"uris":["http://www.mendeley.com/documents/?uuid=1e097d10-b099-44d2-bb82-0323b21b4daf"]}],"mendeley":{"formattedCitation":"(Field, 2013)","plainTextFormattedCitation":"(Field, 2013)","previouslyFormattedCitation":"(Field, 2013)"},"properties":{"noteIndex":0},"schema":"https://github.com/citation-style-language/schema/raw/master/csl-citation.json"}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(Field, 2013)</w:t>
      </w:r>
      <w:r w:rsidRPr="00B1522E">
        <w:rPr>
          <w:rFonts w:cstheme="minorHAnsi"/>
          <w:shd w:val="clear" w:color="auto" w:fill="FFFFFF"/>
        </w:rPr>
        <w:fldChar w:fldCharType="end"/>
      </w:r>
      <w:r w:rsidRPr="00B1522E">
        <w:rPr>
          <w:rFonts w:cstheme="minorHAnsi"/>
          <w:shd w:val="clear" w:color="auto" w:fill="FFFFFF"/>
        </w:rPr>
        <w:t>.</w:t>
      </w:r>
    </w:p>
    <w:p w14:paraId="5C072480" w14:textId="00992454" w:rsidR="00730501" w:rsidRPr="00B1522E" w:rsidRDefault="00730501" w:rsidP="00730501">
      <w:pPr>
        <w:tabs>
          <w:tab w:val="left" w:pos="0"/>
        </w:tabs>
        <w:spacing w:line="480" w:lineRule="auto"/>
        <w:jc w:val="both"/>
        <w:rPr>
          <w:rFonts w:cstheme="minorHAnsi"/>
          <w:noProof/>
        </w:rPr>
      </w:pPr>
      <w:r w:rsidRPr="00B1522E">
        <w:rPr>
          <w:rFonts w:cstheme="minorHAnsi"/>
          <w:noProof/>
        </w:rPr>
        <w:tab/>
        <w:t xml:space="preserve">Personal attitude towards unhealthy snacking and students’ sex were not significant predictors of personal unhealthy snacking behaviour in Block 1, </w:t>
      </w:r>
      <w:r w:rsidRPr="00B1522E">
        <w:rPr>
          <w:rFonts w:cstheme="minorHAnsi"/>
          <w:i/>
          <w:iCs/>
          <w:noProof/>
        </w:rPr>
        <w:t>F</w:t>
      </w:r>
      <w:r w:rsidRPr="00B1522E">
        <w:rPr>
          <w:rFonts w:cstheme="minorHAnsi"/>
          <w:noProof/>
        </w:rPr>
        <w:t xml:space="preserve">(2, 161) = 2.179, </w:t>
      </w:r>
      <w:r w:rsidRPr="00B1522E">
        <w:rPr>
          <w:rFonts w:cstheme="minorHAnsi"/>
          <w:i/>
          <w:iCs/>
          <w:noProof/>
        </w:rPr>
        <w:t>p</w:t>
      </w:r>
      <w:r w:rsidRPr="00B1522E">
        <w:rPr>
          <w:rFonts w:cstheme="minorHAnsi"/>
          <w:noProof/>
        </w:rPr>
        <w:t xml:space="preserve"> = .116. Block 2 accounted for 8.5% of the variance in personal unhealthy snacking behaviour, and adding the second Block led to the overall model becoming statistically significant,  </w:t>
      </w:r>
      <w:r w:rsidRPr="00B1522E">
        <w:rPr>
          <w:rFonts w:cstheme="minorHAnsi"/>
          <w:i/>
          <w:iCs/>
          <w:noProof/>
        </w:rPr>
        <w:t>F</w:t>
      </w:r>
      <w:r w:rsidRPr="00B1522E">
        <w:rPr>
          <w:rFonts w:cstheme="minorHAnsi"/>
          <w:noProof/>
        </w:rPr>
        <w:t xml:space="preserve">(4, 159) = 3.691, </w:t>
      </w:r>
      <w:r w:rsidRPr="00B1522E">
        <w:rPr>
          <w:rFonts w:cstheme="minorHAnsi"/>
          <w:i/>
          <w:iCs/>
          <w:noProof/>
        </w:rPr>
        <w:t>p</w:t>
      </w:r>
      <w:r w:rsidRPr="00B1522E">
        <w:rPr>
          <w:rFonts w:cstheme="minorHAnsi"/>
          <w:noProof/>
        </w:rPr>
        <w:t xml:space="preserve"> = .007, with misperceptions of peers’ unhealthy snacking behaviour (β = 0.16, </w:t>
      </w:r>
      <w:r w:rsidRPr="00B1522E">
        <w:rPr>
          <w:rFonts w:cstheme="minorHAnsi"/>
          <w:i/>
          <w:iCs/>
          <w:noProof/>
        </w:rPr>
        <w:t>p</w:t>
      </w:r>
      <w:r w:rsidRPr="00B1522E">
        <w:rPr>
          <w:rFonts w:cstheme="minorHAnsi"/>
          <w:noProof/>
        </w:rPr>
        <w:t xml:space="preserve"> = .035) and misperceptions of peers’ attitude towards unhealthy snacking (β = 0.18, </w:t>
      </w:r>
      <w:r w:rsidRPr="00B1522E">
        <w:rPr>
          <w:rFonts w:cstheme="minorHAnsi"/>
          <w:i/>
          <w:iCs/>
          <w:noProof/>
        </w:rPr>
        <w:t>p</w:t>
      </w:r>
      <w:r w:rsidRPr="00B1522E">
        <w:rPr>
          <w:rFonts w:cstheme="minorHAnsi"/>
          <w:noProof/>
        </w:rPr>
        <w:t xml:space="preserve"> = .028) being  significant predictors of personal unhealthy snacking behaviour (Table </w:t>
      </w:r>
      <w:r w:rsidR="00A26CFC" w:rsidRPr="00B1522E">
        <w:rPr>
          <w:rFonts w:cstheme="minorHAnsi"/>
          <w:noProof/>
        </w:rPr>
        <w:t>1</w:t>
      </w:r>
      <w:r w:rsidR="007A3DF9" w:rsidRPr="00B1522E">
        <w:rPr>
          <w:rFonts w:cstheme="minorHAnsi"/>
          <w:noProof/>
        </w:rPr>
        <w:t>4</w:t>
      </w:r>
      <w:r w:rsidRPr="00B1522E">
        <w:rPr>
          <w:rFonts w:cstheme="minorHAnsi"/>
          <w:noProof/>
        </w:rPr>
        <w:t xml:space="preserve">). These results indicate that those students who overestimated peers’ unhealthy snacking behaviour, and  misperceived peers to have more positive attitudes towards unhealthy snacking, reported consuming a greater number of unhealthy snacks themselves. </w:t>
      </w:r>
    </w:p>
    <w:p w14:paraId="1BDED2EF" w14:textId="77777777" w:rsidR="00D90DEF" w:rsidRPr="00B1522E" w:rsidRDefault="00D90DEF" w:rsidP="00730501">
      <w:pPr>
        <w:tabs>
          <w:tab w:val="left" w:pos="0"/>
        </w:tabs>
        <w:spacing w:line="480" w:lineRule="auto"/>
        <w:jc w:val="both"/>
        <w:rPr>
          <w:rFonts w:cstheme="minorHAnsi"/>
          <w:noProof/>
        </w:rPr>
      </w:pPr>
    </w:p>
    <w:p w14:paraId="50266DEE" w14:textId="7BAD4493" w:rsidR="00131634" w:rsidRPr="00B1522E" w:rsidRDefault="003F74FC" w:rsidP="00131634">
      <w:pPr>
        <w:pStyle w:val="Caption"/>
        <w:keepNext/>
        <w:rPr>
          <w:rFonts w:cstheme="minorHAnsi"/>
          <w:i w:val="0"/>
          <w:iCs w:val="0"/>
          <w:color w:val="auto"/>
          <w:sz w:val="22"/>
          <w:szCs w:val="22"/>
        </w:rPr>
      </w:pPr>
      <w:r w:rsidRPr="00B1522E">
        <w:rPr>
          <w:rFonts w:cstheme="minorHAnsi"/>
          <w:b/>
          <w:bCs/>
          <w:i w:val="0"/>
          <w:iCs w:val="0"/>
          <w:color w:val="auto"/>
          <w:sz w:val="22"/>
          <w:szCs w:val="22"/>
        </w:rPr>
        <w:fldChar w:fldCharType="begin"/>
      </w:r>
      <w:r w:rsidRPr="00B1522E">
        <w:rPr>
          <w:rFonts w:cstheme="minorHAnsi"/>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213" w:name="_Toc97557137"/>
      <w:r w:rsidRPr="00B1522E">
        <w:rPr>
          <w:rFonts w:cstheme="minorHAnsi"/>
          <w:i w:val="0"/>
          <w:iCs w:val="0"/>
          <w:color w:val="auto"/>
          <w:sz w:val="22"/>
          <w:szCs w:val="22"/>
        </w:rPr>
        <w:instrText xml:space="preserve">Table </w:instrText>
      </w:r>
      <w:r w:rsidR="00B61682" w:rsidRPr="00B1522E">
        <w:rPr>
          <w:rFonts w:cstheme="minorHAnsi"/>
          <w:i w:val="0"/>
          <w:iCs w:val="0"/>
          <w:color w:val="auto"/>
          <w:sz w:val="22"/>
          <w:szCs w:val="22"/>
        </w:rPr>
        <w:instrText>1</w:instrText>
      </w:r>
      <w:r w:rsidR="00620661" w:rsidRPr="00B1522E">
        <w:rPr>
          <w:rFonts w:cstheme="minorHAnsi"/>
          <w:i w:val="0"/>
          <w:iCs w:val="0"/>
          <w:color w:val="auto"/>
          <w:sz w:val="22"/>
          <w:szCs w:val="22"/>
        </w:rPr>
        <w:instrText>4</w:instrText>
      </w:r>
      <w:r w:rsidRPr="00B1522E">
        <w:rPr>
          <w:rFonts w:cstheme="minorHAnsi"/>
          <w:i w:val="0"/>
          <w:iCs w:val="0"/>
          <w:noProof/>
          <w:color w:val="auto"/>
          <w:sz w:val="22"/>
          <w:szCs w:val="22"/>
        </w:rPr>
        <w:instrText>.</w:instrText>
      </w:r>
      <w:r w:rsidRPr="00B1522E">
        <w:rPr>
          <w:rFonts w:cstheme="minorHAnsi"/>
          <w:i w:val="0"/>
          <w:iCs w:val="0"/>
          <w:color w:val="auto"/>
          <w:sz w:val="22"/>
          <w:szCs w:val="22"/>
        </w:rPr>
        <w:instrText xml:space="preserve"> Hierarchical regression predicting students’ weekly consumption of unhealthy snacks.</w:instrText>
      </w:r>
      <w:bookmarkEnd w:id="213"/>
      <w:r w:rsidR="00686F5E" w:rsidRPr="00B1522E">
        <w:rPr>
          <w:rFonts w:cstheme="minorHAnsi"/>
          <w:i w:val="0"/>
          <w:iCs w:val="0"/>
          <w:color w:val="auto"/>
          <w:sz w:val="22"/>
          <w:szCs w:val="22"/>
        </w:rPr>
        <w:instrText>”</w:instrText>
      </w:r>
      <w:r w:rsidRPr="00B1522E">
        <w:rPr>
          <w:rFonts w:cstheme="minorHAnsi"/>
          <w:b/>
          <w:bCs/>
          <w:i w:val="0"/>
          <w:iCs w:val="0"/>
          <w:color w:val="auto"/>
          <w:sz w:val="22"/>
          <w:szCs w:val="22"/>
        </w:rPr>
        <w:instrText xml:space="preserve">\f z\l 2 </w:instrText>
      </w:r>
      <w:r w:rsidRPr="00B1522E">
        <w:rPr>
          <w:rFonts w:cstheme="minorHAnsi"/>
          <w:b/>
          <w:bCs/>
          <w:i w:val="0"/>
          <w:iCs w:val="0"/>
          <w:color w:val="auto"/>
          <w:sz w:val="22"/>
          <w:szCs w:val="22"/>
        </w:rPr>
        <w:fldChar w:fldCharType="end"/>
      </w:r>
      <w:r w:rsidR="00131634" w:rsidRPr="00B1522E">
        <w:rPr>
          <w:rFonts w:cstheme="minorHAnsi"/>
          <w:i w:val="0"/>
          <w:iCs w:val="0"/>
          <w:color w:val="auto"/>
          <w:sz w:val="22"/>
          <w:szCs w:val="22"/>
        </w:rPr>
        <w:t xml:space="preserve">Table </w:t>
      </w:r>
      <w:r w:rsidR="00B61682" w:rsidRPr="00B1522E">
        <w:rPr>
          <w:rFonts w:cstheme="minorHAnsi"/>
          <w:i w:val="0"/>
          <w:iCs w:val="0"/>
          <w:color w:val="auto"/>
          <w:sz w:val="22"/>
          <w:szCs w:val="22"/>
        </w:rPr>
        <w:t>1</w:t>
      </w:r>
      <w:r w:rsidR="00620661" w:rsidRPr="00B1522E">
        <w:rPr>
          <w:rFonts w:cstheme="minorHAnsi"/>
          <w:i w:val="0"/>
          <w:iCs w:val="0"/>
          <w:color w:val="auto"/>
          <w:sz w:val="22"/>
          <w:szCs w:val="22"/>
        </w:rPr>
        <w:t>4</w:t>
      </w:r>
      <w:r w:rsidR="00131634" w:rsidRPr="00B1522E">
        <w:rPr>
          <w:rFonts w:cstheme="minorHAnsi"/>
          <w:i w:val="0"/>
          <w:iCs w:val="0"/>
          <w:noProof/>
          <w:color w:val="auto"/>
          <w:sz w:val="22"/>
          <w:szCs w:val="22"/>
        </w:rPr>
        <w:t>.</w:t>
      </w:r>
      <w:r w:rsidR="00131634" w:rsidRPr="00B1522E">
        <w:rPr>
          <w:rFonts w:cstheme="minorHAnsi"/>
          <w:i w:val="0"/>
          <w:iCs w:val="0"/>
          <w:color w:val="auto"/>
          <w:sz w:val="22"/>
          <w:szCs w:val="22"/>
        </w:rPr>
        <w:t xml:space="preserve"> Hierarchical regression predicting students’ weekly consumption of unhealthy snacks.</w:t>
      </w:r>
    </w:p>
    <w:tbl>
      <w:tblPr>
        <w:tblStyle w:val="TableGrid"/>
        <w:tblpPr w:leftFromText="180" w:rightFromText="180" w:vertAnchor="text" w:horzAnchor="margin" w:tblpY="-54"/>
        <w:tblW w:w="8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51"/>
        <w:gridCol w:w="708"/>
        <w:gridCol w:w="709"/>
        <w:gridCol w:w="709"/>
        <w:gridCol w:w="733"/>
        <w:gridCol w:w="742"/>
        <w:gridCol w:w="793"/>
        <w:gridCol w:w="691"/>
      </w:tblGrid>
      <w:tr w:rsidR="00E77769" w:rsidRPr="00B1522E" w14:paraId="28636192" w14:textId="77777777" w:rsidTr="00B811CC">
        <w:trPr>
          <w:trHeight w:val="276"/>
        </w:trPr>
        <w:tc>
          <w:tcPr>
            <w:tcW w:w="2977" w:type="dxa"/>
            <w:tcBorders>
              <w:top w:val="single" w:sz="4" w:space="0" w:color="auto"/>
            </w:tcBorders>
          </w:tcPr>
          <w:p w14:paraId="6D5415CE" w14:textId="77777777" w:rsidR="00131634" w:rsidRPr="00B1522E" w:rsidRDefault="00131634" w:rsidP="00B811CC">
            <w:pPr>
              <w:rPr>
                <w:rFonts w:cstheme="minorHAnsi"/>
                <w:noProof/>
              </w:rPr>
            </w:pPr>
            <w:r w:rsidRPr="00B1522E">
              <w:rPr>
                <w:rFonts w:cstheme="minorHAnsi"/>
                <w:noProof/>
              </w:rPr>
              <w:t xml:space="preserve">Variables </w:t>
            </w:r>
          </w:p>
        </w:tc>
        <w:tc>
          <w:tcPr>
            <w:tcW w:w="2977" w:type="dxa"/>
            <w:gridSpan w:val="4"/>
            <w:tcBorders>
              <w:top w:val="single" w:sz="4" w:space="0" w:color="auto"/>
              <w:bottom w:val="single" w:sz="4" w:space="0" w:color="auto"/>
            </w:tcBorders>
            <w:vAlign w:val="center"/>
          </w:tcPr>
          <w:p w14:paraId="4DD57194" w14:textId="77777777" w:rsidR="00131634" w:rsidRPr="00B1522E" w:rsidRDefault="00131634" w:rsidP="00B811CC">
            <w:pPr>
              <w:jc w:val="center"/>
              <w:rPr>
                <w:rFonts w:cstheme="minorHAnsi"/>
                <w:noProof/>
              </w:rPr>
            </w:pPr>
            <w:r w:rsidRPr="00B1522E">
              <w:rPr>
                <w:rFonts w:cstheme="minorHAnsi"/>
                <w:noProof/>
              </w:rPr>
              <w:t>Block 1</w:t>
            </w:r>
          </w:p>
        </w:tc>
        <w:tc>
          <w:tcPr>
            <w:tcW w:w="2959" w:type="dxa"/>
            <w:gridSpan w:val="4"/>
            <w:tcBorders>
              <w:top w:val="single" w:sz="4" w:space="0" w:color="auto"/>
              <w:bottom w:val="single" w:sz="4" w:space="0" w:color="auto"/>
            </w:tcBorders>
            <w:vAlign w:val="center"/>
          </w:tcPr>
          <w:p w14:paraId="10730A6B" w14:textId="77777777" w:rsidR="00131634" w:rsidRPr="00B1522E" w:rsidRDefault="00131634" w:rsidP="00B811CC">
            <w:pPr>
              <w:jc w:val="center"/>
              <w:rPr>
                <w:rFonts w:cstheme="minorHAnsi"/>
                <w:noProof/>
              </w:rPr>
            </w:pPr>
            <w:r w:rsidRPr="00B1522E">
              <w:rPr>
                <w:rFonts w:cstheme="minorHAnsi"/>
                <w:noProof/>
              </w:rPr>
              <w:t>Block 2</w:t>
            </w:r>
          </w:p>
        </w:tc>
      </w:tr>
      <w:tr w:rsidR="00E77769" w:rsidRPr="00B1522E" w14:paraId="59172190" w14:textId="77777777" w:rsidTr="00B811CC">
        <w:trPr>
          <w:trHeight w:val="288"/>
        </w:trPr>
        <w:tc>
          <w:tcPr>
            <w:tcW w:w="2977" w:type="dxa"/>
            <w:tcBorders>
              <w:bottom w:val="single" w:sz="4" w:space="0" w:color="auto"/>
            </w:tcBorders>
          </w:tcPr>
          <w:p w14:paraId="07A2E872" w14:textId="77777777" w:rsidR="00131634" w:rsidRPr="00B1522E" w:rsidRDefault="00131634" w:rsidP="00B811CC">
            <w:pPr>
              <w:rPr>
                <w:rFonts w:cstheme="minorHAnsi"/>
                <w:noProof/>
              </w:rPr>
            </w:pPr>
          </w:p>
        </w:tc>
        <w:tc>
          <w:tcPr>
            <w:tcW w:w="851" w:type="dxa"/>
            <w:tcBorders>
              <w:top w:val="single" w:sz="4" w:space="0" w:color="auto"/>
              <w:bottom w:val="single" w:sz="4" w:space="0" w:color="auto"/>
            </w:tcBorders>
            <w:vAlign w:val="center"/>
          </w:tcPr>
          <w:p w14:paraId="0FBC1F0E" w14:textId="77777777" w:rsidR="00131634" w:rsidRPr="00B1522E" w:rsidRDefault="00131634" w:rsidP="00B811CC">
            <w:pPr>
              <w:jc w:val="center"/>
              <w:rPr>
                <w:rFonts w:cstheme="minorHAnsi"/>
                <w:i/>
                <w:iCs/>
                <w:noProof/>
              </w:rPr>
            </w:pPr>
            <w:r w:rsidRPr="00B1522E">
              <w:rPr>
                <w:rFonts w:cstheme="minorHAnsi"/>
                <w:i/>
                <w:iCs/>
                <w:noProof/>
              </w:rPr>
              <w:t>B</w:t>
            </w:r>
          </w:p>
        </w:tc>
        <w:tc>
          <w:tcPr>
            <w:tcW w:w="708" w:type="dxa"/>
            <w:tcBorders>
              <w:top w:val="single" w:sz="4" w:space="0" w:color="auto"/>
              <w:bottom w:val="single" w:sz="4" w:space="0" w:color="auto"/>
            </w:tcBorders>
            <w:vAlign w:val="center"/>
          </w:tcPr>
          <w:p w14:paraId="3F00140F" w14:textId="77777777" w:rsidR="00131634" w:rsidRPr="00B1522E" w:rsidRDefault="00131634" w:rsidP="00B811CC">
            <w:pPr>
              <w:jc w:val="center"/>
              <w:rPr>
                <w:rFonts w:cstheme="minorHAnsi"/>
                <w:noProof/>
              </w:rPr>
            </w:pPr>
            <w:r w:rsidRPr="00B1522E">
              <w:rPr>
                <w:rFonts w:cstheme="minorHAnsi"/>
                <w:noProof/>
              </w:rPr>
              <w:t>β</w:t>
            </w:r>
          </w:p>
        </w:tc>
        <w:tc>
          <w:tcPr>
            <w:tcW w:w="709" w:type="dxa"/>
            <w:tcBorders>
              <w:top w:val="single" w:sz="4" w:space="0" w:color="auto"/>
              <w:bottom w:val="single" w:sz="4" w:space="0" w:color="auto"/>
            </w:tcBorders>
            <w:vAlign w:val="center"/>
          </w:tcPr>
          <w:p w14:paraId="010E513B" w14:textId="77777777" w:rsidR="00131634" w:rsidRPr="00B1522E" w:rsidRDefault="00131634" w:rsidP="00B811CC">
            <w:pPr>
              <w:jc w:val="center"/>
              <w:rPr>
                <w:rFonts w:cstheme="minorHAnsi"/>
                <w:i/>
                <w:iCs/>
                <w:noProof/>
              </w:rPr>
            </w:pPr>
            <w:r w:rsidRPr="00B1522E">
              <w:rPr>
                <w:rFonts w:cstheme="minorHAnsi"/>
                <w:i/>
                <w:iCs/>
                <w:noProof/>
              </w:rPr>
              <w:t>SE</w:t>
            </w:r>
          </w:p>
        </w:tc>
        <w:tc>
          <w:tcPr>
            <w:tcW w:w="709" w:type="dxa"/>
            <w:tcBorders>
              <w:top w:val="single" w:sz="4" w:space="0" w:color="auto"/>
              <w:bottom w:val="single" w:sz="4" w:space="0" w:color="auto"/>
            </w:tcBorders>
          </w:tcPr>
          <w:p w14:paraId="1D4EE661" w14:textId="77777777" w:rsidR="00131634" w:rsidRPr="00B1522E" w:rsidRDefault="00131634" w:rsidP="00B811CC">
            <w:pPr>
              <w:tabs>
                <w:tab w:val="left" w:pos="332"/>
              </w:tabs>
              <w:jc w:val="center"/>
              <w:rPr>
                <w:rFonts w:cstheme="minorHAnsi"/>
                <w:i/>
                <w:iCs/>
                <w:noProof/>
              </w:rPr>
            </w:pPr>
            <w:r w:rsidRPr="00B1522E">
              <w:rPr>
                <w:rFonts w:cstheme="minorHAnsi"/>
                <w:i/>
                <w:iCs/>
                <w:noProof/>
              </w:rPr>
              <w:t>R²</w:t>
            </w:r>
          </w:p>
        </w:tc>
        <w:tc>
          <w:tcPr>
            <w:tcW w:w="733" w:type="dxa"/>
            <w:tcBorders>
              <w:top w:val="single" w:sz="4" w:space="0" w:color="auto"/>
              <w:bottom w:val="single" w:sz="4" w:space="0" w:color="auto"/>
            </w:tcBorders>
            <w:vAlign w:val="center"/>
          </w:tcPr>
          <w:p w14:paraId="76E8D594" w14:textId="77777777" w:rsidR="00131634" w:rsidRPr="00B1522E" w:rsidRDefault="00131634" w:rsidP="00B811CC">
            <w:pPr>
              <w:tabs>
                <w:tab w:val="left" w:pos="332"/>
              </w:tabs>
              <w:jc w:val="center"/>
              <w:rPr>
                <w:rFonts w:cstheme="minorHAnsi"/>
                <w:i/>
                <w:iCs/>
                <w:noProof/>
              </w:rPr>
            </w:pPr>
            <w:r w:rsidRPr="00B1522E">
              <w:rPr>
                <w:rFonts w:cstheme="minorHAnsi"/>
                <w:i/>
                <w:iCs/>
                <w:noProof/>
              </w:rPr>
              <w:t>B</w:t>
            </w:r>
          </w:p>
        </w:tc>
        <w:tc>
          <w:tcPr>
            <w:tcW w:w="742" w:type="dxa"/>
            <w:tcBorders>
              <w:top w:val="single" w:sz="4" w:space="0" w:color="auto"/>
              <w:bottom w:val="single" w:sz="4" w:space="0" w:color="auto"/>
            </w:tcBorders>
            <w:vAlign w:val="center"/>
          </w:tcPr>
          <w:p w14:paraId="5D5678E6" w14:textId="77777777" w:rsidR="00131634" w:rsidRPr="00B1522E" w:rsidRDefault="00131634" w:rsidP="00B811CC">
            <w:pPr>
              <w:jc w:val="center"/>
              <w:rPr>
                <w:rFonts w:cstheme="minorHAnsi"/>
                <w:noProof/>
              </w:rPr>
            </w:pPr>
            <w:r w:rsidRPr="00B1522E">
              <w:rPr>
                <w:rFonts w:cstheme="minorHAnsi"/>
                <w:noProof/>
              </w:rPr>
              <w:t>β</w:t>
            </w:r>
          </w:p>
        </w:tc>
        <w:tc>
          <w:tcPr>
            <w:tcW w:w="793" w:type="dxa"/>
            <w:tcBorders>
              <w:top w:val="single" w:sz="4" w:space="0" w:color="auto"/>
              <w:bottom w:val="single" w:sz="4" w:space="0" w:color="auto"/>
            </w:tcBorders>
            <w:vAlign w:val="center"/>
          </w:tcPr>
          <w:p w14:paraId="596907F7" w14:textId="77777777" w:rsidR="00131634" w:rsidRPr="00B1522E" w:rsidRDefault="00131634" w:rsidP="00B811CC">
            <w:pPr>
              <w:jc w:val="center"/>
              <w:rPr>
                <w:rFonts w:cstheme="minorHAnsi"/>
                <w:i/>
                <w:iCs/>
                <w:noProof/>
              </w:rPr>
            </w:pPr>
            <w:r w:rsidRPr="00B1522E">
              <w:rPr>
                <w:rFonts w:cstheme="minorHAnsi"/>
                <w:i/>
                <w:iCs/>
                <w:noProof/>
              </w:rPr>
              <w:t>SE</w:t>
            </w:r>
          </w:p>
        </w:tc>
        <w:tc>
          <w:tcPr>
            <w:tcW w:w="691" w:type="dxa"/>
            <w:tcBorders>
              <w:top w:val="single" w:sz="4" w:space="0" w:color="auto"/>
              <w:bottom w:val="single" w:sz="4" w:space="0" w:color="auto"/>
            </w:tcBorders>
          </w:tcPr>
          <w:p w14:paraId="2D63649A" w14:textId="77777777" w:rsidR="00131634" w:rsidRPr="00B1522E" w:rsidRDefault="00131634" w:rsidP="00B811CC">
            <w:pPr>
              <w:jc w:val="center"/>
              <w:rPr>
                <w:rFonts w:cstheme="minorHAnsi"/>
                <w:i/>
                <w:iCs/>
                <w:noProof/>
              </w:rPr>
            </w:pPr>
            <w:r w:rsidRPr="00B1522E">
              <w:rPr>
                <w:rFonts w:cstheme="minorHAnsi"/>
                <w:i/>
                <w:iCs/>
                <w:noProof/>
              </w:rPr>
              <w:t>R²</w:t>
            </w:r>
          </w:p>
        </w:tc>
      </w:tr>
      <w:tr w:rsidR="00E77769" w:rsidRPr="00B1522E" w14:paraId="60B790A3" w14:textId="77777777" w:rsidTr="00B811CC">
        <w:trPr>
          <w:trHeight w:val="279"/>
        </w:trPr>
        <w:tc>
          <w:tcPr>
            <w:tcW w:w="2977" w:type="dxa"/>
          </w:tcPr>
          <w:p w14:paraId="676F854D" w14:textId="77777777" w:rsidR="00131634" w:rsidRPr="00B1522E" w:rsidRDefault="00131634" w:rsidP="00B811CC">
            <w:pPr>
              <w:rPr>
                <w:rFonts w:cstheme="minorHAnsi"/>
                <w:i/>
                <w:iCs/>
                <w:noProof/>
              </w:rPr>
            </w:pPr>
            <w:r w:rsidRPr="00B1522E">
              <w:rPr>
                <w:rFonts w:cstheme="minorHAnsi"/>
                <w:i/>
                <w:iCs/>
                <w:noProof/>
              </w:rPr>
              <w:t>Block 1</w:t>
            </w:r>
          </w:p>
        </w:tc>
        <w:tc>
          <w:tcPr>
            <w:tcW w:w="851" w:type="dxa"/>
            <w:vAlign w:val="center"/>
          </w:tcPr>
          <w:p w14:paraId="3C59BBB5" w14:textId="77777777" w:rsidR="00131634" w:rsidRPr="00B1522E" w:rsidRDefault="00131634" w:rsidP="00B811CC">
            <w:pPr>
              <w:tabs>
                <w:tab w:val="decimal" w:pos="318"/>
              </w:tabs>
              <w:rPr>
                <w:rFonts w:cstheme="minorHAnsi"/>
                <w:noProof/>
              </w:rPr>
            </w:pPr>
          </w:p>
        </w:tc>
        <w:tc>
          <w:tcPr>
            <w:tcW w:w="708" w:type="dxa"/>
            <w:vAlign w:val="center"/>
          </w:tcPr>
          <w:p w14:paraId="5982D556" w14:textId="77777777" w:rsidR="00131634" w:rsidRPr="00B1522E" w:rsidRDefault="00131634" w:rsidP="00B811CC">
            <w:pPr>
              <w:tabs>
                <w:tab w:val="decimal" w:pos="144"/>
              </w:tabs>
              <w:rPr>
                <w:rFonts w:cstheme="minorHAnsi"/>
                <w:noProof/>
              </w:rPr>
            </w:pPr>
          </w:p>
        </w:tc>
        <w:tc>
          <w:tcPr>
            <w:tcW w:w="709" w:type="dxa"/>
            <w:vAlign w:val="center"/>
          </w:tcPr>
          <w:p w14:paraId="0B3F2222" w14:textId="77777777" w:rsidR="00131634" w:rsidRPr="00B1522E" w:rsidRDefault="00131634" w:rsidP="00B811CC">
            <w:pPr>
              <w:tabs>
                <w:tab w:val="decimal" w:pos="266"/>
                <w:tab w:val="decimal" w:pos="318"/>
              </w:tabs>
              <w:rPr>
                <w:rFonts w:cstheme="minorHAnsi"/>
                <w:noProof/>
              </w:rPr>
            </w:pPr>
          </w:p>
        </w:tc>
        <w:tc>
          <w:tcPr>
            <w:tcW w:w="709" w:type="dxa"/>
          </w:tcPr>
          <w:p w14:paraId="100D1652" w14:textId="77777777" w:rsidR="00131634" w:rsidRPr="00B1522E" w:rsidRDefault="00131634" w:rsidP="00B811CC">
            <w:pPr>
              <w:tabs>
                <w:tab w:val="left" w:pos="332"/>
              </w:tabs>
              <w:rPr>
                <w:rFonts w:cstheme="minorHAnsi"/>
                <w:noProof/>
              </w:rPr>
            </w:pPr>
          </w:p>
        </w:tc>
        <w:tc>
          <w:tcPr>
            <w:tcW w:w="733" w:type="dxa"/>
            <w:vAlign w:val="center"/>
          </w:tcPr>
          <w:p w14:paraId="611E0275" w14:textId="77777777" w:rsidR="00131634" w:rsidRPr="00B1522E" w:rsidRDefault="00131634" w:rsidP="00B811CC">
            <w:pPr>
              <w:tabs>
                <w:tab w:val="left" w:pos="332"/>
              </w:tabs>
              <w:rPr>
                <w:rFonts w:cstheme="minorHAnsi"/>
                <w:noProof/>
              </w:rPr>
            </w:pPr>
          </w:p>
        </w:tc>
        <w:tc>
          <w:tcPr>
            <w:tcW w:w="742" w:type="dxa"/>
            <w:vAlign w:val="center"/>
          </w:tcPr>
          <w:p w14:paraId="575124F5" w14:textId="77777777" w:rsidR="00131634" w:rsidRPr="00B1522E" w:rsidRDefault="00131634" w:rsidP="00B811CC">
            <w:pPr>
              <w:tabs>
                <w:tab w:val="decimal" w:pos="266"/>
                <w:tab w:val="decimal" w:pos="318"/>
              </w:tabs>
              <w:rPr>
                <w:rFonts w:cstheme="minorHAnsi"/>
                <w:noProof/>
              </w:rPr>
            </w:pPr>
          </w:p>
        </w:tc>
        <w:tc>
          <w:tcPr>
            <w:tcW w:w="793" w:type="dxa"/>
            <w:vAlign w:val="center"/>
          </w:tcPr>
          <w:p w14:paraId="5F03BEC4" w14:textId="77777777" w:rsidR="00131634" w:rsidRPr="00B1522E" w:rsidRDefault="00131634" w:rsidP="00B811CC">
            <w:pPr>
              <w:tabs>
                <w:tab w:val="decimal" w:pos="318"/>
                <w:tab w:val="decimal" w:pos="397"/>
              </w:tabs>
              <w:rPr>
                <w:rFonts w:cstheme="minorHAnsi"/>
                <w:noProof/>
              </w:rPr>
            </w:pPr>
          </w:p>
        </w:tc>
        <w:tc>
          <w:tcPr>
            <w:tcW w:w="691" w:type="dxa"/>
          </w:tcPr>
          <w:p w14:paraId="2DBA5765" w14:textId="77777777" w:rsidR="00131634" w:rsidRPr="00B1522E" w:rsidRDefault="00131634" w:rsidP="00B811CC">
            <w:pPr>
              <w:tabs>
                <w:tab w:val="decimal" w:pos="266"/>
                <w:tab w:val="decimal" w:pos="318"/>
              </w:tabs>
              <w:rPr>
                <w:rFonts w:cstheme="minorHAnsi"/>
                <w:noProof/>
              </w:rPr>
            </w:pPr>
          </w:p>
        </w:tc>
      </w:tr>
      <w:tr w:rsidR="00E77769" w:rsidRPr="00B1522E" w14:paraId="322239FA" w14:textId="77777777" w:rsidTr="00B811CC">
        <w:trPr>
          <w:trHeight w:val="553"/>
        </w:trPr>
        <w:tc>
          <w:tcPr>
            <w:tcW w:w="2977" w:type="dxa"/>
            <w:vAlign w:val="center"/>
          </w:tcPr>
          <w:p w14:paraId="7D3499F9" w14:textId="77777777" w:rsidR="00131634" w:rsidRPr="00B1522E" w:rsidRDefault="00131634" w:rsidP="00B811CC">
            <w:pPr>
              <w:rPr>
                <w:rFonts w:cstheme="minorHAnsi"/>
                <w:noProof/>
              </w:rPr>
            </w:pPr>
            <w:r w:rsidRPr="00B1522E">
              <w:rPr>
                <w:rFonts w:cstheme="minorHAnsi"/>
                <w:noProof/>
              </w:rPr>
              <w:t xml:space="preserve">Students’ sex </w:t>
            </w:r>
          </w:p>
        </w:tc>
        <w:tc>
          <w:tcPr>
            <w:tcW w:w="851" w:type="dxa"/>
            <w:vAlign w:val="center"/>
          </w:tcPr>
          <w:p w14:paraId="6603E0B6" w14:textId="77777777" w:rsidR="00131634" w:rsidRPr="00B1522E" w:rsidRDefault="00131634" w:rsidP="00B811CC">
            <w:pPr>
              <w:tabs>
                <w:tab w:val="left" w:pos="220"/>
              </w:tabs>
              <w:jc w:val="center"/>
              <w:rPr>
                <w:rFonts w:cstheme="minorHAnsi"/>
                <w:noProof/>
              </w:rPr>
            </w:pPr>
            <w:r w:rsidRPr="00B1522E">
              <w:rPr>
                <w:rFonts w:cstheme="minorHAnsi"/>
                <w:noProof/>
              </w:rPr>
              <w:t>-3.52</w:t>
            </w:r>
          </w:p>
        </w:tc>
        <w:tc>
          <w:tcPr>
            <w:tcW w:w="708" w:type="dxa"/>
            <w:vAlign w:val="center"/>
          </w:tcPr>
          <w:p w14:paraId="3DD09EAD" w14:textId="77777777" w:rsidR="00131634" w:rsidRPr="00B1522E" w:rsidRDefault="00131634" w:rsidP="00B811CC">
            <w:pPr>
              <w:tabs>
                <w:tab w:val="decimal" w:pos="144"/>
              </w:tabs>
              <w:jc w:val="center"/>
              <w:rPr>
                <w:rFonts w:cstheme="minorHAnsi"/>
                <w:noProof/>
              </w:rPr>
            </w:pPr>
            <w:r w:rsidRPr="00B1522E">
              <w:rPr>
                <w:rFonts w:cstheme="minorHAnsi"/>
                <w:noProof/>
              </w:rPr>
              <w:t>-.10</w:t>
            </w:r>
          </w:p>
        </w:tc>
        <w:tc>
          <w:tcPr>
            <w:tcW w:w="709" w:type="dxa"/>
            <w:vAlign w:val="center"/>
          </w:tcPr>
          <w:p w14:paraId="076436A8" w14:textId="77777777" w:rsidR="00131634" w:rsidRPr="00B1522E" w:rsidRDefault="00131634" w:rsidP="00B811CC">
            <w:pPr>
              <w:tabs>
                <w:tab w:val="decimal" w:pos="266"/>
                <w:tab w:val="decimal" w:pos="318"/>
              </w:tabs>
              <w:jc w:val="center"/>
              <w:rPr>
                <w:rFonts w:cstheme="minorHAnsi"/>
                <w:noProof/>
              </w:rPr>
            </w:pPr>
            <w:r w:rsidRPr="00B1522E">
              <w:rPr>
                <w:rFonts w:cstheme="minorHAnsi"/>
                <w:noProof/>
              </w:rPr>
              <w:t>2.70</w:t>
            </w:r>
          </w:p>
        </w:tc>
        <w:tc>
          <w:tcPr>
            <w:tcW w:w="709" w:type="dxa"/>
            <w:vAlign w:val="center"/>
          </w:tcPr>
          <w:p w14:paraId="2A917C69" w14:textId="77777777" w:rsidR="00131634" w:rsidRPr="00B1522E" w:rsidRDefault="00131634" w:rsidP="00B811CC">
            <w:pPr>
              <w:tabs>
                <w:tab w:val="decimal" w:pos="213"/>
                <w:tab w:val="left" w:pos="332"/>
              </w:tabs>
              <w:jc w:val="center"/>
              <w:rPr>
                <w:rFonts w:cstheme="minorHAnsi"/>
                <w:noProof/>
              </w:rPr>
            </w:pPr>
          </w:p>
        </w:tc>
        <w:tc>
          <w:tcPr>
            <w:tcW w:w="733" w:type="dxa"/>
            <w:vAlign w:val="center"/>
          </w:tcPr>
          <w:p w14:paraId="2A5E9685" w14:textId="77777777" w:rsidR="00131634" w:rsidRPr="00B1522E" w:rsidRDefault="00131634" w:rsidP="00B811CC">
            <w:pPr>
              <w:tabs>
                <w:tab w:val="decimal" w:pos="180"/>
                <w:tab w:val="left" w:pos="332"/>
              </w:tabs>
              <w:jc w:val="center"/>
              <w:rPr>
                <w:rFonts w:cstheme="minorHAnsi"/>
                <w:noProof/>
              </w:rPr>
            </w:pPr>
            <w:r w:rsidRPr="00B1522E">
              <w:rPr>
                <w:rFonts w:cstheme="minorHAnsi"/>
                <w:noProof/>
              </w:rPr>
              <w:t>-2.61</w:t>
            </w:r>
          </w:p>
        </w:tc>
        <w:tc>
          <w:tcPr>
            <w:tcW w:w="742" w:type="dxa"/>
            <w:vAlign w:val="center"/>
          </w:tcPr>
          <w:p w14:paraId="09C14602" w14:textId="77777777" w:rsidR="00131634" w:rsidRPr="00B1522E" w:rsidRDefault="00131634" w:rsidP="00B811CC">
            <w:pPr>
              <w:tabs>
                <w:tab w:val="decimal" w:pos="233"/>
              </w:tabs>
              <w:jc w:val="center"/>
              <w:rPr>
                <w:rFonts w:cstheme="minorHAnsi"/>
                <w:noProof/>
              </w:rPr>
            </w:pPr>
            <w:r w:rsidRPr="00B1522E">
              <w:rPr>
                <w:rFonts w:cstheme="minorHAnsi"/>
                <w:noProof/>
              </w:rPr>
              <w:t>-.08</w:t>
            </w:r>
          </w:p>
        </w:tc>
        <w:tc>
          <w:tcPr>
            <w:tcW w:w="793" w:type="dxa"/>
            <w:vAlign w:val="center"/>
          </w:tcPr>
          <w:p w14:paraId="56A77E76" w14:textId="77777777" w:rsidR="00131634" w:rsidRPr="00B1522E" w:rsidRDefault="00131634" w:rsidP="00B811CC">
            <w:pPr>
              <w:tabs>
                <w:tab w:val="decimal" w:pos="318"/>
                <w:tab w:val="decimal" w:pos="397"/>
                <w:tab w:val="decimal" w:pos="525"/>
              </w:tabs>
              <w:jc w:val="center"/>
              <w:rPr>
                <w:rFonts w:cstheme="minorHAnsi"/>
                <w:noProof/>
              </w:rPr>
            </w:pPr>
            <w:r w:rsidRPr="00B1522E">
              <w:rPr>
                <w:rFonts w:cstheme="minorHAnsi"/>
                <w:noProof/>
              </w:rPr>
              <w:t>2.65</w:t>
            </w:r>
          </w:p>
        </w:tc>
        <w:tc>
          <w:tcPr>
            <w:tcW w:w="691" w:type="dxa"/>
            <w:vAlign w:val="center"/>
          </w:tcPr>
          <w:p w14:paraId="72AB567F" w14:textId="77777777" w:rsidR="00131634" w:rsidRPr="00B1522E" w:rsidRDefault="00131634" w:rsidP="00B811CC">
            <w:pPr>
              <w:tabs>
                <w:tab w:val="decimal" w:pos="241"/>
                <w:tab w:val="decimal" w:pos="525"/>
              </w:tabs>
              <w:rPr>
                <w:rFonts w:cstheme="minorHAnsi"/>
                <w:noProof/>
              </w:rPr>
            </w:pPr>
          </w:p>
        </w:tc>
      </w:tr>
      <w:tr w:rsidR="00E77769" w:rsidRPr="00B1522E" w14:paraId="6DBDF475" w14:textId="77777777" w:rsidTr="00B811CC">
        <w:trPr>
          <w:trHeight w:val="553"/>
        </w:trPr>
        <w:tc>
          <w:tcPr>
            <w:tcW w:w="2977" w:type="dxa"/>
            <w:vAlign w:val="center"/>
          </w:tcPr>
          <w:p w14:paraId="6616FEC4" w14:textId="77777777" w:rsidR="00131634" w:rsidRPr="00B1522E" w:rsidRDefault="00131634" w:rsidP="00643E50">
            <w:pPr>
              <w:ind w:left="340" w:hanging="340"/>
              <w:rPr>
                <w:rFonts w:cstheme="minorHAnsi"/>
                <w:noProof/>
                <w:vertAlign w:val="superscript"/>
              </w:rPr>
            </w:pPr>
            <w:r w:rsidRPr="00B1522E">
              <w:rPr>
                <w:rFonts w:cstheme="minorHAnsi"/>
                <w:noProof/>
              </w:rPr>
              <w:t>Personal attitude towards unhealthy snacking</w:t>
            </w:r>
          </w:p>
        </w:tc>
        <w:tc>
          <w:tcPr>
            <w:tcW w:w="851" w:type="dxa"/>
            <w:vAlign w:val="center"/>
          </w:tcPr>
          <w:p w14:paraId="1B3881F8" w14:textId="77777777" w:rsidR="00131634" w:rsidRPr="00B1522E" w:rsidRDefault="00131634" w:rsidP="00B811CC">
            <w:pPr>
              <w:tabs>
                <w:tab w:val="left" w:pos="220"/>
              </w:tabs>
              <w:jc w:val="center"/>
              <w:rPr>
                <w:rFonts w:cstheme="minorHAnsi"/>
                <w:noProof/>
              </w:rPr>
            </w:pPr>
            <w:r w:rsidRPr="00B1522E">
              <w:rPr>
                <w:rFonts w:cstheme="minorHAnsi"/>
                <w:noProof/>
              </w:rPr>
              <w:t>1.18</w:t>
            </w:r>
          </w:p>
        </w:tc>
        <w:tc>
          <w:tcPr>
            <w:tcW w:w="708" w:type="dxa"/>
            <w:vAlign w:val="center"/>
          </w:tcPr>
          <w:p w14:paraId="61DEB59F" w14:textId="77777777" w:rsidR="00131634" w:rsidRPr="00B1522E" w:rsidRDefault="00131634" w:rsidP="00B811CC">
            <w:pPr>
              <w:tabs>
                <w:tab w:val="decimal" w:pos="144"/>
              </w:tabs>
              <w:jc w:val="center"/>
              <w:rPr>
                <w:rFonts w:cstheme="minorHAnsi"/>
                <w:noProof/>
              </w:rPr>
            </w:pPr>
            <w:r w:rsidRPr="00B1522E">
              <w:rPr>
                <w:rFonts w:cstheme="minorHAnsi"/>
                <w:noProof/>
              </w:rPr>
              <w:t>.13</w:t>
            </w:r>
          </w:p>
        </w:tc>
        <w:tc>
          <w:tcPr>
            <w:tcW w:w="709" w:type="dxa"/>
            <w:vAlign w:val="center"/>
          </w:tcPr>
          <w:p w14:paraId="37EA8D3F" w14:textId="77777777" w:rsidR="00131634" w:rsidRPr="00B1522E" w:rsidRDefault="00131634" w:rsidP="00B811CC">
            <w:pPr>
              <w:tabs>
                <w:tab w:val="decimal" w:pos="266"/>
                <w:tab w:val="decimal" w:pos="318"/>
              </w:tabs>
              <w:jc w:val="center"/>
              <w:rPr>
                <w:rFonts w:cstheme="minorHAnsi"/>
                <w:noProof/>
              </w:rPr>
            </w:pPr>
            <w:r w:rsidRPr="00B1522E">
              <w:rPr>
                <w:rFonts w:cstheme="minorHAnsi"/>
                <w:noProof/>
              </w:rPr>
              <w:t>.73</w:t>
            </w:r>
          </w:p>
        </w:tc>
        <w:tc>
          <w:tcPr>
            <w:tcW w:w="709" w:type="dxa"/>
            <w:vAlign w:val="center"/>
          </w:tcPr>
          <w:p w14:paraId="3C3986B9" w14:textId="77777777" w:rsidR="00131634" w:rsidRPr="00B1522E" w:rsidRDefault="00131634" w:rsidP="00B811CC">
            <w:pPr>
              <w:tabs>
                <w:tab w:val="decimal" w:pos="213"/>
                <w:tab w:val="left" w:pos="332"/>
              </w:tabs>
              <w:jc w:val="center"/>
              <w:rPr>
                <w:rFonts w:cstheme="minorHAnsi"/>
                <w:noProof/>
              </w:rPr>
            </w:pPr>
            <w:r w:rsidRPr="00B1522E">
              <w:rPr>
                <w:rFonts w:cstheme="minorHAnsi"/>
                <w:noProof/>
              </w:rPr>
              <w:t>0.03</w:t>
            </w:r>
          </w:p>
        </w:tc>
        <w:tc>
          <w:tcPr>
            <w:tcW w:w="733" w:type="dxa"/>
            <w:vAlign w:val="center"/>
          </w:tcPr>
          <w:p w14:paraId="05F24313" w14:textId="77777777" w:rsidR="00131634" w:rsidRPr="00B1522E" w:rsidRDefault="00131634" w:rsidP="00B811CC">
            <w:pPr>
              <w:tabs>
                <w:tab w:val="decimal" w:pos="180"/>
                <w:tab w:val="left" w:pos="332"/>
              </w:tabs>
              <w:jc w:val="center"/>
              <w:rPr>
                <w:rFonts w:cstheme="minorHAnsi"/>
                <w:noProof/>
              </w:rPr>
            </w:pPr>
            <w:r w:rsidRPr="00B1522E">
              <w:rPr>
                <w:rFonts w:cstheme="minorHAnsi"/>
                <w:noProof/>
              </w:rPr>
              <w:t>.57</w:t>
            </w:r>
          </w:p>
        </w:tc>
        <w:tc>
          <w:tcPr>
            <w:tcW w:w="742" w:type="dxa"/>
            <w:vAlign w:val="center"/>
          </w:tcPr>
          <w:p w14:paraId="3A03D78A" w14:textId="77777777" w:rsidR="00131634" w:rsidRPr="00B1522E" w:rsidRDefault="00131634" w:rsidP="00B811CC">
            <w:pPr>
              <w:tabs>
                <w:tab w:val="decimal" w:pos="233"/>
              </w:tabs>
              <w:jc w:val="center"/>
              <w:rPr>
                <w:rFonts w:cstheme="minorHAnsi"/>
                <w:noProof/>
              </w:rPr>
            </w:pPr>
            <w:r w:rsidRPr="00B1522E">
              <w:rPr>
                <w:rFonts w:cstheme="minorHAnsi"/>
                <w:noProof/>
              </w:rPr>
              <w:t>.06</w:t>
            </w:r>
          </w:p>
        </w:tc>
        <w:tc>
          <w:tcPr>
            <w:tcW w:w="793" w:type="dxa"/>
            <w:vAlign w:val="center"/>
          </w:tcPr>
          <w:p w14:paraId="4070A658" w14:textId="77777777" w:rsidR="00131634" w:rsidRPr="00B1522E" w:rsidRDefault="00131634" w:rsidP="00B811CC">
            <w:pPr>
              <w:tabs>
                <w:tab w:val="decimal" w:pos="318"/>
                <w:tab w:val="decimal" w:pos="397"/>
                <w:tab w:val="decimal" w:pos="525"/>
              </w:tabs>
              <w:jc w:val="center"/>
              <w:rPr>
                <w:rFonts w:cstheme="minorHAnsi"/>
                <w:noProof/>
              </w:rPr>
            </w:pPr>
            <w:r w:rsidRPr="00B1522E">
              <w:rPr>
                <w:rFonts w:cstheme="minorHAnsi"/>
                <w:noProof/>
              </w:rPr>
              <w:t>.76</w:t>
            </w:r>
          </w:p>
        </w:tc>
        <w:tc>
          <w:tcPr>
            <w:tcW w:w="691" w:type="dxa"/>
            <w:vAlign w:val="center"/>
          </w:tcPr>
          <w:p w14:paraId="3CAA564F" w14:textId="77777777" w:rsidR="00131634" w:rsidRPr="00B1522E" w:rsidRDefault="00131634" w:rsidP="00B811CC">
            <w:pPr>
              <w:tabs>
                <w:tab w:val="decimal" w:pos="241"/>
                <w:tab w:val="decimal" w:pos="525"/>
              </w:tabs>
              <w:rPr>
                <w:rFonts w:cstheme="minorHAnsi"/>
                <w:noProof/>
              </w:rPr>
            </w:pPr>
            <w:r w:rsidRPr="00B1522E">
              <w:rPr>
                <w:rFonts w:cstheme="minorHAnsi"/>
                <w:noProof/>
              </w:rPr>
              <w:t>0.09</w:t>
            </w:r>
          </w:p>
        </w:tc>
      </w:tr>
      <w:tr w:rsidR="00E77769" w:rsidRPr="00B1522E" w14:paraId="711B6008" w14:textId="77777777" w:rsidTr="00B811CC">
        <w:trPr>
          <w:trHeight w:val="353"/>
        </w:trPr>
        <w:tc>
          <w:tcPr>
            <w:tcW w:w="2977" w:type="dxa"/>
            <w:tcBorders>
              <w:top w:val="single" w:sz="4" w:space="0" w:color="auto"/>
            </w:tcBorders>
          </w:tcPr>
          <w:p w14:paraId="2B580B97" w14:textId="77777777" w:rsidR="00131634" w:rsidRPr="00B1522E" w:rsidRDefault="00131634" w:rsidP="00B811CC">
            <w:pPr>
              <w:rPr>
                <w:rFonts w:cstheme="minorHAnsi"/>
                <w:i/>
                <w:iCs/>
                <w:noProof/>
              </w:rPr>
            </w:pPr>
            <w:r w:rsidRPr="00B1522E">
              <w:rPr>
                <w:rFonts w:cstheme="minorHAnsi"/>
                <w:i/>
                <w:iCs/>
                <w:noProof/>
              </w:rPr>
              <w:t>Block 2</w:t>
            </w:r>
          </w:p>
        </w:tc>
        <w:tc>
          <w:tcPr>
            <w:tcW w:w="851" w:type="dxa"/>
            <w:tcBorders>
              <w:top w:val="single" w:sz="4" w:space="0" w:color="auto"/>
            </w:tcBorders>
            <w:vAlign w:val="center"/>
          </w:tcPr>
          <w:p w14:paraId="6BC166A9" w14:textId="77777777" w:rsidR="00131634" w:rsidRPr="00B1522E" w:rsidRDefault="00131634" w:rsidP="00B811CC">
            <w:pPr>
              <w:tabs>
                <w:tab w:val="decimal" w:pos="318"/>
              </w:tabs>
              <w:jc w:val="center"/>
              <w:rPr>
                <w:rFonts w:cstheme="minorHAnsi"/>
                <w:noProof/>
              </w:rPr>
            </w:pPr>
          </w:p>
        </w:tc>
        <w:tc>
          <w:tcPr>
            <w:tcW w:w="708" w:type="dxa"/>
            <w:tcBorders>
              <w:top w:val="single" w:sz="4" w:space="0" w:color="auto"/>
            </w:tcBorders>
            <w:vAlign w:val="center"/>
          </w:tcPr>
          <w:p w14:paraId="758C542F" w14:textId="77777777" w:rsidR="00131634" w:rsidRPr="00B1522E" w:rsidRDefault="00131634" w:rsidP="00B811CC">
            <w:pPr>
              <w:tabs>
                <w:tab w:val="left" w:pos="144"/>
                <w:tab w:val="decimal" w:pos="266"/>
              </w:tabs>
              <w:jc w:val="center"/>
              <w:rPr>
                <w:rFonts w:cstheme="minorHAnsi"/>
                <w:noProof/>
              </w:rPr>
            </w:pPr>
          </w:p>
        </w:tc>
        <w:tc>
          <w:tcPr>
            <w:tcW w:w="709" w:type="dxa"/>
            <w:tcBorders>
              <w:top w:val="single" w:sz="4" w:space="0" w:color="auto"/>
            </w:tcBorders>
            <w:vAlign w:val="center"/>
          </w:tcPr>
          <w:p w14:paraId="23867368" w14:textId="77777777" w:rsidR="00131634" w:rsidRPr="00B1522E" w:rsidRDefault="00131634" w:rsidP="00B811CC">
            <w:pPr>
              <w:tabs>
                <w:tab w:val="decimal" w:pos="266"/>
                <w:tab w:val="decimal" w:pos="318"/>
              </w:tabs>
              <w:jc w:val="center"/>
              <w:rPr>
                <w:rFonts w:cstheme="minorHAnsi"/>
                <w:noProof/>
              </w:rPr>
            </w:pPr>
          </w:p>
        </w:tc>
        <w:tc>
          <w:tcPr>
            <w:tcW w:w="709" w:type="dxa"/>
            <w:tcBorders>
              <w:top w:val="single" w:sz="4" w:space="0" w:color="auto"/>
            </w:tcBorders>
            <w:vAlign w:val="center"/>
          </w:tcPr>
          <w:p w14:paraId="780618A5" w14:textId="77777777" w:rsidR="00131634" w:rsidRPr="00B1522E" w:rsidRDefault="00131634" w:rsidP="00B811CC">
            <w:pPr>
              <w:tabs>
                <w:tab w:val="decimal" w:pos="213"/>
                <w:tab w:val="left" w:pos="332"/>
                <w:tab w:val="decimal" w:pos="620"/>
              </w:tabs>
              <w:jc w:val="center"/>
              <w:rPr>
                <w:rFonts w:cstheme="minorHAnsi"/>
                <w:noProof/>
              </w:rPr>
            </w:pPr>
          </w:p>
        </w:tc>
        <w:tc>
          <w:tcPr>
            <w:tcW w:w="733" w:type="dxa"/>
            <w:tcBorders>
              <w:top w:val="single" w:sz="4" w:space="0" w:color="auto"/>
            </w:tcBorders>
            <w:vAlign w:val="center"/>
          </w:tcPr>
          <w:p w14:paraId="1CEC772B" w14:textId="77777777" w:rsidR="00131634" w:rsidRPr="00B1522E" w:rsidRDefault="00131634" w:rsidP="00B811CC">
            <w:pPr>
              <w:tabs>
                <w:tab w:val="decimal" w:pos="180"/>
                <w:tab w:val="left" w:pos="332"/>
                <w:tab w:val="decimal" w:pos="620"/>
              </w:tabs>
              <w:jc w:val="center"/>
              <w:rPr>
                <w:rFonts w:cstheme="minorHAnsi"/>
                <w:noProof/>
              </w:rPr>
            </w:pPr>
          </w:p>
        </w:tc>
        <w:tc>
          <w:tcPr>
            <w:tcW w:w="742" w:type="dxa"/>
            <w:tcBorders>
              <w:top w:val="single" w:sz="4" w:space="0" w:color="auto"/>
            </w:tcBorders>
            <w:vAlign w:val="center"/>
          </w:tcPr>
          <w:p w14:paraId="36A45E99" w14:textId="77777777" w:rsidR="00131634" w:rsidRPr="00B1522E" w:rsidRDefault="00131634" w:rsidP="00B811CC">
            <w:pPr>
              <w:tabs>
                <w:tab w:val="decimal" w:pos="233"/>
              </w:tabs>
              <w:jc w:val="center"/>
              <w:rPr>
                <w:rFonts w:cstheme="minorHAnsi"/>
                <w:noProof/>
              </w:rPr>
            </w:pPr>
          </w:p>
        </w:tc>
        <w:tc>
          <w:tcPr>
            <w:tcW w:w="793" w:type="dxa"/>
            <w:tcBorders>
              <w:top w:val="single" w:sz="4" w:space="0" w:color="auto"/>
            </w:tcBorders>
            <w:vAlign w:val="center"/>
          </w:tcPr>
          <w:p w14:paraId="5ACDF357" w14:textId="77777777" w:rsidR="00131634" w:rsidRPr="00B1522E" w:rsidRDefault="00131634" w:rsidP="00B811CC">
            <w:pPr>
              <w:tabs>
                <w:tab w:val="decimal" w:pos="318"/>
                <w:tab w:val="decimal" w:pos="397"/>
              </w:tabs>
              <w:jc w:val="center"/>
              <w:rPr>
                <w:rFonts w:cstheme="minorHAnsi"/>
                <w:noProof/>
              </w:rPr>
            </w:pPr>
          </w:p>
        </w:tc>
        <w:tc>
          <w:tcPr>
            <w:tcW w:w="691" w:type="dxa"/>
            <w:tcBorders>
              <w:top w:val="single" w:sz="4" w:space="0" w:color="auto"/>
            </w:tcBorders>
            <w:vAlign w:val="center"/>
          </w:tcPr>
          <w:p w14:paraId="29FD2FB1" w14:textId="77777777" w:rsidR="00131634" w:rsidRPr="00B1522E" w:rsidRDefault="00131634" w:rsidP="00B811CC">
            <w:pPr>
              <w:tabs>
                <w:tab w:val="decimal" w:pos="241"/>
                <w:tab w:val="decimal" w:pos="318"/>
              </w:tabs>
              <w:rPr>
                <w:rFonts w:cstheme="minorHAnsi"/>
                <w:noProof/>
              </w:rPr>
            </w:pPr>
          </w:p>
        </w:tc>
      </w:tr>
      <w:tr w:rsidR="00E77769" w:rsidRPr="00B1522E" w14:paraId="5157A17C" w14:textId="77777777" w:rsidTr="00B811CC">
        <w:trPr>
          <w:trHeight w:val="553"/>
        </w:trPr>
        <w:tc>
          <w:tcPr>
            <w:tcW w:w="2977" w:type="dxa"/>
          </w:tcPr>
          <w:p w14:paraId="423FFEBA" w14:textId="43F6001A" w:rsidR="00643E50" w:rsidRPr="00B1522E" w:rsidRDefault="00131634" w:rsidP="00643E50">
            <w:pPr>
              <w:ind w:left="340" w:hanging="340"/>
              <w:rPr>
                <w:rFonts w:cstheme="minorHAnsi"/>
                <w:noProof/>
                <w:vertAlign w:val="superscript"/>
              </w:rPr>
            </w:pPr>
            <w:r w:rsidRPr="00B1522E">
              <w:rPr>
                <w:rFonts w:cstheme="minorHAnsi"/>
                <w:noProof/>
              </w:rPr>
              <w:t xml:space="preserve">Misperceptions of </w:t>
            </w:r>
            <w:r w:rsidRPr="00B1522E">
              <w:rPr>
                <w:rFonts w:cstheme="minorHAnsi"/>
              </w:rPr>
              <w:t>peers’ unhealthy snack consumption</w:t>
            </w:r>
            <w:r w:rsidRPr="00B1522E">
              <w:rPr>
                <w:rFonts w:cstheme="minorHAnsi"/>
                <w:noProof/>
                <w:vertAlign w:val="superscript"/>
              </w:rPr>
              <w:t>a</w:t>
            </w:r>
          </w:p>
        </w:tc>
        <w:tc>
          <w:tcPr>
            <w:tcW w:w="851" w:type="dxa"/>
            <w:vAlign w:val="center"/>
          </w:tcPr>
          <w:p w14:paraId="2C1C0E19" w14:textId="77777777" w:rsidR="00131634" w:rsidRPr="00B1522E" w:rsidRDefault="00131634" w:rsidP="00B811CC">
            <w:pPr>
              <w:tabs>
                <w:tab w:val="decimal" w:pos="318"/>
              </w:tabs>
              <w:jc w:val="center"/>
              <w:rPr>
                <w:rFonts w:cstheme="minorHAnsi"/>
                <w:noProof/>
              </w:rPr>
            </w:pPr>
          </w:p>
        </w:tc>
        <w:tc>
          <w:tcPr>
            <w:tcW w:w="708" w:type="dxa"/>
            <w:vAlign w:val="center"/>
          </w:tcPr>
          <w:p w14:paraId="4B559778" w14:textId="77777777" w:rsidR="00131634" w:rsidRPr="00B1522E" w:rsidRDefault="00131634" w:rsidP="00B811CC">
            <w:pPr>
              <w:tabs>
                <w:tab w:val="left" w:pos="144"/>
                <w:tab w:val="decimal" w:pos="266"/>
                <w:tab w:val="decimal" w:pos="318"/>
              </w:tabs>
              <w:jc w:val="center"/>
              <w:rPr>
                <w:rFonts w:cstheme="minorHAnsi"/>
                <w:noProof/>
              </w:rPr>
            </w:pPr>
          </w:p>
        </w:tc>
        <w:tc>
          <w:tcPr>
            <w:tcW w:w="709" w:type="dxa"/>
            <w:vAlign w:val="center"/>
          </w:tcPr>
          <w:p w14:paraId="2DA0ADE3" w14:textId="77777777" w:rsidR="00131634" w:rsidRPr="00B1522E" w:rsidRDefault="00131634" w:rsidP="00B811CC">
            <w:pPr>
              <w:tabs>
                <w:tab w:val="decimal" w:pos="266"/>
                <w:tab w:val="decimal" w:pos="318"/>
              </w:tabs>
              <w:jc w:val="center"/>
              <w:rPr>
                <w:rFonts w:cstheme="minorHAnsi"/>
                <w:noProof/>
              </w:rPr>
            </w:pPr>
          </w:p>
        </w:tc>
        <w:tc>
          <w:tcPr>
            <w:tcW w:w="709" w:type="dxa"/>
            <w:vAlign w:val="center"/>
          </w:tcPr>
          <w:p w14:paraId="083BA866" w14:textId="77777777" w:rsidR="00131634" w:rsidRPr="00B1522E" w:rsidRDefault="00131634" w:rsidP="00B811CC">
            <w:pPr>
              <w:tabs>
                <w:tab w:val="decimal" w:pos="266"/>
                <w:tab w:val="left" w:pos="332"/>
              </w:tabs>
              <w:jc w:val="center"/>
              <w:rPr>
                <w:rFonts w:cstheme="minorHAnsi"/>
                <w:noProof/>
              </w:rPr>
            </w:pPr>
          </w:p>
        </w:tc>
        <w:tc>
          <w:tcPr>
            <w:tcW w:w="733" w:type="dxa"/>
            <w:vAlign w:val="center"/>
          </w:tcPr>
          <w:p w14:paraId="73B7F6BE" w14:textId="77777777" w:rsidR="00131634" w:rsidRPr="00B1522E" w:rsidRDefault="00131634" w:rsidP="00B811CC">
            <w:pPr>
              <w:tabs>
                <w:tab w:val="decimal" w:pos="180"/>
                <w:tab w:val="decimal" w:pos="266"/>
                <w:tab w:val="left" w:pos="332"/>
              </w:tabs>
              <w:jc w:val="center"/>
              <w:rPr>
                <w:rFonts w:cstheme="minorHAnsi"/>
                <w:noProof/>
              </w:rPr>
            </w:pPr>
            <w:r w:rsidRPr="00B1522E">
              <w:rPr>
                <w:rFonts w:cstheme="minorHAnsi"/>
                <w:noProof/>
              </w:rPr>
              <w:t>.10</w:t>
            </w:r>
          </w:p>
        </w:tc>
        <w:tc>
          <w:tcPr>
            <w:tcW w:w="742" w:type="dxa"/>
            <w:vAlign w:val="center"/>
          </w:tcPr>
          <w:p w14:paraId="7381BEDF" w14:textId="77777777" w:rsidR="00131634" w:rsidRPr="00B1522E" w:rsidRDefault="00131634" w:rsidP="00B811CC">
            <w:pPr>
              <w:tabs>
                <w:tab w:val="decimal" w:pos="233"/>
              </w:tabs>
              <w:jc w:val="center"/>
              <w:rPr>
                <w:rFonts w:cstheme="minorHAnsi"/>
                <w:noProof/>
              </w:rPr>
            </w:pPr>
            <w:r w:rsidRPr="00B1522E">
              <w:rPr>
                <w:rFonts w:cstheme="minorHAnsi"/>
                <w:noProof/>
              </w:rPr>
              <w:t>.16*</w:t>
            </w:r>
          </w:p>
        </w:tc>
        <w:tc>
          <w:tcPr>
            <w:tcW w:w="793" w:type="dxa"/>
            <w:vAlign w:val="center"/>
          </w:tcPr>
          <w:p w14:paraId="538467EC" w14:textId="77777777" w:rsidR="00131634" w:rsidRPr="00B1522E" w:rsidRDefault="00131634" w:rsidP="00B811CC">
            <w:pPr>
              <w:tabs>
                <w:tab w:val="decimal" w:pos="318"/>
                <w:tab w:val="decimal" w:pos="397"/>
              </w:tabs>
              <w:jc w:val="center"/>
              <w:rPr>
                <w:rFonts w:cstheme="minorHAnsi"/>
                <w:noProof/>
              </w:rPr>
            </w:pPr>
            <w:r w:rsidRPr="00B1522E">
              <w:rPr>
                <w:rFonts w:cstheme="minorHAnsi"/>
                <w:noProof/>
              </w:rPr>
              <w:t>.05</w:t>
            </w:r>
          </w:p>
        </w:tc>
        <w:tc>
          <w:tcPr>
            <w:tcW w:w="691" w:type="dxa"/>
            <w:vAlign w:val="center"/>
          </w:tcPr>
          <w:p w14:paraId="1993ACC4" w14:textId="77777777" w:rsidR="00131634" w:rsidRPr="00B1522E" w:rsidRDefault="00131634" w:rsidP="00B811CC">
            <w:pPr>
              <w:tabs>
                <w:tab w:val="decimal" w:pos="241"/>
                <w:tab w:val="decimal" w:pos="318"/>
              </w:tabs>
              <w:rPr>
                <w:rFonts w:cstheme="minorHAnsi"/>
                <w:noProof/>
              </w:rPr>
            </w:pPr>
          </w:p>
        </w:tc>
      </w:tr>
      <w:tr w:rsidR="00E77769" w:rsidRPr="00B1522E" w14:paraId="5EA43EBE" w14:textId="77777777" w:rsidTr="00B811CC">
        <w:trPr>
          <w:trHeight w:val="564"/>
        </w:trPr>
        <w:tc>
          <w:tcPr>
            <w:tcW w:w="2977" w:type="dxa"/>
            <w:tcBorders>
              <w:bottom w:val="single" w:sz="4" w:space="0" w:color="auto"/>
            </w:tcBorders>
          </w:tcPr>
          <w:p w14:paraId="29DAFA6C" w14:textId="77777777" w:rsidR="00131634" w:rsidRPr="00B1522E" w:rsidRDefault="00131634" w:rsidP="00643E50">
            <w:pPr>
              <w:ind w:left="340" w:hanging="340"/>
              <w:rPr>
                <w:rFonts w:cstheme="minorHAnsi"/>
                <w:noProof/>
                <w:vertAlign w:val="superscript"/>
              </w:rPr>
            </w:pPr>
            <w:r w:rsidRPr="00B1522E">
              <w:rPr>
                <w:rFonts w:cstheme="minorHAnsi"/>
                <w:noProof/>
              </w:rPr>
              <w:t>Misperceptions of peers’ attitude towards unhealthy snacking</w:t>
            </w:r>
            <w:r w:rsidRPr="00B1522E">
              <w:rPr>
                <w:rFonts w:cstheme="minorHAnsi"/>
                <w:noProof/>
                <w:vertAlign w:val="superscript"/>
              </w:rPr>
              <w:t>b</w:t>
            </w:r>
          </w:p>
        </w:tc>
        <w:tc>
          <w:tcPr>
            <w:tcW w:w="851" w:type="dxa"/>
            <w:tcBorders>
              <w:bottom w:val="single" w:sz="4" w:space="0" w:color="auto"/>
            </w:tcBorders>
            <w:vAlign w:val="center"/>
          </w:tcPr>
          <w:p w14:paraId="50C5DC0C" w14:textId="77777777" w:rsidR="00131634" w:rsidRPr="00B1522E" w:rsidRDefault="00131634" w:rsidP="00B811CC">
            <w:pPr>
              <w:tabs>
                <w:tab w:val="decimal" w:pos="318"/>
              </w:tabs>
              <w:jc w:val="center"/>
              <w:rPr>
                <w:rFonts w:cstheme="minorHAnsi"/>
                <w:noProof/>
              </w:rPr>
            </w:pPr>
          </w:p>
        </w:tc>
        <w:tc>
          <w:tcPr>
            <w:tcW w:w="708" w:type="dxa"/>
            <w:tcBorders>
              <w:bottom w:val="single" w:sz="4" w:space="0" w:color="auto"/>
            </w:tcBorders>
            <w:vAlign w:val="center"/>
          </w:tcPr>
          <w:p w14:paraId="519797E4" w14:textId="77777777" w:rsidR="00131634" w:rsidRPr="00B1522E" w:rsidRDefault="00131634" w:rsidP="00B811CC">
            <w:pPr>
              <w:tabs>
                <w:tab w:val="left" w:pos="144"/>
                <w:tab w:val="decimal" w:pos="266"/>
                <w:tab w:val="decimal" w:pos="318"/>
              </w:tabs>
              <w:jc w:val="center"/>
              <w:rPr>
                <w:rFonts w:cstheme="minorHAnsi"/>
                <w:noProof/>
              </w:rPr>
            </w:pPr>
          </w:p>
        </w:tc>
        <w:tc>
          <w:tcPr>
            <w:tcW w:w="709" w:type="dxa"/>
            <w:tcBorders>
              <w:bottom w:val="single" w:sz="4" w:space="0" w:color="auto"/>
            </w:tcBorders>
            <w:vAlign w:val="center"/>
          </w:tcPr>
          <w:p w14:paraId="3FAAF65F" w14:textId="77777777" w:rsidR="00131634" w:rsidRPr="00B1522E" w:rsidRDefault="00131634" w:rsidP="00B811CC">
            <w:pPr>
              <w:tabs>
                <w:tab w:val="decimal" w:pos="266"/>
                <w:tab w:val="decimal" w:pos="318"/>
              </w:tabs>
              <w:jc w:val="center"/>
              <w:rPr>
                <w:rFonts w:cstheme="minorHAnsi"/>
                <w:noProof/>
              </w:rPr>
            </w:pPr>
          </w:p>
        </w:tc>
        <w:tc>
          <w:tcPr>
            <w:tcW w:w="709" w:type="dxa"/>
            <w:tcBorders>
              <w:bottom w:val="single" w:sz="4" w:space="0" w:color="auto"/>
            </w:tcBorders>
            <w:vAlign w:val="center"/>
          </w:tcPr>
          <w:p w14:paraId="1CBA6D9C" w14:textId="77777777" w:rsidR="00131634" w:rsidRPr="00B1522E" w:rsidRDefault="00131634" w:rsidP="00B811CC">
            <w:pPr>
              <w:tabs>
                <w:tab w:val="decimal" w:pos="266"/>
                <w:tab w:val="left" w:pos="332"/>
              </w:tabs>
              <w:jc w:val="center"/>
              <w:rPr>
                <w:rFonts w:cstheme="minorHAnsi"/>
                <w:noProof/>
              </w:rPr>
            </w:pPr>
          </w:p>
        </w:tc>
        <w:tc>
          <w:tcPr>
            <w:tcW w:w="733" w:type="dxa"/>
            <w:tcBorders>
              <w:bottom w:val="single" w:sz="4" w:space="0" w:color="auto"/>
            </w:tcBorders>
            <w:vAlign w:val="center"/>
          </w:tcPr>
          <w:p w14:paraId="370BBE02" w14:textId="77777777" w:rsidR="00131634" w:rsidRPr="00B1522E" w:rsidRDefault="00131634" w:rsidP="00B811CC">
            <w:pPr>
              <w:tabs>
                <w:tab w:val="decimal" w:pos="180"/>
                <w:tab w:val="decimal" w:pos="266"/>
                <w:tab w:val="left" w:pos="332"/>
              </w:tabs>
              <w:jc w:val="center"/>
              <w:rPr>
                <w:rFonts w:cstheme="minorHAnsi"/>
                <w:noProof/>
              </w:rPr>
            </w:pPr>
            <w:r w:rsidRPr="00B1522E">
              <w:rPr>
                <w:rFonts w:cstheme="minorHAnsi"/>
                <w:noProof/>
              </w:rPr>
              <w:t>1.59</w:t>
            </w:r>
          </w:p>
        </w:tc>
        <w:tc>
          <w:tcPr>
            <w:tcW w:w="742" w:type="dxa"/>
            <w:tcBorders>
              <w:bottom w:val="single" w:sz="4" w:space="0" w:color="auto"/>
            </w:tcBorders>
            <w:vAlign w:val="center"/>
          </w:tcPr>
          <w:p w14:paraId="58851F61" w14:textId="77777777" w:rsidR="00131634" w:rsidRPr="00B1522E" w:rsidRDefault="00131634" w:rsidP="00B811CC">
            <w:pPr>
              <w:tabs>
                <w:tab w:val="decimal" w:pos="233"/>
              </w:tabs>
              <w:jc w:val="center"/>
              <w:rPr>
                <w:rFonts w:cstheme="minorHAnsi"/>
                <w:noProof/>
              </w:rPr>
            </w:pPr>
            <w:r w:rsidRPr="00B1522E">
              <w:rPr>
                <w:rFonts w:cstheme="minorHAnsi"/>
                <w:noProof/>
              </w:rPr>
              <w:t>.18*</w:t>
            </w:r>
          </w:p>
        </w:tc>
        <w:tc>
          <w:tcPr>
            <w:tcW w:w="793" w:type="dxa"/>
            <w:tcBorders>
              <w:bottom w:val="single" w:sz="4" w:space="0" w:color="auto"/>
            </w:tcBorders>
            <w:vAlign w:val="center"/>
          </w:tcPr>
          <w:p w14:paraId="06119F1D" w14:textId="77777777" w:rsidR="00131634" w:rsidRPr="00B1522E" w:rsidRDefault="00131634" w:rsidP="00B811CC">
            <w:pPr>
              <w:tabs>
                <w:tab w:val="decimal" w:pos="318"/>
                <w:tab w:val="decimal" w:pos="397"/>
              </w:tabs>
              <w:jc w:val="center"/>
              <w:rPr>
                <w:rFonts w:cstheme="minorHAnsi"/>
                <w:noProof/>
              </w:rPr>
            </w:pPr>
            <w:r w:rsidRPr="00B1522E">
              <w:rPr>
                <w:rFonts w:cstheme="minorHAnsi"/>
                <w:noProof/>
              </w:rPr>
              <w:t>.71</w:t>
            </w:r>
          </w:p>
        </w:tc>
        <w:tc>
          <w:tcPr>
            <w:tcW w:w="691" w:type="dxa"/>
            <w:tcBorders>
              <w:bottom w:val="single" w:sz="4" w:space="0" w:color="auto"/>
            </w:tcBorders>
            <w:vAlign w:val="center"/>
          </w:tcPr>
          <w:p w14:paraId="6D11CAF6" w14:textId="77777777" w:rsidR="00131634" w:rsidRPr="00B1522E" w:rsidRDefault="00131634" w:rsidP="00B811CC">
            <w:pPr>
              <w:keepNext/>
              <w:tabs>
                <w:tab w:val="decimal" w:pos="241"/>
                <w:tab w:val="decimal" w:pos="318"/>
              </w:tabs>
              <w:rPr>
                <w:rFonts w:cstheme="minorHAnsi"/>
                <w:noProof/>
              </w:rPr>
            </w:pPr>
          </w:p>
        </w:tc>
      </w:tr>
    </w:tbl>
    <w:p w14:paraId="5E07F722" w14:textId="77777777" w:rsidR="00131634" w:rsidRPr="00B1522E" w:rsidRDefault="00131634" w:rsidP="00BA105C">
      <w:pPr>
        <w:pStyle w:val="Caption"/>
        <w:framePr w:w="8785" w:h="2545" w:hRule="exact" w:hSpace="180" w:wrap="around" w:vAnchor="text" w:hAnchor="page" w:x="1375" w:y="3996"/>
        <w:jc w:val="both"/>
        <w:rPr>
          <w:rFonts w:cstheme="minorHAnsi"/>
          <w:noProof/>
          <w:color w:val="auto"/>
          <w:sz w:val="22"/>
          <w:szCs w:val="22"/>
        </w:rPr>
      </w:pPr>
      <w:r w:rsidRPr="00B1522E">
        <w:rPr>
          <w:rFonts w:cstheme="minorHAnsi"/>
          <w:color w:val="auto"/>
          <w:sz w:val="22"/>
          <w:szCs w:val="22"/>
          <w:vertAlign w:val="superscript"/>
        </w:rPr>
        <w:t xml:space="preserve">a </w:t>
      </w:r>
      <w:r w:rsidRPr="00B1522E">
        <w:rPr>
          <w:rFonts w:cstheme="minorHAnsi"/>
          <w:color w:val="auto"/>
          <w:sz w:val="22"/>
          <w:szCs w:val="22"/>
        </w:rPr>
        <w:t>Misperception scores were calculated by s</w:t>
      </w:r>
      <w:r w:rsidRPr="00B1522E">
        <w:rPr>
          <w:rFonts w:cstheme="minorHAnsi"/>
          <w:noProof/>
          <w:color w:val="auto"/>
          <w:sz w:val="22"/>
          <w:szCs w:val="22"/>
        </w:rPr>
        <w:t>ubtracting the median of personal unhealthy snacking behaviour of the group from students’ normative perception (descriptive) of peers’ behaviour.</w:t>
      </w:r>
    </w:p>
    <w:p w14:paraId="72A0B3B5" w14:textId="77777777" w:rsidR="00131634" w:rsidRPr="00B1522E" w:rsidRDefault="00131634" w:rsidP="00BA105C">
      <w:pPr>
        <w:framePr w:w="8785" w:h="2545" w:hRule="exact" w:hSpace="180" w:wrap="around" w:vAnchor="text" w:hAnchor="page" w:x="1375" w:y="3996"/>
        <w:rPr>
          <w:rFonts w:cstheme="minorHAnsi"/>
          <w:i/>
          <w:iCs/>
          <w:noProof/>
        </w:rPr>
      </w:pPr>
      <w:r w:rsidRPr="00B1522E">
        <w:rPr>
          <w:rFonts w:cstheme="minorHAnsi"/>
          <w:i/>
          <w:iCs/>
          <w:vertAlign w:val="superscript"/>
        </w:rPr>
        <w:t>b</w:t>
      </w:r>
      <w:r w:rsidRPr="00B1522E">
        <w:rPr>
          <w:rFonts w:cstheme="minorHAnsi"/>
          <w:i/>
          <w:iCs/>
        </w:rPr>
        <w:t xml:space="preserve"> Misperception scores were calculated by s</w:t>
      </w:r>
      <w:r w:rsidRPr="00B1522E">
        <w:rPr>
          <w:rFonts w:cstheme="minorHAnsi"/>
          <w:i/>
          <w:iCs/>
          <w:noProof/>
        </w:rPr>
        <w:t>ubtracting the median of personal snacking attitude of the group from the students’ normative perception (injunctive) of peers’ snacking attitudes.</w:t>
      </w:r>
    </w:p>
    <w:p w14:paraId="1A1B1739" w14:textId="77777777" w:rsidR="00131634" w:rsidRPr="00B1522E" w:rsidRDefault="00131634" w:rsidP="00BA105C">
      <w:pPr>
        <w:pStyle w:val="Caption"/>
        <w:framePr w:w="8785" w:h="2545" w:hRule="exact" w:hSpace="180" w:wrap="around" w:vAnchor="text" w:hAnchor="page" w:x="1375" w:y="3996"/>
        <w:spacing w:line="360" w:lineRule="auto"/>
        <w:rPr>
          <w:rFonts w:cstheme="minorHAnsi"/>
          <w:noProof/>
          <w:color w:val="auto"/>
          <w:sz w:val="22"/>
          <w:szCs w:val="22"/>
        </w:rPr>
      </w:pPr>
      <w:r w:rsidRPr="00B1522E">
        <w:rPr>
          <w:rFonts w:cstheme="minorHAnsi"/>
          <w:noProof/>
          <w:color w:val="auto"/>
          <w:sz w:val="22"/>
          <w:szCs w:val="22"/>
        </w:rPr>
        <w:t>*p &lt; .05</w:t>
      </w:r>
    </w:p>
    <w:p w14:paraId="1C56B1E9" w14:textId="77777777" w:rsidR="00131634" w:rsidRPr="00B1522E" w:rsidRDefault="00131634" w:rsidP="00BA105C">
      <w:pPr>
        <w:pStyle w:val="Caption"/>
        <w:framePr w:w="8785" w:h="2545" w:hRule="exact" w:hSpace="180" w:wrap="around" w:vAnchor="text" w:hAnchor="page" w:x="1375" w:y="3996"/>
        <w:spacing w:line="360" w:lineRule="auto"/>
        <w:rPr>
          <w:rFonts w:cstheme="minorHAnsi"/>
          <w:noProof/>
          <w:color w:val="auto"/>
          <w:sz w:val="22"/>
          <w:szCs w:val="22"/>
        </w:rPr>
      </w:pPr>
      <w:r w:rsidRPr="00B1522E">
        <w:rPr>
          <w:rFonts w:cstheme="minorHAnsi"/>
          <w:noProof/>
          <w:color w:val="auto"/>
          <w:sz w:val="22"/>
          <w:szCs w:val="22"/>
        </w:rPr>
        <w:t>**p &lt; .001</w:t>
      </w:r>
    </w:p>
    <w:p w14:paraId="6346BFF9" w14:textId="77777777" w:rsidR="00730501" w:rsidRPr="00B1522E" w:rsidRDefault="00730501" w:rsidP="00ED3D13"/>
    <w:p w14:paraId="6C2BE772" w14:textId="5DA06142" w:rsidR="00E61CDA" w:rsidRPr="00B1522E" w:rsidRDefault="00E61CDA" w:rsidP="002D6D48">
      <w:pPr>
        <w:spacing w:line="480" w:lineRule="auto"/>
      </w:pPr>
      <w:r w:rsidRPr="00B1522E">
        <w:t>7.4</w:t>
      </w:r>
      <w:r w:rsidR="00730501" w:rsidRPr="00B1522E">
        <w:t xml:space="preserve">.5.2 The role of perceived norms in predicting students’ personal snacking attitude </w:t>
      </w:r>
    </w:p>
    <w:p w14:paraId="1E5B7FEE" w14:textId="4F0B5392" w:rsidR="00730501" w:rsidRPr="00B1522E" w:rsidRDefault="00730501" w:rsidP="002D6D48">
      <w:pPr>
        <w:spacing w:after="0" w:line="480" w:lineRule="auto"/>
        <w:jc w:val="both"/>
        <w:rPr>
          <w:rFonts w:cstheme="minorHAnsi"/>
          <w:noProof/>
          <w:lang w:eastAsia="en-GB"/>
        </w:rPr>
      </w:pPr>
      <w:r w:rsidRPr="00B1522E">
        <w:rPr>
          <w:rFonts w:cstheme="minorHAnsi"/>
        </w:rPr>
        <w:t>Testing hypothesis three, the second regression tested the association between students’ normative perceptions of peers’ attitudes and students’ personal attitudes towards unhealthy snacking.</w:t>
      </w:r>
      <w:r w:rsidRPr="00B1522E">
        <w:rPr>
          <w:rFonts w:cstheme="minorHAnsi"/>
          <w:noProof/>
        </w:rPr>
        <w:t xml:space="preserve"> In this regression analysis, students’ sex and personal unhealthy snacking behaviour were controlled and entered as a covariates in Block 1 (</w:t>
      </w:r>
      <w:r w:rsidRPr="00B1522E">
        <w:rPr>
          <w:rFonts w:cstheme="minorHAnsi"/>
        </w:rPr>
        <w:t xml:space="preserve">as previously-conducted focus groups indicated there could be sex differences in beliefs and perceptions </w:t>
      </w:r>
      <w:r w:rsidR="00030F1C" w:rsidRPr="00B1522E">
        <w:rPr>
          <w:rFonts w:cstheme="minorHAnsi"/>
        </w:rPr>
        <w:t xml:space="preserve">(Chapter 5) </w:t>
      </w:r>
      <w:r w:rsidR="00030F1C" w:rsidRPr="00B1522E">
        <w:rPr>
          <w:rFonts w:cstheme="minorHAnsi"/>
        </w:rPr>
        <w:fldChar w:fldCharType="begin" w:fldLock="1"/>
      </w:r>
      <w:r w:rsidR="00C654DE" w:rsidRPr="00B1522E">
        <w:rPr>
          <w:rFonts w:cstheme="minorHAnsi"/>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00030F1C" w:rsidRPr="00B1522E">
        <w:rPr>
          <w:rFonts w:cstheme="minorHAnsi"/>
        </w:rPr>
        <w:fldChar w:fldCharType="separate"/>
      </w:r>
      <w:r w:rsidR="00355350" w:rsidRPr="00B1522E">
        <w:rPr>
          <w:rFonts w:cstheme="minorHAnsi"/>
          <w:noProof/>
        </w:rPr>
        <w:t>(Calvert et al., 2020)</w:t>
      </w:r>
      <w:r w:rsidR="00030F1C" w:rsidRPr="00B1522E">
        <w:rPr>
          <w:rFonts w:cstheme="minorHAnsi"/>
        </w:rPr>
        <w:fldChar w:fldCharType="end"/>
      </w:r>
      <w:r w:rsidRPr="00B1522E">
        <w:rPr>
          <w:rFonts w:cstheme="minorHAnsi"/>
        </w:rPr>
        <w:t xml:space="preserve"> and as there can be an association between personal behaviours and personal attitudes; </w:t>
      </w:r>
      <w:r w:rsidRPr="00B1522E">
        <w:rPr>
          <w:rFonts w:cstheme="minorHAnsi"/>
        </w:rPr>
        <w:fldChar w:fldCharType="begin" w:fldLock="1"/>
      </w:r>
      <w:r w:rsidR="00DF6CCC" w:rsidRPr="00B1522E">
        <w:rPr>
          <w:rFonts w:cstheme="minorHAnsi"/>
        </w:rPr>
        <w:instrText>ADDIN CSL_CITATION {"citationItems":[{"id":"ITEM-1","itemData":{"ISSN":"0195-6663 (Print)","PMID":"17049407","abstract":"Attitudes towards healthy eating were explored according to dietary, lifestyle and socio-demographic correlates in a random sample of 1256 Irish adults. Data were obtained from an Irish cross-sectional survey (1997-1999). A self-administered questionnaire was used to obtain attitudinal information. Food consumption was estimated using a 7-d food diary. A majority of the sample had a positive attitude or motivation towards their healthy eating behaviour. Those who perceived their own eating habits to be healthy were more likely to comply with current dietary guidelines than those who did not. Females, increasing age, higher social class, tertiary education, non-smokers, lower body-weights and increased recreational activity were associated with a lower odds ratio (OR) for having a negative attitude towards their healthy eating behaviour. An increased intake (g/d) of breakfast cereals, vegetables, fruit and poultry dishes were associated with decreased OR for negative attitudes towards their healthy eating behaviour, while an increased intake of high-calorie beverages (g/d) was associated with an increased OR. It can be concluded that attitudes or motivation towards eating healthily was related to measured dietary and lifestyle behaviour in this sample. Future research is warranted to devise appropriate methods of instituting attitude change towards dietary behaviour in certain subgroups of the population.","author":[{"dropping-particle":"","family":"Hearty","given":"A P","non-dropping-particle":"","parse-names":false,"suffix":""},{"dropping-particle":"","family":"McCarthy","given":"S N","non-dropping-particle":"","parse-names":false,"suffix":""},{"dropping-particle":"","family":"Kearney","given":"J M","non-dropping-particle":"","parse-names":false,"suffix":""},{"dropping-particle":"","family":"Gibney","given":"M J","non-dropping-particle":"","parse-names":false,"suffix":""}],"container-title":"Appetite","id":"ITEM-1","issue":"1","issued":{"date-parts":[["2007","1"]]},"language":"eng","page":"1-11","publisher-place":"England","title":"Relationship between attitudes towards healthy eating and dietary behaviour, lifestyle and demographic factors in a representative sample of Irish adults.","type":"article-journal","volume":"48"},"uris":["http://www.mendeley.com/documents/?uuid=23a49237-bea6-49db-b049-86dea1a60d36"]}],"mendeley":{"formattedCitation":"(Hearty et al., 2007)","manualFormatting":"Hearty et al., 2007)","plainTextFormattedCitation":"(Hearty et al., 2007)","previouslyFormattedCitation":"(Hearty et al., 2007)"},"properties":{"noteIndex":0},"schema":"https://github.com/citation-style-language/schema/raw/master/csl-citation.json"}</w:instrText>
      </w:r>
      <w:r w:rsidRPr="00B1522E">
        <w:rPr>
          <w:rFonts w:cstheme="minorHAnsi"/>
        </w:rPr>
        <w:fldChar w:fldCharType="separate"/>
      </w:r>
      <w:r w:rsidRPr="00B1522E">
        <w:rPr>
          <w:rFonts w:cstheme="minorHAnsi"/>
          <w:noProof/>
        </w:rPr>
        <w:t>Hearty et al., 2007)</w:t>
      </w:r>
      <w:r w:rsidRPr="00B1522E">
        <w:rPr>
          <w:rFonts w:cstheme="minorHAnsi"/>
        </w:rPr>
        <w:fldChar w:fldCharType="end"/>
      </w:r>
      <w:r w:rsidRPr="00B1522E">
        <w:rPr>
          <w:rFonts w:cstheme="minorHAnsi"/>
          <w:noProof/>
        </w:rPr>
        <w:t>, while misperceptions about peers’ snacking attitude towards unhealthy snacking were entered in Block 2.</w:t>
      </w:r>
      <w:r w:rsidRPr="00B1522E">
        <w:rPr>
          <w:rFonts w:cstheme="minorHAnsi"/>
          <w:noProof/>
          <w:lang w:eastAsia="en-GB"/>
        </w:rPr>
        <w:t xml:space="preserve"> </w:t>
      </w:r>
    </w:p>
    <w:p w14:paraId="37478369" w14:textId="53D1B140" w:rsidR="00730501" w:rsidRPr="00B1522E" w:rsidRDefault="00730501" w:rsidP="00730501">
      <w:pPr>
        <w:spacing w:line="480" w:lineRule="auto"/>
        <w:jc w:val="both"/>
        <w:rPr>
          <w:rFonts w:cstheme="minorHAnsi"/>
          <w:shd w:val="clear" w:color="auto" w:fill="FFFFFF"/>
        </w:rPr>
      </w:pPr>
      <w:r w:rsidRPr="00B1522E">
        <w:rPr>
          <w:rFonts w:cstheme="minorHAnsi"/>
          <w:shd w:val="clear" w:color="auto" w:fill="FFFFFF"/>
        </w:rPr>
        <w:t xml:space="preserve">The regression indicated no evidence of collinearity after conducting diagnostic tests. An analysis of standard residuals was also carried out on the data to identify any outliers, which indicated that one case (below 1% of the sample cases) was outside the range +/- 3.29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BN":"1446274586","author":[{"dropping-particle":"","family":"Field","given":"Andy","non-dropping-particle":"","parse-names":false,"suffix":""}],"id":"ITEM-1","issued":{"date-parts":[["2013"]]},"publisher":"Sage","publisher-place":"London","title":"Discovering statistics using IBM SPSS statistics","type":"book"},"uris":["http://www.mendeley.com/documents/?uuid=1e097d10-b099-44d2-bb82-0323b21b4daf"]}],"mendeley":{"formattedCitation":"(Field, 2013)","plainTextFormattedCitation":"(Field, 2013)","previouslyFormattedCitation":"(Field, 2013)"},"properties":{"noteIndex":0},"schema":"https://github.com/citation-style-language/schema/raw/master/csl-citation.json"}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(Field, 2013)</w:t>
      </w:r>
      <w:r w:rsidRPr="00B1522E">
        <w:rPr>
          <w:rFonts w:cstheme="minorHAnsi"/>
          <w:shd w:val="clear" w:color="auto" w:fill="FFFFFF"/>
        </w:rPr>
        <w:fldChar w:fldCharType="end"/>
      </w:r>
      <w:r w:rsidRPr="00B1522E">
        <w:rPr>
          <w:rFonts w:cstheme="minorHAnsi"/>
          <w:shd w:val="clear" w:color="auto" w:fill="FFFFFF"/>
        </w:rPr>
        <w:t xml:space="preserve">. The outlier (3.419) was </w:t>
      </w:r>
      <w:r w:rsidR="007D734F" w:rsidRPr="00B1522E">
        <w:rPr>
          <w:rFonts w:cstheme="minorHAnsi"/>
          <w:shd w:val="clear" w:color="auto" w:fill="FFFFFF"/>
        </w:rPr>
        <w:t>removed,</w:t>
      </w:r>
      <w:r w:rsidRPr="00B1522E">
        <w:rPr>
          <w:rFonts w:cstheme="minorHAnsi"/>
          <w:shd w:val="clear" w:color="auto" w:fill="FFFFFF"/>
        </w:rPr>
        <w:t xml:space="preserve"> and the regression was re-run, and as there was little difference between the regressions’ results, therefore the original regression results are reported here. </w:t>
      </w:r>
    </w:p>
    <w:p w14:paraId="214D9FB5" w14:textId="150FED39" w:rsidR="00730501" w:rsidRPr="00B1522E" w:rsidRDefault="00730501" w:rsidP="00825CBF">
      <w:pPr>
        <w:spacing w:line="480" w:lineRule="auto"/>
        <w:ind w:firstLine="720"/>
        <w:jc w:val="both"/>
        <w:rPr>
          <w:rFonts w:cstheme="minorHAnsi"/>
          <w:noProof/>
        </w:rPr>
      </w:pPr>
      <w:r w:rsidRPr="00B1522E">
        <w:rPr>
          <w:rFonts w:cstheme="minorHAnsi"/>
          <w:noProof/>
        </w:rPr>
        <w:t xml:space="preserve">Personal unhealthy snacking behaviour and students’ sex were not significant predictors of personal attitudes for unhealthy snacking in Block 1 , </w:t>
      </w:r>
      <w:r w:rsidRPr="00B1522E">
        <w:rPr>
          <w:rFonts w:cstheme="minorHAnsi"/>
          <w:i/>
          <w:iCs/>
          <w:noProof/>
        </w:rPr>
        <w:t>F</w:t>
      </w:r>
      <w:r w:rsidRPr="00B1522E">
        <w:rPr>
          <w:rFonts w:cstheme="minorHAnsi"/>
          <w:noProof/>
        </w:rPr>
        <w:t xml:space="preserve">(2, 161) = 1.312, </w:t>
      </w:r>
      <w:r w:rsidRPr="00B1522E">
        <w:rPr>
          <w:rFonts w:cstheme="minorHAnsi"/>
          <w:i/>
          <w:iCs/>
          <w:noProof/>
        </w:rPr>
        <w:t>p</w:t>
      </w:r>
      <w:r w:rsidRPr="00B1522E">
        <w:rPr>
          <w:rFonts w:cstheme="minorHAnsi"/>
          <w:noProof/>
        </w:rPr>
        <w:t xml:space="preserve"> = .272. Block 2 accounted for 12.1% of the variance in </w:t>
      </w:r>
      <w:bookmarkStart w:id="214" w:name="_Hlk52867339"/>
      <w:r w:rsidRPr="00B1522E">
        <w:rPr>
          <w:rFonts w:cstheme="minorHAnsi"/>
          <w:noProof/>
        </w:rPr>
        <w:t xml:space="preserve">personal attitude towards unhealthy snacking, and adding the second Block led to the overall model becoming statistically significant, </w:t>
      </w:r>
      <w:bookmarkEnd w:id="214"/>
      <w:r w:rsidRPr="00B1522E">
        <w:rPr>
          <w:rFonts w:cstheme="minorHAnsi"/>
          <w:i/>
          <w:iCs/>
          <w:noProof/>
        </w:rPr>
        <w:t>F</w:t>
      </w:r>
      <w:r w:rsidRPr="00B1522E">
        <w:rPr>
          <w:rFonts w:cstheme="minorHAnsi"/>
          <w:noProof/>
        </w:rPr>
        <w:t xml:space="preserve">(3, 160) = 7.358, </w:t>
      </w:r>
      <w:r w:rsidRPr="00B1522E">
        <w:rPr>
          <w:rFonts w:cstheme="minorHAnsi"/>
          <w:i/>
          <w:iCs/>
          <w:noProof/>
        </w:rPr>
        <w:t>p</w:t>
      </w:r>
      <w:r w:rsidRPr="00B1522E">
        <w:rPr>
          <w:rFonts w:cstheme="minorHAnsi"/>
          <w:noProof/>
        </w:rPr>
        <w:t xml:space="preserve"> &lt; .001, with misperceptions of peers’ attitude towards unhealthy snacking (β = 0.33, </w:t>
      </w:r>
      <w:r w:rsidRPr="00B1522E">
        <w:rPr>
          <w:rFonts w:cstheme="minorHAnsi"/>
          <w:i/>
          <w:iCs/>
          <w:noProof/>
        </w:rPr>
        <w:t>p</w:t>
      </w:r>
      <w:r w:rsidRPr="00B1522E">
        <w:rPr>
          <w:rFonts w:cstheme="minorHAnsi"/>
          <w:noProof/>
        </w:rPr>
        <w:t xml:space="preserve"> &lt; .001) being a significant predictor of personal attitude towards unhealthy snacking (Table </w:t>
      </w:r>
      <w:r w:rsidR="00825CBF" w:rsidRPr="00B1522E">
        <w:rPr>
          <w:rFonts w:cstheme="minorHAnsi"/>
          <w:noProof/>
        </w:rPr>
        <w:t>1</w:t>
      </w:r>
      <w:r w:rsidR="007A3DF9" w:rsidRPr="00B1522E">
        <w:rPr>
          <w:rFonts w:cstheme="minorHAnsi"/>
          <w:noProof/>
        </w:rPr>
        <w:t>5</w:t>
      </w:r>
      <w:r w:rsidRPr="00B1522E">
        <w:rPr>
          <w:rFonts w:cstheme="minorHAnsi"/>
          <w:noProof/>
        </w:rPr>
        <w:t>). The results suggest that students who misperceive peers to have positive attitudes towards unhealthy snacking had a positive personal attitude towards unhealthy snacking themselves.</w:t>
      </w:r>
    </w:p>
    <w:p w14:paraId="59D134EE" w14:textId="77777777" w:rsidR="00825CBF" w:rsidRPr="00B1522E" w:rsidRDefault="00825CBF" w:rsidP="000A26D0">
      <w:pPr>
        <w:spacing w:line="480" w:lineRule="auto"/>
        <w:jc w:val="both"/>
        <w:rPr>
          <w:rFonts w:cstheme="minorHAnsi"/>
          <w:noProof/>
        </w:rPr>
      </w:pPr>
    </w:p>
    <w:bookmarkStart w:id="215" w:name="_Hlk62655974"/>
    <w:p w14:paraId="15E79445" w14:textId="54F345FA" w:rsidR="000C2BC0" w:rsidRPr="00B1522E" w:rsidRDefault="004B7E33" w:rsidP="000C2BC0">
      <w:pPr>
        <w:pStyle w:val="Caption"/>
        <w:keepNext/>
        <w:rPr>
          <w:rFonts w:cstheme="minorHAnsi"/>
          <w:i w:val="0"/>
          <w:iCs w:val="0"/>
          <w:color w:val="auto"/>
          <w:sz w:val="22"/>
          <w:szCs w:val="22"/>
        </w:rPr>
      </w:pPr>
      <w:r w:rsidRPr="00B1522E">
        <w:rPr>
          <w:rFonts w:cstheme="minorHAnsi"/>
          <w:b/>
          <w:bCs/>
          <w:i w:val="0"/>
          <w:iCs w:val="0"/>
          <w:color w:val="auto"/>
          <w:sz w:val="22"/>
          <w:szCs w:val="22"/>
        </w:rPr>
        <w:lastRenderedPageBreak/>
        <w:fldChar w:fldCharType="begin"/>
      </w:r>
      <w:r w:rsidRPr="00B1522E">
        <w:rPr>
          <w:rFonts w:cstheme="minorHAnsi"/>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216" w:name="_Toc97557138"/>
      <w:r w:rsidRPr="00B1522E">
        <w:rPr>
          <w:rFonts w:cstheme="minorHAnsi"/>
          <w:i w:val="0"/>
          <w:iCs w:val="0"/>
          <w:color w:val="auto"/>
          <w:sz w:val="22"/>
          <w:szCs w:val="22"/>
        </w:rPr>
        <w:instrText xml:space="preserve">Table </w:instrText>
      </w:r>
      <w:r w:rsidR="00B61682" w:rsidRPr="00B1522E">
        <w:rPr>
          <w:rFonts w:cstheme="minorHAnsi"/>
          <w:i w:val="0"/>
          <w:iCs w:val="0"/>
          <w:color w:val="auto"/>
          <w:sz w:val="22"/>
          <w:szCs w:val="22"/>
        </w:rPr>
        <w:instrText>1</w:instrText>
      </w:r>
      <w:r w:rsidR="00C207DC" w:rsidRPr="00B1522E">
        <w:rPr>
          <w:rFonts w:cstheme="minorHAnsi"/>
          <w:i w:val="0"/>
          <w:iCs w:val="0"/>
          <w:color w:val="auto"/>
          <w:sz w:val="22"/>
          <w:szCs w:val="22"/>
        </w:rPr>
        <w:instrText>5</w:instrText>
      </w:r>
      <w:r w:rsidRPr="00B1522E">
        <w:rPr>
          <w:rFonts w:cstheme="minorHAnsi"/>
          <w:i w:val="0"/>
          <w:iCs w:val="0"/>
          <w:color w:val="auto"/>
          <w:sz w:val="22"/>
          <w:szCs w:val="22"/>
        </w:rPr>
        <w:instrText>. Hierarchical regression predicting students’ personal attitude towards unhealthy snacking.</w:instrText>
      </w:r>
      <w:bookmarkEnd w:id="216"/>
      <w:r w:rsidR="00686F5E" w:rsidRPr="00B1522E">
        <w:rPr>
          <w:rFonts w:cstheme="minorHAnsi"/>
          <w:i w:val="0"/>
          <w:iCs w:val="0"/>
          <w:color w:val="auto"/>
          <w:sz w:val="22"/>
          <w:szCs w:val="22"/>
        </w:rPr>
        <w:instrText>”</w:instrText>
      </w:r>
      <w:r w:rsidRPr="00B1522E">
        <w:rPr>
          <w:rFonts w:cstheme="minorHAnsi"/>
          <w:b/>
          <w:bCs/>
          <w:i w:val="0"/>
          <w:iCs w:val="0"/>
          <w:color w:val="auto"/>
          <w:sz w:val="22"/>
          <w:szCs w:val="22"/>
        </w:rPr>
        <w:instrText xml:space="preserve">\f z\l 2 </w:instrText>
      </w:r>
      <w:r w:rsidRPr="00B1522E">
        <w:rPr>
          <w:rFonts w:cstheme="minorHAnsi"/>
          <w:b/>
          <w:bCs/>
          <w:i w:val="0"/>
          <w:iCs w:val="0"/>
          <w:color w:val="auto"/>
          <w:sz w:val="22"/>
          <w:szCs w:val="22"/>
        </w:rPr>
        <w:fldChar w:fldCharType="end"/>
      </w:r>
      <w:r w:rsidR="000C2BC0" w:rsidRPr="00B1522E">
        <w:rPr>
          <w:rFonts w:cstheme="minorHAnsi"/>
          <w:i w:val="0"/>
          <w:iCs w:val="0"/>
          <w:color w:val="auto"/>
          <w:sz w:val="22"/>
          <w:szCs w:val="22"/>
        </w:rPr>
        <w:t xml:space="preserve">Table </w:t>
      </w:r>
      <w:r w:rsidR="00B61682" w:rsidRPr="00B1522E">
        <w:rPr>
          <w:rFonts w:cstheme="minorHAnsi"/>
          <w:i w:val="0"/>
          <w:iCs w:val="0"/>
          <w:color w:val="auto"/>
          <w:sz w:val="22"/>
          <w:szCs w:val="22"/>
        </w:rPr>
        <w:t>1</w:t>
      </w:r>
      <w:r w:rsidR="00C207DC" w:rsidRPr="00B1522E">
        <w:rPr>
          <w:rFonts w:cstheme="minorHAnsi"/>
          <w:i w:val="0"/>
          <w:iCs w:val="0"/>
          <w:color w:val="auto"/>
          <w:sz w:val="22"/>
          <w:szCs w:val="22"/>
        </w:rPr>
        <w:t>5</w:t>
      </w:r>
      <w:r w:rsidR="000C2BC0" w:rsidRPr="00B1522E">
        <w:rPr>
          <w:rFonts w:cstheme="minorHAnsi"/>
          <w:i w:val="0"/>
          <w:iCs w:val="0"/>
          <w:color w:val="auto"/>
          <w:sz w:val="22"/>
          <w:szCs w:val="22"/>
        </w:rPr>
        <w:t>. Hierarchical regression predicting students’ personal attitude towards unhealthy snacking.</w:t>
      </w:r>
    </w:p>
    <w:tbl>
      <w:tblPr>
        <w:tblStyle w:val="TableGrid"/>
        <w:tblpPr w:leftFromText="180" w:rightFromText="180" w:vertAnchor="text" w:horzAnchor="margin" w:tblpY="-2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75"/>
        <w:gridCol w:w="775"/>
        <w:gridCol w:w="774"/>
        <w:gridCol w:w="774"/>
        <w:gridCol w:w="774"/>
        <w:gridCol w:w="774"/>
        <w:gridCol w:w="774"/>
        <w:gridCol w:w="771"/>
      </w:tblGrid>
      <w:tr w:rsidR="00E77769" w:rsidRPr="00B1522E" w14:paraId="398E9629" w14:textId="77777777" w:rsidTr="00B811CC">
        <w:trPr>
          <w:trHeight w:val="268"/>
        </w:trPr>
        <w:tc>
          <w:tcPr>
            <w:tcW w:w="1570" w:type="pct"/>
            <w:tcBorders>
              <w:top w:val="single" w:sz="4" w:space="0" w:color="auto"/>
            </w:tcBorders>
          </w:tcPr>
          <w:p w14:paraId="702FC65F" w14:textId="77777777" w:rsidR="000C2BC0" w:rsidRPr="00B1522E" w:rsidRDefault="000C2BC0" w:rsidP="00B811CC">
            <w:pPr>
              <w:rPr>
                <w:rFonts w:cstheme="minorHAnsi"/>
                <w:noProof/>
              </w:rPr>
            </w:pPr>
            <w:r w:rsidRPr="00B1522E">
              <w:rPr>
                <w:rFonts w:cstheme="minorHAnsi"/>
                <w:noProof/>
              </w:rPr>
              <w:t xml:space="preserve">Variables </w:t>
            </w:r>
          </w:p>
        </w:tc>
        <w:tc>
          <w:tcPr>
            <w:tcW w:w="1714" w:type="pct"/>
            <w:gridSpan w:val="4"/>
            <w:tcBorders>
              <w:top w:val="single" w:sz="4" w:space="0" w:color="auto"/>
              <w:bottom w:val="single" w:sz="4" w:space="0" w:color="auto"/>
            </w:tcBorders>
            <w:vAlign w:val="center"/>
          </w:tcPr>
          <w:p w14:paraId="73DA2A43" w14:textId="77777777" w:rsidR="000C2BC0" w:rsidRPr="00B1522E" w:rsidRDefault="000C2BC0" w:rsidP="00B811CC">
            <w:pPr>
              <w:jc w:val="center"/>
              <w:rPr>
                <w:rFonts w:cstheme="minorHAnsi"/>
                <w:noProof/>
              </w:rPr>
            </w:pPr>
            <w:r w:rsidRPr="00B1522E">
              <w:rPr>
                <w:rFonts w:cstheme="minorHAnsi"/>
                <w:noProof/>
              </w:rPr>
              <w:t>Block 1</w:t>
            </w:r>
          </w:p>
        </w:tc>
        <w:tc>
          <w:tcPr>
            <w:tcW w:w="1715" w:type="pct"/>
            <w:gridSpan w:val="4"/>
            <w:tcBorders>
              <w:top w:val="single" w:sz="4" w:space="0" w:color="auto"/>
              <w:bottom w:val="single" w:sz="4" w:space="0" w:color="auto"/>
            </w:tcBorders>
            <w:vAlign w:val="center"/>
          </w:tcPr>
          <w:p w14:paraId="13944102" w14:textId="77777777" w:rsidR="000C2BC0" w:rsidRPr="00B1522E" w:rsidRDefault="000C2BC0" w:rsidP="00B811CC">
            <w:pPr>
              <w:jc w:val="center"/>
              <w:rPr>
                <w:rFonts w:cstheme="minorHAnsi"/>
                <w:noProof/>
              </w:rPr>
            </w:pPr>
            <w:r w:rsidRPr="00B1522E">
              <w:rPr>
                <w:rFonts w:cstheme="minorHAnsi"/>
                <w:noProof/>
              </w:rPr>
              <w:t>Block 2</w:t>
            </w:r>
          </w:p>
        </w:tc>
      </w:tr>
      <w:tr w:rsidR="00E77769" w:rsidRPr="00B1522E" w14:paraId="75625288" w14:textId="77777777" w:rsidTr="00B811CC">
        <w:trPr>
          <w:trHeight w:val="280"/>
        </w:trPr>
        <w:tc>
          <w:tcPr>
            <w:tcW w:w="1570" w:type="pct"/>
            <w:tcBorders>
              <w:bottom w:val="single" w:sz="4" w:space="0" w:color="auto"/>
            </w:tcBorders>
          </w:tcPr>
          <w:p w14:paraId="2E2371B8" w14:textId="77777777" w:rsidR="000C2BC0" w:rsidRPr="00B1522E" w:rsidRDefault="000C2BC0" w:rsidP="00B811CC">
            <w:pPr>
              <w:rPr>
                <w:rFonts w:cstheme="minorHAnsi"/>
                <w:noProof/>
              </w:rPr>
            </w:pPr>
          </w:p>
        </w:tc>
        <w:tc>
          <w:tcPr>
            <w:tcW w:w="429" w:type="pct"/>
            <w:tcBorders>
              <w:top w:val="single" w:sz="4" w:space="0" w:color="auto"/>
              <w:bottom w:val="single" w:sz="4" w:space="0" w:color="auto"/>
            </w:tcBorders>
            <w:vAlign w:val="center"/>
          </w:tcPr>
          <w:p w14:paraId="20CE7CFB" w14:textId="77777777" w:rsidR="000C2BC0" w:rsidRPr="00B1522E" w:rsidRDefault="000C2BC0" w:rsidP="00B811CC">
            <w:pPr>
              <w:jc w:val="center"/>
              <w:rPr>
                <w:rFonts w:cstheme="minorHAnsi"/>
                <w:i/>
                <w:iCs/>
                <w:noProof/>
              </w:rPr>
            </w:pPr>
            <w:r w:rsidRPr="00B1522E">
              <w:rPr>
                <w:rFonts w:cstheme="minorHAnsi"/>
                <w:i/>
                <w:iCs/>
                <w:noProof/>
              </w:rPr>
              <w:t>B</w:t>
            </w:r>
          </w:p>
        </w:tc>
        <w:tc>
          <w:tcPr>
            <w:tcW w:w="429" w:type="pct"/>
            <w:tcBorders>
              <w:top w:val="single" w:sz="4" w:space="0" w:color="auto"/>
              <w:bottom w:val="single" w:sz="4" w:space="0" w:color="auto"/>
            </w:tcBorders>
            <w:vAlign w:val="center"/>
          </w:tcPr>
          <w:p w14:paraId="2C9D7A8F" w14:textId="77777777" w:rsidR="000C2BC0" w:rsidRPr="00B1522E" w:rsidRDefault="000C2BC0" w:rsidP="00B811CC">
            <w:pPr>
              <w:jc w:val="center"/>
              <w:rPr>
                <w:rFonts w:cstheme="minorHAnsi"/>
                <w:noProof/>
              </w:rPr>
            </w:pPr>
            <w:r w:rsidRPr="00B1522E">
              <w:rPr>
                <w:rFonts w:cstheme="minorHAnsi"/>
                <w:noProof/>
              </w:rPr>
              <w:t>β</w:t>
            </w:r>
          </w:p>
        </w:tc>
        <w:tc>
          <w:tcPr>
            <w:tcW w:w="429" w:type="pct"/>
            <w:tcBorders>
              <w:top w:val="single" w:sz="4" w:space="0" w:color="auto"/>
              <w:bottom w:val="single" w:sz="4" w:space="0" w:color="auto"/>
            </w:tcBorders>
            <w:vAlign w:val="center"/>
          </w:tcPr>
          <w:p w14:paraId="30737D77" w14:textId="77777777" w:rsidR="000C2BC0" w:rsidRPr="00B1522E" w:rsidRDefault="000C2BC0" w:rsidP="00B811CC">
            <w:pPr>
              <w:jc w:val="center"/>
              <w:rPr>
                <w:rFonts w:cstheme="minorHAnsi"/>
                <w:i/>
                <w:iCs/>
                <w:noProof/>
              </w:rPr>
            </w:pPr>
            <w:r w:rsidRPr="00B1522E">
              <w:rPr>
                <w:rFonts w:cstheme="minorHAnsi"/>
                <w:i/>
                <w:iCs/>
                <w:noProof/>
              </w:rPr>
              <w:t>SE</w:t>
            </w:r>
          </w:p>
        </w:tc>
        <w:tc>
          <w:tcPr>
            <w:tcW w:w="429" w:type="pct"/>
            <w:tcBorders>
              <w:top w:val="single" w:sz="4" w:space="0" w:color="auto"/>
              <w:bottom w:val="single" w:sz="4" w:space="0" w:color="auto"/>
            </w:tcBorders>
          </w:tcPr>
          <w:p w14:paraId="59A11CF0" w14:textId="77777777" w:rsidR="000C2BC0" w:rsidRPr="00B1522E" w:rsidRDefault="000C2BC0" w:rsidP="00B811CC">
            <w:pPr>
              <w:tabs>
                <w:tab w:val="left" w:pos="332"/>
              </w:tabs>
              <w:jc w:val="center"/>
              <w:rPr>
                <w:rFonts w:cstheme="minorHAnsi"/>
                <w:i/>
                <w:iCs/>
                <w:noProof/>
              </w:rPr>
            </w:pPr>
            <w:r w:rsidRPr="00B1522E">
              <w:rPr>
                <w:rFonts w:cstheme="minorHAnsi"/>
                <w:i/>
                <w:iCs/>
                <w:noProof/>
              </w:rPr>
              <w:t>R²</w:t>
            </w:r>
          </w:p>
        </w:tc>
        <w:tc>
          <w:tcPr>
            <w:tcW w:w="429" w:type="pct"/>
            <w:tcBorders>
              <w:top w:val="single" w:sz="4" w:space="0" w:color="auto"/>
              <w:bottom w:val="single" w:sz="4" w:space="0" w:color="auto"/>
            </w:tcBorders>
            <w:vAlign w:val="center"/>
          </w:tcPr>
          <w:p w14:paraId="14E013CF" w14:textId="77777777" w:rsidR="000C2BC0" w:rsidRPr="00B1522E" w:rsidRDefault="000C2BC0" w:rsidP="00B811CC">
            <w:pPr>
              <w:tabs>
                <w:tab w:val="left" w:pos="332"/>
              </w:tabs>
              <w:jc w:val="center"/>
              <w:rPr>
                <w:rFonts w:cstheme="minorHAnsi"/>
                <w:i/>
                <w:iCs/>
                <w:noProof/>
              </w:rPr>
            </w:pPr>
            <w:r w:rsidRPr="00B1522E">
              <w:rPr>
                <w:rFonts w:cstheme="minorHAnsi"/>
                <w:i/>
                <w:iCs/>
                <w:noProof/>
              </w:rPr>
              <w:t>B</w:t>
            </w:r>
          </w:p>
        </w:tc>
        <w:tc>
          <w:tcPr>
            <w:tcW w:w="429" w:type="pct"/>
            <w:tcBorders>
              <w:top w:val="single" w:sz="4" w:space="0" w:color="auto"/>
              <w:bottom w:val="single" w:sz="4" w:space="0" w:color="auto"/>
            </w:tcBorders>
            <w:vAlign w:val="center"/>
          </w:tcPr>
          <w:p w14:paraId="73649FE6" w14:textId="77777777" w:rsidR="000C2BC0" w:rsidRPr="00B1522E" w:rsidRDefault="000C2BC0" w:rsidP="00B811CC">
            <w:pPr>
              <w:jc w:val="center"/>
              <w:rPr>
                <w:rFonts w:cstheme="minorHAnsi"/>
                <w:noProof/>
              </w:rPr>
            </w:pPr>
            <w:r w:rsidRPr="00B1522E">
              <w:rPr>
                <w:rFonts w:cstheme="minorHAnsi"/>
                <w:noProof/>
              </w:rPr>
              <w:t>β</w:t>
            </w:r>
          </w:p>
        </w:tc>
        <w:tc>
          <w:tcPr>
            <w:tcW w:w="429" w:type="pct"/>
            <w:tcBorders>
              <w:top w:val="single" w:sz="4" w:space="0" w:color="auto"/>
              <w:bottom w:val="single" w:sz="4" w:space="0" w:color="auto"/>
            </w:tcBorders>
            <w:vAlign w:val="center"/>
          </w:tcPr>
          <w:p w14:paraId="76572121" w14:textId="77777777" w:rsidR="000C2BC0" w:rsidRPr="00B1522E" w:rsidRDefault="000C2BC0" w:rsidP="00B811CC">
            <w:pPr>
              <w:jc w:val="center"/>
              <w:rPr>
                <w:rFonts w:cstheme="minorHAnsi"/>
                <w:i/>
                <w:iCs/>
                <w:noProof/>
              </w:rPr>
            </w:pPr>
            <w:r w:rsidRPr="00B1522E">
              <w:rPr>
                <w:rFonts w:cstheme="minorHAnsi"/>
                <w:i/>
                <w:iCs/>
                <w:noProof/>
              </w:rPr>
              <w:t>SE</w:t>
            </w:r>
          </w:p>
        </w:tc>
        <w:tc>
          <w:tcPr>
            <w:tcW w:w="428" w:type="pct"/>
            <w:tcBorders>
              <w:top w:val="single" w:sz="4" w:space="0" w:color="auto"/>
              <w:bottom w:val="single" w:sz="4" w:space="0" w:color="auto"/>
            </w:tcBorders>
          </w:tcPr>
          <w:p w14:paraId="079EE275" w14:textId="77777777" w:rsidR="000C2BC0" w:rsidRPr="00B1522E" w:rsidRDefault="000C2BC0" w:rsidP="00B811CC">
            <w:pPr>
              <w:jc w:val="center"/>
              <w:rPr>
                <w:rFonts w:cstheme="minorHAnsi"/>
                <w:i/>
                <w:iCs/>
                <w:noProof/>
              </w:rPr>
            </w:pPr>
            <w:r w:rsidRPr="00B1522E">
              <w:rPr>
                <w:rFonts w:cstheme="minorHAnsi"/>
                <w:i/>
                <w:iCs/>
                <w:noProof/>
              </w:rPr>
              <w:t>R²</w:t>
            </w:r>
          </w:p>
        </w:tc>
      </w:tr>
      <w:tr w:rsidR="00E77769" w:rsidRPr="00B1522E" w14:paraId="10CFD427" w14:textId="77777777" w:rsidTr="00B811CC">
        <w:trPr>
          <w:trHeight w:val="271"/>
        </w:trPr>
        <w:tc>
          <w:tcPr>
            <w:tcW w:w="1570" w:type="pct"/>
          </w:tcPr>
          <w:p w14:paraId="580515CE" w14:textId="77777777" w:rsidR="000C2BC0" w:rsidRPr="00B1522E" w:rsidRDefault="000C2BC0" w:rsidP="00B811CC">
            <w:pPr>
              <w:rPr>
                <w:rFonts w:cstheme="minorHAnsi"/>
                <w:i/>
                <w:iCs/>
                <w:noProof/>
              </w:rPr>
            </w:pPr>
            <w:r w:rsidRPr="00B1522E">
              <w:rPr>
                <w:rFonts w:cstheme="minorHAnsi"/>
                <w:i/>
                <w:iCs/>
                <w:noProof/>
              </w:rPr>
              <w:t>Block 1</w:t>
            </w:r>
          </w:p>
        </w:tc>
        <w:tc>
          <w:tcPr>
            <w:tcW w:w="429" w:type="pct"/>
            <w:vAlign w:val="center"/>
          </w:tcPr>
          <w:p w14:paraId="562256FA" w14:textId="77777777" w:rsidR="000C2BC0" w:rsidRPr="00B1522E" w:rsidRDefault="000C2BC0" w:rsidP="00B811CC">
            <w:pPr>
              <w:tabs>
                <w:tab w:val="decimal" w:pos="318"/>
              </w:tabs>
              <w:rPr>
                <w:rFonts w:cstheme="minorHAnsi"/>
                <w:noProof/>
              </w:rPr>
            </w:pPr>
          </w:p>
        </w:tc>
        <w:tc>
          <w:tcPr>
            <w:tcW w:w="429" w:type="pct"/>
            <w:vAlign w:val="center"/>
          </w:tcPr>
          <w:p w14:paraId="7E6F982C" w14:textId="77777777" w:rsidR="000C2BC0" w:rsidRPr="00B1522E" w:rsidRDefault="000C2BC0" w:rsidP="00B811CC">
            <w:pPr>
              <w:tabs>
                <w:tab w:val="left" w:pos="318"/>
              </w:tabs>
              <w:rPr>
                <w:rFonts w:cstheme="minorHAnsi"/>
                <w:noProof/>
              </w:rPr>
            </w:pPr>
          </w:p>
        </w:tc>
        <w:tc>
          <w:tcPr>
            <w:tcW w:w="429" w:type="pct"/>
            <w:vAlign w:val="center"/>
          </w:tcPr>
          <w:p w14:paraId="1A2DCAA5" w14:textId="77777777" w:rsidR="000C2BC0" w:rsidRPr="00B1522E" w:rsidRDefault="000C2BC0" w:rsidP="00B811CC">
            <w:pPr>
              <w:tabs>
                <w:tab w:val="decimal" w:pos="266"/>
                <w:tab w:val="decimal" w:pos="318"/>
              </w:tabs>
              <w:rPr>
                <w:rFonts w:cstheme="minorHAnsi"/>
                <w:noProof/>
              </w:rPr>
            </w:pPr>
          </w:p>
        </w:tc>
        <w:tc>
          <w:tcPr>
            <w:tcW w:w="429" w:type="pct"/>
          </w:tcPr>
          <w:p w14:paraId="69C3DCC1" w14:textId="77777777" w:rsidR="000C2BC0" w:rsidRPr="00B1522E" w:rsidRDefault="000C2BC0" w:rsidP="00B811CC">
            <w:pPr>
              <w:tabs>
                <w:tab w:val="left" w:pos="332"/>
              </w:tabs>
              <w:rPr>
                <w:rFonts w:cstheme="minorHAnsi"/>
                <w:noProof/>
              </w:rPr>
            </w:pPr>
          </w:p>
        </w:tc>
        <w:tc>
          <w:tcPr>
            <w:tcW w:w="429" w:type="pct"/>
            <w:vAlign w:val="center"/>
          </w:tcPr>
          <w:p w14:paraId="19F8B687" w14:textId="77777777" w:rsidR="000C2BC0" w:rsidRPr="00B1522E" w:rsidRDefault="000C2BC0" w:rsidP="00B811CC">
            <w:pPr>
              <w:tabs>
                <w:tab w:val="left" w:pos="332"/>
              </w:tabs>
              <w:rPr>
                <w:rFonts w:cstheme="minorHAnsi"/>
                <w:noProof/>
              </w:rPr>
            </w:pPr>
          </w:p>
        </w:tc>
        <w:tc>
          <w:tcPr>
            <w:tcW w:w="429" w:type="pct"/>
            <w:vAlign w:val="center"/>
          </w:tcPr>
          <w:p w14:paraId="757F076C" w14:textId="77777777" w:rsidR="000C2BC0" w:rsidRPr="00B1522E" w:rsidRDefault="000C2BC0" w:rsidP="00B811CC">
            <w:pPr>
              <w:tabs>
                <w:tab w:val="decimal" w:pos="266"/>
                <w:tab w:val="decimal" w:pos="318"/>
              </w:tabs>
              <w:rPr>
                <w:rFonts w:cstheme="minorHAnsi"/>
                <w:noProof/>
              </w:rPr>
            </w:pPr>
          </w:p>
        </w:tc>
        <w:tc>
          <w:tcPr>
            <w:tcW w:w="429" w:type="pct"/>
            <w:vAlign w:val="center"/>
          </w:tcPr>
          <w:p w14:paraId="254CA4C9" w14:textId="77777777" w:rsidR="000C2BC0" w:rsidRPr="00B1522E" w:rsidRDefault="000C2BC0" w:rsidP="00B811CC">
            <w:pPr>
              <w:tabs>
                <w:tab w:val="decimal" w:pos="266"/>
                <w:tab w:val="decimal" w:pos="318"/>
              </w:tabs>
              <w:rPr>
                <w:rFonts w:cstheme="minorHAnsi"/>
                <w:noProof/>
              </w:rPr>
            </w:pPr>
          </w:p>
        </w:tc>
        <w:tc>
          <w:tcPr>
            <w:tcW w:w="428" w:type="pct"/>
          </w:tcPr>
          <w:p w14:paraId="085A71E3" w14:textId="77777777" w:rsidR="000C2BC0" w:rsidRPr="00B1522E" w:rsidRDefault="000C2BC0" w:rsidP="00B811CC">
            <w:pPr>
              <w:tabs>
                <w:tab w:val="decimal" w:pos="266"/>
                <w:tab w:val="decimal" w:pos="318"/>
              </w:tabs>
              <w:rPr>
                <w:rFonts w:cstheme="minorHAnsi"/>
                <w:noProof/>
              </w:rPr>
            </w:pPr>
          </w:p>
        </w:tc>
      </w:tr>
      <w:tr w:rsidR="00E77769" w:rsidRPr="00B1522E" w14:paraId="45A128AC" w14:textId="77777777" w:rsidTr="00B811CC">
        <w:trPr>
          <w:trHeight w:val="537"/>
        </w:trPr>
        <w:tc>
          <w:tcPr>
            <w:tcW w:w="1570" w:type="pct"/>
            <w:vAlign w:val="center"/>
          </w:tcPr>
          <w:p w14:paraId="100AA8F9" w14:textId="77777777" w:rsidR="000C2BC0" w:rsidRPr="00B1522E" w:rsidRDefault="000C2BC0" w:rsidP="00B64DC8">
            <w:pPr>
              <w:ind w:left="174" w:hanging="174"/>
              <w:rPr>
                <w:rFonts w:cstheme="minorHAnsi"/>
                <w:noProof/>
              </w:rPr>
            </w:pPr>
            <w:r w:rsidRPr="00B1522E">
              <w:rPr>
                <w:rFonts w:cstheme="minorHAnsi"/>
                <w:noProof/>
              </w:rPr>
              <w:t>Students’ sex</w:t>
            </w:r>
          </w:p>
        </w:tc>
        <w:tc>
          <w:tcPr>
            <w:tcW w:w="429" w:type="pct"/>
            <w:vAlign w:val="center"/>
          </w:tcPr>
          <w:p w14:paraId="040112E8" w14:textId="77777777" w:rsidR="000C2BC0" w:rsidRPr="00B1522E" w:rsidRDefault="000C2BC0" w:rsidP="00B811CC">
            <w:pPr>
              <w:tabs>
                <w:tab w:val="decimal" w:pos="318"/>
              </w:tabs>
              <w:rPr>
                <w:rFonts w:cstheme="minorHAnsi"/>
                <w:noProof/>
              </w:rPr>
            </w:pPr>
            <w:r w:rsidRPr="00B1522E">
              <w:rPr>
                <w:rFonts w:cstheme="minorHAnsi"/>
                <w:noProof/>
              </w:rPr>
              <w:t>-.01</w:t>
            </w:r>
          </w:p>
        </w:tc>
        <w:tc>
          <w:tcPr>
            <w:tcW w:w="429" w:type="pct"/>
            <w:vAlign w:val="center"/>
          </w:tcPr>
          <w:p w14:paraId="383EF578" w14:textId="77777777" w:rsidR="000C2BC0" w:rsidRPr="00B1522E" w:rsidRDefault="000C2BC0" w:rsidP="00B811CC">
            <w:pPr>
              <w:tabs>
                <w:tab w:val="left" w:pos="327"/>
              </w:tabs>
              <w:rPr>
                <w:rFonts w:cstheme="minorHAnsi"/>
                <w:noProof/>
              </w:rPr>
            </w:pPr>
            <w:r w:rsidRPr="00B1522E">
              <w:rPr>
                <w:rFonts w:cstheme="minorHAnsi"/>
                <w:noProof/>
              </w:rPr>
              <w:t>-.00</w:t>
            </w:r>
          </w:p>
        </w:tc>
        <w:tc>
          <w:tcPr>
            <w:tcW w:w="429" w:type="pct"/>
            <w:vAlign w:val="center"/>
          </w:tcPr>
          <w:p w14:paraId="625BD65B" w14:textId="77777777" w:rsidR="000C2BC0" w:rsidRPr="00B1522E" w:rsidRDefault="000C2BC0" w:rsidP="00B811CC">
            <w:pPr>
              <w:tabs>
                <w:tab w:val="decimal" w:pos="266"/>
                <w:tab w:val="decimal" w:pos="318"/>
              </w:tabs>
              <w:rPr>
                <w:rFonts w:cstheme="minorHAnsi"/>
                <w:noProof/>
              </w:rPr>
            </w:pPr>
            <w:r w:rsidRPr="00B1522E">
              <w:rPr>
                <w:rFonts w:cstheme="minorHAnsi"/>
                <w:noProof/>
              </w:rPr>
              <w:t>.29</w:t>
            </w:r>
          </w:p>
        </w:tc>
        <w:tc>
          <w:tcPr>
            <w:tcW w:w="429" w:type="pct"/>
            <w:vAlign w:val="center"/>
          </w:tcPr>
          <w:p w14:paraId="783B521F" w14:textId="77777777" w:rsidR="000C2BC0" w:rsidRPr="00B1522E" w:rsidRDefault="000C2BC0" w:rsidP="00B811CC">
            <w:pPr>
              <w:tabs>
                <w:tab w:val="decimal" w:pos="213"/>
                <w:tab w:val="left" w:pos="332"/>
              </w:tabs>
              <w:rPr>
                <w:rFonts w:cstheme="minorHAnsi"/>
                <w:noProof/>
              </w:rPr>
            </w:pPr>
            <w:r w:rsidRPr="00B1522E">
              <w:rPr>
                <w:rFonts w:cstheme="minorHAnsi"/>
                <w:noProof/>
              </w:rPr>
              <w:t>.02</w:t>
            </w:r>
          </w:p>
        </w:tc>
        <w:tc>
          <w:tcPr>
            <w:tcW w:w="429" w:type="pct"/>
            <w:vAlign w:val="center"/>
          </w:tcPr>
          <w:p w14:paraId="16CA7323" w14:textId="77777777" w:rsidR="000C2BC0" w:rsidRPr="00B1522E" w:rsidRDefault="000C2BC0" w:rsidP="00B811CC">
            <w:pPr>
              <w:tabs>
                <w:tab w:val="decimal" w:pos="213"/>
                <w:tab w:val="left" w:pos="332"/>
              </w:tabs>
              <w:rPr>
                <w:rFonts w:cstheme="minorHAnsi"/>
                <w:noProof/>
              </w:rPr>
            </w:pPr>
            <w:r w:rsidRPr="00B1522E">
              <w:rPr>
                <w:rFonts w:cstheme="minorHAnsi"/>
                <w:noProof/>
              </w:rPr>
              <w:t>.01</w:t>
            </w:r>
          </w:p>
        </w:tc>
        <w:tc>
          <w:tcPr>
            <w:tcW w:w="429" w:type="pct"/>
            <w:vAlign w:val="center"/>
          </w:tcPr>
          <w:p w14:paraId="6FAFD390" w14:textId="77777777" w:rsidR="000C2BC0" w:rsidRPr="00B1522E" w:rsidRDefault="000C2BC0" w:rsidP="00B811CC">
            <w:pPr>
              <w:tabs>
                <w:tab w:val="decimal" w:pos="0"/>
              </w:tabs>
              <w:rPr>
                <w:rFonts w:cstheme="minorHAnsi"/>
                <w:noProof/>
              </w:rPr>
            </w:pPr>
            <w:r w:rsidRPr="00B1522E">
              <w:rPr>
                <w:rFonts w:cstheme="minorHAnsi"/>
                <w:noProof/>
              </w:rPr>
              <w:t>.00</w:t>
            </w:r>
          </w:p>
        </w:tc>
        <w:tc>
          <w:tcPr>
            <w:tcW w:w="429" w:type="pct"/>
            <w:vAlign w:val="center"/>
          </w:tcPr>
          <w:p w14:paraId="475430F3" w14:textId="77777777" w:rsidR="000C2BC0" w:rsidRPr="00B1522E" w:rsidRDefault="000C2BC0" w:rsidP="00B811CC">
            <w:pPr>
              <w:tabs>
                <w:tab w:val="decimal" w:pos="241"/>
                <w:tab w:val="decimal" w:pos="525"/>
              </w:tabs>
              <w:rPr>
                <w:rFonts w:cstheme="minorHAnsi"/>
                <w:noProof/>
              </w:rPr>
            </w:pPr>
            <w:r w:rsidRPr="00B1522E">
              <w:rPr>
                <w:rFonts w:cstheme="minorHAnsi"/>
                <w:noProof/>
              </w:rPr>
              <w:t>.27</w:t>
            </w:r>
          </w:p>
        </w:tc>
        <w:tc>
          <w:tcPr>
            <w:tcW w:w="428" w:type="pct"/>
            <w:vAlign w:val="center"/>
          </w:tcPr>
          <w:p w14:paraId="03E6BB04" w14:textId="77777777" w:rsidR="000C2BC0" w:rsidRPr="00B1522E" w:rsidRDefault="000C2BC0" w:rsidP="00B811CC">
            <w:pPr>
              <w:tabs>
                <w:tab w:val="decimal" w:pos="241"/>
                <w:tab w:val="decimal" w:pos="525"/>
              </w:tabs>
              <w:rPr>
                <w:rFonts w:cstheme="minorHAnsi"/>
                <w:noProof/>
              </w:rPr>
            </w:pPr>
            <w:r w:rsidRPr="00B1522E">
              <w:rPr>
                <w:rFonts w:cstheme="minorHAnsi"/>
                <w:noProof/>
              </w:rPr>
              <w:t>.12</w:t>
            </w:r>
          </w:p>
        </w:tc>
      </w:tr>
      <w:tr w:rsidR="00E77769" w:rsidRPr="00B1522E" w14:paraId="5B0C463E" w14:textId="77777777" w:rsidTr="00B811CC">
        <w:trPr>
          <w:trHeight w:val="537"/>
        </w:trPr>
        <w:tc>
          <w:tcPr>
            <w:tcW w:w="1570" w:type="pct"/>
            <w:vAlign w:val="center"/>
          </w:tcPr>
          <w:p w14:paraId="52A22C5E" w14:textId="77777777" w:rsidR="000C2BC0" w:rsidRPr="00B1522E" w:rsidRDefault="000C2BC0" w:rsidP="00B64DC8">
            <w:pPr>
              <w:ind w:left="174" w:hanging="174"/>
              <w:rPr>
                <w:rFonts w:cstheme="minorHAnsi"/>
                <w:noProof/>
                <w:vertAlign w:val="superscript"/>
              </w:rPr>
            </w:pPr>
            <w:r w:rsidRPr="00B1522E">
              <w:rPr>
                <w:rFonts w:cstheme="minorHAnsi"/>
                <w:noProof/>
              </w:rPr>
              <w:t>Personal unhealthy snacking behaviour</w:t>
            </w:r>
            <w:r w:rsidRPr="00B1522E">
              <w:rPr>
                <w:rFonts w:cstheme="minorHAnsi"/>
                <w:noProof/>
                <w:vertAlign w:val="superscript"/>
              </w:rPr>
              <w:t>a</w:t>
            </w:r>
          </w:p>
        </w:tc>
        <w:tc>
          <w:tcPr>
            <w:tcW w:w="429" w:type="pct"/>
            <w:vAlign w:val="center"/>
          </w:tcPr>
          <w:p w14:paraId="328D02D7" w14:textId="77777777" w:rsidR="000C2BC0" w:rsidRPr="00B1522E" w:rsidRDefault="000C2BC0" w:rsidP="00B811CC">
            <w:pPr>
              <w:tabs>
                <w:tab w:val="decimal" w:pos="318"/>
              </w:tabs>
              <w:rPr>
                <w:rFonts w:cstheme="minorHAnsi"/>
                <w:noProof/>
              </w:rPr>
            </w:pPr>
            <w:r w:rsidRPr="00B1522E">
              <w:rPr>
                <w:rFonts w:cstheme="minorHAnsi"/>
                <w:noProof/>
              </w:rPr>
              <w:t>.01</w:t>
            </w:r>
          </w:p>
        </w:tc>
        <w:tc>
          <w:tcPr>
            <w:tcW w:w="429" w:type="pct"/>
            <w:vAlign w:val="center"/>
          </w:tcPr>
          <w:p w14:paraId="66B2D323" w14:textId="77777777" w:rsidR="000C2BC0" w:rsidRPr="00B1522E" w:rsidRDefault="000C2BC0" w:rsidP="00B811CC">
            <w:pPr>
              <w:tabs>
                <w:tab w:val="left" w:pos="327"/>
              </w:tabs>
              <w:rPr>
                <w:rFonts w:cstheme="minorHAnsi"/>
                <w:noProof/>
              </w:rPr>
            </w:pPr>
            <w:r w:rsidRPr="00B1522E">
              <w:rPr>
                <w:rFonts w:cstheme="minorHAnsi"/>
                <w:noProof/>
              </w:rPr>
              <w:t>.13</w:t>
            </w:r>
          </w:p>
        </w:tc>
        <w:tc>
          <w:tcPr>
            <w:tcW w:w="429" w:type="pct"/>
            <w:vAlign w:val="center"/>
          </w:tcPr>
          <w:p w14:paraId="755AC82B" w14:textId="77777777" w:rsidR="000C2BC0" w:rsidRPr="00B1522E" w:rsidRDefault="000C2BC0" w:rsidP="00B811CC">
            <w:pPr>
              <w:tabs>
                <w:tab w:val="decimal" w:pos="266"/>
                <w:tab w:val="decimal" w:pos="318"/>
              </w:tabs>
              <w:rPr>
                <w:rFonts w:cstheme="minorHAnsi"/>
                <w:noProof/>
              </w:rPr>
            </w:pPr>
            <w:r w:rsidRPr="00B1522E">
              <w:rPr>
                <w:rFonts w:cstheme="minorHAnsi"/>
                <w:noProof/>
              </w:rPr>
              <w:t>.01</w:t>
            </w:r>
          </w:p>
        </w:tc>
        <w:tc>
          <w:tcPr>
            <w:tcW w:w="429" w:type="pct"/>
            <w:vAlign w:val="center"/>
          </w:tcPr>
          <w:p w14:paraId="36BE0D63" w14:textId="77777777" w:rsidR="000C2BC0" w:rsidRPr="00B1522E" w:rsidRDefault="000C2BC0" w:rsidP="00B811CC">
            <w:pPr>
              <w:tabs>
                <w:tab w:val="decimal" w:pos="213"/>
                <w:tab w:val="left" w:pos="332"/>
              </w:tabs>
              <w:rPr>
                <w:rFonts w:cstheme="minorHAnsi"/>
                <w:noProof/>
              </w:rPr>
            </w:pPr>
          </w:p>
        </w:tc>
        <w:tc>
          <w:tcPr>
            <w:tcW w:w="429" w:type="pct"/>
            <w:vAlign w:val="center"/>
          </w:tcPr>
          <w:p w14:paraId="34145ADE" w14:textId="77777777" w:rsidR="000C2BC0" w:rsidRPr="00B1522E" w:rsidRDefault="000C2BC0" w:rsidP="00B811CC">
            <w:pPr>
              <w:tabs>
                <w:tab w:val="decimal" w:pos="213"/>
                <w:tab w:val="left" w:pos="332"/>
              </w:tabs>
              <w:rPr>
                <w:rFonts w:cstheme="minorHAnsi"/>
                <w:noProof/>
              </w:rPr>
            </w:pPr>
            <w:r w:rsidRPr="00B1522E">
              <w:rPr>
                <w:rFonts w:cstheme="minorHAnsi"/>
                <w:noProof/>
              </w:rPr>
              <w:t>.01</w:t>
            </w:r>
          </w:p>
        </w:tc>
        <w:tc>
          <w:tcPr>
            <w:tcW w:w="429" w:type="pct"/>
            <w:vAlign w:val="center"/>
          </w:tcPr>
          <w:p w14:paraId="0BEED091" w14:textId="77777777" w:rsidR="000C2BC0" w:rsidRPr="00B1522E" w:rsidRDefault="000C2BC0" w:rsidP="00B811CC">
            <w:pPr>
              <w:tabs>
                <w:tab w:val="decimal" w:pos="0"/>
              </w:tabs>
              <w:rPr>
                <w:rFonts w:cstheme="minorHAnsi"/>
                <w:noProof/>
              </w:rPr>
            </w:pPr>
            <w:r w:rsidRPr="00B1522E">
              <w:rPr>
                <w:rFonts w:cstheme="minorHAnsi"/>
                <w:noProof/>
              </w:rPr>
              <w:t>.06</w:t>
            </w:r>
          </w:p>
        </w:tc>
        <w:tc>
          <w:tcPr>
            <w:tcW w:w="429" w:type="pct"/>
            <w:vAlign w:val="center"/>
          </w:tcPr>
          <w:p w14:paraId="63C3FCF3" w14:textId="77777777" w:rsidR="000C2BC0" w:rsidRPr="00B1522E" w:rsidRDefault="000C2BC0" w:rsidP="00B811CC">
            <w:pPr>
              <w:tabs>
                <w:tab w:val="decimal" w:pos="241"/>
                <w:tab w:val="decimal" w:pos="525"/>
              </w:tabs>
              <w:rPr>
                <w:rFonts w:cstheme="minorHAnsi"/>
                <w:noProof/>
              </w:rPr>
            </w:pPr>
            <w:r w:rsidRPr="00B1522E">
              <w:rPr>
                <w:rFonts w:cstheme="minorHAnsi"/>
                <w:noProof/>
              </w:rPr>
              <w:t>.01</w:t>
            </w:r>
          </w:p>
        </w:tc>
        <w:tc>
          <w:tcPr>
            <w:tcW w:w="428" w:type="pct"/>
            <w:vAlign w:val="center"/>
          </w:tcPr>
          <w:p w14:paraId="70CBF1E8" w14:textId="77777777" w:rsidR="000C2BC0" w:rsidRPr="00B1522E" w:rsidRDefault="000C2BC0" w:rsidP="00B811CC">
            <w:pPr>
              <w:tabs>
                <w:tab w:val="decimal" w:pos="241"/>
                <w:tab w:val="decimal" w:pos="525"/>
              </w:tabs>
              <w:rPr>
                <w:rFonts w:cstheme="minorHAnsi"/>
                <w:noProof/>
              </w:rPr>
            </w:pPr>
          </w:p>
        </w:tc>
      </w:tr>
      <w:tr w:rsidR="00E77769" w:rsidRPr="00B1522E" w14:paraId="51955ABF" w14:textId="77777777" w:rsidTr="00B811CC">
        <w:trPr>
          <w:trHeight w:val="343"/>
        </w:trPr>
        <w:tc>
          <w:tcPr>
            <w:tcW w:w="1570" w:type="pct"/>
            <w:tcBorders>
              <w:top w:val="single" w:sz="4" w:space="0" w:color="auto"/>
            </w:tcBorders>
          </w:tcPr>
          <w:p w14:paraId="00EFA732" w14:textId="77777777" w:rsidR="000C2BC0" w:rsidRPr="00B1522E" w:rsidRDefault="000C2BC0" w:rsidP="00B811CC">
            <w:pPr>
              <w:rPr>
                <w:rFonts w:cstheme="minorHAnsi"/>
                <w:i/>
                <w:iCs/>
                <w:noProof/>
              </w:rPr>
            </w:pPr>
            <w:r w:rsidRPr="00B1522E">
              <w:rPr>
                <w:rFonts w:cstheme="minorHAnsi"/>
                <w:i/>
                <w:iCs/>
                <w:noProof/>
              </w:rPr>
              <w:t>Block 2</w:t>
            </w:r>
          </w:p>
        </w:tc>
        <w:tc>
          <w:tcPr>
            <w:tcW w:w="429" w:type="pct"/>
            <w:tcBorders>
              <w:top w:val="single" w:sz="4" w:space="0" w:color="auto"/>
            </w:tcBorders>
          </w:tcPr>
          <w:p w14:paraId="04EDE782" w14:textId="77777777" w:rsidR="000C2BC0" w:rsidRPr="00B1522E" w:rsidRDefault="000C2BC0" w:rsidP="00B811CC">
            <w:pPr>
              <w:tabs>
                <w:tab w:val="decimal" w:pos="318"/>
              </w:tabs>
              <w:jc w:val="center"/>
              <w:rPr>
                <w:rFonts w:cstheme="minorHAnsi"/>
                <w:noProof/>
              </w:rPr>
            </w:pPr>
          </w:p>
        </w:tc>
        <w:tc>
          <w:tcPr>
            <w:tcW w:w="429" w:type="pct"/>
            <w:tcBorders>
              <w:top w:val="single" w:sz="4" w:space="0" w:color="auto"/>
            </w:tcBorders>
          </w:tcPr>
          <w:p w14:paraId="35D71E80" w14:textId="77777777" w:rsidR="000C2BC0" w:rsidRPr="00B1522E" w:rsidRDefault="000C2BC0" w:rsidP="00B811CC">
            <w:pPr>
              <w:tabs>
                <w:tab w:val="decimal" w:pos="266"/>
                <w:tab w:val="decimal" w:pos="318"/>
              </w:tabs>
              <w:jc w:val="center"/>
              <w:rPr>
                <w:rFonts w:cstheme="minorHAnsi"/>
                <w:noProof/>
              </w:rPr>
            </w:pPr>
          </w:p>
        </w:tc>
        <w:tc>
          <w:tcPr>
            <w:tcW w:w="429" w:type="pct"/>
            <w:tcBorders>
              <w:top w:val="single" w:sz="4" w:space="0" w:color="auto"/>
            </w:tcBorders>
          </w:tcPr>
          <w:p w14:paraId="18B9E349" w14:textId="77777777" w:rsidR="000C2BC0" w:rsidRPr="00B1522E" w:rsidRDefault="000C2BC0" w:rsidP="00B811CC">
            <w:pPr>
              <w:tabs>
                <w:tab w:val="decimal" w:pos="266"/>
                <w:tab w:val="decimal" w:pos="318"/>
              </w:tabs>
              <w:jc w:val="center"/>
              <w:rPr>
                <w:rFonts w:cstheme="minorHAnsi"/>
                <w:noProof/>
              </w:rPr>
            </w:pPr>
          </w:p>
        </w:tc>
        <w:tc>
          <w:tcPr>
            <w:tcW w:w="429" w:type="pct"/>
            <w:tcBorders>
              <w:top w:val="single" w:sz="4" w:space="0" w:color="auto"/>
            </w:tcBorders>
          </w:tcPr>
          <w:p w14:paraId="2E512663" w14:textId="77777777" w:rsidR="000C2BC0" w:rsidRPr="00B1522E" w:rsidRDefault="000C2BC0" w:rsidP="00B811CC">
            <w:pPr>
              <w:tabs>
                <w:tab w:val="decimal" w:pos="213"/>
                <w:tab w:val="left" w:pos="332"/>
                <w:tab w:val="decimal" w:pos="620"/>
              </w:tabs>
              <w:jc w:val="center"/>
              <w:rPr>
                <w:rFonts w:cstheme="minorHAnsi"/>
                <w:noProof/>
              </w:rPr>
            </w:pPr>
          </w:p>
        </w:tc>
        <w:tc>
          <w:tcPr>
            <w:tcW w:w="429" w:type="pct"/>
            <w:tcBorders>
              <w:top w:val="single" w:sz="4" w:space="0" w:color="auto"/>
            </w:tcBorders>
          </w:tcPr>
          <w:p w14:paraId="7A3A66A6" w14:textId="77777777" w:rsidR="000C2BC0" w:rsidRPr="00B1522E" w:rsidRDefault="000C2BC0" w:rsidP="00B811CC">
            <w:pPr>
              <w:tabs>
                <w:tab w:val="decimal" w:pos="213"/>
                <w:tab w:val="left" w:pos="332"/>
                <w:tab w:val="decimal" w:pos="620"/>
              </w:tabs>
              <w:jc w:val="center"/>
              <w:rPr>
                <w:rFonts w:cstheme="minorHAnsi"/>
                <w:noProof/>
              </w:rPr>
            </w:pPr>
          </w:p>
        </w:tc>
        <w:tc>
          <w:tcPr>
            <w:tcW w:w="429" w:type="pct"/>
            <w:tcBorders>
              <w:top w:val="single" w:sz="4" w:space="0" w:color="auto"/>
            </w:tcBorders>
            <w:vAlign w:val="center"/>
          </w:tcPr>
          <w:p w14:paraId="2D80E179" w14:textId="77777777" w:rsidR="000C2BC0" w:rsidRPr="00B1522E" w:rsidRDefault="000C2BC0" w:rsidP="00B811CC">
            <w:pPr>
              <w:tabs>
                <w:tab w:val="decimal" w:pos="0"/>
              </w:tabs>
              <w:rPr>
                <w:rFonts w:cstheme="minorHAnsi"/>
                <w:noProof/>
              </w:rPr>
            </w:pPr>
          </w:p>
        </w:tc>
        <w:tc>
          <w:tcPr>
            <w:tcW w:w="429" w:type="pct"/>
            <w:tcBorders>
              <w:top w:val="single" w:sz="4" w:space="0" w:color="auto"/>
            </w:tcBorders>
          </w:tcPr>
          <w:p w14:paraId="4456997A" w14:textId="77777777" w:rsidR="000C2BC0" w:rsidRPr="00B1522E" w:rsidRDefault="000C2BC0" w:rsidP="00B811CC">
            <w:pPr>
              <w:tabs>
                <w:tab w:val="decimal" w:pos="241"/>
                <w:tab w:val="decimal" w:pos="318"/>
              </w:tabs>
              <w:jc w:val="center"/>
              <w:rPr>
                <w:rFonts w:cstheme="minorHAnsi"/>
                <w:noProof/>
              </w:rPr>
            </w:pPr>
          </w:p>
        </w:tc>
        <w:tc>
          <w:tcPr>
            <w:tcW w:w="428" w:type="pct"/>
            <w:tcBorders>
              <w:top w:val="single" w:sz="4" w:space="0" w:color="auto"/>
            </w:tcBorders>
          </w:tcPr>
          <w:p w14:paraId="494AB1D7" w14:textId="77777777" w:rsidR="000C2BC0" w:rsidRPr="00B1522E" w:rsidRDefault="000C2BC0" w:rsidP="00B811CC">
            <w:pPr>
              <w:tabs>
                <w:tab w:val="decimal" w:pos="241"/>
                <w:tab w:val="decimal" w:pos="318"/>
              </w:tabs>
              <w:jc w:val="center"/>
              <w:rPr>
                <w:rFonts w:cstheme="minorHAnsi"/>
                <w:noProof/>
              </w:rPr>
            </w:pPr>
          </w:p>
        </w:tc>
      </w:tr>
      <w:tr w:rsidR="00E77769" w:rsidRPr="00B1522E" w14:paraId="5C9C3135" w14:textId="77777777" w:rsidTr="00B811CC">
        <w:trPr>
          <w:trHeight w:val="548"/>
        </w:trPr>
        <w:tc>
          <w:tcPr>
            <w:tcW w:w="1570" w:type="pct"/>
            <w:tcBorders>
              <w:bottom w:val="single" w:sz="4" w:space="0" w:color="auto"/>
            </w:tcBorders>
          </w:tcPr>
          <w:p w14:paraId="69C742D3" w14:textId="5CC34379" w:rsidR="000C2BC0" w:rsidRPr="00B1522E" w:rsidRDefault="000C2BC0" w:rsidP="00B64DC8">
            <w:pPr>
              <w:ind w:left="174" w:hanging="142"/>
              <w:rPr>
                <w:rFonts w:cstheme="minorHAnsi"/>
                <w:noProof/>
                <w:vertAlign w:val="superscript"/>
              </w:rPr>
            </w:pPr>
            <w:r w:rsidRPr="00B1522E">
              <w:rPr>
                <w:rFonts w:cstheme="minorHAnsi"/>
                <w:noProof/>
              </w:rPr>
              <w:t>Misperceptions of peers’ attitude towards unhealthy snacking</w:t>
            </w:r>
            <w:r w:rsidR="004F47E4" w:rsidRPr="00B1522E">
              <w:rPr>
                <w:rFonts w:cstheme="minorHAnsi"/>
                <w:noProof/>
                <w:vertAlign w:val="superscript"/>
              </w:rPr>
              <w:t>b</w:t>
            </w:r>
          </w:p>
        </w:tc>
        <w:tc>
          <w:tcPr>
            <w:tcW w:w="429" w:type="pct"/>
            <w:tcBorders>
              <w:bottom w:val="single" w:sz="4" w:space="0" w:color="auto"/>
            </w:tcBorders>
          </w:tcPr>
          <w:p w14:paraId="1C5B9902" w14:textId="77777777" w:rsidR="000C2BC0" w:rsidRPr="00B1522E" w:rsidRDefault="000C2BC0" w:rsidP="00B811CC">
            <w:pPr>
              <w:tabs>
                <w:tab w:val="decimal" w:pos="318"/>
              </w:tabs>
              <w:jc w:val="center"/>
              <w:rPr>
                <w:rFonts w:cstheme="minorHAnsi"/>
                <w:noProof/>
              </w:rPr>
            </w:pPr>
          </w:p>
        </w:tc>
        <w:tc>
          <w:tcPr>
            <w:tcW w:w="429" w:type="pct"/>
            <w:tcBorders>
              <w:bottom w:val="single" w:sz="4" w:space="0" w:color="auto"/>
            </w:tcBorders>
          </w:tcPr>
          <w:p w14:paraId="01099AFA" w14:textId="77777777" w:rsidR="000C2BC0" w:rsidRPr="00B1522E" w:rsidRDefault="000C2BC0" w:rsidP="00B811CC">
            <w:pPr>
              <w:tabs>
                <w:tab w:val="decimal" w:pos="266"/>
                <w:tab w:val="decimal" w:pos="318"/>
              </w:tabs>
              <w:jc w:val="center"/>
              <w:rPr>
                <w:rFonts w:cstheme="minorHAnsi"/>
                <w:noProof/>
              </w:rPr>
            </w:pPr>
          </w:p>
        </w:tc>
        <w:tc>
          <w:tcPr>
            <w:tcW w:w="429" w:type="pct"/>
            <w:tcBorders>
              <w:bottom w:val="single" w:sz="4" w:space="0" w:color="auto"/>
            </w:tcBorders>
          </w:tcPr>
          <w:p w14:paraId="688B139A" w14:textId="77777777" w:rsidR="000C2BC0" w:rsidRPr="00B1522E" w:rsidRDefault="000C2BC0" w:rsidP="00B811CC">
            <w:pPr>
              <w:tabs>
                <w:tab w:val="decimal" w:pos="266"/>
                <w:tab w:val="decimal" w:pos="318"/>
              </w:tabs>
              <w:jc w:val="center"/>
              <w:rPr>
                <w:rFonts w:cstheme="minorHAnsi"/>
                <w:noProof/>
              </w:rPr>
            </w:pPr>
          </w:p>
        </w:tc>
        <w:tc>
          <w:tcPr>
            <w:tcW w:w="429" w:type="pct"/>
            <w:tcBorders>
              <w:bottom w:val="single" w:sz="4" w:space="0" w:color="auto"/>
            </w:tcBorders>
          </w:tcPr>
          <w:p w14:paraId="3A7BF049" w14:textId="77777777" w:rsidR="000C2BC0" w:rsidRPr="00B1522E" w:rsidRDefault="000C2BC0" w:rsidP="00B811CC">
            <w:pPr>
              <w:tabs>
                <w:tab w:val="decimal" w:pos="266"/>
                <w:tab w:val="left" w:pos="332"/>
              </w:tabs>
              <w:jc w:val="center"/>
              <w:rPr>
                <w:rFonts w:cstheme="minorHAnsi"/>
                <w:noProof/>
              </w:rPr>
            </w:pPr>
          </w:p>
        </w:tc>
        <w:tc>
          <w:tcPr>
            <w:tcW w:w="429" w:type="pct"/>
            <w:tcBorders>
              <w:bottom w:val="single" w:sz="4" w:space="0" w:color="auto"/>
            </w:tcBorders>
            <w:vAlign w:val="center"/>
          </w:tcPr>
          <w:p w14:paraId="3FBDF0B1" w14:textId="77777777" w:rsidR="000C2BC0" w:rsidRPr="00B1522E" w:rsidRDefault="000C2BC0" w:rsidP="00B811CC">
            <w:pPr>
              <w:tabs>
                <w:tab w:val="decimal" w:pos="266"/>
                <w:tab w:val="left" w:pos="332"/>
              </w:tabs>
              <w:rPr>
                <w:rFonts w:cstheme="minorHAnsi"/>
                <w:noProof/>
              </w:rPr>
            </w:pPr>
            <w:r w:rsidRPr="00B1522E">
              <w:rPr>
                <w:rFonts w:cstheme="minorHAnsi"/>
                <w:noProof/>
              </w:rPr>
              <w:t>.31</w:t>
            </w:r>
          </w:p>
        </w:tc>
        <w:tc>
          <w:tcPr>
            <w:tcW w:w="429" w:type="pct"/>
            <w:tcBorders>
              <w:bottom w:val="single" w:sz="4" w:space="0" w:color="auto"/>
            </w:tcBorders>
            <w:vAlign w:val="center"/>
          </w:tcPr>
          <w:p w14:paraId="74C79DC6" w14:textId="77777777" w:rsidR="000C2BC0" w:rsidRPr="00B1522E" w:rsidRDefault="000C2BC0" w:rsidP="00B811CC">
            <w:pPr>
              <w:tabs>
                <w:tab w:val="decimal" w:pos="-1"/>
              </w:tabs>
              <w:rPr>
                <w:rFonts w:cstheme="minorHAnsi"/>
                <w:noProof/>
              </w:rPr>
            </w:pPr>
            <w:r w:rsidRPr="00B1522E">
              <w:rPr>
                <w:rFonts w:cstheme="minorHAnsi"/>
                <w:noProof/>
              </w:rPr>
              <w:t>.33**</w:t>
            </w:r>
          </w:p>
        </w:tc>
        <w:tc>
          <w:tcPr>
            <w:tcW w:w="429" w:type="pct"/>
            <w:tcBorders>
              <w:bottom w:val="single" w:sz="4" w:space="0" w:color="auto"/>
            </w:tcBorders>
            <w:vAlign w:val="center"/>
          </w:tcPr>
          <w:p w14:paraId="28FCAF37" w14:textId="77777777" w:rsidR="000C2BC0" w:rsidRPr="00B1522E" w:rsidRDefault="000C2BC0" w:rsidP="00B811CC">
            <w:pPr>
              <w:tabs>
                <w:tab w:val="decimal" w:pos="241"/>
                <w:tab w:val="decimal" w:pos="318"/>
              </w:tabs>
              <w:rPr>
                <w:rFonts w:cstheme="minorHAnsi"/>
                <w:noProof/>
              </w:rPr>
            </w:pPr>
            <w:r w:rsidRPr="00B1522E">
              <w:rPr>
                <w:rFonts w:cstheme="minorHAnsi"/>
                <w:noProof/>
              </w:rPr>
              <w:t>.07</w:t>
            </w:r>
          </w:p>
        </w:tc>
        <w:tc>
          <w:tcPr>
            <w:tcW w:w="428" w:type="pct"/>
            <w:tcBorders>
              <w:bottom w:val="single" w:sz="4" w:space="0" w:color="auto"/>
            </w:tcBorders>
          </w:tcPr>
          <w:p w14:paraId="00DA953F" w14:textId="77777777" w:rsidR="000C2BC0" w:rsidRPr="00B1522E" w:rsidRDefault="000C2BC0" w:rsidP="00B811CC">
            <w:pPr>
              <w:tabs>
                <w:tab w:val="decimal" w:pos="241"/>
                <w:tab w:val="decimal" w:pos="318"/>
              </w:tabs>
              <w:jc w:val="center"/>
              <w:rPr>
                <w:rFonts w:cstheme="minorHAnsi"/>
                <w:noProof/>
              </w:rPr>
            </w:pPr>
          </w:p>
        </w:tc>
      </w:tr>
    </w:tbl>
    <w:bookmarkEnd w:id="215"/>
    <w:p w14:paraId="07EBFC77" w14:textId="77777777" w:rsidR="004F47E4" w:rsidRPr="00B1522E" w:rsidRDefault="004F47E4" w:rsidP="004F47E4">
      <w:pPr>
        <w:framePr w:w="9078" w:h="2042" w:hRule="exact" w:wrap="auto" w:vAnchor="page" w:hAnchor="page" w:x="1534" w:y="5243"/>
        <w:spacing w:line="240" w:lineRule="auto"/>
        <w:jc w:val="both"/>
        <w:rPr>
          <w:rFonts w:cstheme="minorHAnsi"/>
          <w:i/>
          <w:iCs/>
          <w:shd w:val="clear" w:color="auto" w:fill="FFFFFF"/>
        </w:rPr>
      </w:pPr>
      <w:r w:rsidRPr="00B1522E">
        <w:rPr>
          <w:rFonts w:cstheme="minorHAnsi"/>
          <w:i/>
          <w:iCs/>
          <w:shd w:val="clear" w:color="auto" w:fill="FFFFFF"/>
          <w:vertAlign w:val="superscript"/>
        </w:rPr>
        <w:t>a</w:t>
      </w:r>
      <w:r w:rsidRPr="00B1522E">
        <w:rPr>
          <w:rFonts w:cstheme="minorHAnsi"/>
          <w:i/>
          <w:iCs/>
          <w:shd w:val="clear" w:color="auto" w:fill="FFFFFF"/>
        </w:rPr>
        <w:t>This is a sum of students’ self-reported consumption of unhealthy snacks over the previous week</w:t>
      </w:r>
    </w:p>
    <w:p w14:paraId="03410DD1" w14:textId="77777777" w:rsidR="004F47E4" w:rsidRPr="00B1522E" w:rsidRDefault="004F47E4" w:rsidP="004F47E4">
      <w:pPr>
        <w:framePr w:w="9078" w:h="2042" w:hRule="exact" w:wrap="auto" w:vAnchor="page" w:hAnchor="page" w:x="1534" w:y="5243"/>
        <w:spacing w:line="240" w:lineRule="auto"/>
        <w:jc w:val="both"/>
        <w:rPr>
          <w:rFonts w:cstheme="minorHAnsi"/>
          <w:i/>
          <w:iCs/>
          <w:shd w:val="clear" w:color="auto" w:fill="FFFFFF"/>
        </w:rPr>
      </w:pPr>
      <w:r w:rsidRPr="00B1522E">
        <w:rPr>
          <w:rFonts w:cstheme="minorHAnsi"/>
          <w:i/>
          <w:iCs/>
          <w:shd w:val="clear" w:color="auto" w:fill="FFFFFF"/>
          <w:vertAlign w:val="superscript"/>
        </w:rPr>
        <w:t>b</w:t>
      </w:r>
      <w:r w:rsidRPr="00B1522E">
        <w:rPr>
          <w:rFonts w:cstheme="minorHAnsi"/>
          <w:i/>
          <w:iCs/>
          <w:shd w:val="clear" w:color="auto" w:fill="FFFFFF"/>
        </w:rPr>
        <w:t>Misperception scores were calculated by subtracting the median of personal snacking attitude of the group from the students’ normative perception (injunctive) of peers’ snacking attitudes.</w:t>
      </w:r>
    </w:p>
    <w:p w14:paraId="71BBC152" w14:textId="77777777" w:rsidR="004F47E4" w:rsidRPr="00B1522E" w:rsidRDefault="004F47E4" w:rsidP="004F47E4">
      <w:pPr>
        <w:framePr w:w="9078" w:h="2042" w:hRule="exact" w:wrap="auto" w:vAnchor="page" w:hAnchor="page" w:x="1534" w:y="5243"/>
        <w:spacing w:line="240" w:lineRule="auto"/>
        <w:jc w:val="both"/>
        <w:rPr>
          <w:rFonts w:cstheme="minorHAnsi"/>
          <w:i/>
          <w:iCs/>
          <w:shd w:val="clear" w:color="auto" w:fill="FFFFFF"/>
        </w:rPr>
      </w:pPr>
      <w:r w:rsidRPr="00B1522E">
        <w:rPr>
          <w:rFonts w:cstheme="minorHAnsi"/>
          <w:i/>
          <w:iCs/>
          <w:shd w:val="clear" w:color="auto" w:fill="FFFFFF"/>
        </w:rPr>
        <w:t xml:space="preserve">*p &lt; .05                    </w:t>
      </w:r>
    </w:p>
    <w:p w14:paraId="4AF4620C" w14:textId="77777777" w:rsidR="004F47E4" w:rsidRPr="00B1522E" w:rsidRDefault="004F47E4" w:rsidP="004F47E4">
      <w:pPr>
        <w:framePr w:w="9078" w:h="2042" w:hRule="exact" w:wrap="auto" w:vAnchor="page" w:hAnchor="page" w:x="1534" w:y="5243"/>
        <w:spacing w:line="240" w:lineRule="auto"/>
        <w:jc w:val="both"/>
        <w:rPr>
          <w:rFonts w:cstheme="minorHAnsi"/>
          <w:i/>
          <w:iCs/>
          <w:shd w:val="clear" w:color="auto" w:fill="FFFFFF"/>
        </w:rPr>
      </w:pPr>
      <w:r w:rsidRPr="00B1522E">
        <w:rPr>
          <w:rFonts w:cstheme="minorHAnsi"/>
          <w:i/>
          <w:iCs/>
          <w:shd w:val="clear" w:color="auto" w:fill="FFFFFF"/>
        </w:rPr>
        <w:t>**p &lt; .001</w:t>
      </w:r>
    </w:p>
    <w:p w14:paraId="6420DD78" w14:textId="1A436267" w:rsidR="00556711" w:rsidRPr="00B1522E" w:rsidRDefault="00556711" w:rsidP="007E0370"/>
    <w:p w14:paraId="2622C13E" w14:textId="77777777" w:rsidR="00112810" w:rsidRPr="00B1522E" w:rsidRDefault="00112810" w:rsidP="007E0370"/>
    <w:p w14:paraId="5FD068F5" w14:textId="7E4400D7" w:rsidR="00E61CDA" w:rsidRPr="00B1522E" w:rsidRDefault="00E61CDA" w:rsidP="002D6D48">
      <w:pPr>
        <w:spacing w:line="480" w:lineRule="auto"/>
      </w:pPr>
      <w:r w:rsidRPr="00B1522E">
        <w:t>7.4</w:t>
      </w:r>
      <w:r w:rsidR="00730501" w:rsidRPr="00B1522E">
        <w:t>.5.3 The role of perceived norms in predicting students’ intentions to reduce unhealthy snacking</w:t>
      </w:r>
    </w:p>
    <w:p w14:paraId="44EE64DB" w14:textId="4BB4331F" w:rsidR="00730501" w:rsidRPr="00B1522E" w:rsidRDefault="00730501" w:rsidP="002D6D48">
      <w:pPr>
        <w:tabs>
          <w:tab w:val="left" w:pos="0"/>
        </w:tabs>
        <w:spacing w:line="480" w:lineRule="auto"/>
        <w:jc w:val="both"/>
        <w:rPr>
          <w:rFonts w:cstheme="minorHAnsi"/>
        </w:rPr>
      </w:pPr>
      <w:r w:rsidRPr="00B1522E">
        <w:rPr>
          <w:rFonts w:cstheme="minorHAnsi"/>
        </w:rPr>
        <w:t xml:space="preserve">Testing hypothesis four, the third regression investigated the association between students’ misperceptions of peers’ snacking behaviour and related attitudes with students’ intentions to reduce unhealthy snacking. Students’ sex and personal attitude towards reducing unhealthy snacking were controlled and entered as a covariates in Block 1 of the regression (as previously-conducted focus groups indicated there could be sex differences in beliefs and perceptions </w:t>
      </w:r>
      <w:r w:rsidR="00E96740" w:rsidRPr="00B1522E">
        <w:rPr>
          <w:rFonts w:cstheme="minorHAnsi"/>
        </w:rPr>
        <w:t xml:space="preserve">(Chapter 5) </w:t>
      </w:r>
      <w:r w:rsidR="00E96740" w:rsidRPr="00B1522E">
        <w:rPr>
          <w:rFonts w:cstheme="minorHAnsi"/>
        </w:rPr>
        <w:fldChar w:fldCharType="begin" w:fldLock="1"/>
      </w:r>
      <w:r w:rsidR="00C654DE" w:rsidRPr="00B1522E">
        <w:rPr>
          <w:rFonts w:cstheme="minorHAnsi"/>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00E96740" w:rsidRPr="00B1522E">
        <w:rPr>
          <w:rFonts w:cstheme="minorHAnsi"/>
        </w:rPr>
        <w:fldChar w:fldCharType="separate"/>
      </w:r>
      <w:r w:rsidR="00355350" w:rsidRPr="00B1522E">
        <w:rPr>
          <w:rFonts w:cstheme="minorHAnsi"/>
          <w:noProof/>
        </w:rPr>
        <w:t>(Calvert et al., 2020)</w:t>
      </w:r>
      <w:r w:rsidR="00E96740" w:rsidRPr="00B1522E">
        <w:rPr>
          <w:rFonts w:cstheme="minorHAnsi"/>
        </w:rPr>
        <w:fldChar w:fldCharType="end"/>
      </w:r>
      <w:r w:rsidRPr="00B1522E">
        <w:rPr>
          <w:rFonts w:cstheme="minorHAnsi"/>
        </w:rPr>
        <w:t xml:space="preserve"> and as personal attitudes are suggested to influence behavioural intention; </w:t>
      </w:r>
      <w:r w:rsidRPr="00B1522E">
        <w:rPr>
          <w:rFonts w:cstheme="minorHAnsi"/>
        </w:rPr>
        <w:fldChar w:fldCharType="begin" w:fldLock="1"/>
      </w:r>
      <w:r w:rsidRPr="00B1522E">
        <w:rPr>
          <w:rFonts w:cstheme="minorHAnsi"/>
        </w:rPr>
        <w:instrText>ADDIN CSL_CITATION {"citationItems":[{"id":"ITEM-1","itemData":{"ISSN":"1939-1315","author":[{"dropping-particle":"","family":"Ajzen","given":"Icek","non-dropping-particle":"","parse-names":false,"suffix":""},{"dropping-particle":"","family":"Fishbein","given":"Martin","non-dropping-particle":"","parse-names":false,"suffix":""}],"container-title":"Journal of personality and social psychology","id":"ITEM-1","issue":"1","issued":{"date-parts":[["1972"]]},"page":"1-9","publisher":"American Psychological Association","title":"Attitudes and normative beliefs as factors influencing behavioral intentions.","type":"article-journal","volume":"21"},"uris":["http://www.mendeley.com/documents/?uuid=66cabf16-614e-481b-9cf0-4b3f4b609740"]}],"mendeley":{"formattedCitation":"(Ajzen &amp; Fishbein, 1972)","manualFormatting":"Ajzen and Fishbein, 1972)","plainTextFormattedCitation":"(Ajzen &amp; Fishbein, 1972)","previouslyFormattedCitation":"(Ajzen &amp; Fishbein, 1972)"},"properties":{"noteIndex":0},"schema":"https://github.com/citation-style-language/schema/raw/master/csl-citation.json"}</w:instrText>
      </w:r>
      <w:r w:rsidRPr="00B1522E">
        <w:rPr>
          <w:rFonts w:cstheme="minorHAnsi"/>
        </w:rPr>
        <w:fldChar w:fldCharType="separate"/>
      </w:r>
      <w:r w:rsidRPr="00B1522E">
        <w:rPr>
          <w:rFonts w:cstheme="minorHAnsi"/>
          <w:noProof/>
        </w:rPr>
        <w:t>Ajzen and Fishbein, 1972)</w:t>
      </w:r>
      <w:r w:rsidRPr="00B1522E">
        <w:rPr>
          <w:rFonts w:cstheme="minorHAnsi"/>
        </w:rPr>
        <w:fldChar w:fldCharType="end"/>
      </w:r>
      <w:r w:rsidRPr="00B1522E">
        <w:rPr>
          <w:rFonts w:cstheme="minorHAnsi"/>
        </w:rPr>
        <w:t xml:space="preserve">, while misperceptions about peers’ unhealthy snacking behaviour and misperceptions about peers’ attitudes towards reducing unhealthy snacking were entered in Block 2. </w:t>
      </w:r>
      <w:r w:rsidRPr="00B1522E">
        <w:rPr>
          <w:rFonts w:cstheme="minorHAnsi"/>
          <w:shd w:val="clear" w:color="auto" w:fill="FFFFFF"/>
        </w:rPr>
        <w:t xml:space="preserve">The regression indicated no evidence of collinearity after conducting diagnostic tests, and an analysis of standard residuals revealed no cases to be outside the range +/- 3.29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BN":"1446274586","author":[{"dropping-particle":"","family":"Field","given":"Andy","non-dropping-particle":"","parse-names":false,"suffix":""}],"id":"ITEM-1","issued":{"date-parts":[["2013"]]},"publisher":"Sage","publisher-place":"London","title":"Discovering statistics using IBM SPSS statistics","type":"book"},"uris":["http://www.mendeley.com/documents/?uuid=1e097d10-b099-44d2-bb82-0323b21b4daf"]}],"mendeley":{"formattedCitation":"(Field, 2013)","plainTextFormattedCitation":"(Field, 2013)","previouslyFormattedCitation":"(Field, 2013)"},"properties":{"noteIndex":0},"schema":"https://github.com/citation-style-language/schema/raw/master/csl-citation.json"}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(Field, 2013)</w:t>
      </w:r>
      <w:r w:rsidRPr="00B1522E">
        <w:rPr>
          <w:rFonts w:cstheme="minorHAnsi"/>
          <w:shd w:val="clear" w:color="auto" w:fill="FFFFFF"/>
        </w:rPr>
        <w:fldChar w:fldCharType="end"/>
      </w:r>
      <w:r w:rsidRPr="00B1522E">
        <w:rPr>
          <w:rFonts w:cstheme="minorHAnsi"/>
          <w:shd w:val="clear" w:color="auto" w:fill="FFFFFF"/>
        </w:rPr>
        <w:t>.</w:t>
      </w:r>
    </w:p>
    <w:p w14:paraId="2D7C3CA9" w14:textId="7768A4C1" w:rsidR="00825CBF" w:rsidRPr="00B1522E" w:rsidRDefault="00730501" w:rsidP="00730501">
      <w:pPr>
        <w:tabs>
          <w:tab w:val="left" w:pos="0"/>
        </w:tabs>
        <w:spacing w:line="480" w:lineRule="auto"/>
        <w:jc w:val="both"/>
        <w:rPr>
          <w:rFonts w:eastAsia="Times New Roman" w:cstheme="minorHAnsi"/>
          <w:noProof/>
          <w:bdr w:val="none" w:sz="0" w:space="0" w:color="auto" w:frame="1"/>
          <w:shd w:val="clear" w:color="auto" w:fill="FFFFFF"/>
          <w:lang w:eastAsia="en-GB"/>
        </w:rPr>
      </w:pPr>
      <w:r w:rsidRPr="00B1522E">
        <w:rPr>
          <w:rFonts w:cstheme="minorHAnsi"/>
          <w:noProof/>
        </w:rPr>
        <w:tab/>
        <w:t xml:space="preserve">Students’ sex and personal attitude towards reducing unhealthy snacking contributed significantly to Block 1 of the model </w:t>
      </w:r>
      <w:r w:rsidRPr="00B1522E">
        <w:rPr>
          <w:rFonts w:cstheme="minorHAnsi"/>
          <w:i/>
          <w:iCs/>
          <w:noProof/>
        </w:rPr>
        <w:t>F</w:t>
      </w:r>
      <w:r w:rsidRPr="00B1522E">
        <w:rPr>
          <w:rFonts w:cstheme="minorHAnsi"/>
          <w:noProof/>
        </w:rPr>
        <w:t xml:space="preserve">(2, 157) = 13.749, </w:t>
      </w:r>
      <w:r w:rsidRPr="00B1522E">
        <w:rPr>
          <w:rFonts w:cstheme="minorHAnsi"/>
          <w:i/>
          <w:iCs/>
          <w:noProof/>
        </w:rPr>
        <w:t>p</w:t>
      </w:r>
      <w:r w:rsidRPr="00B1522E">
        <w:rPr>
          <w:rFonts w:cstheme="minorHAnsi"/>
          <w:noProof/>
        </w:rPr>
        <w:t xml:space="preserve"> &lt; .001, and accounted for 14.9% of the </w:t>
      </w:r>
      <w:r w:rsidRPr="00B1522E">
        <w:rPr>
          <w:rFonts w:cstheme="minorHAnsi"/>
          <w:noProof/>
        </w:rPr>
        <w:lastRenderedPageBreak/>
        <w:t xml:space="preserve">variance in intention to reduce unhealthy snacking. Block 2 accounted for a further 6.1% of the variation in intention to reduce unhealthy snacking, </w:t>
      </w:r>
      <w:r w:rsidRPr="00B1522E">
        <w:rPr>
          <w:rFonts w:cstheme="minorHAnsi"/>
          <w:i/>
          <w:iCs/>
          <w:noProof/>
        </w:rPr>
        <w:t>F</w:t>
      </w:r>
      <w:r w:rsidRPr="00B1522E">
        <w:rPr>
          <w:rFonts w:cstheme="minorHAnsi"/>
          <w:noProof/>
        </w:rPr>
        <w:t xml:space="preserve">(4, 155) = 10.320, </w:t>
      </w:r>
      <w:r w:rsidRPr="00B1522E">
        <w:rPr>
          <w:rFonts w:cstheme="minorHAnsi"/>
          <w:i/>
          <w:iCs/>
          <w:noProof/>
        </w:rPr>
        <w:t>p</w:t>
      </w:r>
      <w:r w:rsidRPr="00B1522E">
        <w:rPr>
          <w:rFonts w:cstheme="minorHAnsi"/>
          <w:noProof/>
        </w:rPr>
        <w:t xml:space="preserve"> &lt; .001, with students’ sex (β = 0.18, </w:t>
      </w:r>
      <w:r w:rsidRPr="00B1522E">
        <w:rPr>
          <w:rFonts w:cstheme="minorHAnsi"/>
          <w:i/>
          <w:iCs/>
          <w:noProof/>
        </w:rPr>
        <w:t>p</w:t>
      </w:r>
      <w:r w:rsidRPr="00B1522E">
        <w:rPr>
          <w:rFonts w:cstheme="minorHAnsi"/>
          <w:noProof/>
        </w:rPr>
        <w:t xml:space="preserve"> = .018),  misperceptions of peers’ attitude towards reducing unhealthy snacking (β = 0.27, </w:t>
      </w:r>
      <w:r w:rsidRPr="00B1522E">
        <w:rPr>
          <w:rFonts w:cstheme="minorHAnsi"/>
          <w:i/>
          <w:iCs/>
          <w:noProof/>
        </w:rPr>
        <w:t>p</w:t>
      </w:r>
      <w:r w:rsidRPr="00B1522E">
        <w:rPr>
          <w:rFonts w:cstheme="minorHAnsi"/>
          <w:noProof/>
        </w:rPr>
        <w:t xml:space="preserve"> = .001) and personal attitude towards reducing unhealthy snacking (β = 0.21, </w:t>
      </w:r>
      <w:r w:rsidRPr="00B1522E">
        <w:rPr>
          <w:rFonts w:cstheme="minorHAnsi"/>
          <w:i/>
          <w:iCs/>
          <w:noProof/>
        </w:rPr>
        <w:t>p</w:t>
      </w:r>
      <w:r w:rsidRPr="00B1522E">
        <w:rPr>
          <w:rFonts w:cstheme="minorHAnsi"/>
          <w:noProof/>
        </w:rPr>
        <w:t xml:space="preserve"> = .009) being significant predictors of intention to reduce unhealthy snacking (Table </w:t>
      </w:r>
      <w:r w:rsidR="00825CBF" w:rsidRPr="00B1522E">
        <w:rPr>
          <w:rFonts w:cstheme="minorHAnsi"/>
          <w:noProof/>
        </w:rPr>
        <w:t>1</w:t>
      </w:r>
      <w:r w:rsidR="00877C12" w:rsidRPr="00B1522E">
        <w:rPr>
          <w:rFonts w:cstheme="minorHAnsi"/>
          <w:noProof/>
        </w:rPr>
        <w:t>6</w:t>
      </w:r>
      <w:r w:rsidRPr="00B1522E">
        <w:rPr>
          <w:rFonts w:cstheme="minorHAnsi"/>
          <w:noProof/>
        </w:rPr>
        <w:t xml:space="preserve">). </w:t>
      </w:r>
      <w:r w:rsidRPr="00B1522E">
        <w:rPr>
          <w:rFonts w:cstheme="minorHAnsi"/>
          <w:noProof/>
          <w:lang w:eastAsia="en-GB"/>
        </w:rPr>
        <w:t>The results suggest that girls who had positive personal attitudes towards reducing unhealthy snacking and misperceived peers to have a positive attitude towards reducing unhealthy snacking, had a stronger intention to reduce unhealthy snacking behaviour.</w:t>
      </w:r>
      <w:r w:rsidRPr="00B1522E">
        <w:rPr>
          <w:rFonts w:eastAsia="Times New Roman" w:cstheme="minorHAnsi"/>
          <w:noProof/>
          <w:bdr w:val="none" w:sz="0" w:space="0" w:color="auto" w:frame="1"/>
          <w:shd w:val="clear" w:color="auto" w:fill="FFFFFF"/>
          <w:lang w:eastAsia="en-GB"/>
        </w:rPr>
        <w:t xml:space="preserve"> </w:t>
      </w:r>
    </w:p>
    <w:bookmarkStart w:id="217" w:name="_Hlk64275414"/>
    <w:p w14:paraId="2DAA6411" w14:textId="6C89DBB2" w:rsidR="00FE4E5A" w:rsidRPr="00B1522E" w:rsidRDefault="004B7E33" w:rsidP="00FE4E5A">
      <w:pPr>
        <w:pStyle w:val="Caption"/>
        <w:keepNext/>
        <w:rPr>
          <w:rFonts w:cstheme="minorHAnsi"/>
          <w:i w:val="0"/>
          <w:iCs w:val="0"/>
          <w:color w:val="auto"/>
          <w:sz w:val="22"/>
          <w:szCs w:val="22"/>
        </w:rPr>
      </w:pPr>
      <w:r w:rsidRPr="00B1522E">
        <w:rPr>
          <w:rFonts w:cstheme="minorHAnsi"/>
          <w:b/>
          <w:bCs/>
          <w:i w:val="0"/>
          <w:iCs w:val="0"/>
          <w:color w:val="auto"/>
          <w:sz w:val="22"/>
          <w:szCs w:val="22"/>
        </w:rPr>
        <w:fldChar w:fldCharType="begin"/>
      </w:r>
      <w:r w:rsidRPr="00B1522E">
        <w:rPr>
          <w:rFonts w:cstheme="minorHAnsi"/>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218" w:name="_Toc97557139"/>
      <w:r w:rsidRPr="00B1522E">
        <w:rPr>
          <w:rFonts w:cstheme="minorHAnsi"/>
          <w:i w:val="0"/>
          <w:iCs w:val="0"/>
          <w:color w:val="auto"/>
          <w:sz w:val="22"/>
          <w:szCs w:val="22"/>
        </w:rPr>
        <w:instrText xml:space="preserve">Table </w:instrText>
      </w:r>
      <w:r w:rsidR="00B61682" w:rsidRPr="00B1522E">
        <w:rPr>
          <w:rFonts w:cstheme="minorHAnsi"/>
          <w:i w:val="0"/>
          <w:iCs w:val="0"/>
          <w:color w:val="auto"/>
          <w:sz w:val="22"/>
          <w:szCs w:val="22"/>
        </w:rPr>
        <w:instrText>1</w:instrText>
      </w:r>
      <w:r w:rsidR="00C207DC" w:rsidRPr="00B1522E">
        <w:rPr>
          <w:rFonts w:cstheme="minorHAnsi"/>
          <w:i w:val="0"/>
          <w:iCs w:val="0"/>
          <w:color w:val="auto"/>
          <w:sz w:val="22"/>
          <w:szCs w:val="22"/>
        </w:rPr>
        <w:instrText>6</w:instrText>
      </w:r>
      <w:r w:rsidRPr="00B1522E">
        <w:rPr>
          <w:rFonts w:cstheme="minorHAnsi"/>
          <w:i w:val="0"/>
          <w:iCs w:val="0"/>
          <w:color w:val="auto"/>
          <w:sz w:val="22"/>
          <w:szCs w:val="22"/>
        </w:rPr>
        <w:instrText>. Hierarchical regression predicting student’s intention to reduce unhealthy snacking</w:instrText>
      </w:r>
      <w:bookmarkEnd w:id="218"/>
      <w:r w:rsidRPr="00B1522E">
        <w:rPr>
          <w:rFonts w:cstheme="minorHAnsi"/>
          <w:b/>
          <w:bCs/>
          <w:i w:val="0"/>
          <w:iCs w:val="0"/>
          <w:color w:val="auto"/>
          <w:sz w:val="22"/>
          <w:szCs w:val="22"/>
        </w:rPr>
        <w:instrText xml:space="preserve"> </w:instrText>
      </w:r>
      <w:r w:rsidR="00686F5E" w:rsidRPr="00B1522E">
        <w:rPr>
          <w:rFonts w:cstheme="minorHAnsi"/>
          <w:b/>
          <w:bCs/>
          <w:i w:val="0"/>
          <w:iCs w:val="0"/>
          <w:color w:val="auto"/>
          <w:sz w:val="22"/>
          <w:szCs w:val="22"/>
        </w:rPr>
        <w:instrText>“</w:instrText>
      </w:r>
      <w:r w:rsidRPr="00B1522E">
        <w:rPr>
          <w:rFonts w:cstheme="minorHAnsi"/>
          <w:b/>
          <w:bCs/>
          <w:i w:val="0"/>
          <w:iCs w:val="0"/>
          <w:color w:val="auto"/>
          <w:sz w:val="22"/>
          <w:szCs w:val="22"/>
        </w:rPr>
        <w:instrText xml:space="preserve">\f z\l 2 </w:instrText>
      </w:r>
      <w:r w:rsidRPr="00B1522E">
        <w:rPr>
          <w:rFonts w:cstheme="minorHAnsi"/>
          <w:b/>
          <w:bCs/>
          <w:i w:val="0"/>
          <w:iCs w:val="0"/>
          <w:color w:val="auto"/>
          <w:sz w:val="22"/>
          <w:szCs w:val="22"/>
        </w:rPr>
        <w:fldChar w:fldCharType="end"/>
      </w:r>
      <w:r w:rsidR="00FE4E5A" w:rsidRPr="00B1522E">
        <w:rPr>
          <w:rFonts w:cstheme="minorHAnsi"/>
          <w:i w:val="0"/>
          <w:iCs w:val="0"/>
          <w:color w:val="auto"/>
          <w:sz w:val="22"/>
          <w:szCs w:val="22"/>
        </w:rPr>
        <w:t xml:space="preserve">Table </w:t>
      </w:r>
      <w:r w:rsidR="00B61682" w:rsidRPr="00B1522E">
        <w:rPr>
          <w:rFonts w:cstheme="minorHAnsi"/>
          <w:i w:val="0"/>
          <w:iCs w:val="0"/>
          <w:color w:val="auto"/>
          <w:sz w:val="22"/>
          <w:szCs w:val="22"/>
        </w:rPr>
        <w:t>1</w:t>
      </w:r>
      <w:r w:rsidR="00C207DC" w:rsidRPr="00B1522E">
        <w:rPr>
          <w:rFonts w:cstheme="minorHAnsi"/>
          <w:i w:val="0"/>
          <w:iCs w:val="0"/>
          <w:color w:val="auto"/>
          <w:sz w:val="22"/>
          <w:szCs w:val="22"/>
        </w:rPr>
        <w:t>6</w:t>
      </w:r>
      <w:r w:rsidR="00FE4E5A" w:rsidRPr="00B1522E">
        <w:rPr>
          <w:rFonts w:cstheme="minorHAnsi"/>
          <w:i w:val="0"/>
          <w:iCs w:val="0"/>
          <w:color w:val="auto"/>
          <w:sz w:val="22"/>
          <w:szCs w:val="22"/>
        </w:rPr>
        <w:t>. Hierarchical regression predicting student’s intention to reduce unhealthy snacking.</w:t>
      </w:r>
    </w:p>
    <w:tbl>
      <w:tblPr>
        <w:tblStyle w:val="TableGrid"/>
        <w:tblpPr w:leftFromText="180" w:rightFromText="180" w:vertAnchor="text" w:horzAnchor="margin"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03"/>
        <w:gridCol w:w="857"/>
        <w:gridCol w:w="567"/>
        <w:gridCol w:w="685"/>
        <w:gridCol w:w="703"/>
        <w:gridCol w:w="738"/>
        <w:gridCol w:w="709"/>
        <w:gridCol w:w="662"/>
      </w:tblGrid>
      <w:tr w:rsidR="00E77769" w:rsidRPr="00B1522E" w14:paraId="60CF64D4" w14:textId="77777777" w:rsidTr="00B811CC">
        <w:trPr>
          <w:trHeight w:val="268"/>
        </w:trPr>
        <w:tc>
          <w:tcPr>
            <w:tcW w:w="3402" w:type="dxa"/>
            <w:tcBorders>
              <w:top w:val="single" w:sz="4" w:space="0" w:color="auto"/>
            </w:tcBorders>
          </w:tcPr>
          <w:p w14:paraId="7CCD9F1D" w14:textId="77777777" w:rsidR="00FE4E5A" w:rsidRPr="00B1522E" w:rsidRDefault="00FE4E5A" w:rsidP="00B811CC">
            <w:pPr>
              <w:rPr>
                <w:rFonts w:cstheme="minorHAnsi"/>
                <w:noProof/>
              </w:rPr>
            </w:pPr>
            <w:r w:rsidRPr="00B1522E">
              <w:rPr>
                <w:rFonts w:cstheme="minorHAnsi"/>
                <w:noProof/>
              </w:rPr>
              <w:t xml:space="preserve">Variables </w:t>
            </w:r>
          </w:p>
        </w:tc>
        <w:tc>
          <w:tcPr>
            <w:tcW w:w="2812" w:type="dxa"/>
            <w:gridSpan w:val="4"/>
            <w:tcBorders>
              <w:top w:val="single" w:sz="4" w:space="0" w:color="auto"/>
              <w:bottom w:val="single" w:sz="4" w:space="0" w:color="auto"/>
            </w:tcBorders>
            <w:vAlign w:val="center"/>
          </w:tcPr>
          <w:p w14:paraId="775E0B8D" w14:textId="77777777" w:rsidR="00FE4E5A" w:rsidRPr="00B1522E" w:rsidRDefault="00FE4E5A" w:rsidP="00B811CC">
            <w:pPr>
              <w:jc w:val="center"/>
              <w:rPr>
                <w:rFonts w:cstheme="minorHAnsi"/>
                <w:noProof/>
              </w:rPr>
            </w:pPr>
            <w:r w:rsidRPr="00B1522E">
              <w:rPr>
                <w:rFonts w:cstheme="minorHAnsi"/>
                <w:noProof/>
              </w:rPr>
              <w:t>Block 1</w:t>
            </w:r>
          </w:p>
        </w:tc>
        <w:tc>
          <w:tcPr>
            <w:tcW w:w="2812" w:type="dxa"/>
            <w:gridSpan w:val="4"/>
            <w:tcBorders>
              <w:top w:val="single" w:sz="4" w:space="0" w:color="auto"/>
              <w:bottom w:val="single" w:sz="4" w:space="0" w:color="auto"/>
            </w:tcBorders>
            <w:vAlign w:val="center"/>
          </w:tcPr>
          <w:p w14:paraId="6DEE0F57" w14:textId="77777777" w:rsidR="00FE4E5A" w:rsidRPr="00B1522E" w:rsidRDefault="00FE4E5A" w:rsidP="00B811CC">
            <w:pPr>
              <w:jc w:val="center"/>
              <w:rPr>
                <w:rFonts w:cstheme="minorHAnsi"/>
                <w:noProof/>
              </w:rPr>
            </w:pPr>
            <w:r w:rsidRPr="00B1522E">
              <w:rPr>
                <w:rFonts w:cstheme="minorHAnsi"/>
                <w:noProof/>
              </w:rPr>
              <w:t>Block 2</w:t>
            </w:r>
          </w:p>
        </w:tc>
      </w:tr>
      <w:tr w:rsidR="00E77769" w:rsidRPr="00B1522E" w14:paraId="2B10ED24" w14:textId="77777777" w:rsidTr="00B811CC">
        <w:trPr>
          <w:trHeight w:val="280"/>
        </w:trPr>
        <w:tc>
          <w:tcPr>
            <w:tcW w:w="3402" w:type="dxa"/>
            <w:tcBorders>
              <w:bottom w:val="single" w:sz="4" w:space="0" w:color="auto"/>
            </w:tcBorders>
          </w:tcPr>
          <w:p w14:paraId="0F5C0C55" w14:textId="77777777" w:rsidR="00FE4E5A" w:rsidRPr="00B1522E" w:rsidRDefault="00FE4E5A" w:rsidP="00B811CC">
            <w:pPr>
              <w:rPr>
                <w:rFonts w:cstheme="minorHAnsi"/>
                <w:noProof/>
              </w:rPr>
            </w:pPr>
          </w:p>
        </w:tc>
        <w:tc>
          <w:tcPr>
            <w:tcW w:w="703" w:type="dxa"/>
            <w:tcBorders>
              <w:top w:val="single" w:sz="4" w:space="0" w:color="auto"/>
              <w:bottom w:val="single" w:sz="4" w:space="0" w:color="auto"/>
            </w:tcBorders>
            <w:vAlign w:val="center"/>
          </w:tcPr>
          <w:p w14:paraId="5951E142" w14:textId="77777777" w:rsidR="00FE4E5A" w:rsidRPr="00B1522E" w:rsidRDefault="00FE4E5A" w:rsidP="00B811CC">
            <w:pPr>
              <w:jc w:val="center"/>
              <w:rPr>
                <w:rFonts w:cstheme="minorHAnsi"/>
                <w:i/>
                <w:iCs/>
                <w:noProof/>
              </w:rPr>
            </w:pPr>
            <w:r w:rsidRPr="00B1522E">
              <w:rPr>
                <w:rFonts w:cstheme="minorHAnsi"/>
                <w:i/>
                <w:iCs/>
                <w:noProof/>
              </w:rPr>
              <w:t>B</w:t>
            </w:r>
          </w:p>
        </w:tc>
        <w:tc>
          <w:tcPr>
            <w:tcW w:w="857" w:type="dxa"/>
            <w:tcBorders>
              <w:top w:val="single" w:sz="4" w:space="0" w:color="auto"/>
              <w:bottom w:val="single" w:sz="4" w:space="0" w:color="auto"/>
            </w:tcBorders>
            <w:vAlign w:val="center"/>
          </w:tcPr>
          <w:p w14:paraId="353B8CA6" w14:textId="77777777" w:rsidR="00FE4E5A" w:rsidRPr="00B1522E" w:rsidRDefault="00FE4E5A" w:rsidP="00B811CC">
            <w:pPr>
              <w:jc w:val="center"/>
              <w:rPr>
                <w:rFonts w:cstheme="minorHAnsi"/>
                <w:noProof/>
              </w:rPr>
            </w:pPr>
            <w:r w:rsidRPr="00B1522E">
              <w:rPr>
                <w:rFonts w:cstheme="minorHAnsi"/>
                <w:noProof/>
              </w:rPr>
              <w:t>β</w:t>
            </w:r>
          </w:p>
        </w:tc>
        <w:tc>
          <w:tcPr>
            <w:tcW w:w="567" w:type="dxa"/>
            <w:tcBorders>
              <w:top w:val="single" w:sz="4" w:space="0" w:color="auto"/>
              <w:bottom w:val="single" w:sz="4" w:space="0" w:color="auto"/>
            </w:tcBorders>
            <w:vAlign w:val="center"/>
          </w:tcPr>
          <w:p w14:paraId="488F96D1" w14:textId="77777777" w:rsidR="00FE4E5A" w:rsidRPr="00B1522E" w:rsidRDefault="00FE4E5A" w:rsidP="00B811CC">
            <w:pPr>
              <w:jc w:val="center"/>
              <w:rPr>
                <w:rFonts w:cstheme="minorHAnsi"/>
                <w:i/>
                <w:iCs/>
                <w:noProof/>
              </w:rPr>
            </w:pPr>
            <w:r w:rsidRPr="00B1522E">
              <w:rPr>
                <w:rFonts w:cstheme="minorHAnsi"/>
                <w:i/>
                <w:iCs/>
                <w:noProof/>
              </w:rPr>
              <w:t>SE</w:t>
            </w:r>
          </w:p>
        </w:tc>
        <w:tc>
          <w:tcPr>
            <w:tcW w:w="685" w:type="dxa"/>
            <w:tcBorders>
              <w:top w:val="single" w:sz="4" w:space="0" w:color="auto"/>
              <w:bottom w:val="single" w:sz="4" w:space="0" w:color="auto"/>
            </w:tcBorders>
          </w:tcPr>
          <w:p w14:paraId="4799B9F3" w14:textId="77777777" w:rsidR="00FE4E5A" w:rsidRPr="00B1522E" w:rsidRDefault="00FE4E5A" w:rsidP="00B811CC">
            <w:pPr>
              <w:tabs>
                <w:tab w:val="left" w:pos="332"/>
              </w:tabs>
              <w:jc w:val="center"/>
              <w:rPr>
                <w:rFonts w:cstheme="minorHAnsi"/>
                <w:i/>
                <w:iCs/>
                <w:noProof/>
              </w:rPr>
            </w:pPr>
            <w:r w:rsidRPr="00B1522E">
              <w:rPr>
                <w:rFonts w:cstheme="minorHAnsi"/>
                <w:i/>
                <w:iCs/>
                <w:noProof/>
              </w:rPr>
              <w:t>R²</w:t>
            </w:r>
          </w:p>
        </w:tc>
        <w:tc>
          <w:tcPr>
            <w:tcW w:w="703" w:type="dxa"/>
            <w:tcBorders>
              <w:top w:val="single" w:sz="4" w:space="0" w:color="auto"/>
              <w:bottom w:val="single" w:sz="4" w:space="0" w:color="auto"/>
            </w:tcBorders>
            <w:vAlign w:val="center"/>
          </w:tcPr>
          <w:p w14:paraId="6F7F79F0" w14:textId="77777777" w:rsidR="00FE4E5A" w:rsidRPr="00B1522E" w:rsidRDefault="00FE4E5A" w:rsidP="00B811CC">
            <w:pPr>
              <w:tabs>
                <w:tab w:val="left" w:pos="332"/>
              </w:tabs>
              <w:jc w:val="center"/>
              <w:rPr>
                <w:rFonts w:cstheme="minorHAnsi"/>
                <w:i/>
                <w:iCs/>
                <w:noProof/>
              </w:rPr>
            </w:pPr>
            <w:r w:rsidRPr="00B1522E">
              <w:rPr>
                <w:rFonts w:cstheme="minorHAnsi"/>
                <w:i/>
                <w:iCs/>
                <w:noProof/>
              </w:rPr>
              <w:t>B</w:t>
            </w:r>
          </w:p>
        </w:tc>
        <w:tc>
          <w:tcPr>
            <w:tcW w:w="738" w:type="dxa"/>
            <w:tcBorders>
              <w:top w:val="single" w:sz="4" w:space="0" w:color="auto"/>
              <w:bottom w:val="single" w:sz="4" w:space="0" w:color="auto"/>
            </w:tcBorders>
            <w:vAlign w:val="center"/>
          </w:tcPr>
          <w:p w14:paraId="0875E427" w14:textId="77777777" w:rsidR="00FE4E5A" w:rsidRPr="00B1522E" w:rsidRDefault="00FE4E5A" w:rsidP="00B811CC">
            <w:pPr>
              <w:jc w:val="center"/>
              <w:rPr>
                <w:rFonts w:cstheme="minorHAnsi"/>
                <w:noProof/>
              </w:rPr>
            </w:pPr>
            <w:r w:rsidRPr="00B1522E">
              <w:rPr>
                <w:rFonts w:cstheme="minorHAnsi"/>
                <w:noProof/>
              </w:rPr>
              <w:t>β</w:t>
            </w:r>
          </w:p>
        </w:tc>
        <w:tc>
          <w:tcPr>
            <w:tcW w:w="709" w:type="dxa"/>
            <w:tcBorders>
              <w:top w:val="single" w:sz="4" w:space="0" w:color="auto"/>
              <w:bottom w:val="single" w:sz="4" w:space="0" w:color="auto"/>
            </w:tcBorders>
            <w:vAlign w:val="center"/>
          </w:tcPr>
          <w:p w14:paraId="2DBE584D" w14:textId="77777777" w:rsidR="00FE4E5A" w:rsidRPr="00B1522E" w:rsidRDefault="00FE4E5A" w:rsidP="00B811CC">
            <w:pPr>
              <w:jc w:val="center"/>
              <w:rPr>
                <w:rFonts w:cstheme="minorHAnsi"/>
                <w:i/>
                <w:iCs/>
                <w:noProof/>
              </w:rPr>
            </w:pPr>
            <w:r w:rsidRPr="00B1522E">
              <w:rPr>
                <w:rFonts w:cstheme="minorHAnsi"/>
                <w:i/>
                <w:iCs/>
                <w:noProof/>
              </w:rPr>
              <w:t>SE</w:t>
            </w:r>
          </w:p>
        </w:tc>
        <w:tc>
          <w:tcPr>
            <w:tcW w:w="662" w:type="dxa"/>
            <w:tcBorders>
              <w:top w:val="single" w:sz="4" w:space="0" w:color="auto"/>
              <w:bottom w:val="single" w:sz="4" w:space="0" w:color="auto"/>
            </w:tcBorders>
          </w:tcPr>
          <w:p w14:paraId="7A4E5B49" w14:textId="77777777" w:rsidR="00FE4E5A" w:rsidRPr="00B1522E" w:rsidRDefault="00FE4E5A" w:rsidP="00B811CC">
            <w:pPr>
              <w:jc w:val="center"/>
              <w:rPr>
                <w:rFonts w:cstheme="minorHAnsi"/>
                <w:i/>
                <w:iCs/>
                <w:noProof/>
              </w:rPr>
            </w:pPr>
            <w:r w:rsidRPr="00B1522E">
              <w:rPr>
                <w:rFonts w:cstheme="minorHAnsi"/>
                <w:i/>
                <w:iCs/>
                <w:noProof/>
              </w:rPr>
              <w:t>R²</w:t>
            </w:r>
          </w:p>
        </w:tc>
      </w:tr>
      <w:tr w:rsidR="00E77769" w:rsidRPr="00B1522E" w14:paraId="684E5BAA" w14:textId="77777777" w:rsidTr="00B811CC">
        <w:trPr>
          <w:trHeight w:val="271"/>
        </w:trPr>
        <w:tc>
          <w:tcPr>
            <w:tcW w:w="3402" w:type="dxa"/>
          </w:tcPr>
          <w:p w14:paraId="43664E07" w14:textId="77777777" w:rsidR="00FE4E5A" w:rsidRPr="00B1522E" w:rsidRDefault="00FE4E5A" w:rsidP="00B811CC">
            <w:pPr>
              <w:rPr>
                <w:rFonts w:cstheme="minorHAnsi"/>
                <w:i/>
                <w:iCs/>
                <w:noProof/>
              </w:rPr>
            </w:pPr>
            <w:r w:rsidRPr="00B1522E">
              <w:rPr>
                <w:rFonts w:cstheme="minorHAnsi"/>
                <w:i/>
                <w:iCs/>
                <w:noProof/>
              </w:rPr>
              <w:t>Block 1</w:t>
            </w:r>
          </w:p>
        </w:tc>
        <w:tc>
          <w:tcPr>
            <w:tcW w:w="703" w:type="dxa"/>
            <w:vAlign w:val="center"/>
          </w:tcPr>
          <w:p w14:paraId="46CC351D" w14:textId="77777777" w:rsidR="00FE4E5A" w:rsidRPr="00B1522E" w:rsidRDefault="00FE4E5A" w:rsidP="00B811CC">
            <w:pPr>
              <w:tabs>
                <w:tab w:val="decimal" w:pos="318"/>
              </w:tabs>
              <w:rPr>
                <w:rFonts w:cstheme="minorHAnsi"/>
                <w:noProof/>
              </w:rPr>
            </w:pPr>
          </w:p>
        </w:tc>
        <w:tc>
          <w:tcPr>
            <w:tcW w:w="857" w:type="dxa"/>
            <w:vAlign w:val="center"/>
          </w:tcPr>
          <w:p w14:paraId="231E79D2" w14:textId="77777777" w:rsidR="00FE4E5A" w:rsidRPr="00B1522E" w:rsidRDefault="00FE4E5A" w:rsidP="00B811CC">
            <w:pPr>
              <w:tabs>
                <w:tab w:val="left" w:pos="318"/>
              </w:tabs>
              <w:rPr>
                <w:rFonts w:cstheme="minorHAnsi"/>
                <w:noProof/>
              </w:rPr>
            </w:pPr>
          </w:p>
        </w:tc>
        <w:tc>
          <w:tcPr>
            <w:tcW w:w="567" w:type="dxa"/>
            <w:vAlign w:val="center"/>
          </w:tcPr>
          <w:p w14:paraId="6334306C" w14:textId="77777777" w:rsidR="00FE4E5A" w:rsidRPr="00B1522E" w:rsidRDefault="00FE4E5A" w:rsidP="00B811CC">
            <w:pPr>
              <w:tabs>
                <w:tab w:val="decimal" w:pos="266"/>
                <w:tab w:val="decimal" w:pos="318"/>
              </w:tabs>
              <w:rPr>
                <w:rFonts w:cstheme="minorHAnsi"/>
                <w:noProof/>
              </w:rPr>
            </w:pPr>
          </w:p>
        </w:tc>
        <w:tc>
          <w:tcPr>
            <w:tcW w:w="685" w:type="dxa"/>
          </w:tcPr>
          <w:p w14:paraId="643295D8" w14:textId="77777777" w:rsidR="00FE4E5A" w:rsidRPr="00B1522E" w:rsidRDefault="00FE4E5A" w:rsidP="00B811CC">
            <w:pPr>
              <w:tabs>
                <w:tab w:val="left" w:pos="213"/>
              </w:tabs>
              <w:rPr>
                <w:rFonts w:cstheme="minorHAnsi"/>
                <w:noProof/>
              </w:rPr>
            </w:pPr>
          </w:p>
        </w:tc>
        <w:tc>
          <w:tcPr>
            <w:tcW w:w="703" w:type="dxa"/>
            <w:vAlign w:val="center"/>
          </w:tcPr>
          <w:p w14:paraId="03AB6DEB" w14:textId="77777777" w:rsidR="00FE4E5A" w:rsidRPr="00B1522E" w:rsidRDefault="00FE4E5A" w:rsidP="00B811CC">
            <w:pPr>
              <w:tabs>
                <w:tab w:val="left" w:pos="213"/>
              </w:tabs>
              <w:rPr>
                <w:rFonts w:cstheme="minorHAnsi"/>
                <w:noProof/>
              </w:rPr>
            </w:pPr>
          </w:p>
        </w:tc>
        <w:tc>
          <w:tcPr>
            <w:tcW w:w="738" w:type="dxa"/>
            <w:vAlign w:val="center"/>
          </w:tcPr>
          <w:p w14:paraId="62A479CE" w14:textId="77777777" w:rsidR="00FE4E5A" w:rsidRPr="00B1522E" w:rsidRDefault="00FE4E5A" w:rsidP="00B811CC">
            <w:pPr>
              <w:tabs>
                <w:tab w:val="decimal" w:pos="266"/>
                <w:tab w:val="decimal" w:pos="318"/>
              </w:tabs>
              <w:rPr>
                <w:rFonts w:cstheme="minorHAnsi"/>
                <w:noProof/>
              </w:rPr>
            </w:pPr>
          </w:p>
        </w:tc>
        <w:tc>
          <w:tcPr>
            <w:tcW w:w="709" w:type="dxa"/>
            <w:vAlign w:val="center"/>
          </w:tcPr>
          <w:p w14:paraId="5AE1BED5" w14:textId="77777777" w:rsidR="00FE4E5A" w:rsidRPr="00B1522E" w:rsidRDefault="00FE4E5A" w:rsidP="00B811CC">
            <w:pPr>
              <w:tabs>
                <w:tab w:val="decimal" w:pos="266"/>
                <w:tab w:val="decimal" w:pos="318"/>
              </w:tabs>
              <w:rPr>
                <w:rFonts w:cstheme="minorHAnsi"/>
                <w:noProof/>
              </w:rPr>
            </w:pPr>
          </w:p>
        </w:tc>
        <w:tc>
          <w:tcPr>
            <w:tcW w:w="662" w:type="dxa"/>
          </w:tcPr>
          <w:p w14:paraId="2162D9E8" w14:textId="77777777" w:rsidR="00FE4E5A" w:rsidRPr="00B1522E" w:rsidRDefault="00FE4E5A" w:rsidP="00B811CC">
            <w:pPr>
              <w:tabs>
                <w:tab w:val="decimal" w:pos="266"/>
                <w:tab w:val="decimal" w:pos="318"/>
              </w:tabs>
              <w:rPr>
                <w:rFonts w:cstheme="minorHAnsi"/>
                <w:noProof/>
              </w:rPr>
            </w:pPr>
          </w:p>
        </w:tc>
      </w:tr>
      <w:tr w:rsidR="00E77769" w:rsidRPr="00B1522E" w14:paraId="4283A271" w14:textId="77777777" w:rsidTr="00B811CC">
        <w:trPr>
          <w:trHeight w:val="330"/>
        </w:trPr>
        <w:tc>
          <w:tcPr>
            <w:tcW w:w="3402" w:type="dxa"/>
          </w:tcPr>
          <w:p w14:paraId="211F866A" w14:textId="77777777" w:rsidR="00FE4E5A" w:rsidRPr="00B1522E" w:rsidRDefault="00FE4E5A" w:rsidP="00B64DC8">
            <w:pPr>
              <w:ind w:left="174" w:hanging="174"/>
              <w:rPr>
                <w:rFonts w:cstheme="minorHAnsi"/>
                <w:noProof/>
              </w:rPr>
            </w:pPr>
            <w:r w:rsidRPr="00B1522E">
              <w:rPr>
                <w:rFonts w:cstheme="minorHAnsi"/>
                <w:noProof/>
              </w:rPr>
              <w:t>Students’ sex</w:t>
            </w:r>
          </w:p>
        </w:tc>
        <w:tc>
          <w:tcPr>
            <w:tcW w:w="703" w:type="dxa"/>
            <w:vAlign w:val="center"/>
          </w:tcPr>
          <w:p w14:paraId="51745B6F" w14:textId="77777777" w:rsidR="00FE4E5A" w:rsidRPr="00B1522E" w:rsidRDefault="00FE4E5A" w:rsidP="00B811CC">
            <w:pPr>
              <w:tabs>
                <w:tab w:val="decimal" w:pos="176"/>
              </w:tabs>
              <w:jc w:val="center"/>
              <w:rPr>
                <w:rFonts w:cstheme="minorHAnsi"/>
                <w:noProof/>
              </w:rPr>
            </w:pPr>
            <w:r w:rsidRPr="00B1522E">
              <w:rPr>
                <w:rFonts w:cstheme="minorHAnsi"/>
                <w:noProof/>
              </w:rPr>
              <w:t>1.88</w:t>
            </w:r>
          </w:p>
        </w:tc>
        <w:tc>
          <w:tcPr>
            <w:tcW w:w="857" w:type="dxa"/>
            <w:vAlign w:val="center"/>
          </w:tcPr>
          <w:p w14:paraId="77E4A3BD" w14:textId="77777777" w:rsidR="00FE4E5A" w:rsidRPr="00B1522E" w:rsidRDefault="00FE4E5A" w:rsidP="00B811CC">
            <w:pPr>
              <w:tabs>
                <w:tab w:val="decimal" w:pos="185"/>
                <w:tab w:val="left" w:pos="327"/>
              </w:tabs>
              <w:jc w:val="center"/>
              <w:rPr>
                <w:rFonts w:cstheme="minorHAnsi"/>
                <w:noProof/>
              </w:rPr>
            </w:pPr>
            <w:r w:rsidRPr="00B1522E">
              <w:rPr>
                <w:rFonts w:cstheme="minorHAnsi"/>
                <w:noProof/>
              </w:rPr>
              <w:t>.18*</w:t>
            </w:r>
          </w:p>
        </w:tc>
        <w:tc>
          <w:tcPr>
            <w:tcW w:w="567" w:type="dxa"/>
            <w:vAlign w:val="center"/>
          </w:tcPr>
          <w:p w14:paraId="196A7183" w14:textId="77777777" w:rsidR="00FE4E5A" w:rsidRPr="00B1522E" w:rsidRDefault="00FE4E5A" w:rsidP="00B811CC">
            <w:pPr>
              <w:tabs>
                <w:tab w:val="decimal" w:pos="266"/>
                <w:tab w:val="decimal" w:pos="318"/>
              </w:tabs>
              <w:jc w:val="center"/>
              <w:rPr>
                <w:rFonts w:cstheme="minorHAnsi"/>
                <w:noProof/>
              </w:rPr>
            </w:pPr>
            <w:r w:rsidRPr="00B1522E">
              <w:rPr>
                <w:rFonts w:cstheme="minorHAnsi"/>
                <w:noProof/>
              </w:rPr>
              <w:t>.76</w:t>
            </w:r>
          </w:p>
        </w:tc>
        <w:tc>
          <w:tcPr>
            <w:tcW w:w="685" w:type="dxa"/>
            <w:vAlign w:val="center"/>
          </w:tcPr>
          <w:p w14:paraId="23917F24" w14:textId="77777777" w:rsidR="00FE4E5A" w:rsidRPr="00B1522E" w:rsidRDefault="00FE4E5A" w:rsidP="00B811CC">
            <w:pPr>
              <w:tabs>
                <w:tab w:val="left" w:pos="213"/>
                <w:tab w:val="decimal" w:pos="620"/>
              </w:tabs>
              <w:jc w:val="center"/>
              <w:rPr>
                <w:rFonts w:cstheme="minorHAnsi"/>
                <w:noProof/>
              </w:rPr>
            </w:pPr>
            <w:r w:rsidRPr="00B1522E">
              <w:rPr>
                <w:rFonts w:cstheme="minorHAnsi"/>
                <w:noProof/>
              </w:rPr>
              <w:t>.15</w:t>
            </w:r>
          </w:p>
        </w:tc>
        <w:tc>
          <w:tcPr>
            <w:tcW w:w="703" w:type="dxa"/>
            <w:vAlign w:val="center"/>
          </w:tcPr>
          <w:p w14:paraId="1FC745AC" w14:textId="77777777" w:rsidR="00FE4E5A" w:rsidRPr="00B1522E" w:rsidRDefault="00FE4E5A" w:rsidP="00B811CC">
            <w:pPr>
              <w:tabs>
                <w:tab w:val="left" w:pos="213"/>
                <w:tab w:val="decimal" w:pos="620"/>
              </w:tabs>
              <w:jc w:val="center"/>
              <w:rPr>
                <w:rFonts w:cstheme="minorHAnsi"/>
                <w:noProof/>
              </w:rPr>
            </w:pPr>
            <w:r w:rsidRPr="00B1522E">
              <w:rPr>
                <w:rFonts w:cstheme="minorHAnsi"/>
                <w:noProof/>
              </w:rPr>
              <w:t>1.81</w:t>
            </w:r>
          </w:p>
        </w:tc>
        <w:tc>
          <w:tcPr>
            <w:tcW w:w="738" w:type="dxa"/>
            <w:vAlign w:val="center"/>
          </w:tcPr>
          <w:p w14:paraId="3AC896CD" w14:textId="77777777" w:rsidR="00FE4E5A" w:rsidRPr="00B1522E" w:rsidRDefault="00FE4E5A" w:rsidP="00B811CC">
            <w:pPr>
              <w:tabs>
                <w:tab w:val="decimal" w:pos="64"/>
              </w:tabs>
              <w:jc w:val="center"/>
              <w:rPr>
                <w:rFonts w:cstheme="minorHAnsi"/>
                <w:noProof/>
              </w:rPr>
            </w:pPr>
            <w:r w:rsidRPr="00B1522E">
              <w:rPr>
                <w:rFonts w:cstheme="minorHAnsi"/>
                <w:noProof/>
              </w:rPr>
              <w:t>.18*</w:t>
            </w:r>
          </w:p>
        </w:tc>
        <w:tc>
          <w:tcPr>
            <w:tcW w:w="709" w:type="dxa"/>
            <w:vAlign w:val="center"/>
          </w:tcPr>
          <w:p w14:paraId="3C4DFC9B" w14:textId="77777777" w:rsidR="00FE4E5A" w:rsidRPr="00B1522E" w:rsidRDefault="00FE4E5A" w:rsidP="00B811CC">
            <w:pPr>
              <w:tabs>
                <w:tab w:val="decimal" w:pos="241"/>
                <w:tab w:val="decimal" w:pos="318"/>
              </w:tabs>
              <w:jc w:val="center"/>
              <w:rPr>
                <w:rFonts w:cstheme="minorHAnsi"/>
                <w:noProof/>
              </w:rPr>
            </w:pPr>
            <w:r w:rsidRPr="00B1522E">
              <w:rPr>
                <w:rFonts w:cstheme="minorHAnsi"/>
                <w:noProof/>
              </w:rPr>
              <w:t>.76</w:t>
            </w:r>
          </w:p>
        </w:tc>
        <w:tc>
          <w:tcPr>
            <w:tcW w:w="662" w:type="dxa"/>
            <w:vAlign w:val="center"/>
          </w:tcPr>
          <w:p w14:paraId="16E0A0C0" w14:textId="77777777" w:rsidR="00FE4E5A" w:rsidRPr="00B1522E" w:rsidRDefault="00FE4E5A" w:rsidP="00B811CC">
            <w:pPr>
              <w:tabs>
                <w:tab w:val="decimal" w:pos="241"/>
                <w:tab w:val="decimal" w:pos="318"/>
              </w:tabs>
              <w:jc w:val="center"/>
              <w:rPr>
                <w:rFonts w:cstheme="minorHAnsi"/>
                <w:noProof/>
              </w:rPr>
            </w:pPr>
            <w:r w:rsidRPr="00B1522E">
              <w:rPr>
                <w:rFonts w:cstheme="minorHAnsi"/>
                <w:noProof/>
              </w:rPr>
              <w:t>.21</w:t>
            </w:r>
          </w:p>
        </w:tc>
      </w:tr>
      <w:tr w:rsidR="00E77769" w:rsidRPr="00B1522E" w14:paraId="552AF561" w14:textId="77777777" w:rsidTr="00B811CC">
        <w:trPr>
          <w:trHeight w:val="330"/>
        </w:trPr>
        <w:tc>
          <w:tcPr>
            <w:tcW w:w="3402" w:type="dxa"/>
            <w:tcBorders>
              <w:bottom w:val="single" w:sz="4" w:space="0" w:color="auto"/>
            </w:tcBorders>
          </w:tcPr>
          <w:p w14:paraId="4EFBA7D6" w14:textId="77777777" w:rsidR="00FE4E5A" w:rsidRPr="00B1522E" w:rsidRDefault="00FE4E5A" w:rsidP="00B64DC8">
            <w:pPr>
              <w:ind w:left="174" w:hanging="174"/>
              <w:rPr>
                <w:rFonts w:cstheme="minorHAnsi"/>
                <w:noProof/>
              </w:rPr>
            </w:pPr>
            <w:r w:rsidRPr="00B1522E">
              <w:rPr>
                <w:rFonts w:cstheme="minorHAnsi"/>
                <w:noProof/>
              </w:rPr>
              <w:t>Personal attitude towards reducing unhealthy snacking</w:t>
            </w:r>
          </w:p>
        </w:tc>
        <w:tc>
          <w:tcPr>
            <w:tcW w:w="703" w:type="dxa"/>
            <w:tcBorders>
              <w:bottom w:val="single" w:sz="4" w:space="0" w:color="auto"/>
            </w:tcBorders>
            <w:vAlign w:val="center"/>
          </w:tcPr>
          <w:p w14:paraId="27628DF7" w14:textId="77777777" w:rsidR="00FE4E5A" w:rsidRPr="00B1522E" w:rsidRDefault="00FE4E5A" w:rsidP="00B811CC">
            <w:pPr>
              <w:tabs>
                <w:tab w:val="decimal" w:pos="176"/>
              </w:tabs>
              <w:jc w:val="center"/>
              <w:rPr>
                <w:rFonts w:cstheme="minorHAnsi"/>
                <w:noProof/>
              </w:rPr>
            </w:pPr>
            <w:r w:rsidRPr="00B1522E">
              <w:rPr>
                <w:rFonts w:cstheme="minorHAnsi"/>
                <w:noProof/>
              </w:rPr>
              <w:t>.68</w:t>
            </w:r>
          </w:p>
        </w:tc>
        <w:tc>
          <w:tcPr>
            <w:tcW w:w="857" w:type="dxa"/>
            <w:tcBorders>
              <w:bottom w:val="single" w:sz="4" w:space="0" w:color="auto"/>
            </w:tcBorders>
            <w:vAlign w:val="center"/>
          </w:tcPr>
          <w:p w14:paraId="0AED12AD" w14:textId="77777777" w:rsidR="00FE4E5A" w:rsidRPr="00B1522E" w:rsidRDefault="00FE4E5A" w:rsidP="00B811CC">
            <w:pPr>
              <w:tabs>
                <w:tab w:val="decimal" w:pos="326"/>
              </w:tabs>
              <w:jc w:val="center"/>
              <w:rPr>
                <w:rFonts w:cstheme="minorHAnsi"/>
                <w:noProof/>
              </w:rPr>
            </w:pPr>
            <w:r w:rsidRPr="00B1522E">
              <w:rPr>
                <w:rFonts w:cstheme="minorHAnsi"/>
                <w:noProof/>
              </w:rPr>
              <w:t>.33**</w:t>
            </w:r>
          </w:p>
        </w:tc>
        <w:tc>
          <w:tcPr>
            <w:tcW w:w="567" w:type="dxa"/>
            <w:tcBorders>
              <w:bottom w:val="single" w:sz="4" w:space="0" w:color="auto"/>
            </w:tcBorders>
            <w:vAlign w:val="center"/>
          </w:tcPr>
          <w:p w14:paraId="43F23770" w14:textId="77777777" w:rsidR="00FE4E5A" w:rsidRPr="00B1522E" w:rsidRDefault="00FE4E5A" w:rsidP="00B811CC">
            <w:pPr>
              <w:tabs>
                <w:tab w:val="decimal" w:pos="266"/>
                <w:tab w:val="decimal" w:pos="318"/>
              </w:tabs>
              <w:jc w:val="center"/>
              <w:rPr>
                <w:rFonts w:cstheme="minorHAnsi"/>
                <w:noProof/>
              </w:rPr>
            </w:pPr>
            <w:r w:rsidRPr="00B1522E">
              <w:rPr>
                <w:rFonts w:cstheme="minorHAnsi"/>
                <w:noProof/>
              </w:rPr>
              <w:t>.15</w:t>
            </w:r>
          </w:p>
        </w:tc>
        <w:tc>
          <w:tcPr>
            <w:tcW w:w="685" w:type="dxa"/>
            <w:tcBorders>
              <w:bottom w:val="single" w:sz="4" w:space="0" w:color="auto"/>
            </w:tcBorders>
            <w:vAlign w:val="center"/>
          </w:tcPr>
          <w:p w14:paraId="3E458D31" w14:textId="77777777" w:rsidR="00FE4E5A" w:rsidRPr="00B1522E" w:rsidRDefault="00FE4E5A" w:rsidP="00B811CC">
            <w:pPr>
              <w:tabs>
                <w:tab w:val="left" w:pos="213"/>
                <w:tab w:val="decimal" w:pos="620"/>
              </w:tabs>
              <w:jc w:val="center"/>
              <w:rPr>
                <w:rFonts w:cstheme="minorHAnsi"/>
                <w:noProof/>
              </w:rPr>
            </w:pPr>
          </w:p>
        </w:tc>
        <w:tc>
          <w:tcPr>
            <w:tcW w:w="703" w:type="dxa"/>
            <w:tcBorders>
              <w:bottom w:val="single" w:sz="4" w:space="0" w:color="auto"/>
            </w:tcBorders>
            <w:vAlign w:val="center"/>
          </w:tcPr>
          <w:p w14:paraId="0D4671E9" w14:textId="77777777" w:rsidR="00FE4E5A" w:rsidRPr="00B1522E" w:rsidRDefault="00FE4E5A" w:rsidP="00B811CC">
            <w:pPr>
              <w:tabs>
                <w:tab w:val="left" w:pos="213"/>
                <w:tab w:val="decimal" w:pos="620"/>
              </w:tabs>
              <w:jc w:val="center"/>
              <w:rPr>
                <w:rFonts w:cstheme="minorHAnsi"/>
                <w:noProof/>
              </w:rPr>
            </w:pPr>
            <w:r w:rsidRPr="00B1522E">
              <w:rPr>
                <w:rFonts w:cstheme="minorHAnsi"/>
                <w:noProof/>
              </w:rPr>
              <w:t>.44</w:t>
            </w:r>
          </w:p>
        </w:tc>
        <w:tc>
          <w:tcPr>
            <w:tcW w:w="738" w:type="dxa"/>
            <w:tcBorders>
              <w:bottom w:val="single" w:sz="4" w:space="0" w:color="auto"/>
            </w:tcBorders>
            <w:vAlign w:val="center"/>
          </w:tcPr>
          <w:p w14:paraId="628CBAB4" w14:textId="77777777" w:rsidR="00FE4E5A" w:rsidRPr="00B1522E" w:rsidRDefault="00FE4E5A" w:rsidP="00B811CC">
            <w:pPr>
              <w:tabs>
                <w:tab w:val="decimal" w:pos="64"/>
              </w:tabs>
              <w:jc w:val="center"/>
              <w:rPr>
                <w:rFonts w:cstheme="minorHAnsi"/>
                <w:noProof/>
              </w:rPr>
            </w:pPr>
            <w:r w:rsidRPr="00B1522E">
              <w:rPr>
                <w:rFonts w:cstheme="minorHAnsi"/>
                <w:noProof/>
              </w:rPr>
              <w:t>.21*</w:t>
            </w:r>
          </w:p>
        </w:tc>
        <w:tc>
          <w:tcPr>
            <w:tcW w:w="709" w:type="dxa"/>
            <w:tcBorders>
              <w:bottom w:val="single" w:sz="4" w:space="0" w:color="auto"/>
            </w:tcBorders>
            <w:vAlign w:val="center"/>
          </w:tcPr>
          <w:p w14:paraId="4BE37B09" w14:textId="77777777" w:rsidR="00FE4E5A" w:rsidRPr="00B1522E" w:rsidRDefault="00FE4E5A" w:rsidP="00B811CC">
            <w:pPr>
              <w:tabs>
                <w:tab w:val="decimal" w:pos="241"/>
                <w:tab w:val="decimal" w:pos="318"/>
              </w:tabs>
              <w:jc w:val="center"/>
              <w:rPr>
                <w:rFonts w:cstheme="minorHAnsi"/>
                <w:noProof/>
              </w:rPr>
            </w:pPr>
            <w:r w:rsidRPr="00B1522E">
              <w:rPr>
                <w:rFonts w:cstheme="minorHAnsi"/>
                <w:noProof/>
              </w:rPr>
              <w:t>.17</w:t>
            </w:r>
          </w:p>
        </w:tc>
        <w:tc>
          <w:tcPr>
            <w:tcW w:w="662" w:type="dxa"/>
            <w:tcBorders>
              <w:bottom w:val="single" w:sz="4" w:space="0" w:color="auto"/>
            </w:tcBorders>
            <w:vAlign w:val="center"/>
          </w:tcPr>
          <w:p w14:paraId="70F3D478" w14:textId="77777777" w:rsidR="00FE4E5A" w:rsidRPr="00B1522E" w:rsidRDefault="00FE4E5A" w:rsidP="00B811CC">
            <w:pPr>
              <w:tabs>
                <w:tab w:val="decimal" w:pos="241"/>
                <w:tab w:val="decimal" w:pos="318"/>
              </w:tabs>
              <w:jc w:val="center"/>
              <w:rPr>
                <w:rFonts w:cstheme="minorHAnsi"/>
                <w:noProof/>
              </w:rPr>
            </w:pPr>
          </w:p>
        </w:tc>
      </w:tr>
      <w:tr w:rsidR="00E77769" w:rsidRPr="00B1522E" w14:paraId="1E789F3F" w14:textId="77777777" w:rsidTr="00B811CC">
        <w:trPr>
          <w:trHeight w:val="343"/>
        </w:trPr>
        <w:tc>
          <w:tcPr>
            <w:tcW w:w="3402" w:type="dxa"/>
            <w:tcBorders>
              <w:top w:val="single" w:sz="4" w:space="0" w:color="auto"/>
            </w:tcBorders>
          </w:tcPr>
          <w:p w14:paraId="6C1478C1" w14:textId="77777777" w:rsidR="00FE4E5A" w:rsidRPr="00B1522E" w:rsidRDefault="00FE4E5A" w:rsidP="00B811CC">
            <w:pPr>
              <w:rPr>
                <w:rFonts w:cstheme="minorHAnsi"/>
                <w:i/>
                <w:iCs/>
                <w:noProof/>
              </w:rPr>
            </w:pPr>
            <w:r w:rsidRPr="00B1522E">
              <w:rPr>
                <w:rFonts w:cstheme="minorHAnsi"/>
                <w:i/>
                <w:iCs/>
                <w:noProof/>
              </w:rPr>
              <w:t>Block 2</w:t>
            </w:r>
          </w:p>
        </w:tc>
        <w:tc>
          <w:tcPr>
            <w:tcW w:w="703" w:type="dxa"/>
            <w:tcBorders>
              <w:top w:val="single" w:sz="4" w:space="0" w:color="auto"/>
            </w:tcBorders>
            <w:vAlign w:val="center"/>
          </w:tcPr>
          <w:p w14:paraId="6869813E" w14:textId="77777777" w:rsidR="00FE4E5A" w:rsidRPr="00B1522E" w:rsidRDefault="00FE4E5A" w:rsidP="00B811CC">
            <w:pPr>
              <w:tabs>
                <w:tab w:val="decimal" w:pos="318"/>
              </w:tabs>
              <w:jc w:val="center"/>
              <w:rPr>
                <w:rFonts w:cstheme="minorHAnsi"/>
                <w:noProof/>
              </w:rPr>
            </w:pPr>
          </w:p>
        </w:tc>
        <w:tc>
          <w:tcPr>
            <w:tcW w:w="857" w:type="dxa"/>
            <w:tcBorders>
              <w:top w:val="single" w:sz="4" w:space="0" w:color="auto"/>
            </w:tcBorders>
            <w:vAlign w:val="center"/>
          </w:tcPr>
          <w:p w14:paraId="32900E8D" w14:textId="77777777" w:rsidR="00FE4E5A" w:rsidRPr="00B1522E" w:rsidRDefault="00FE4E5A" w:rsidP="00B811CC">
            <w:pPr>
              <w:tabs>
                <w:tab w:val="decimal" w:pos="266"/>
                <w:tab w:val="left" w:pos="327"/>
              </w:tabs>
              <w:jc w:val="center"/>
              <w:rPr>
                <w:rFonts w:cstheme="minorHAnsi"/>
                <w:noProof/>
              </w:rPr>
            </w:pPr>
          </w:p>
        </w:tc>
        <w:tc>
          <w:tcPr>
            <w:tcW w:w="567" w:type="dxa"/>
            <w:tcBorders>
              <w:top w:val="single" w:sz="4" w:space="0" w:color="auto"/>
            </w:tcBorders>
            <w:vAlign w:val="center"/>
          </w:tcPr>
          <w:p w14:paraId="5B8B07B2" w14:textId="77777777" w:rsidR="00FE4E5A" w:rsidRPr="00B1522E" w:rsidRDefault="00FE4E5A" w:rsidP="00B811CC">
            <w:pPr>
              <w:tabs>
                <w:tab w:val="decimal" w:pos="266"/>
                <w:tab w:val="decimal" w:pos="318"/>
              </w:tabs>
              <w:jc w:val="center"/>
              <w:rPr>
                <w:rFonts w:cstheme="minorHAnsi"/>
                <w:noProof/>
              </w:rPr>
            </w:pPr>
          </w:p>
        </w:tc>
        <w:tc>
          <w:tcPr>
            <w:tcW w:w="685" w:type="dxa"/>
            <w:tcBorders>
              <w:top w:val="single" w:sz="4" w:space="0" w:color="auto"/>
            </w:tcBorders>
            <w:vAlign w:val="center"/>
          </w:tcPr>
          <w:p w14:paraId="7FB314A6" w14:textId="77777777" w:rsidR="00FE4E5A" w:rsidRPr="00B1522E" w:rsidRDefault="00FE4E5A" w:rsidP="00B811CC">
            <w:pPr>
              <w:tabs>
                <w:tab w:val="left" w:pos="213"/>
                <w:tab w:val="decimal" w:pos="620"/>
              </w:tabs>
              <w:rPr>
                <w:rFonts w:cstheme="minorHAnsi"/>
                <w:noProof/>
              </w:rPr>
            </w:pPr>
          </w:p>
        </w:tc>
        <w:tc>
          <w:tcPr>
            <w:tcW w:w="703" w:type="dxa"/>
            <w:tcBorders>
              <w:top w:val="single" w:sz="4" w:space="0" w:color="auto"/>
            </w:tcBorders>
            <w:vAlign w:val="center"/>
          </w:tcPr>
          <w:p w14:paraId="142C0E1B" w14:textId="77777777" w:rsidR="00FE4E5A" w:rsidRPr="00B1522E" w:rsidRDefault="00FE4E5A" w:rsidP="00B811CC">
            <w:pPr>
              <w:tabs>
                <w:tab w:val="left" w:pos="213"/>
                <w:tab w:val="decimal" w:pos="620"/>
              </w:tabs>
              <w:jc w:val="center"/>
              <w:rPr>
                <w:rFonts w:cstheme="minorHAnsi"/>
                <w:noProof/>
              </w:rPr>
            </w:pPr>
          </w:p>
        </w:tc>
        <w:tc>
          <w:tcPr>
            <w:tcW w:w="738" w:type="dxa"/>
            <w:tcBorders>
              <w:top w:val="single" w:sz="4" w:space="0" w:color="auto"/>
            </w:tcBorders>
            <w:vAlign w:val="center"/>
          </w:tcPr>
          <w:p w14:paraId="7925E790" w14:textId="77777777" w:rsidR="00FE4E5A" w:rsidRPr="00B1522E" w:rsidRDefault="00FE4E5A" w:rsidP="00B811CC">
            <w:pPr>
              <w:tabs>
                <w:tab w:val="decimal" w:pos="64"/>
              </w:tabs>
              <w:jc w:val="center"/>
              <w:rPr>
                <w:rFonts w:cstheme="minorHAnsi"/>
                <w:noProof/>
              </w:rPr>
            </w:pPr>
          </w:p>
        </w:tc>
        <w:tc>
          <w:tcPr>
            <w:tcW w:w="709" w:type="dxa"/>
            <w:tcBorders>
              <w:top w:val="single" w:sz="4" w:space="0" w:color="auto"/>
            </w:tcBorders>
            <w:vAlign w:val="center"/>
          </w:tcPr>
          <w:p w14:paraId="3E3183A3" w14:textId="77777777" w:rsidR="00FE4E5A" w:rsidRPr="00B1522E" w:rsidRDefault="00FE4E5A" w:rsidP="00B811CC">
            <w:pPr>
              <w:tabs>
                <w:tab w:val="decimal" w:pos="241"/>
                <w:tab w:val="decimal" w:pos="318"/>
              </w:tabs>
              <w:jc w:val="center"/>
              <w:rPr>
                <w:rFonts w:cstheme="minorHAnsi"/>
                <w:noProof/>
              </w:rPr>
            </w:pPr>
          </w:p>
        </w:tc>
        <w:tc>
          <w:tcPr>
            <w:tcW w:w="662" w:type="dxa"/>
            <w:tcBorders>
              <w:top w:val="single" w:sz="4" w:space="0" w:color="auto"/>
            </w:tcBorders>
            <w:vAlign w:val="center"/>
          </w:tcPr>
          <w:p w14:paraId="0C93D5AA" w14:textId="77777777" w:rsidR="00FE4E5A" w:rsidRPr="00B1522E" w:rsidRDefault="00FE4E5A" w:rsidP="00B811CC">
            <w:pPr>
              <w:tabs>
                <w:tab w:val="decimal" w:pos="241"/>
                <w:tab w:val="decimal" w:pos="318"/>
              </w:tabs>
              <w:jc w:val="center"/>
              <w:rPr>
                <w:rFonts w:cstheme="minorHAnsi"/>
                <w:noProof/>
              </w:rPr>
            </w:pPr>
          </w:p>
        </w:tc>
      </w:tr>
      <w:tr w:rsidR="00E77769" w:rsidRPr="00B1522E" w14:paraId="5386EBBB" w14:textId="77777777" w:rsidTr="00B811CC">
        <w:trPr>
          <w:trHeight w:val="537"/>
        </w:trPr>
        <w:tc>
          <w:tcPr>
            <w:tcW w:w="3402" w:type="dxa"/>
          </w:tcPr>
          <w:p w14:paraId="1481E81D" w14:textId="77777777" w:rsidR="00FE4E5A" w:rsidRPr="00B1522E" w:rsidRDefault="00FE4E5A" w:rsidP="00B64DC8">
            <w:pPr>
              <w:ind w:left="174" w:hanging="142"/>
              <w:rPr>
                <w:rFonts w:cstheme="minorHAnsi"/>
                <w:noProof/>
                <w:vertAlign w:val="superscript"/>
              </w:rPr>
            </w:pPr>
            <w:r w:rsidRPr="00B1522E">
              <w:rPr>
                <w:rFonts w:cstheme="minorHAnsi"/>
                <w:noProof/>
              </w:rPr>
              <w:t>Misperceptions of peers’ unhealthy snacking behaviour</w:t>
            </w:r>
            <w:r w:rsidRPr="00B1522E">
              <w:rPr>
                <w:rFonts w:cstheme="minorHAnsi"/>
                <w:noProof/>
                <w:vertAlign w:val="superscript"/>
              </w:rPr>
              <w:t>a</w:t>
            </w:r>
          </w:p>
        </w:tc>
        <w:tc>
          <w:tcPr>
            <w:tcW w:w="703" w:type="dxa"/>
            <w:vAlign w:val="center"/>
          </w:tcPr>
          <w:p w14:paraId="56B26B2A" w14:textId="77777777" w:rsidR="00FE4E5A" w:rsidRPr="00B1522E" w:rsidRDefault="00FE4E5A" w:rsidP="00B811CC">
            <w:pPr>
              <w:tabs>
                <w:tab w:val="decimal" w:pos="318"/>
              </w:tabs>
              <w:jc w:val="center"/>
              <w:rPr>
                <w:rFonts w:cstheme="minorHAnsi"/>
                <w:noProof/>
              </w:rPr>
            </w:pPr>
          </w:p>
        </w:tc>
        <w:tc>
          <w:tcPr>
            <w:tcW w:w="857" w:type="dxa"/>
            <w:vAlign w:val="center"/>
          </w:tcPr>
          <w:p w14:paraId="15C600CE" w14:textId="77777777" w:rsidR="00FE4E5A" w:rsidRPr="00B1522E" w:rsidRDefault="00FE4E5A" w:rsidP="00B811CC">
            <w:pPr>
              <w:tabs>
                <w:tab w:val="decimal" w:pos="266"/>
                <w:tab w:val="left" w:pos="327"/>
              </w:tabs>
              <w:jc w:val="center"/>
              <w:rPr>
                <w:rFonts w:cstheme="minorHAnsi"/>
                <w:noProof/>
              </w:rPr>
            </w:pPr>
          </w:p>
        </w:tc>
        <w:tc>
          <w:tcPr>
            <w:tcW w:w="567" w:type="dxa"/>
            <w:vAlign w:val="center"/>
          </w:tcPr>
          <w:p w14:paraId="68198A71" w14:textId="77777777" w:rsidR="00FE4E5A" w:rsidRPr="00B1522E" w:rsidRDefault="00FE4E5A" w:rsidP="00B811CC">
            <w:pPr>
              <w:tabs>
                <w:tab w:val="decimal" w:pos="266"/>
                <w:tab w:val="decimal" w:pos="318"/>
              </w:tabs>
              <w:jc w:val="center"/>
              <w:rPr>
                <w:rFonts w:cstheme="minorHAnsi"/>
                <w:noProof/>
              </w:rPr>
            </w:pPr>
          </w:p>
        </w:tc>
        <w:tc>
          <w:tcPr>
            <w:tcW w:w="685" w:type="dxa"/>
            <w:vAlign w:val="center"/>
          </w:tcPr>
          <w:p w14:paraId="36E10650" w14:textId="77777777" w:rsidR="00FE4E5A" w:rsidRPr="00B1522E" w:rsidRDefault="00FE4E5A" w:rsidP="00B811CC">
            <w:pPr>
              <w:tabs>
                <w:tab w:val="left" w:pos="213"/>
                <w:tab w:val="decimal" w:pos="266"/>
              </w:tabs>
              <w:jc w:val="center"/>
              <w:rPr>
                <w:rFonts w:cstheme="minorHAnsi"/>
                <w:noProof/>
              </w:rPr>
            </w:pPr>
          </w:p>
        </w:tc>
        <w:tc>
          <w:tcPr>
            <w:tcW w:w="703" w:type="dxa"/>
            <w:vAlign w:val="center"/>
          </w:tcPr>
          <w:p w14:paraId="71BC0F2A" w14:textId="77777777" w:rsidR="00FE4E5A" w:rsidRPr="00B1522E" w:rsidRDefault="00FE4E5A" w:rsidP="00B811CC">
            <w:pPr>
              <w:tabs>
                <w:tab w:val="left" w:pos="213"/>
                <w:tab w:val="decimal" w:pos="266"/>
              </w:tabs>
              <w:jc w:val="center"/>
              <w:rPr>
                <w:rFonts w:cstheme="minorHAnsi"/>
                <w:noProof/>
              </w:rPr>
            </w:pPr>
            <w:r w:rsidRPr="00B1522E">
              <w:rPr>
                <w:rFonts w:cstheme="minorHAnsi"/>
                <w:noProof/>
              </w:rPr>
              <w:t>.00</w:t>
            </w:r>
          </w:p>
        </w:tc>
        <w:tc>
          <w:tcPr>
            <w:tcW w:w="738" w:type="dxa"/>
            <w:vAlign w:val="center"/>
          </w:tcPr>
          <w:p w14:paraId="569EB1DF" w14:textId="77777777" w:rsidR="00FE4E5A" w:rsidRPr="00B1522E" w:rsidRDefault="00FE4E5A" w:rsidP="00B811CC">
            <w:pPr>
              <w:tabs>
                <w:tab w:val="decimal" w:pos="64"/>
              </w:tabs>
              <w:jc w:val="center"/>
              <w:rPr>
                <w:rFonts w:cstheme="minorHAnsi"/>
                <w:noProof/>
              </w:rPr>
            </w:pPr>
            <w:r w:rsidRPr="00B1522E">
              <w:rPr>
                <w:rFonts w:cstheme="minorHAnsi"/>
                <w:noProof/>
              </w:rPr>
              <w:t>.00</w:t>
            </w:r>
          </w:p>
        </w:tc>
        <w:tc>
          <w:tcPr>
            <w:tcW w:w="709" w:type="dxa"/>
            <w:vAlign w:val="center"/>
          </w:tcPr>
          <w:p w14:paraId="211A9C58" w14:textId="77777777" w:rsidR="00FE4E5A" w:rsidRPr="00B1522E" w:rsidRDefault="00FE4E5A" w:rsidP="00B811CC">
            <w:pPr>
              <w:tabs>
                <w:tab w:val="decimal" w:pos="241"/>
                <w:tab w:val="decimal" w:pos="318"/>
              </w:tabs>
              <w:jc w:val="center"/>
              <w:rPr>
                <w:rFonts w:cstheme="minorHAnsi"/>
                <w:noProof/>
              </w:rPr>
            </w:pPr>
            <w:r w:rsidRPr="00B1522E">
              <w:rPr>
                <w:rFonts w:cstheme="minorHAnsi"/>
                <w:noProof/>
              </w:rPr>
              <w:t>.01</w:t>
            </w:r>
          </w:p>
        </w:tc>
        <w:tc>
          <w:tcPr>
            <w:tcW w:w="662" w:type="dxa"/>
            <w:vAlign w:val="center"/>
          </w:tcPr>
          <w:p w14:paraId="14EC97C4" w14:textId="77777777" w:rsidR="00FE4E5A" w:rsidRPr="00B1522E" w:rsidRDefault="00FE4E5A" w:rsidP="00B811CC">
            <w:pPr>
              <w:tabs>
                <w:tab w:val="decimal" w:pos="241"/>
                <w:tab w:val="decimal" w:pos="318"/>
              </w:tabs>
              <w:jc w:val="center"/>
              <w:rPr>
                <w:rFonts w:cstheme="minorHAnsi"/>
                <w:noProof/>
              </w:rPr>
            </w:pPr>
          </w:p>
        </w:tc>
      </w:tr>
      <w:tr w:rsidR="00E77769" w:rsidRPr="00B1522E" w14:paraId="03C553B6" w14:textId="77777777" w:rsidTr="00B811CC">
        <w:trPr>
          <w:trHeight w:val="537"/>
        </w:trPr>
        <w:tc>
          <w:tcPr>
            <w:tcW w:w="3402" w:type="dxa"/>
            <w:tcBorders>
              <w:bottom w:val="single" w:sz="4" w:space="0" w:color="auto"/>
            </w:tcBorders>
          </w:tcPr>
          <w:p w14:paraId="7A0E413E" w14:textId="77777777" w:rsidR="00FE4E5A" w:rsidRPr="00B1522E" w:rsidRDefault="00FE4E5A" w:rsidP="00B64DC8">
            <w:pPr>
              <w:ind w:left="174" w:hanging="142"/>
              <w:rPr>
                <w:rFonts w:cstheme="minorHAnsi"/>
                <w:noProof/>
                <w:vertAlign w:val="superscript"/>
              </w:rPr>
            </w:pPr>
            <w:r w:rsidRPr="00B1522E">
              <w:rPr>
                <w:rFonts w:cstheme="minorHAnsi"/>
                <w:noProof/>
              </w:rPr>
              <w:t>Misperceptions of peers’ attitude towards reducing unhealthy snacking</w:t>
            </w:r>
            <w:r w:rsidRPr="00B1522E">
              <w:rPr>
                <w:rFonts w:cstheme="minorHAnsi"/>
                <w:noProof/>
                <w:vertAlign w:val="superscript"/>
              </w:rPr>
              <w:t>b</w:t>
            </w:r>
          </w:p>
        </w:tc>
        <w:tc>
          <w:tcPr>
            <w:tcW w:w="703" w:type="dxa"/>
            <w:tcBorders>
              <w:bottom w:val="single" w:sz="4" w:space="0" w:color="auto"/>
            </w:tcBorders>
            <w:vAlign w:val="center"/>
          </w:tcPr>
          <w:p w14:paraId="0FE9DF56" w14:textId="77777777" w:rsidR="00FE4E5A" w:rsidRPr="00B1522E" w:rsidRDefault="00FE4E5A" w:rsidP="00B811CC">
            <w:pPr>
              <w:tabs>
                <w:tab w:val="decimal" w:pos="318"/>
              </w:tabs>
              <w:jc w:val="center"/>
              <w:rPr>
                <w:rFonts w:cstheme="minorHAnsi"/>
                <w:noProof/>
              </w:rPr>
            </w:pPr>
          </w:p>
        </w:tc>
        <w:tc>
          <w:tcPr>
            <w:tcW w:w="857" w:type="dxa"/>
            <w:tcBorders>
              <w:bottom w:val="single" w:sz="4" w:space="0" w:color="auto"/>
            </w:tcBorders>
            <w:vAlign w:val="center"/>
          </w:tcPr>
          <w:p w14:paraId="1A29AACE" w14:textId="77777777" w:rsidR="00FE4E5A" w:rsidRPr="00B1522E" w:rsidRDefault="00FE4E5A" w:rsidP="00B811CC">
            <w:pPr>
              <w:tabs>
                <w:tab w:val="decimal" w:pos="266"/>
                <w:tab w:val="left" w:pos="327"/>
              </w:tabs>
              <w:jc w:val="center"/>
              <w:rPr>
                <w:rFonts w:cstheme="minorHAnsi"/>
                <w:noProof/>
              </w:rPr>
            </w:pPr>
          </w:p>
        </w:tc>
        <w:tc>
          <w:tcPr>
            <w:tcW w:w="567" w:type="dxa"/>
            <w:tcBorders>
              <w:bottom w:val="single" w:sz="4" w:space="0" w:color="auto"/>
            </w:tcBorders>
            <w:vAlign w:val="center"/>
          </w:tcPr>
          <w:p w14:paraId="4B8A5C07" w14:textId="77777777" w:rsidR="00FE4E5A" w:rsidRPr="00B1522E" w:rsidRDefault="00FE4E5A" w:rsidP="00B811CC">
            <w:pPr>
              <w:tabs>
                <w:tab w:val="decimal" w:pos="266"/>
                <w:tab w:val="decimal" w:pos="318"/>
              </w:tabs>
              <w:jc w:val="center"/>
              <w:rPr>
                <w:rFonts w:cstheme="minorHAnsi"/>
                <w:noProof/>
              </w:rPr>
            </w:pPr>
          </w:p>
        </w:tc>
        <w:tc>
          <w:tcPr>
            <w:tcW w:w="685" w:type="dxa"/>
            <w:tcBorders>
              <w:bottom w:val="single" w:sz="4" w:space="0" w:color="auto"/>
            </w:tcBorders>
            <w:vAlign w:val="center"/>
          </w:tcPr>
          <w:p w14:paraId="15F9656B" w14:textId="77777777" w:rsidR="00FE4E5A" w:rsidRPr="00B1522E" w:rsidRDefault="00FE4E5A" w:rsidP="00B811CC">
            <w:pPr>
              <w:tabs>
                <w:tab w:val="left" w:pos="213"/>
                <w:tab w:val="decimal" w:pos="266"/>
              </w:tabs>
              <w:jc w:val="center"/>
              <w:rPr>
                <w:rFonts w:cstheme="minorHAnsi"/>
                <w:noProof/>
              </w:rPr>
            </w:pPr>
          </w:p>
        </w:tc>
        <w:tc>
          <w:tcPr>
            <w:tcW w:w="703" w:type="dxa"/>
            <w:tcBorders>
              <w:bottom w:val="single" w:sz="4" w:space="0" w:color="auto"/>
            </w:tcBorders>
            <w:vAlign w:val="center"/>
          </w:tcPr>
          <w:p w14:paraId="1BB46A6D" w14:textId="77777777" w:rsidR="00FE4E5A" w:rsidRPr="00B1522E" w:rsidRDefault="00FE4E5A" w:rsidP="00B811CC">
            <w:pPr>
              <w:tabs>
                <w:tab w:val="left" w:pos="213"/>
                <w:tab w:val="decimal" w:pos="266"/>
              </w:tabs>
              <w:jc w:val="center"/>
              <w:rPr>
                <w:rFonts w:cstheme="minorHAnsi"/>
                <w:noProof/>
              </w:rPr>
            </w:pPr>
            <w:r w:rsidRPr="00B1522E">
              <w:rPr>
                <w:rFonts w:cstheme="minorHAnsi"/>
                <w:noProof/>
              </w:rPr>
              <w:t>.58</w:t>
            </w:r>
          </w:p>
        </w:tc>
        <w:tc>
          <w:tcPr>
            <w:tcW w:w="738" w:type="dxa"/>
            <w:tcBorders>
              <w:bottom w:val="single" w:sz="4" w:space="0" w:color="auto"/>
            </w:tcBorders>
            <w:vAlign w:val="center"/>
          </w:tcPr>
          <w:p w14:paraId="7363A60B" w14:textId="77777777" w:rsidR="00FE4E5A" w:rsidRPr="00B1522E" w:rsidRDefault="00FE4E5A" w:rsidP="00B811CC">
            <w:pPr>
              <w:keepNext/>
              <w:tabs>
                <w:tab w:val="decimal" w:pos="64"/>
              </w:tabs>
              <w:jc w:val="center"/>
              <w:rPr>
                <w:rFonts w:cstheme="minorHAnsi"/>
                <w:noProof/>
              </w:rPr>
            </w:pPr>
            <w:r w:rsidRPr="00B1522E">
              <w:rPr>
                <w:rFonts w:cstheme="minorHAnsi"/>
                <w:noProof/>
              </w:rPr>
              <w:t>.27*</w:t>
            </w:r>
          </w:p>
        </w:tc>
        <w:tc>
          <w:tcPr>
            <w:tcW w:w="709" w:type="dxa"/>
            <w:tcBorders>
              <w:bottom w:val="single" w:sz="4" w:space="0" w:color="auto"/>
            </w:tcBorders>
            <w:vAlign w:val="center"/>
          </w:tcPr>
          <w:p w14:paraId="50E5FB04" w14:textId="77777777" w:rsidR="00FE4E5A" w:rsidRPr="00B1522E" w:rsidRDefault="00FE4E5A" w:rsidP="00B811CC">
            <w:pPr>
              <w:keepNext/>
              <w:tabs>
                <w:tab w:val="decimal" w:pos="241"/>
                <w:tab w:val="decimal" w:pos="318"/>
              </w:tabs>
              <w:jc w:val="center"/>
              <w:rPr>
                <w:rFonts w:cstheme="minorHAnsi"/>
                <w:noProof/>
              </w:rPr>
            </w:pPr>
            <w:r w:rsidRPr="00B1522E">
              <w:rPr>
                <w:rFonts w:cstheme="minorHAnsi"/>
                <w:noProof/>
              </w:rPr>
              <w:t>.17</w:t>
            </w:r>
          </w:p>
        </w:tc>
        <w:tc>
          <w:tcPr>
            <w:tcW w:w="662" w:type="dxa"/>
            <w:tcBorders>
              <w:bottom w:val="single" w:sz="4" w:space="0" w:color="auto"/>
            </w:tcBorders>
            <w:vAlign w:val="center"/>
          </w:tcPr>
          <w:p w14:paraId="21DBAE95" w14:textId="77777777" w:rsidR="00FE4E5A" w:rsidRPr="00B1522E" w:rsidRDefault="00FE4E5A" w:rsidP="00B811CC">
            <w:pPr>
              <w:keepNext/>
              <w:tabs>
                <w:tab w:val="decimal" w:pos="241"/>
                <w:tab w:val="decimal" w:pos="318"/>
              </w:tabs>
              <w:jc w:val="center"/>
              <w:rPr>
                <w:rFonts w:cstheme="minorHAnsi"/>
                <w:noProof/>
              </w:rPr>
            </w:pPr>
          </w:p>
        </w:tc>
      </w:tr>
    </w:tbl>
    <w:p w14:paraId="7CC178D0"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r w:rsidRPr="00B1522E">
        <w:rPr>
          <w:rFonts w:cstheme="minorHAnsi"/>
          <w:noProof/>
          <w:vertAlign w:val="superscript"/>
        </w:rPr>
        <w:t>a</w:t>
      </w:r>
      <w:r w:rsidRPr="00B1522E">
        <w:rPr>
          <w:rFonts w:cstheme="minorHAnsi"/>
          <w:i/>
          <w:iCs/>
          <w:noProof/>
          <w:vertAlign w:val="superscript"/>
        </w:rPr>
        <w:t xml:space="preserve"> </w:t>
      </w:r>
      <w:r w:rsidRPr="00B1522E">
        <w:rPr>
          <w:rFonts w:cstheme="minorHAnsi"/>
          <w:i/>
          <w:iCs/>
          <w:noProof/>
        </w:rPr>
        <w:t>Misperception scores were calculated by subtracting the median of personal unhealthy snacking behaviour of the group from student’s normative perception (descriptive) of peers’ behaviour.</w:t>
      </w:r>
    </w:p>
    <w:p w14:paraId="2544AE30"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p>
    <w:p w14:paraId="56DB2D32"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r w:rsidRPr="00B1522E">
        <w:rPr>
          <w:rFonts w:cstheme="minorHAnsi"/>
          <w:i/>
          <w:iCs/>
          <w:noProof/>
          <w:vertAlign w:val="superscript"/>
        </w:rPr>
        <w:t>b</w:t>
      </w:r>
      <w:r w:rsidRPr="00B1522E">
        <w:rPr>
          <w:rFonts w:cstheme="minorHAnsi"/>
          <w:i/>
          <w:iCs/>
          <w:noProof/>
        </w:rPr>
        <w:t xml:space="preserve"> Misperception scores were calculated by subtracting the median of personal snacking attitude of the group from the student’s normative perception (injunctive) of peers’ snacking attitudes.</w:t>
      </w:r>
    </w:p>
    <w:p w14:paraId="3161B520"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p>
    <w:p w14:paraId="0C6E5DED"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r w:rsidRPr="00B1522E">
        <w:rPr>
          <w:rFonts w:cstheme="minorHAnsi"/>
          <w:i/>
          <w:iCs/>
          <w:noProof/>
        </w:rPr>
        <w:t>*p &lt; .05</w:t>
      </w:r>
    </w:p>
    <w:p w14:paraId="011603A6"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p>
    <w:p w14:paraId="4496B3C6" w14:textId="77777777" w:rsidR="004F47E4" w:rsidRPr="00B1522E" w:rsidRDefault="004F47E4" w:rsidP="002D280F">
      <w:pPr>
        <w:framePr w:h="2637" w:hRule="exact" w:wrap="auto" w:vAnchor="page" w:hAnchor="page" w:x="1441" w:y="10206"/>
        <w:spacing w:after="0" w:line="240" w:lineRule="auto"/>
        <w:jc w:val="both"/>
        <w:rPr>
          <w:rFonts w:cstheme="minorHAnsi"/>
          <w:i/>
          <w:iCs/>
          <w:noProof/>
        </w:rPr>
      </w:pPr>
      <w:r w:rsidRPr="00B1522E">
        <w:rPr>
          <w:rFonts w:cstheme="minorHAnsi"/>
          <w:i/>
          <w:iCs/>
          <w:noProof/>
        </w:rPr>
        <w:t>**p &lt; .001</w:t>
      </w:r>
    </w:p>
    <w:p w14:paraId="5182921F" w14:textId="77777777" w:rsidR="00825CBF" w:rsidRPr="00B1522E" w:rsidRDefault="00825CBF" w:rsidP="00556711">
      <w:pPr>
        <w:spacing w:line="480" w:lineRule="auto"/>
      </w:pPr>
      <w:bookmarkStart w:id="219" w:name="_Toc84678956"/>
    </w:p>
    <w:p w14:paraId="18EEA48F" w14:textId="77777777" w:rsidR="00AA71FF" w:rsidRPr="00B1522E" w:rsidRDefault="00AA71FF" w:rsidP="00556711">
      <w:pPr>
        <w:spacing w:line="480" w:lineRule="auto"/>
      </w:pPr>
    </w:p>
    <w:p w14:paraId="61CCFBA7" w14:textId="11C3A070" w:rsidR="00730501" w:rsidRPr="00B1522E" w:rsidRDefault="00B932D9" w:rsidP="00556711">
      <w:pPr>
        <w:spacing w:line="480" w:lineRule="auto"/>
        <w:rPr>
          <w:b/>
          <w:bCs/>
        </w:rPr>
      </w:pPr>
      <w:r w:rsidRPr="00B1522E">
        <w:fldChar w:fldCharType="begin"/>
      </w:r>
      <w:r w:rsidRPr="00B1522E">
        <w:instrText xml:space="preserve"> TC  "</w:instrText>
      </w:r>
      <w:bookmarkStart w:id="220" w:name="_Toc97310494"/>
      <w:r w:rsidRPr="00B1522E">
        <w:instrText>7.5 Discussion</w:instrText>
      </w:r>
      <w:bookmarkEnd w:id="220"/>
      <w:r w:rsidRPr="00B1522E">
        <w:instrText xml:space="preserve"> " \f x\l 2 </w:instrText>
      </w:r>
      <w:r w:rsidRPr="00B1522E">
        <w:fldChar w:fldCharType="end"/>
      </w:r>
      <w:r w:rsidR="00E61CDA" w:rsidRPr="00B1522E">
        <w:rPr>
          <w:b/>
          <w:bCs/>
        </w:rPr>
        <w:t>7.</w:t>
      </w:r>
      <w:r w:rsidR="00010DC2" w:rsidRPr="00B1522E">
        <w:rPr>
          <w:b/>
          <w:bCs/>
        </w:rPr>
        <w:t>5</w:t>
      </w:r>
      <w:r w:rsidR="00E61CDA" w:rsidRPr="00B1522E">
        <w:rPr>
          <w:b/>
          <w:bCs/>
        </w:rPr>
        <w:t xml:space="preserve"> </w:t>
      </w:r>
      <w:r w:rsidR="00730501" w:rsidRPr="00B1522E">
        <w:rPr>
          <w:b/>
          <w:bCs/>
        </w:rPr>
        <w:t>Discussion</w:t>
      </w:r>
      <w:bookmarkEnd w:id="217"/>
      <w:bookmarkEnd w:id="219"/>
    </w:p>
    <w:p w14:paraId="0FDF2131" w14:textId="77777777" w:rsidR="00730501" w:rsidRPr="00B1522E" w:rsidRDefault="00730501" w:rsidP="00556711">
      <w:pPr>
        <w:spacing w:line="480" w:lineRule="auto"/>
        <w:jc w:val="both"/>
        <w:rPr>
          <w:rFonts w:cstheme="minorHAnsi"/>
          <w:noProof/>
        </w:rPr>
      </w:pPr>
      <w:r w:rsidRPr="00B1522E">
        <w:rPr>
          <w:rFonts w:cstheme="minorHAnsi"/>
          <w:noProof/>
        </w:rPr>
        <w:t xml:space="preserve">The aim of this study was to investigate whether </w:t>
      </w:r>
      <w:r w:rsidRPr="00B1522E">
        <w:rPr>
          <w:rFonts w:eastAsia="Calibri" w:cstheme="minorHAnsi"/>
          <w:noProof/>
        </w:rPr>
        <w:t>11- to 12-year-old</w:t>
      </w:r>
      <w:r w:rsidRPr="00B1522E">
        <w:rPr>
          <w:rFonts w:cstheme="minorHAnsi"/>
          <w:noProof/>
        </w:rPr>
        <w:t xml:space="preserve"> students misperceive peers’ snacking-related behaviour and attitudes, and whether these misperceptions are associated with </w:t>
      </w:r>
      <w:r w:rsidRPr="00B1522E">
        <w:rPr>
          <w:rFonts w:cstheme="minorHAnsi"/>
          <w:noProof/>
        </w:rPr>
        <w:lastRenderedPageBreak/>
        <w:t xml:space="preserve">personal unhealthy snacking, related attitudes, and intentions to reduce unhealthy snacking. In sum, the results confirmed </w:t>
      </w:r>
      <w:r w:rsidRPr="00B1522E">
        <w:rPr>
          <w:rFonts w:cstheme="minorHAnsi"/>
        </w:rPr>
        <w:t>the existence of attitudinal and behavioural unhealthy snacking misperceptions and demonstrate they are important influencing factors in personal unhealthy snacking behaviour, related attitudes, and intentions to reduce unhealthy snacking amongst younger adolescents.</w:t>
      </w:r>
    </w:p>
    <w:p w14:paraId="7E092160" w14:textId="5C1DAD2C" w:rsidR="00730501" w:rsidRPr="00B1522E" w:rsidRDefault="00730501" w:rsidP="002D6D48">
      <w:pPr>
        <w:spacing w:line="480" w:lineRule="auto"/>
        <w:ind w:firstLine="720"/>
        <w:jc w:val="both"/>
        <w:rPr>
          <w:rFonts w:cstheme="minorHAnsi"/>
        </w:rPr>
      </w:pPr>
      <w:r w:rsidRPr="00B1522E">
        <w:rPr>
          <w:rFonts w:cstheme="minorHAnsi"/>
        </w:rPr>
        <w:t xml:space="preserve">In support of the first hypothesis, the findings indicate that 11- to 12-year-olds significantly misperceive peers to: consume more unhealthy snacks; be more accepting of unhealthy snacking; and have less favourable attitudes towards reducing unhealthy snacking, than the reported group norm. These results extend previous research </w:t>
      </w:r>
      <w:r w:rsidRPr="00B1522E">
        <w:rPr>
          <w:rFonts w:cstheme="minorHAnsi"/>
        </w:rPr>
        <w:fldChar w:fldCharType="begin" w:fldLock="1"/>
      </w:r>
      <w:r w:rsidR="00D20B1B" w:rsidRPr="00B1522E">
        <w:rPr>
          <w:rFonts w:cstheme="minorHAnsi"/>
        </w:rPr>
        <w:instrText>ADDIN CSL_CITATION {"citationItems":[{"id":"ITEM-1","itemData":{"ISSN":"0744-8481","abstract":"College students have been shown to consistently overestimate the drinking of their peers. As a result, social norms approaches are effective in correcting these misperceived norms to reduce alcohol consumption and alcohol-related problems. In this review of literature, the authors critically evaluated the effectiveness of personalized normative feedback. In addition, the authors reviewed personalized normative feedback interventions and provided suggestions for increasing the efficacy of these interventions by making better use of salient referent group data.","author":[{"dropping-particle":"","family":"Lewis","given":"Melissa A","non-dropping-particle":"","parse-names":false,"suffix":""},{"dropping-particle":"","family":"Neighbors","given":"Clayton","non-dropping-particle":"","parse-names":false,"suffix":""}],"container-title":"Journal of American college health","id":"ITEM-1","issue":"4","issued":{"date-parts":[["2006"]]},"page":"213-218","title":"Social Norms Approaches Using Descriptive Drinking Norms Education: A Review of the Research on Personalized Normative Feedback","type":"article-journal","volume":"54"},"uris":["http://www.mendeley.com/documents/?uuid=f0d13b0f-2b7f-4f7b-b784-a01b9580b927"]},{"id":"ITEM-2","itemData":{"ISSN":"0096-882X (Print)","PMID":"17061005","abstract":"OBJECTIVE: This study examines the impact of a social norms intervention to reduce alcohol misuse among student-athletes. The intervention was designed to reduce harmful misperceptions of peer norms and, in turn, reduce personal risk. METHOD: A comprehensive set of interventions communicating accurate local norms regarding alcohol use targeted student-athletes at an undergraduate college. An anonymous survey of all student-athletes was conducted annually for 3 years (2001: n = 414, 86% response; 2002: n = 373, 85% response; and 2003: n = 353, 79% response). A pre/post comparison of student-athletes was conducted separately for new and ongoing athletes at each time point to isolate any general time period effects from intervention effects. A cross-sectional analysis of student-athletes with varying degrees of program exposure was also performed. RESULTS: The intervention substantially reduced misperceptions of frequent alcohol consumption and high-quantity social drinking as the norm among student-athlete peers. During this same time period, frequent personal consumption, high-quantity consumption, high estimated peak blood alcohol concentrations during social drinking, and negative consequences all declined by 30% or more among ongoing student-athletes after program exposure. In contrast, no significant differences across time were seen for new student-athletes each year with low program exposure. Among student-athletes with the highest level of program exposure, indications of personal misuse were at least 50% less likely on each measure when compared with student-athletes with the lowest level of program exposure. CONCLUSIONS: This social norms intervention was highly effective in reducing alcohol misuse in this high-risk collegiate subpopulation by intensively delivering data-based messages about actual peer norms through multiple communication venues.","author":[{"dropping-particle":"","family":"Perkins","given":"H. W","non-dropping-particle":"","parse-names":false,"suffix":""},{"dropping-particle":"","family":"Craig","given":"D. W","non-dropping-particle":"","parse-names":false,"suffix":""}],"container-title":"Journal of studies on alcohol","id":"ITEM-2","issue":"6","issued":{"date-parts":[["2006","11"]]},"language":"eng","page":"880-889","publisher-place":"United States","title":"A successful social norms campaign to reduce alcohol misuse among college student-athletes.","type":"article-journal","volume":"67"},"uris":["http://www.mendeley.com/documents/?uuid=2396bc2f-45f4-40b2-8d32-196378d6d251"]},{"id":"ITEM-3","itemData":{"ISSN":"1057-9230","author":[{"dropping-particle":"","family":"Amialchuk","given":"Aliaksandr","non-dropping-particle":"","parse-names":false,"suffix":""},{"dropping-particle":"","family":"Ajilore","given":"Olugbenga","non-dropping-particle":"","parse-names":false,"suffix":""},{"dropping-particle":"","family":"Egan","given":"Kevin","non-dropping-particle":"","parse-names":false,"suffix":""}],"container-title":"Health economics","id":"ITEM-3","issue":"6","issued":{"date-parts":[["2019"]]},"page":"736-747","publisher":"Wiley Online Library","title":"The influence of misperceptions about social norms on substance use among school‐aged adolescents","type":"article-journal","volume":"28"},"uris":["http://www.mendeley.com/documents/?uuid=6163c7af-8408-466b-84fd-80b90d29aaa9"]},{"id":"ITEM-4","itemData":{"ISSN":"0268-1153","abstract":"Adolescents tend to overestimate peer drinking; the resulting misperception of the social norm predicts the child’s own future drinking. This study examined the misperception’s relatedness to a person’s drinking pattern in order to facilitate the segmentation of the audience for health education interventions. Adolescent Health and Lifestyle Survey (Finland) data on 14 year olds’ drinking patterns and perceptions of peer drinking were gathered using self‐administered mailed questionnaires in 1989 (N = 3105, response rate 77%), 1995 (N = 8382, 79%) and 2001 (N = 7292, 70%). The perceptions of peer drinking were significantly related to respondents’ drinking patterns. Non‐drinkers and those drinking recurrently until drunkenness held reasonably correct views of their peers’ drinking. However, the segment between these two extremes comprising around half of the cohort incorrectly thought that their peers drank more; they misperceived the normative drinking pattern to be drunkenness. From health education perspective, three different target audiences can be identified: non‐drinkers, moderate drinkers and heavy drinkers. The intermediate group, drinkers not normally getting drunk, holds the view most influenced by the social norm misperception and are likely to feel pressured to increase their drinking. The social norms marketing approach to health education should find this group the most viable target.","author":[{"dropping-particle":"","family":"Lintonen","given":"T P","non-dropping-particle":"","parse-names":false,"suffix":""},{"dropping-particle":"","family":"Konu","given":"A I","non-dropping-particle":"","parse-names":false,"suffix":""}],"container-title":"Health Education Research","id":"ITEM-4","issue":"1","issued":{"date-parts":[["2004","2","1"]]},"page":"64-70","title":"The misperceived social norm of drunkenness among early adolescents in Finland","type":"article-journal","volume":"19"},"uris":["http://www.mendeley.com/documents/?uuid=07bb30e7-494c-47b3-a908-36b32f219235"]},{"id":"ITEM-5","itemData":{"ISSN":"1475-2875","author":[{"dropping-particle":"","family":"Perkins","given":"J. M","non-dropping-particle":"","parse-names":false,"suffix":""},{"dropping-particle":"","family":"Krezanoski","given":"Paul","non-dropping-particle":"","parse-names":false,"suffix":""},{"dropping-particle":"","family":"Takada","given":"Sae","non-dropping-particle":"","parse-names":false,"suffix":""},{"dropping-particle":"","family":"Kakuhikire","given":"Bernard","non-dropping-particle":"","parse-names":false,"suffix":""},{"dropping-particle":"","family":"Batwala","given":"Vincent","non-dropping-particle":"","parse-names":false,"suffix":""},{"dropping-particle":"","family":"Tsai","given":"Alexander C","non-dropping-particle":"","parse-names":false,"suffix":""},{"dropping-particle":"","family":"Christakis","given":"Nicholas A","non-dropping-particle":"","parse-names":false,"suffix":""},{"dropping-particle":"","family":"Bangsberg","given":"David R","non-dropping-particle":"","parse-names":false,"suffix":""}],"container-title":"Malaria journal","id":"ITEM-5","issue":"1","issued":{"date-parts":[["2019"]]},"page":"1-13","publisher":"Springer","title":"Social norms, misperceptions, and mosquito net use: a population-based, cross-sectional study in rural Uganda","type":"article-journal","volume":"18"},"uris":["http://www.mendeley.com/documents/?uuid=51b86757-c665-44d3-a0a1-2805803ec543"]}],"mendeley":{"formattedCitation":"(Amialchuk et al., 2019; Lewis &amp; Neighbors, 2006; Lintonen &amp; Konu, 2004; H. W Perkins &amp; Craig, 2006; J. M. Perkins et al., 2019)","manualFormatting":"(Amialchuk et al., 2019; Lewis &amp; Neighbors, 2006; Lintonen &amp; Konu, 2004; Perkins &amp; Craig, 2006; Perkins, Krezanoski, et al., 2019)","plainTextFormattedCitation":"(Amialchuk et al., 2019; Lewis &amp; Neighbors, 2006; Lintonen &amp; Konu, 2004; H. W Perkins &amp; Craig, 2006; J. M. Perkins et al., 2019)","previouslyFormattedCitation":"(Amialchuk et al., 2019; Lewis &amp; Neighbors, 2006; Lintonen &amp; Konu, 2004; H. W Perkins &amp; Craig, 2006; J. M. Perkins et al., 2019)"},"properties":{"noteIndex":0},"schema":"https://github.com/citation-style-language/schema/raw/master/csl-citation.json"}</w:instrText>
      </w:r>
      <w:r w:rsidRPr="00B1522E">
        <w:rPr>
          <w:rFonts w:cstheme="minorHAnsi"/>
        </w:rPr>
        <w:fldChar w:fldCharType="separate"/>
      </w:r>
      <w:r w:rsidRPr="00B1522E">
        <w:rPr>
          <w:rFonts w:cstheme="minorHAnsi"/>
          <w:noProof/>
        </w:rPr>
        <w:t>(Amialchuk et al., 2019; Lewis &amp; Neighbors, 2006; Lintonen &amp; Konu, 2004; Perkins &amp; Craig, 2006; Perkins, Krezanoski, et al., 2019)</w:t>
      </w:r>
      <w:r w:rsidRPr="00B1522E">
        <w:rPr>
          <w:rFonts w:cstheme="minorHAnsi"/>
        </w:rPr>
        <w:fldChar w:fldCharType="end"/>
      </w:r>
      <w:r w:rsidRPr="00B1522E">
        <w:rPr>
          <w:rFonts w:cstheme="minorHAnsi"/>
        </w:rPr>
        <w:t xml:space="preserve"> by offering a first insight into current normative snacking-related misperceptions of younger adolescents. The findings confirm the existence of snacking-related misperceptions within 11- to 12-year olds, and reflect prior observation that individuals tend to overestimate unhealthy behaviours of peers and inaccurately perceive that they are more accepting of these behaviours </w:t>
      </w:r>
      <w:r w:rsidRPr="00B1522E">
        <w:rPr>
          <w:rFonts w:cstheme="minorHAnsi"/>
        </w:rPr>
        <w:fldChar w:fldCharType="begin" w:fldLock="1"/>
      </w:r>
      <w:r w:rsidR="00D20B1B" w:rsidRPr="00B1522E">
        <w:rPr>
          <w:rFonts w:cstheme="minorHAnsi"/>
        </w:rPr>
        <w:instrText>ADDIN CSL_CITATION {"citationItems":[{"id":"ITEM-1","itemData":{"ISSN":"1057-9230","author":[{"dropping-particle":"","family":"Amialchuk","given":"Aliaksandr","non-dropping-particle":"","parse-names":false,"suffix":""},{"dropping-particle":"","family":"Ajilore","given":"Olugbenga","non-dropping-particle":"","parse-names":false,"suffix":""},{"dropping-particle":"","family":"Egan","given":"Kevin","non-dropping-particle":"","parse-names":false,"suffix":""}],"container-title":"Health economics","id":"ITEM-1","issue":"6","issued":{"date-parts":[["2019"]]},"page":"736-747","publisher":"Wiley Online Library","title":"The influence of misperceptions about social norms on substance use among school‐aged adolescents","type":"article-journal","volume":"28"},"uris":["http://www.mendeley.com/documents/?uuid=6163c7af-8408-466b-84fd-80b90d29aaa9"]},{"id":"ITEM-2","itemData":{"ISSN":"0268-1153","abstract":"Adolescents tend to overestimate peer drinking; the resulting misperception of the social norm predicts the child’s own future drinking. This study examined the misperception’s relatedness to a person’s drinking pattern in order to facilitate the segmentation of the audience for health education interventions. Adolescent Health and Lifestyle Survey (Finland) data on 14 year olds’ drinking patterns and perceptions of peer drinking were gathered using self‐administered mailed questionnaires in 1989 (N = 3105, response rate 77%), 1995 (N = 8382, 79%) and 2001 (N = 7292, 70%). The perceptions of peer drinking were significantly related to respondents’ drinking patterns. Non‐drinkers and those drinking recurrently until drunkenness held reasonably correct views of their peers’ drinking. However, the segment between these two extremes comprising around half of the cohort incorrectly thought that their peers drank more; they misperceived the normative drinking pattern to be drunkenness. From health education perspective, three different target audiences can be identified: non‐drinkers, moderate drinkers and heavy drinkers. The intermediate group, drinkers not normally getting drunk, holds the view most influenced by the social norm misperception and are likely to feel pressured to increase their drinking. The social norms marketing approach to health education should find this group the most viable target.","author":[{"dropping-particle":"","family":"Lintonen","given":"T P","non-dropping-particle":"","parse-names":false,"suffix":""},{"dropping-particle":"","family":"Konu","given":"A I","non-dropping-particle":"","parse-names":false,"suffix":""}],"container-title":"Health Education Research","id":"ITEM-2","issue":"1","issued":{"date-parts":[["2004","2","1"]]},"page":"64-70","title":"The misperceived social norm of drunkenness among early adolescents in Finland","type":"article-journal","volume":"19"},"uris":["http://www.mendeley.com/documents/?uuid=07bb30e7-494c-47b3-a908-36b32f219235"]},{"id":"ITEM-3","itemData":{"ISSN":"1937-1888","author":[{"dropping-particle":"","family":"Perkins","given":"J.M","non-dropping-particle":"","parse-names":false,"suffix":""},{"dropping-particle":"","family":"Perkins","given":"H. W","non-dropping-particle":"","parse-names":false,"suffix":""},{"dropping-particle":"","family":"Jurinsky","given":"J","non-dropping-particle":"","parse-names":false,"suffix":""},{"dropping-particle":"","family":"Craig","given":"D.W","non-dropping-particle":"","parse-names":false,"suffix":""}],"container-title":"Journal of Studies on Alcohol and Drugs","id":"ITEM-3","issue":"6","issued":{"date-parts":[["2019"]]},"page":"659-668","publisher":"Rutgers University","title":"Adolescent Tobacco Use and Misperceptions of Social Norms Across Schools in the United States","type":"article-journal","volume":"80"},"uris":["http://www.mendeley.com/documents/?uuid=36401d15-38e8-4f27-a26d-4e5fd7c0f718"]}],"mendeley":{"formattedCitation":"(Amialchuk et al., 2019; Lintonen &amp; Konu, 2004; J. . Perkins et al., 2019)","manualFormatting":"(Amialchuk et al., 2019; Lintonen &amp; Konu, 2004; Perkins et al., 2019)","plainTextFormattedCitation":"(Amialchuk et al., 2019; Lintonen &amp; Konu, 2004; J. . Perkins et al., 2019)","previouslyFormattedCitation":"(Amialchuk et al., 2019; Lintonen &amp; Konu, 2004; J. . Perkins et al., 2019)"},"properties":{"noteIndex":0},"schema":"https://github.com/citation-style-language/schema/raw/master/csl-citation.json"}</w:instrText>
      </w:r>
      <w:r w:rsidRPr="00B1522E">
        <w:rPr>
          <w:rFonts w:cstheme="minorHAnsi"/>
        </w:rPr>
        <w:fldChar w:fldCharType="separate"/>
      </w:r>
      <w:r w:rsidRPr="00B1522E">
        <w:rPr>
          <w:rFonts w:cstheme="minorHAnsi"/>
          <w:noProof/>
        </w:rPr>
        <w:t>(Amialchuk et al., 2019; Lintonen &amp; Konu, 2004; Perkins et al., 2019)</w:t>
      </w:r>
      <w:r w:rsidRPr="00B1522E">
        <w:rPr>
          <w:rFonts w:cstheme="minorHAnsi"/>
        </w:rPr>
        <w:fldChar w:fldCharType="end"/>
      </w:r>
      <w:r w:rsidRPr="00B1522E">
        <w:rPr>
          <w:rFonts w:cstheme="minorHAnsi"/>
        </w:rPr>
        <w:t xml:space="preserve">. Establishing whether normative misperceptions exist within a population is an important initial stage towards challenging these inaccurate normative perceptions </w:t>
      </w:r>
      <w:r w:rsidRPr="00B1522E">
        <w:rPr>
          <w:rFonts w:cstheme="minorHAnsi"/>
        </w:rPr>
        <w:fldChar w:fldCharType="begin" w:fldLock="1"/>
      </w:r>
      <w:r w:rsidR="00994117" w:rsidRPr="00B1522E">
        <w:rPr>
          <w:rFonts w:cstheme="minorHAnsi"/>
        </w:rPr>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rPr>
          <w:rFonts w:cstheme="minorHAnsi"/>
        </w:rPr>
        <w:fldChar w:fldCharType="separate"/>
      </w:r>
      <w:r w:rsidRPr="00B1522E">
        <w:rPr>
          <w:rFonts w:cstheme="minorHAnsi"/>
          <w:noProof/>
        </w:rPr>
        <w:t>(Berkowitz, 2004)</w:t>
      </w:r>
      <w:r w:rsidRPr="00B1522E">
        <w:rPr>
          <w:rFonts w:cstheme="minorHAnsi"/>
        </w:rPr>
        <w:fldChar w:fldCharType="end"/>
      </w:r>
      <w:r w:rsidRPr="00B1522E">
        <w:rPr>
          <w:rFonts w:cstheme="minorHAnsi"/>
        </w:rPr>
        <w:t xml:space="preserve"> </w:t>
      </w:r>
    </w:p>
    <w:p w14:paraId="3F525224" w14:textId="01D2C2EF" w:rsidR="00730501" w:rsidRPr="00B1522E" w:rsidRDefault="00730501" w:rsidP="002D6D48">
      <w:pPr>
        <w:spacing w:line="480" w:lineRule="auto"/>
        <w:ind w:firstLine="720"/>
        <w:jc w:val="both"/>
        <w:rPr>
          <w:rFonts w:cstheme="minorHAnsi"/>
        </w:rPr>
      </w:pPr>
      <w:r w:rsidRPr="00B1522E">
        <w:rPr>
          <w:rFonts w:cstheme="minorHAnsi"/>
        </w:rPr>
        <w:t>As hypothesised, students who overestimated peers’ unhealthy snacking consumption, and misperceived peers to have more positive attitudes towards unhealthy snacking, consumed more unhealthy snacks themselves.</w:t>
      </w:r>
      <w:r w:rsidRPr="00B1522E">
        <w:rPr>
          <w:rFonts w:eastAsia="Times New Roman" w:cstheme="minorHAnsi"/>
          <w:bdr w:val="none" w:sz="0" w:space="0" w:color="auto" w:frame="1"/>
          <w:shd w:val="clear" w:color="auto" w:fill="FFFFFF"/>
          <w:lang w:eastAsia="en-GB"/>
        </w:rPr>
        <w:t xml:space="preserve"> </w:t>
      </w:r>
      <w:r w:rsidRPr="00B1522E">
        <w:rPr>
          <w:rFonts w:cstheme="minorHAnsi"/>
        </w:rPr>
        <w:t xml:space="preserve">The current study builds on previous research by demonstrating that inaccurate perceptions of both peers’ snacking consumption, and snacking-related attitudes, are associated with personal snacking behaviour in young adolescents </w:t>
      </w:r>
      <w:r w:rsidRPr="00B1522E">
        <w:rPr>
          <w:rFonts w:cstheme="minorHAnsi"/>
        </w:rPr>
        <w:fldChar w:fldCharType="begin" w:fldLock="1"/>
      </w:r>
      <w:r w:rsidR="00AF3C0C" w:rsidRPr="00B1522E">
        <w:rPr>
          <w:rFonts w:cstheme="minorHAns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rFonts w:cstheme="minorHAnsi"/>
        </w:rPr>
        <w:fldChar w:fldCharType="separate"/>
      </w:r>
      <w:r w:rsidR="00795693" w:rsidRPr="00B1522E">
        <w:rPr>
          <w:rFonts w:cstheme="minorHAnsi"/>
          <w:noProof/>
        </w:rPr>
        <w:t>(Lally et al., 2011)</w:t>
      </w:r>
      <w:r w:rsidRPr="00B1522E">
        <w:rPr>
          <w:rFonts w:cstheme="minorHAnsi"/>
        </w:rPr>
        <w:fldChar w:fldCharType="end"/>
      </w:r>
      <w:r w:rsidRPr="00B1522E">
        <w:rPr>
          <w:rFonts w:cstheme="minorHAnsi"/>
        </w:rPr>
        <w:t>. The identification of normative misperceptions as significant predictors of students' personal unhealthy snacking consumption provides support for the important influence of norms on personal behaviour amongst younger adolescents. It seems within 11-to 12-year-olds, that peers serve as an important social referent regarding unhealthy snacking</w:t>
      </w:r>
      <w:r w:rsidRPr="00B1522E">
        <w:rPr>
          <w:rFonts w:cstheme="minorHAnsi"/>
          <w:shd w:val="clear" w:color="auto" w:fill="FFFFFF"/>
        </w:rPr>
        <w:t>.</w:t>
      </w:r>
    </w:p>
    <w:p w14:paraId="54260911" w14:textId="25B434E0" w:rsidR="00730501" w:rsidRPr="00B1522E" w:rsidRDefault="00730501" w:rsidP="00B3657B">
      <w:pPr>
        <w:spacing w:line="480" w:lineRule="auto"/>
        <w:ind w:firstLine="720"/>
        <w:jc w:val="both"/>
        <w:rPr>
          <w:rFonts w:cstheme="minorHAnsi"/>
        </w:rPr>
      </w:pPr>
      <w:r w:rsidRPr="00B1522E">
        <w:rPr>
          <w:rFonts w:cstheme="minorHAnsi"/>
          <w:shd w:val="clear" w:color="auto" w:fill="FFFFFF"/>
        </w:rPr>
        <w:lastRenderedPageBreak/>
        <w:t xml:space="preserve">Supporting the third hypothesis, the current study found that young adolescents </w:t>
      </w:r>
      <w:r w:rsidRPr="00B1522E">
        <w:rPr>
          <w:rFonts w:cstheme="minorHAnsi"/>
        </w:rPr>
        <w:t>who perceive peers to have a more positive attitude towards unhealthy snacking, had a more positive attitude themselves about consuming unhealthy snacks.</w:t>
      </w:r>
      <w:r w:rsidRPr="00B1522E">
        <w:rPr>
          <w:rFonts w:cstheme="minorHAnsi"/>
          <w:shd w:val="clear" w:color="auto" w:fill="FFFFFF"/>
        </w:rPr>
        <w:t xml:space="preserve"> Complying with such perceived injunctive norms may reflect adolescents’ desire for peer approval </w:t>
      </w:r>
      <w:r w:rsidRPr="00B1522E">
        <w:rPr>
          <w:rFonts w:cstheme="minorHAnsi"/>
          <w:shd w:val="clear" w:color="auto" w:fill="FFFFFF"/>
        </w:rPr>
        <w:fldChar w:fldCharType="begin" w:fldLock="1"/>
      </w:r>
      <w:r w:rsidRPr="00B1522E">
        <w:rPr>
          <w:rFonts w:cstheme="minorHAnsi"/>
          <w:shd w:val="clear" w:color="auto" w:fill="FFFFFF"/>
        </w:rPr>
        <w:instrText>ADDIN CSL_CITATION {"citationItems":[{"id":"ITEM-1","itemData":{"ISBN":"1136649468","author":[{"dropping-particle":"","family":"Coleman","given":"John","non-dropping-particle":"","parse-names":false,"suffix":""}],"id":"ITEM-1","issued":{"date-parts":[["2011"]]},"publisher":"Routledge","publisher-place":"London","title":"The nature of adolescence","type":"book"},"uris":["http://www.mendeley.com/documents/?uuid=2f77478c-db32-4802-9940-28d2e7c167d5"]}],"mendeley":{"formattedCitation":"(Coleman, 2011)","plainTextFormattedCitation":"(Coleman, 2011)","previouslyFormattedCitation":"(Coleman, 2011)"},"properties":{"noteIndex":0},"schema":"https://github.com/citation-style-language/schema/raw/master/csl-citation.json"}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(Coleman, 2011)</w:t>
      </w:r>
      <w:r w:rsidRPr="00B1522E">
        <w:rPr>
          <w:rFonts w:cstheme="minorHAnsi"/>
          <w:shd w:val="clear" w:color="auto" w:fill="FFFFFF"/>
        </w:rPr>
        <w:fldChar w:fldCharType="end"/>
      </w:r>
      <w:r w:rsidRPr="00B1522E">
        <w:rPr>
          <w:rStyle w:val="CommentReference"/>
          <w:rFonts w:cstheme="minorHAnsi"/>
          <w:sz w:val="22"/>
          <w:szCs w:val="22"/>
        </w:rPr>
        <w:t xml:space="preserve">. </w:t>
      </w:r>
      <w:r w:rsidRPr="00B1522E">
        <w:rPr>
          <w:rFonts w:cstheme="minorHAnsi"/>
        </w:rPr>
        <w:t xml:space="preserve">These findings contribute to the social norms literature as no other study, </w:t>
      </w:r>
      <w:r w:rsidRPr="00B1522E">
        <w:rPr>
          <w:rFonts w:cstheme="minorHAnsi"/>
          <w:shd w:val="clear" w:color="auto" w:fill="FFFFFF"/>
        </w:rPr>
        <w:t xml:space="preserve">to our knowledge, </w:t>
      </w:r>
      <w:r w:rsidRPr="00B1522E">
        <w:rPr>
          <w:rFonts w:cstheme="minorHAnsi"/>
        </w:rPr>
        <w:t>has explored the association between injunctive normative perceptions (perceptions about what others approve of) and personal attitude towards unhealthy snacking in this age group.</w:t>
      </w:r>
      <w:r w:rsidRPr="00B1522E">
        <w:rPr>
          <w:rStyle w:val="CommentReference"/>
          <w:rFonts w:cstheme="minorHAnsi"/>
          <w:sz w:val="22"/>
          <w:szCs w:val="22"/>
        </w:rPr>
        <w:t xml:space="preserve"> </w:t>
      </w:r>
      <w:r w:rsidRPr="00B1522E">
        <w:rPr>
          <w:rFonts w:cstheme="minorHAnsi"/>
          <w:shd w:val="clear" w:color="auto" w:fill="FFFFFF"/>
        </w:rPr>
        <w:t xml:space="preserve">These findings are in line with those reported for other health-related behaviours amongst older age groups (e.g. alcohol, tobacco, cannabis and other drug use) </w:t>
      </w:r>
      <w:r w:rsidRPr="00B1522E">
        <w:rPr>
          <w:rFonts w:cstheme="minorHAnsi"/>
        </w:rPr>
        <w:t xml:space="preserve">which have demonstrated an association between inflated perceptions about peers’ approval of an unhealthy behaviour and increased personal approval of the behaviour </w:t>
      </w:r>
      <w:r w:rsidRPr="00B1522E">
        <w:rPr>
          <w:rFonts w:cstheme="minorHAnsi"/>
        </w:rPr>
        <w:fldChar w:fldCharType="begin" w:fldLock="1"/>
      </w:r>
      <w:r w:rsidR="008C386E" w:rsidRPr="00B1522E">
        <w:rPr>
          <w:rFonts w:cstheme="minorHAnsi"/>
        </w:rPr>
        <w:instrText>ADDIN CSL_CITATION {"citationItems":[{"id":"ITEM-1","itemData":{"ISSN":"0376-8716","abstract":"Background Overestimations of non-prescribed stimulant use of peers are well documented in the USA and have also been identified as predictive of personal stimulant consumption. This study aimed to examine whether overestimations of peer use and approval of the use are associated with personal use and attitude towards the use of non-prescribed stimulants among European university students. Method The EU funded ‘Social Norms Intervention for the prevention of Polydrug usE (SNIPE)’ study was conducted in seven European countries. In a web-based questionnaire, 4482 students were asked about their personal use and their attitude towards non-prescribed stimulant use, as well as the perceived peer use and peer attitude. Results 59% of students thought that the majority of their peers used non-prescribed stimulants more frequently than themselves, and only 4% thought that the use of the majority was lower than their personal use. The perception that the majority of peers had used non-prescribed stimulants at least once was significantly associated with higher odds for personal use of non-prescribed stimulants (OR: 3.30, 95% CI: 2.32–4.71). In addition, the perception that the majority of peers approved of the non-prescribed use of stimulants was associated with a 4.03 (95% CI: 3.35–4.84) times higher likelihood for personal approval. Discussion European university students generally perceived the non-prescribed use of stimulants of peers to be higher than their personal use. This perception, as well as a perception of higher approval in the peer group, was associated with a higher likelihood of personal non-prescribed stimulant medication use and approval.","author":[{"dropping-particle":"","family":"Helmer","given":"S M","non-dropping-particle":"","parse-names":false,"suffix":""},{"dropping-particle":"","family":"Pischke","given":"C R","non-dropping-particle":"","parse-names":false,"suffix":""},{"dropping-particle":"","family":"Hal","given":"G","non-dropping-particle":"Van","parse-names":false,"suffix":""},{"dropping-particle":"","family":"Vriesacker","given":"B","non-dropping-particle":"","parse-names":false,"suffix":""},{"dropping-particle":"","family":"Dempsey","given":"R C","non-dropping-particle":"","parse-names":false,"suffix":""},{"dropping-particle":"","family":"Akvardar","given":"Y","non-dropping-particle":"","parse-names":false,"suffix":""},{"dropping-particle":"","family":"Guillen-Grima","given":"F","non-dropping-particle":"","parse-names":false,"suffix":""},{"dropping-particle":"","family":"Salonna","given":"F","non-dropping-particle":"","parse-names":false,"suffix":""},{"dropping-particle":"","family":"Stock","given":"C","non-dropping-particle":"","parse-names":false,"suffix":""},{"dropping-particle":"","family":"Zeeb","given":"H","non-dropping-particle":"","parse-names":false,"suffix":""}],"container-title":"Drug and Alcohol Dependence","id":"ITEM-1","issue":"1","issued":{"date-parts":[["2016"]]},"page":"128-134","title":"Personal and perceived peer use and attitudes towards the use of nonmedical prescription stimulants to improve academic performance among university students in seven European countries","type":"article-journal","volume":"168"},"uris":["http://www.mendeley.com/documents/?uuid=0d833f9e-61fc-4803-a070-cb525f23f0d7"]},{"id":"ITEM-2","itemData":{"ISSN":"1937-1888","abstract":"Objective:Perceptions of peer behavior and attitudes exert considerable social pressure on young adults to use substances. This study investigated whether European students perceive their peers? cannabis use and approval of cannabis use to be higher than their own personal behaviors and attitudes, and whether estimations of peer use and attitudes are associated with personal use and attitudes.Method:University students (n = 4,131) from Belgium, Denmark, Germany, the Slovak Republic, Spain, Turkey, and the United Kingdom completed an online survey as part of the Social Norms Intervention for Polysubstance usE in students (SNIPE) Project, a feasibility study of a web-based normative feedback intervention for substance use. The survey assessed students? (a) personal substance use and attitudes and (b) perceptions of their peers? cannabis use (descriptive norms) and attitudes (injunctive norms).Results:Although most respondents (92%) did not personally use cannabis in the past 2 months, the majority of students thought that the majority of their peers were using cannabis and that their peers had more permissive attitudes toward cannabis than they did. When we controlled for students? age, sex, study year, and religious beliefs, perceived peer descriptive norms were associated with personal cannabis use (odds ratio [OR] = 1.42; 95% CI [1.22, 1.64]) and perceived injunctive norms were associated with personal attitudes toward cannabis use (OR = 1.46; 95% CI [1.09, 1.94]).Conclusions:European students appear to possess similar discrepancies between personal and perceived peer norms for cannabis use and attitudes as found in North American students. Interventions that address such discrepancies may be effective in reducing cannabis use.","author":[{"dropping-particle":"","family":"Dempsey","given":"Robert C","non-dropping-particle":"","parse-names":false,"suffix":""},{"dropping-particle":"","family":"McAlaney","given":"John","non-dropping-particle":"","parse-names":false,"suffix":""},{"dropping-particle":"","family":"Helmer","given":"Stefanie M","non-dropping-particle":"","parse-names":false,"suffix":""},{"dropping-particle":"","family":"Pischke","given":"Claudia R","non-dropping-particle":"","parse-names":false,"suffix":""},{"dropping-particle":"","family":"Akvardar","given":"Yildiz","non-dropping-particle":"","parse-names":false,"suffix":""},{"dropping-particle":"","family":"Bewick","given":"Bridgette M","non-dropping-particle":"","parse-names":false,"suffix":""},{"dropping-particle":"","family":"Fawkner","given":"Helen J","non-dropping-particle":"","parse-names":false,"suffix":""},{"dropping-particle":"","family":"Guillen-Grima","given":"Francisco","non-dropping-particle":"","parse-names":false,"suffix":""},{"dropping-particle":"","family":"Stock","given":"Christiane","non-dropping-particle":"","parse-names":false,"suffix":""},{"dropping-particle":"","family":"Vriesacker","given":"Bart","non-dropping-particle":"","parse-names":false,"suffix":""},{"dropping-particle":"","family":"Hal","given":"Guido","non-dropping-particle":"Van","parse-names":false,"suffix":""},{"dropping-particle":"","family":"Salonna","given":"Ferdinand","non-dropping-particle":"","parse-names":false,"suffix":""},{"dropping-particle":"","family":"Kalina","given":"Ondrej","non-dropping-particle":"","parse-names":false,"suffix":""},{"dropping-particle":"","family":"Orosova","given":"Olga","non-dropping-particle":"","parse-names":false,"suffix":""},{"dropping-particle":"","family":"Mikolajczyk","given":"Rafael T","non-dropping-particle":"","parse-names":false,"suffix":""}],"container-title":"Journal of Studies on Alcohol and Drugs","id":"ITEM-2","issue":"5","issued":{"date-parts":[["2016","9","1"]]},"note":"doi: 10.15288/jsad.2016.77.740","page":"740-748","publisher":"Alcohol Research Documentation, Inc.","title":"Normative Perceptions of Cannabis Use Among European University Students: Associations of Perceived Peer Use and Peer Attitudes With Personal Use and Attitudes","type":"article-journal","volume":"77"},"uris":["http://www.mendeley.com/documents/?uuid=195f28a7-ae78-47b2-b116-9b523bd1346d"]}],"mendeley":{"formattedCitation":"(Dempsey et al., 2016; S M Helmer et al., 2016)","manualFormatting":"(Dempsey et al., 2016; Helmer et al., 2016)","plainTextFormattedCitation":"(Dempsey et al., 2016; S M Helmer et al., 2016)","previouslyFormattedCitation":"(Dempsey et al., 2016; S M Helmer et al., 2016)"},"properties":{"noteIndex":0},"schema":"https://github.com/citation-style-language/schema/raw/master/csl-citation.json"}</w:instrText>
      </w:r>
      <w:r w:rsidRPr="00B1522E">
        <w:rPr>
          <w:rFonts w:cstheme="minorHAnsi"/>
        </w:rPr>
        <w:fldChar w:fldCharType="separate"/>
      </w:r>
      <w:r w:rsidR="00795693" w:rsidRPr="00B1522E">
        <w:rPr>
          <w:rFonts w:cstheme="minorHAnsi"/>
          <w:noProof/>
        </w:rPr>
        <w:t>(Dempsey et al., 2016;</w:t>
      </w:r>
      <w:r w:rsidR="007E1100" w:rsidRPr="00B1522E">
        <w:rPr>
          <w:rFonts w:cstheme="minorHAnsi"/>
          <w:noProof/>
        </w:rPr>
        <w:t xml:space="preserve"> </w:t>
      </w:r>
      <w:r w:rsidR="00795693" w:rsidRPr="00B1522E">
        <w:rPr>
          <w:rFonts w:cstheme="minorHAnsi"/>
          <w:noProof/>
        </w:rPr>
        <w:t>Helmer et al., 2016)</w:t>
      </w:r>
      <w:r w:rsidRPr="00B1522E">
        <w:rPr>
          <w:rFonts w:cstheme="minorHAnsi"/>
        </w:rPr>
        <w:fldChar w:fldCharType="end"/>
      </w:r>
      <w:r w:rsidRPr="00B1522E">
        <w:rPr>
          <w:rFonts w:cstheme="minorHAnsi"/>
        </w:rPr>
        <w:t xml:space="preserve">. </w:t>
      </w:r>
    </w:p>
    <w:p w14:paraId="5236B0C9" w14:textId="45BECC80" w:rsidR="00730501" w:rsidRPr="00B1522E" w:rsidRDefault="00730501" w:rsidP="002D6D48">
      <w:pPr>
        <w:spacing w:line="480" w:lineRule="auto"/>
        <w:ind w:firstLine="720"/>
        <w:jc w:val="both"/>
        <w:rPr>
          <w:rFonts w:eastAsia="Times New Roman" w:cstheme="minorHAnsi"/>
          <w:bdr w:val="none" w:sz="0" w:space="0" w:color="auto" w:frame="1"/>
          <w:shd w:val="clear" w:color="auto" w:fill="FFFFFF"/>
          <w:lang w:eastAsia="en-GB"/>
        </w:rPr>
      </w:pPr>
      <w:r w:rsidRPr="00B1522E">
        <w:rPr>
          <w:rFonts w:cstheme="minorHAnsi"/>
          <w:shd w:val="clear" w:color="auto" w:fill="FFFFFF"/>
        </w:rPr>
        <w:t xml:space="preserve">When testing the fourth hypothesis, </w:t>
      </w:r>
      <w:r w:rsidRPr="00B1522E">
        <w:rPr>
          <w:rFonts w:cstheme="minorHAnsi"/>
          <w:lang w:eastAsia="en-GB"/>
        </w:rPr>
        <w:t xml:space="preserve">the results indicated that girls who had positive personal attitudes towards reducing unhealthy snacking and inaccurately perceived peers to have a more positive attitude towards reducing unhealthy snacking, had a stronger intention to reduce unhealthy snacking themselves. This indicates that there are differences between boys and girls in their beliefs and in their </w:t>
      </w:r>
      <w:r w:rsidRPr="00B1522E">
        <w:rPr>
          <w:rFonts w:eastAsia="Calibri" w:cstheme="minorHAnsi"/>
        </w:rPr>
        <w:t>perceived social influences which influence their behavioural intention</w:t>
      </w:r>
      <w:r w:rsidR="00AF3C0C" w:rsidRPr="00B1522E">
        <w:rPr>
          <w:rFonts w:eastAsia="Calibri" w:cstheme="minorHAnsi"/>
        </w:rPr>
        <w:t xml:space="preserve"> </w:t>
      </w:r>
      <w:r w:rsidR="008E6B5A" w:rsidRPr="00B1522E">
        <w:rPr>
          <w:rFonts w:eastAsia="Calibri" w:cstheme="minorHAnsi"/>
        </w:rPr>
        <w:fldChar w:fldCharType="begin" w:fldLock="1"/>
      </w:r>
      <w:r w:rsidR="00C654DE" w:rsidRPr="00B1522E">
        <w:rPr>
          <w:rFonts w:eastAsia="Calibri" w:cstheme="minorHAnsi"/>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008E6B5A" w:rsidRPr="00B1522E">
        <w:rPr>
          <w:rFonts w:eastAsia="Calibri" w:cstheme="minorHAnsi"/>
        </w:rPr>
        <w:fldChar w:fldCharType="separate"/>
      </w:r>
      <w:r w:rsidR="00355350" w:rsidRPr="00B1522E">
        <w:rPr>
          <w:rFonts w:eastAsia="Calibri" w:cstheme="minorHAnsi"/>
          <w:noProof/>
        </w:rPr>
        <w:t>(Calvert et al., 2020)</w:t>
      </w:r>
      <w:r w:rsidR="008E6B5A" w:rsidRPr="00B1522E">
        <w:rPr>
          <w:rFonts w:eastAsia="Calibri" w:cstheme="minorHAnsi"/>
        </w:rPr>
        <w:fldChar w:fldCharType="end"/>
      </w:r>
      <w:r w:rsidR="002B0F7A" w:rsidRPr="00B1522E">
        <w:rPr>
          <w:rFonts w:eastAsia="Calibri" w:cstheme="minorHAnsi"/>
        </w:rPr>
        <w:t>.</w:t>
      </w:r>
      <w:r w:rsidRPr="00B1522E">
        <w:rPr>
          <w:rFonts w:eastAsia="Calibri" w:cstheme="minorHAnsi"/>
        </w:rPr>
        <w:t xml:space="preserve"> </w:t>
      </w:r>
      <w:r w:rsidRPr="00B1522E">
        <w:rPr>
          <w:rFonts w:cstheme="minorHAnsi"/>
          <w:lang w:eastAsia="en-GB"/>
        </w:rPr>
        <w:t xml:space="preserve">There is limited research that has explored the relationship between normative misperceptions and intentions to change unhealthy behaviours </w:t>
      </w:r>
      <w:r w:rsidRPr="00B1522E">
        <w:rPr>
          <w:rFonts w:cstheme="minorHAnsi"/>
          <w:lang w:eastAsia="en-GB"/>
        </w:rPr>
        <w:fldChar w:fldCharType="begin" w:fldLock="1"/>
      </w:r>
      <w:r w:rsidRPr="00B1522E">
        <w:rPr>
          <w:rFonts w:cstheme="minorHAnsi"/>
          <w:lang w:eastAsia="en-GB"/>
        </w:rPr>
        <w:instrText>ADDIN CSL_CITATION {"citationItems":[{"id":"ITEM-1","itemData":{"ISSN":"1930-7810 (Electronic)","PMID":"23646838","abstract":"OBJECTIVE: Despite long-standing social psychological research supporting the influence of injunctive norms (i.e., what is commonly approved or disapproved) on behavior, support for this influence on health behaviors is limited. We examined the utility of correcting misperceptions of injunctive norms for improving sun protection and whether changes in attitudes mediated the injunctive norm-intention relationship. METHOD: At baseline 263 community residing primarily White women, aged 37 to 77 years, reported their beliefs about sun protection and tanning and their perceptions of \"typical women's\" approval of sun protection versus tanning. Women underestimated approval of sun protection and overestimated approval of tanning. In a randomized trial, 189 of these women received either information about sun protection or information plus personalized normative feedback (PNF). PNF compared each woman's own perceptions of typical women's approval of tanning and sun protection with actual normative values, both measured at baseline. PNF communicated that most women approve of others who sun protect. RESULTS: PNF led to more positive sun protection injunctive norms, attitudes, and intentions at immediate posttest and more positive intentions and self-reported behavior at 4-week follow-up. Baseline discrepancy between a woman's beliefs and actual normative values related negatively to changes in sun protection in the control condition but positively in the PNF condition. As hypothesized, changes in attitudes partially mediated the influence of PNF on changes in intentions. CONCLUSIONS: The present research demonstrates the utility of correcting injunctive norm misperceptions for promoting healthy behaviors. That attitudes changed in response to PNF and mediated the norm-intention relationship suggests a method for influencing attitudes that may limit reactance.","author":[{"dropping-particle":"","family":"Reid","given":"Allecia E","non-dropping-particle":"","parse-names":false,"suffix":""},{"dropping-particle":"","family":"Aiken","given":"Leona S","non-dropping-particle":"","parse-names":false,"suffix":""}],"container-title":"Health psychology : official journal of the Division of Health Psychology, American Psychological Association","id":"ITEM-1","issue":"5","issued":{"date-parts":[["2013","5"]]},"language":"eng","page":"551-560","publisher-place":"United States","title":"Correcting injunctive norm misperceptions motivates behavior change: a randomized controlled sun protection intervention.","type":"article-journal","volume":"32"},"uris":["http://www.mendeley.com/documents/?uuid=9519fd8f-8198-4d1b-b62f-7557d4fabb51"]}],"mendeley":{"formattedCitation":"(Reid &amp; Aiken, 2013)","plainTextFormattedCitation":"(Reid &amp; Aiken, 2013)","previouslyFormattedCitation":"(Reid &amp; Aiken, 2013)"},"properties":{"noteIndex":0},"schema":"https://github.com/citation-style-language/schema/raw/master/csl-citation.json"}</w:instrText>
      </w:r>
      <w:r w:rsidRPr="00B1522E">
        <w:rPr>
          <w:rFonts w:cstheme="minorHAnsi"/>
          <w:lang w:eastAsia="en-GB"/>
        </w:rPr>
        <w:fldChar w:fldCharType="separate"/>
      </w:r>
      <w:r w:rsidRPr="00B1522E">
        <w:rPr>
          <w:rFonts w:cstheme="minorHAnsi"/>
          <w:noProof/>
          <w:lang w:eastAsia="en-GB"/>
        </w:rPr>
        <w:t>(Reid &amp; Aiken, 2013)</w:t>
      </w:r>
      <w:r w:rsidRPr="00B1522E">
        <w:rPr>
          <w:rFonts w:cstheme="minorHAnsi"/>
          <w:lang w:eastAsia="en-GB"/>
        </w:rPr>
        <w:fldChar w:fldCharType="end"/>
      </w:r>
      <w:r w:rsidRPr="00B1522E">
        <w:rPr>
          <w:rFonts w:cstheme="minorHAnsi"/>
          <w:lang w:eastAsia="en-GB"/>
        </w:rPr>
        <w:t xml:space="preserve">. </w:t>
      </w:r>
      <w:r w:rsidRPr="00B1522E">
        <w:rPr>
          <w:rFonts w:eastAsia="Times New Roman" w:cstheme="minorHAnsi"/>
          <w:bdr w:val="none" w:sz="0" w:space="0" w:color="auto" w:frame="1"/>
          <w:shd w:val="clear" w:color="auto" w:fill="FFFFFF"/>
          <w:lang w:eastAsia="en-GB"/>
        </w:rPr>
        <w:t>Within this younger adolescent age group, these commonly-held normative misperceptions need to be challenged in order to reduce unhealthy snacking</w:t>
      </w:r>
      <w:r w:rsidRPr="00B1522E">
        <w:rPr>
          <w:rFonts w:cstheme="minorHAnsi"/>
          <w:noProof/>
        </w:rPr>
        <w:t xml:space="preserve">. </w:t>
      </w:r>
      <w:r w:rsidRPr="00B1522E">
        <w:rPr>
          <w:rFonts w:eastAsia="Times New Roman" w:cstheme="minorHAnsi"/>
          <w:bdr w:val="none" w:sz="0" w:space="0" w:color="auto" w:frame="1"/>
          <w:shd w:val="clear" w:color="auto" w:fill="FFFFFF"/>
          <w:lang w:eastAsia="en-GB"/>
        </w:rPr>
        <w:t xml:space="preserve">The findings of the current research lend support to the use of social norms feedback that reveals the actual norm to help challenge these inaccurate normative perceptions, with the aim of reducing unhealthy snacking in adolescents. Prior research has demonstrated convincing evidence for the use of a social-norms-based intervention to challenge inaccurate normative perceptions to improve personal unhealthy behaviours </w:t>
      </w:r>
      <w:r w:rsidRPr="00B1522E">
        <w:rPr>
          <w:rFonts w:eastAsia="Times New Roman" w:cstheme="minorHAnsi"/>
          <w:bdr w:val="none" w:sz="0" w:space="0" w:color="auto" w:frame="1"/>
          <w:shd w:val="clear" w:color="auto" w:fill="FFFFFF"/>
          <w:lang w:eastAsia="en-GB"/>
        </w:rPr>
        <w:fldChar w:fldCharType="begin" w:fldLock="1"/>
      </w:r>
      <w:r w:rsidR="007463D4" w:rsidRPr="00B1522E">
        <w:rPr>
          <w:rFonts w:eastAsia="Times New Roman" w:cstheme="minorHAnsi"/>
          <w:bdr w:val="none" w:sz="0" w:space="0" w:color="auto" w:frame="1"/>
          <w:shd w:val="clear" w:color="auto" w:fill="FFFFFF"/>
          <w:lang w:eastAsia="en-GB"/>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eastAsia="Times New Roman" w:cstheme="minorHAnsi"/>
          <w:bdr w:val="none" w:sz="0" w:space="0" w:color="auto" w:frame="1"/>
          <w:shd w:val="clear" w:color="auto" w:fill="FFFFFF"/>
          <w:lang w:eastAsia="en-GB"/>
        </w:rPr>
        <w:fldChar w:fldCharType="separate"/>
      </w:r>
      <w:r w:rsidR="002908AE" w:rsidRPr="00B1522E">
        <w:rPr>
          <w:rFonts w:eastAsia="Times New Roman" w:cstheme="minorHAnsi"/>
          <w:noProof/>
          <w:bdr w:val="none" w:sz="0" w:space="0" w:color="auto" w:frame="1"/>
          <w:shd w:val="clear" w:color="auto" w:fill="FFFFFF"/>
          <w:lang w:eastAsia="en-GB"/>
        </w:rPr>
        <w:t>(Dempsey et al., 2018)</w:t>
      </w:r>
      <w:r w:rsidRPr="00B1522E">
        <w:rPr>
          <w:rFonts w:eastAsia="Times New Roman" w:cstheme="minorHAnsi"/>
          <w:bdr w:val="none" w:sz="0" w:space="0" w:color="auto" w:frame="1"/>
          <w:shd w:val="clear" w:color="auto" w:fill="FFFFFF"/>
          <w:lang w:eastAsia="en-GB"/>
        </w:rPr>
        <w:fldChar w:fldCharType="end"/>
      </w:r>
      <w:r w:rsidRPr="00B1522E">
        <w:rPr>
          <w:rFonts w:eastAsia="Times New Roman" w:cstheme="minorHAnsi"/>
          <w:bdr w:val="none" w:sz="0" w:space="0" w:color="auto" w:frame="1"/>
          <w:shd w:val="clear" w:color="auto" w:fill="FFFFFF"/>
          <w:lang w:eastAsia="en-GB"/>
        </w:rPr>
        <w:t>.</w:t>
      </w:r>
    </w:p>
    <w:p w14:paraId="1728E02B" w14:textId="77777777" w:rsidR="00730501" w:rsidRPr="00B1522E" w:rsidRDefault="00730501" w:rsidP="002D6D48">
      <w:pPr>
        <w:spacing w:line="480" w:lineRule="auto"/>
        <w:jc w:val="both"/>
        <w:rPr>
          <w:rFonts w:eastAsia="Times New Roman" w:cstheme="minorHAnsi"/>
          <w:bdr w:val="none" w:sz="0" w:space="0" w:color="auto" w:frame="1"/>
          <w:shd w:val="clear" w:color="auto" w:fill="FFFFFF"/>
          <w:lang w:eastAsia="en-GB"/>
        </w:rPr>
      </w:pPr>
    </w:p>
    <w:bookmarkStart w:id="221" w:name="_Toc84678957"/>
    <w:p w14:paraId="162CA099" w14:textId="7029973C" w:rsidR="00730501" w:rsidRPr="00B1522E" w:rsidRDefault="00B932D9" w:rsidP="002D6D48">
      <w:pPr>
        <w:spacing w:line="480" w:lineRule="auto"/>
      </w:pPr>
      <w:r w:rsidRPr="00B1522E">
        <w:lastRenderedPageBreak/>
        <w:fldChar w:fldCharType="begin"/>
      </w:r>
      <w:r w:rsidRPr="00B1522E">
        <w:instrText xml:space="preserve"> TC  "</w:instrText>
      </w:r>
      <w:bookmarkStart w:id="222" w:name="_Toc97310495"/>
      <w:r w:rsidRPr="00B1522E">
        <w:instrText>7.5.1 Strengths and Lim</w:instrText>
      </w:r>
      <w:r w:rsidR="002C4F8E" w:rsidRPr="00B1522E">
        <w:instrText>itations</w:instrText>
      </w:r>
      <w:bookmarkEnd w:id="222"/>
      <w:r w:rsidR="002C4F8E" w:rsidRPr="00B1522E">
        <w:instrText xml:space="preserve"> </w:instrText>
      </w:r>
      <w:r w:rsidRPr="00B1522E">
        <w:instrText xml:space="preserve">" \f x\l 3 </w:instrText>
      </w:r>
      <w:r w:rsidRPr="00B1522E">
        <w:fldChar w:fldCharType="end"/>
      </w:r>
      <w:r w:rsidR="00AC72CC" w:rsidRPr="00B1522E">
        <w:t>7.</w:t>
      </w:r>
      <w:r w:rsidR="00010DC2" w:rsidRPr="00B1522E">
        <w:t>5</w:t>
      </w:r>
      <w:r w:rsidR="00730501" w:rsidRPr="00B1522E">
        <w:t>.1 Strengths and Limitations</w:t>
      </w:r>
      <w:bookmarkEnd w:id="221"/>
      <w:r w:rsidR="00730501" w:rsidRPr="00B1522E">
        <w:t xml:space="preserve"> </w:t>
      </w:r>
    </w:p>
    <w:p w14:paraId="4919D24B" w14:textId="6F96933E" w:rsidR="00730501" w:rsidRPr="00B1522E" w:rsidRDefault="00730501" w:rsidP="002D6D48">
      <w:pPr>
        <w:spacing w:line="480" w:lineRule="auto"/>
        <w:jc w:val="both"/>
        <w:rPr>
          <w:rFonts w:cstheme="minorHAnsi"/>
        </w:rPr>
      </w:pPr>
      <w:r w:rsidRPr="00B1522E">
        <w:rPr>
          <w:rFonts w:cstheme="minorHAnsi"/>
        </w:rPr>
        <w:t xml:space="preserve">A strength of the current research was sampling children from areas of deprivation to understand what influences dietary behaviours, as research suggests children from these areas are more likely to engage in unhealthy eating practices which can lead to individuals </w:t>
      </w:r>
      <w:r w:rsidRPr="00B1522E">
        <w:rPr>
          <w:rFonts w:cstheme="minorHAnsi"/>
          <w:shd w:val="clear" w:color="auto" w:fill="FFFFFF"/>
        </w:rPr>
        <w:t>having overweight or obesity</w:t>
      </w:r>
      <w:r w:rsidRPr="00B1522E">
        <w:rPr>
          <w:rFonts w:cstheme="minorHAnsi"/>
        </w:rPr>
        <w:t xml:space="preserve"> </w:t>
      </w:r>
      <w:r w:rsidRPr="00B1522E">
        <w:rPr>
          <w:rFonts w:cstheme="minorHAnsi"/>
        </w:rPr>
        <w:fldChar w:fldCharType="begin" w:fldLock="1"/>
      </w:r>
      <w:r w:rsidR="00646277" w:rsidRPr="00B1522E">
        <w:rPr>
          <w:rFonts w:cstheme="minorHAnsi"/>
        </w:rPr>
        <w:instrText>ADDIN CSL_CITATION {"citationItems":[{"id":"ITEM-1","itemData":{"abstract":"OBJECTIVE To study the association between socioeconomic deprivation and childhood obesity. DESIGN Cross sectional study. SETTING All state primary schools in Plymouth. Plymouth is a relatively deprived city in the United Kingdom, ranking 338th of 366 local authorities on the Department of the Environment Index of Local Conditions. SUBJECTS 20 973 children between the ages of 5 and 14 years, 1994–96. MAIN OUTCOME MEASURE Numbers of obese children (body mass index (BMI) above the 98th centile) by quarters of Townsend score. RESULTS Plymouth had a rate of childhood obesity two and half times that expected nationally (5% v 2%). The obesity prevalence increased with age, being almost double in the oldest age quarter (boys 6.2%; girls 7.0%), compared with the youngest age quarter. Within Plymouth, there was a significant trend for higher rates of obesity related to increasing deprivation in both boys (p=0.017) and girls (p=0.018). The odds ratio (OR) for childhood obesity (highest-lowest quarter of Townsend scores) had borderline significance in boys (OR 1.29, 95% confidence intervals (CI) 1.00 to 1.65, p=0.049) but was larger and more significant in the girls (OR 1.39, 95% CI 1.08 to 1.80, p=0.011). Unlike boys, the association between obesity in girls and Townsend scores became stronger with age such that in the oldest age quarter (over 11.7 years), girls in the highest quarter of Townsend scores were nearly twice as likely be obese, as compared with the lowest quarter (OR 1.95, 95% CI 1.23 to 3.08, p=0.005). State of pubertal development could not be accounted for as this information was not available. CONCLUSIONS This study provides evidence for an association between deprivation and childhood obesity in this English population. The health of children from deprived households is affected by a number of adverse influences. The high prevalence of obesity in these children is yet another factor that could predispose to greater morbidity in adult life.","author":[{"dropping-particle":"","family":"Kinra","given":"Sanjay","non-dropping-particle":"","parse-names":false,"suffix":""},{"dropping-particle":"","family":"Nelder","given":"Robert P","non-dropping-particle":"","parse-names":false,"suffix":""},{"dropping-particle":"","family":"Lewendon","given":"Gill J","non-dropping-particle":"","parse-names":false,"suffix":""}],"container-title":"Journal of Epidemiology and Community Health","id":"ITEM-1","issue":"6","issued":{"date-parts":[["2000","6","1"]]},"page":"456 - 460","title":"Deprivation and childhood obesity: a cross sectional study of 20 973 children in Plymouth, United Kingdom","type":"article-journal","volume":"54"},"uris":["http://www.mendeley.com/documents/?uuid=dac4ad49-9727-4293-af8a-ad1100358859"]},{"id":"ITEM-2","itemData":{"ISSN":"2044-6055","author":[{"dropping-particle":"","family":"Thomas","given":"Fiona","non-dropping-particle":"","parse-names":false,"suffix":""},{"dropping-particle":"","family":"Thomas","given":"Christopher","non-dropping-particle":"","parse-names":false,"suffix":""},{"dropping-particle":"","family":"Hooper","given":"Lucie","non-dropping-particle":"","parse-names":false,"suffix":""},{"dropping-particle":"","family":"Rosenberg","given":"Gillian","non-dropping-particle":"","parse-names":false,"suffix":""},{"dropping-particle":"","family":"Vohra","given":"Jyotsna","non-dropping-particle":"","parse-names":false,"suffix":""},{"dropping-particle":"","family":"Bauld","given":"Linda","non-dropping-particle":"","parse-names":false,"suffix":""}],"container-title":"BMJ open","id":"ITEM-2","issue":"6","issued":{"date-parts":[["2019"]]},"page":"e027333","publisher":"British Medical Journal Publishing Group","title":"Area deprivation, screen time and consumption of food and drink high in fat salt and sugar (HFSS) in young people: results from a cross-sectional study in the UK","type":"article-journal","volume":"9"},"uris":["http://www.mendeley.com/documents/?uuid=29029d96-f32a-4242-bc54-7f3b68f6181b"]},{"id":"ITEM-3","itemData":{"URL":"https://www.gov.uk/government/publications/childhood-obesity-applying-all-our-health/childhood-obesity-applying-all-our-health","author":[{"dropping-particle":"","family":"Public Health England","given":"","non-dropping-particle":"","parse-names":false,"suffix":""}],"id":"ITEM-3","issued":{"date-parts":[["2020"]]},"publisher":"London PHE London","title":"Childhood obesity: Applying all our Health","type":"webpage"},"uris":["http://www.mendeley.com/documents/?uuid=bce80d0a-b08a-4cc7-819c-c1b79d7af988"]}],"mendeley":{"formattedCitation":"(Kinra et al., 2000; Public Health England, 2020; F. Thomas et al., 2019)","manualFormatting":"(Kinra et al., 2000; Public Health England, 2020; Thomas et al., 2019)","plainTextFormattedCitation":"(Kinra et al., 2000; Public Health England, 2020; F. Thomas et al., 2019)","previouslyFormattedCitation":"(Kinra et al., 2000; Public Health England, 2020; F. Thomas et al., 2019)"},"properties":{"noteIndex":0},"schema":"https://github.com/citation-style-language/schema/raw/master/csl-citation.json"}</w:instrText>
      </w:r>
      <w:r w:rsidRPr="00B1522E">
        <w:rPr>
          <w:rFonts w:cstheme="minorHAnsi"/>
        </w:rPr>
        <w:fldChar w:fldCharType="separate"/>
      </w:r>
      <w:r w:rsidR="0048570A" w:rsidRPr="00B1522E">
        <w:rPr>
          <w:rFonts w:cstheme="minorHAnsi"/>
          <w:noProof/>
        </w:rPr>
        <w:t>(Kinra et al., 2000; Public Health England, 2020;</w:t>
      </w:r>
      <w:r w:rsidR="00A032AC" w:rsidRPr="00B1522E">
        <w:rPr>
          <w:rFonts w:cstheme="minorHAnsi"/>
          <w:noProof/>
        </w:rPr>
        <w:t xml:space="preserve"> </w:t>
      </w:r>
      <w:r w:rsidR="0048570A" w:rsidRPr="00B1522E">
        <w:rPr>
          <w:rFonts w:cstheme="minorHAnsi"/>
          <w:noProof/>
        </w:rPr>
        <w:t>Thomas et al., 2019)</w:t>
      </w:r>
      <w:r w:rsidRPr="00B1522E">
        <w:rPr>
          <w:rFonts w:cstheme="minorHAnsi"/>
        </w:rPr>
        <w:fldChar w:fldCharType="end"/>
      </w:r>
      <w:r w:rsidRPr="00B1522E">
        <w:rPr>
          <w:rFonts w:cstheme="minorHAnsi"/>
        </w:rPr>
        <w:t xml:space="preserve">. It is acknowledged even though students sampled were from schools located in socially-deprived areas </w:t>
      </w:r>
      <w:r w:rsidRPr="00B1522E">
        <w:rPr>
          <w:rFonts w:cstheme="minorHAnsi"/>
        </w:rPr>
        <w:fldChar w:fldCharType="begin" w:fldLock="1"/>
      </w:r>
      <w:r w:rsidR="0048570A" w:rsidRPr="00B1522E">
        <w:rPr>
          <w:rFonts w:cstheme="minorHAnsi"/>
        </w:rPr>
        <w:instrText>ADDIN CSL_CITATION {"citationItems":[{"id":"ITEM-1","itemData":{"author":[{"dropping-particle":"","family":"Noble","given":"Stefan","non-dropping-particle":"","parse-names":false,"suffix":""},{"dropping-particle":"","family":"McLennan","given":"David","non-dropping-particle":"","parse-names":false,"suffix":""},{"dropping-particle":"","family":"Noble","given":"Michael","non-dropping-particle":"","parse-names":false,"suffix":""},{"dropping-particle":"","family":"Plunkett","given":"Emma","non-dropping-particle":"","parse-names":false,"suffix":""},{"dropping-particle":"","family":"Gutacker","given":"Nils","non-dropping-particle":"","parse-names":false,"suffix":""},{"dropping-particle":"","family":"Silk","given":"Mary","non-dropping-particle":"","parse-names":false,"suffix":""},{"dropping-particle":"","family":"Wright","given":"Gemma","non-dropping-particle":"","parse-names":false,"suffix":""}],"id":"ITEM-1","issued":{"date-parts":[["2019"]]},"publisher":"Ministry of Housing, Communities and Local Government","title":"The English indices of deprivation 2019","type":"report"},"uris":["http://www.mendeley.com/documents/?uuid=c2ffbd70-f225-4156-97a9-c107b1be01bd"]}],"mendeley":{"formattedCitation":"(Noble et al., 2019)","plainTextFormattedCitation":"(Noble et al., 2019)","previouslyFormattedCitation":"(Noble et al., 2019)"},"properties":{"noteIndex":0},"schema":"https://github.com/citation-style-language/schema/raw/master/csl-citation.json"}</w:instrText>
      </w:r>
      <w:r w:rsidRPr="00B1522E">
        <w:rPr>
          <w:rFonts w:cstheme="minorHAnsi"/>
        </w:rPr>
        <w:fldChar w:fldCharType="separate"/>
      </w:r>
      <w:r w:rsidRPr="00B1522E">
        <w:rPr>
          <w:rFonts w:cstheme="minorHAnsi"/>
          <w:noProof/>
        </w:rPr>
        <w:t>(Noble et al., 2019)</w:t>
      </w:r>
      <w:r w:rsidRPr="00B1522E">
        <w:rPr>
          <w:rFonts w:cstheme="minorHAnsi"/>
        </w:rPr>
        <w:fldChar w:fldCharType="end"/>
      </w:r>
      <w:r w:rsidRPr="00B1522E">
        <w:rPr>
          <w:rFonts w:cstheme="minorHAnsi"/>
        </w:rPr>
        <w:t xml:space="preserve">, there could be variability within the populations’ </w:t>
      </w:r>
      <w:r w:rsidRPr="00B1522E">
        <w:rPr>
          <w:rFonts w:cstheme="minorHAnsi"/>
          <w:shd w:val="clear" w:color="auto" w:fill="FFFFFF"/>
        </w:rPr>
        <w:t>socio-economic statu</w:t>
      </w:r>
      <w:r w:rsidRPr="00B1522E">
        <w:rPr>
          <w:rFonts w:cstheme="minorHAnsi"/>
        </w:rPr>
        <w:t>s (SES) and there could be other indicators of SES e.g., parental occupation. Importantly, the current study was designed in collaboration with the schools, this allowed for more a holistic understanding of the population under investigation. The schools indicated that the literacy levels amongst their parents and students were below national averages for various reasons (</w:t>
      </w:r>
      <w:r w:rsidR="007D734F" w:rsidRPr="00B1522E">
        <w:rPr>
          <w:rFonts w:cstheme="minorHAnsi"/>
        </w:rPr>
        <w:t>e.g.,</w:t>
      </w:r>
      <w:r w:rsidRPr="00B1522E">
        <w:rPr>
          <w:rFonts w:cstheme="minorHAnsi"/>
        </w:rPr>
        <w:t xml:space="preserve"> a proportion of families where English was not the first language). Therefore, information </w:t>
      </w:r>
      <w:r w:rsidRPr="00B1522E">
        <w:rPr>
          <w:rFonts w:cstheme="minorHAnsi"/>
          <w:shd w:val="clear" w:color="auto" w:fill="FFFFFF"/>
        </w:rPr>
        <w:t xml:space="preserve">about a student’s snacking behaviours could not be easily collected via parent-reported measures of the child’s behaviour, and schools expressed that students may struggle to complete food diaries as they may have difficulty clearly documenting both food consumed and relative portion size. </w:t>
      </w:r>
      <w:r w:rsidRPr="00B1522E">
        <w:rPr>
          <w:rFonts w:cstheme="minorHAnsi"/>
        </w:rPr>
        <w:t>Although we recognise there may be limitations to collecting data using self-report questionnaires, based on feedback from the schools this was deemed the most appropriate assessment tool for this population.</w:t>
      </w:r>
      <w:r w:rsidRPr="00B1522E">
        <w:rPr>
          <w:rFonts w:cstheme="minorHAnsi"/>
          <w:shd w:val="clear" w:color="auto" w:fill="EFF2F7"/>
        </w:rPr>
        <w:t xml:space="preserve"> </w:t>
      </w:r>
      <w:r w:rsidRPr="00B1522E">
        <w:rPr>
          <w:rFonts w:cstheme="minorHAnsi"/>
        </w:rPr>
        <w:t xml:space="preserve">The questionnaire measures were tailored to students reading age and understanding and this was verified by the key contacts (who were teachers) at both schools. </w:t>
      </w:r>
    </w:p>
    <w:p w14:paraId="7EA5505F" w14:textId="1D5E96F3" w:rsidR="00730501" w:rsidRPr="00B1522E" w:rsidRDefault="00730501" w:rsidP="002D6D48">
      <w:pPr>
        <w:spacing w:line="480" w:lineRule="auto"/>
        <w:ind w:firstLine="720"/>
        <w:jc w:val="both"/>
        <w:rPr>
          <w:rFonts w:eastAsia="Times New Roman" w:cstheme="minorHAnsi"/>
          <w:bdr w:val="none" w:sz="0" w:space="0" w:color="auto" w:frame="1"/>
          <w:shd w:val="clear" w:color="auto" w:fill="FFFFFF"/>
          <w:lang w:eastAsia="en-GB"/>
        </w:rPr>
      </w:pPr>
      <w:r w:rsidRPr="00B1522E">
        <w:rPr>
          <w:rFonts w:cstheme="minorHAnsi"/>
        </w:rPr>
        <w:t>The current findings are important as they present the first evidence of an association between normative misperception and unhealthy snacking behaviour of younger adolescents, although inferences cannot be made about causality. The current research focused on unhealthy snacking as this was identified by students at both schools as a common behaviour within this population; however, it is acknowledged that students could be engaging in other unhealthy behaviours (</w:t>
      </w:r>
      <w:r w:rsidR="007D734F" w:rsidRPr="00B1522E">
        <w:rPr>
          <w:rFonts w:cstheme="minorHAnsi"/>
        </w:rPr>
        <w:t>e.g.,</w:t>
      </w:r>
      <w:r w:rsidRPr="00B1522E">
        <w:rPr>
          <w:rFonts w:cstheme="minorHAnsi"/>
        </w:rPr>
        <w:t xml:space="preserve"> </w:t>
      </w:r>
      <w:r w:rsidRPr="00B1522E">
        <w:rPr>
          <w:rFonts w:cstheme="minorHAnsi"/>
          <w:spacing w:val="4"/>
          <w:shd w:val="clear" w:color="auto" w:fill="FFFFFF"/>
        </w:rPr>
        <w:t>sedentary behaviour)</w:t>
      </w:r>
      <w:r w:rsidRPr="00B1522E">
        <w:rPr>
          <w:rFonts w:cstheme="minorHAnsi"/>
        </w:rPr>
        <w:t xml:space="preserve"> that could contribute to the development of long-term </w:t>
      </w:r>
      <w:r w:rsidRPr="00B1522E">
        <w:rPr>
          <w:rFonts w:cstheme="minorHAnsi"/>
          <w:noProof/>
        </w:rPr>
        <w:t>health-comprising</w:t>
      </w:r>
      <w:r w:rsidRPr="00B1522E">
        <w:rPr>
          <w:rFonts w:cstheme="minorHAnsi"/>
        </w:rPr>
        <w:t xml:space="preserve"> conditions, for example, obesity. </w:t>
      </w:r>
      <w:r w:rsidRPr="00B1522E">
        <w:rPr>
          <w:rFonts w:cstheme="minorHAnsi"/>
          <w:shd w:val="clear" w:color="auto" w:fill="FFFFFF"/>
        </w:rPr>
        <w:t xml:space="preserve">Lastly, it should be considered that unhealthy snack foods </w:t>
      </w:r>
      <w:r w:rsidRPr="00B1522E">
        <w:rPr>
          <w:rFonts w:cstheme="minorHAnsi"/>
          <w:shd w:val="clear" w:color="auto" w:fill="FFFFFF"/>
        </w:rPr>
        <w:lastRenderedPageBreak/>
        <w:t xml:space="preserve">identified as commonly consumed across the two schools may differ in other geographic locations as they may be also influenced by other factors, </w:t>
      </w:r>
      <w:r w:rsidR="007D734F" w:rsidRPr="00B1522E">
        <w:rPr>
          <w:rFonts w:cstheme="minorHAnsi"/>
          <w:shd w:val="clear" w:color="auto" w:fill="FFFFFF"/>
        </w:rPr>
        <w:t>i.e.,</w:t>
      </w:r>
      <w:r w:rsidRPr="00B1522E">
        <w:rPr>
          <w:rFonts w:cstheme="minorHAnsi"/>
          <w:shd w:val="clear" w:color="auto" w:fill="FFFFFF"/>
        </w:rPr>
        <w:t xml:space="preserve"> availability of food in school and in the local community.</w:t>
      </w:r>
      <w:r w:rsidRPr="00B1522E">
        <w:rPr>
          <w:rFonts w:eastAsia="Times New Roman" w:cstheme="minorHAnsi"/>
          <w:bdr w:val="none" w:sz="0" w:space="0" w:color="auto" w:frame="1"/>
          <w:shd w:val="clear" w:color="auto" w:fill="FFFFFF"/>
          <w:lang w:eastAsia="en-GB"/>
        </w:rPr>
        <w:t xml:space="preserve"> This makes it difficult to make a direct comparison to the population norm owing to the complexity of unhealthy snacking and the unique measures used within this study. </w:t>
      </w:r>
    </w:p>
    <w:p w14:paraId="27095781" w14:textId="77777777" w:rsidR="00730501" w:rsidRPr="00B1522E" w:rsidRDefault="00730501" w:rsidP="002D6D48">
      <w:pPr>
        <w:spacing w:line="480" w:lineRule="auto"/>
        <w:jc w:val="both"/>
        <w:rPr>
          <w:rFonts w:cstheme="minorHAnsi"/>
        </w:rPr>
      </w:pPr>
    </w:p>
    <w:bookmarkStart w:id="223" w:name="_Toc84678958"/>
    <w:p w14:paraId="2C6EC79B" w14:textId="2185CE12" w:rsidR="00730501" w:rsidRPr="00B1522E" w:rsidRDefault="002C4F8E" w:rsidP="002D6D48">
      <w:pPr>
        <w:spacing w:line="480" w:lineRule="auto"/>
      </w:pPr>
      <w:r w:rsidRPr="00B1522E">
        <w:fldChar w:fldCharType="begin"/>
      </w:r>
      <w:r w:rsidRPr="00B1522E">
        <w:instrText xml:space="preserve"> TC  "</w:instrText>
      </w:r>
      <w:bookmarkStart w:id="224" w:name="_Toc97310496"/>
      <w:r w:rsidRPr="00B1522E">
        <w:instrText>7.5.2 Conclusion</w:instrText>
      </w:r>
      <w:bookmarkEnd w:id="224"/>
      <w:r w:rsidRPr="00B1522E">
        <w:instrText xml:space="preserve"> " \f x\l 3 </w:instrText>
      </w:r>
      <w:r w:rsidRPr="00B1522E">
        <w:fldChar w:fldCharType="end"/>
      </w:r>
      <w:r w:rsidR="00AC72CC" w:rsidRPr="00B1522E">
        <w:t>7.</w:t>
      </w:r>
      <w:r w:rsidR="00010DC2" w:rsidRPr="00B1522E">
        <w:t>5</w:t>
      </w:r>
      <w:r w:rsidR="00730501" w:rsidRPr="00B1522E">
        <w:t>.2 Conclusion</w:t>
      </w:r>
      <w:bookmarkEnd w:id="223"/>
    </w:p>
    <w:p w14:paraId="30EC53AF" w14:textId="77777777" w:rsidR="00730501" w:rsidRPr="00B1522E" w:rsidRDefault="00730501" w:rsidP="002D6D48">
      <w:pPr>
        <w:spacing w:line="480" w:lineRule="auto"/>
        <w:jc w:val="both"/>
        <w:rPr>
          <w:rFonts w:cstheme="minorHAnsi"/>
        </w:rPr>
      </w:pPr>
      <w:r w:rsidRPr="00B1522E">
        <w:rPr>
          <w:rFonts w:cstheme="minorHAnsi"/>
        </w:rPr>
        <w:t xml:space="preserve">The current study contributes to our understanding of normative social influences on unhealthy snacking in younger adolescents. </w:t>
      </w:r>
      <w:r w:rsidRPr="00B1522E">
        <w:rPr>
          <w:rFonts w:cstheme="minorHAnsi"/>
          <w:shd w:val="clear" w:color="auto" w:fill="FFFFFF"/>
        </w:rPr>
        <w:t xml:space="preserve">The findings provide evidence that normative misperceptions of unhealthy snacking exist amongst </w:t>
      </w:r>
      <w:r w:rsidRPr="00B1522E">
        <w:rPr>
          <w:rFonts w:cstheme="minorHAnsi"/>
        </w:rPr>
        <w:t xml:space="preserve">11- to 12-year-olds. These inaccurate normative perceptions are associated with increased personal unhealthy snacking consumption and a more positive personal attitude towards regular unhealthy snacking. </w:t>
      </w:r>
      <w:r w:rsidRPr="00B1522E">
        <w:rPr>
          <w:rFonts w:cstheme="minorHAnsi"/>
          <w:shd w:val="clear" w:color="auto" w:fill="FFFFFF"/>
        </w:rPr>
        <w:t>The findings indicate that a social-norms-based intervention that provides accurate group level social norms w</w:t>
      </w:r>
      <w:r w:rsidRPr="00B1522E">
        <w:rPr>
          <w:rFonts w:cstheme="minorHAnsi"/>
        </w:rPr>
        <w:t xml:space="preserve">ould be a feasible strategy to help challenge commonly-held normative misperceptions of unhealthy snacking amongst younger adolescents. </w:t>
      </w:r>
    </w:p>
    <w:p w14:paraId="2E7EA6DB" w14:textId="77777777" w:rsidR="007C478F" w:rsidRPr="00B1522E" w:rsidRDefault="007C478F" w:rsidP="00DD5BC7">
      <w:pPr>
        <w:rPr>
          <w:rFonts w:cstheme="minorHAnsi"/>
          <w:b/>
          <w:bCs/>
        </w:rPr>
      </w:pPr>
    </w:p>
    <w:p w14:paraId="51BB00EA" w14:textId="0E1EF830" w:rsidR="0006775C" w:rsidRPr="00B1522E" w:rsidRDefault="0006775C" w:rsidP="00DD5BC7">
      <w:pPr>
        <w:rPr>
          <w:rFonts w:cstheme="minorHAnsi"/>
          <w:b/>
          <w:bCs/>
        </w:rPr>
      </w:pPr>
    </w:p>
    <w:p w14:paraId="5524017C" w14:textId="6159C6CA" w:rsidR="0006775C" w:rsidRPr="00B1522E" w:rsidRDefault="0006775C" w:rsidP="00DD5BC7">
      <w:pPr>
        <w:rPr>
          <w:rFonts w:cstheme="minorHAnsi"/>
          <w:b/>
          <w:bCs/>
        </w:rPr>
      </w:pPr>
    </w:p>
    <w:p w14:paraId="4C2C1DEE" w14:textId="5385188A" w:rsidR="0006775C" w:rsidRPr="00B1522E" w:rsidRDefault="0006775C" w:rsidP="00DD5BC7">
      <w:pPr>
        <w:rPr>
          <w:rFonts w:cstheme="minorHAnsi"/>
          <w:b/>
          <w:bCs/>
        </w:rPr>
      </w:pPr>
    </w:p>
    <w:p w14:paraId="340B413F" w14:textId="2ED2E2EF" w:rsidR="0006775C" w:rsidRPr="00B1522E" w:rsidRDefault="0006775C" w:rsidP="00DD5BC7">
      <w:pPr>
        <w:rPr>
          <w:rFonts w:cstheme="minorHAnsi"/>
          <w:b/>
          <w:bCs/>
        </w:rPr>
      </w:pPr>
    </w:p>
    <w:p w14:paraId="6B58A484" w14:textId="42AC56E9" w:rsidR="0006775C" w:rsidRPr="00B1522E" w:rsidRDefault="0006775C" w:rsidP="00DD5BC7">
      <w:pPr>
        <w:rPr>
          <w:rFonts w:cstheme="minorHAnsi"/>
          <w:b/>
          <w:bCs/>
        </w:rPr>
      </w:pPr>
    </w:p>
    <w:p w14:paraId="688F0554" w14:textId="51CC5BCE" w:rsidR="0006775C" w:rsidRPr="00B1522E" w:rsidRDefault="0006775C" w:rsidP="00DD5BC7">
      <w:pPr>
        <w:rPr>
          <w:rFonts w:cstheme="minorHAnsi"/>
          <w:b/>
          <w:bCs/>
        </w:rPr>
      </w:pPr>
    </w:p>
    <w:p w14:paraId="27EAC415" w14:textId="74710FB9" w:rsidR="0006775C" w:rsidRPr="00B1522E" w:rsidRDefault="0006775C" w:rsidP="00DD5BC7">
      <w:pPr>
        <w:rPr>
          <w:rFonts w:cstheme="minorHAnsi"/>
          <w:b/>
          <w:bCs/>
        </w:rPr>
      </w:pPr>
    </w:p>
    <w:p w14:paraId="307531F5" w14:textId="1B0A4053" w:rsidR="0006775C" w:rsidRPr="00B1522E" w:rsidRDefault="0006775C" w:rsidP="00DD5BC7">
      <w:pPr>
        <w:rPr>
          <w:rFonts w:cstheme="minorHAnsi"/>
          <w:b/>
          <w:bCs/>
        </w:rPr>
      </w:pPr>
    </w:p>
    <w:p w14:paraId="73526C18" w14:textId="3C09BA8C" w:rsidR="0006775C" w:rsidRPr="00B1522E" w:rsidRDefault="0006775C" w:rsidP="00DD5BC7">
      <w:pPr>
        <w:rPr>
          <w:rFonts w:cstheme="minorHAnsi"/>
          <w:b/>
          <w:bCs/>
        </w:rPr>
      </w:pPr>
    </w:p>
    <w:p w14:paraId="5C466101" w14:textId="13043C88" w:rsidR="0006775C" w:rsidRPr="00B1522E" w:rsidRDefault="0006775C" w:rsidP="00DD5BC7">
      <w:pPr>
        <w:rPr>
          <w:rFonts w:cstheme="minorHAnsi"/>
          <w:b/>
          <w:bCs/>
        </w:rPr>
      </w:pPr>
    </w:p>
    <w:p w14:paraId="2492E6BA" w14:textId="32AA45B0" w:rsidR="0006775C" w:rsidRPr="00B1522E" w:rsidRDefault="0006775C" w:rsidP="00DD5BC7">
      <w:pPr>
        <w:rPr>
          <w:rFonts w:cstheme="minorHAnsi"/>
          <w:b/>
          <w:bCs/>
        </w:rPr>
      </w:pPr>
    </w:p>
    <w:p w14:paraId="3C6CAE6D" w14:textId="306C5734" w:rsidR="0006775C" w:rsidRPr="00B1522E" w:rsidRDefault="0006775C" w:rsidP="00DD5BC7">
      <w:pPr>
        <w:rPr>
          <w:b/>
          <w:bCs/>
        </w:rPr>
      </w:pPr>
    </w:p>
    <w:p w14:paraId="475A23EE" w14:textId="7065EA69" w:rsidR="0006775C" w:rsidRPr="00B1522E" w:rsidRDefault="0006775C" w:rsidP="00DD5BC7">
      <w:pPr>
        <w:rPr>
          <w:b/>
          <w:bCs/>
        </w:rPr>
      </w:pPr>
    </w:p>
    <w:p w14:paraId="10DE9FC8" w14:textId="47A462D8" w:rsidR="00C610CB" w:rsidRPr="00B1522E" w:rsidRDefault="00C610CB" w:rsidP="00DD5BC7">
      <w:pPr>
        <w:rPr>
          <w:b/>
          <w:bCs/>
        </w:rPr>
      </w:pPr>
    </w:p>
    <w:p w14:paraId="0870D23D" w14:textId="192C8595" w:rsidR="00C610CB" w:rsidRPr="00B1522E" w:rsidRDefault="00C610CB" w:rsidP="00DD5BC7">
      <w:pPr>
        <w:rPr>
          <w:b/>
          <w:bCs/>
        </w:rPr>
      </w:pPr>
    </w:p>
    <w:p w14:paraId="5C0D6232" w14:textId="087CF36E" w:rsidR="00825CBF" w:rsidRPr="00B1522E" w:rsidRDefault="00825CBF" w:rsidP="00DD5BC7">
      <w:pPr>
        <w:rPr>
          <w:b/>
          <w:bCs/>
        </w:rPr>
      </w:pPr>
    </w:p>
    <w:p w14:paraId="3C937F94" w14:textId="01922896" w:rsidR="00825CBF" w:rsidRPr="00B1522E" w:rsidRDefault="00825CBF" w:rsidP="00DD5BC7">
      <w:pPr>
        <w:rPr>
          <w:b/>
          <w:bCs/>
        </w:rPr>
      </w:pPr>
    </w:p>
    <w:p w14:paraId="5F2BB178" w14:textId="2A444487" w:rsidR="00825CBF" w:rsidRPr="00B1522E" w:rsidRDefault="00825CBF" w:rsidP="00DD5BC7">
      <w:pPr>
        <w:rPr>
          <w:b/>
          <w:bCs/>
        </w:rPr>
      </w:pPr>
    </w:p>
    <w:p w14:paraId="1805BE9F" w14:textId="2F6E897E" w:rsidR="00825CBF" w:rsidRPr="00B1522E" w:rsidRDefault="00825CBF" w:rsidP="00DD5BC7">
      <w:pPr>
        <w:rPr>
          <w:b/>
          <w:bCs/>
        </w:rPr>
      </w:pPr>
    </w:p>
    <w:p w14:paraId="3E9D754C" w14:textId="77777777" w:rsidR="00825CBF" w:rsidRPr="00B1522E" w:rsidRDefault="00825CBF" w:rsidP="00DD5BC7">
      <w:pPr>
        <w:rPr>
          <w:b/>
          <w:bCs/>
        </w:rPr>
      </w:pPr>
    </w:p>
    <w:p w14:paraId="6D4CC2AF" w14:textId="77777777" w:rsidR="00F95290" w:rsidRPr="00B1522E" w:rsidRDefault="00F95290" w:rsidP="00F95290"/>
    <w:p w14:paraId="420CFBA7" w14:textId="77777777" w:rsidR="00825CBF" w:rsidRPr="00B1522E" w:rsidRDefault="00825CBF" w:rsidP="00F95290"/>
    <w:p w14:paraId="4EEA7128" w14:textId="77777777" w:rsidR="00825CBF" w:rsidRPr="00B1522E" w:rsidRDefault="00825CBF" w:rsidP="00F95290"/>
    <w:p w14:paraId="36CD2E4E" w14:textId="4EA2BA79" w:rsidR="001C319F" w:rsidRPr="00B1522E" w:rsidRDefault="00825CBF" w:rsidP="004642E1">
      <w:pPr>
        <w:spacing w:line="480" w:lineRule="auto"/>
      </w:pPr>
      <w:r w:rsidRPr="00B1522E">
        <w:rPr>
          <w:noProof/>
          <w:sz w:val="44"/>
          <w:szCs w:val="44"/>
        </w:rPr>
        <mc:AlternateContent>
          <mc:Choice Requires="wps">
            <w:drawing>
              <wp:anchor distT="91440" distB="91440" distL="114300" distR="114300" simplePos="0" relativeHeight="251702272" behindDoc="0" locked="0" layoutInCell="1" allowOverlap="1" wp14:anchorId="5D60A2AF" wp14:editId="046FA53C">
                <wp:simplePos x="0" y="0"/>
                <wp:positionH relativeFrom="page">
                  <wp:posOffset>802005</wp:posOffset>
                </wp:positionH>
                <wp:positionV relativeFrom="paragraph">
                  <wp:posOffset>450215</wp:posOffset>
                </wp:positionV>
                <wp:extent cx="5908675" cy="1403985"/>
                <wp:effectExtent l="0" t="0" r="15875" b="26670"/>
                <wp:wrapTopAndBottom/>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1571311D" w14:textId="64CA4EC1" w:rsidR="00F95290" w:rsidRPr="00F95290" w:rsidRDefault="002A140E" w:rsidP="00F95290">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225" w:name="_Toc97310497"/>
                            <w:r w:rsidRPr="00F95290">
                              <w:rPr>
                                <w:b/>
                                <w:bCs/>
                              </w:rPr>
                              <w:instrText>Chapter 8. An in-school Social Norms Approach intervention for reducing unhealthy snacking behaviours amongst 11- to 12-year-olds</w:instrText>
                            </w:r>
                            <w:bookmarkEnd w:id="225"/>
                            <w:r w:rsidRPr="005519AB">
                              <w:rPr>
                                <w:b/>
                                <w:bCs/>
                              </w:rPr>
                              <w:instrText xml:space="preserve"> </w:instrText>
                            </w:r>
                            <w:r>
                              <w:instrText xml:space="preserve">" \f x\l 1 </w:instrText>
                            </w:r>
                            <w:r>
                              <w:fldChar w:fldCharType="end"/>
                            </w:r>
                            <w:r>
                              <w:t xml:space="preserve"> </w:t>
                            </w:r>
                            <w:r w:rsidR="00F95290" w:rsidRPr="00F95290">
                              <w:rPr>
                                <w:sz w:val="48"/>
                                <w:szCs w:val="48"/>
                              </w:rPr>
                              <w:t>Chapter 8</w:t>
                            </w:r>
                          </w:p>
                          <w:p w14:paraId="3275D3D8" w14:textId="4CCA6EED" w:rsidR="00F95290" w:rsidRPr="00F95290" w:rsidRDefault="00F95290" w:rsidP="00F95290">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F95290">
                              <w:rPr>
                                <w:sz w:val="32"/>
                                <w:szCs w:val="32"/>
                              </w:rPr>
                              <w:t>An in-school Social Norms Approach intervention for reducing unhealthy snacking behaviours amongst 11- to 12-year-olds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0A2AF" id="_x0000_s1035" type="#_x0000_t202" style="position:absolute;margin-left:63.15pt;margin-top:35.45pt;width:465.25pt;height:110.55pt;z-index:2517022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" filled="f" strokecolor="white [3212]">
                <v:textbox style="mso-fit-shape-to-text:t">
                  <w:txbxContent>
                    <w:p w14:paraId="1571311D" w14:textId="64CA4EC1" w:rsidR="00F95290" w:rsidRPr="00F95290" w:rsidRDefault="002A140E" w:rsidP="00F95290">
                      <w:pPr>
                        <w:pBdr>
                          <w:top w:val="single" w:sz="24" w:space="8" w:color="auto"/>
                          <w:bottom w:val="single" w:sz="24" w:space="8" w:color="auto"/>
                        </w:pBdr>
                        <w:spacing w:after="0"/>
                        <w:jc w:val="center"/>
                        <w:rPr>
                          <w:sz w:val="48"/>
                          <w:szCs w:val="48"/>
                        </w:rPr>
                      </w:pPr>
                      <w:r>
                        <w:fldChar w:fldCharType="begin"/>
                      </w:r>
                      <w:r>
                        <w:instrText xml:space="preserve"> TC  "</w:instrText>
                      </w:r>
                      <w:r w:rsidRPr="005519AB">
                        <w:rPr>
                          <w:b/>
                          <w:bCs/>
                        </w:rPr>
                        <w:instrText xml:space="preserve"> </w:instrText>
                      </w:r>
                      <w:bookmarkStart w:id="226" w:name="_Toc97310497"/>
                      <w:r w:rsidRPr="00F95290">
                        <w:rPr>
                          <w:b/>
                          <w:bCs/>
                        </w:rPr>
                        <w:instrText>Chapter 8. An in-school Social Norms Approach intervention for reducing unhealthy snacking behaviours amongst 11- to 12-year-olds</w:instrText>
                      </w:r>
                      <w:bookmarkEnd w:id="226"/>
                      <w:r w:rsidRPr="005519AB">
                        <w:rPr>
                          <w:b/>
                          <w:bCs/>
                        </w:rPr>
                        <w:instrText xml:space="preserve"> </w:instrText>
                      </w:r>
                      <w:r>
                        <w:instrText xml:space="preserve">" \f x\l 1 </w:instrText>
                      </w:r>
                      <w:r>
                        <w:fldChar w:fldCharType="end"/>
                      </w:r>
                      <w:r>
                        <w:t xml:space="preserve"> </w:t>
                      </w:r>
                      <w:r w:rsidR="00F95290" w:rsidRPr="00F95290">
                        <w:rPr>
                          <w:sz w:val="48"/>
                          <w:szCs w:val="48"/>
                        </w:rPr>
                        <w:t>Chapter 8</w:t>
                      </w:r>
                    </w:p>
                    <w:p w14:paraId="3275D3D8" w14:textId="4CCA6EED" w:rsidR="00F95290" w:rsidRPr="00F95290" w:rsidRDefault="00F95290" w:rsidP="00F95290">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F95290">
                        <w:rPr>
                          <w:sz w:val="32"/>
                          <w:szCs w:val="32"/>
                        </w:rPr>
                        <w:t>An in-school Social Norms Approach intervention for reducing unhealthy snacking behaviours amongst 11- to 12-year-olds</w:t>
                      </w:r>
                    </w:p>
                  </w:txbxContent>
                </v:textbox>
                <w10:wrap type="topAndBottom" anchorx="page"/>
              </v:shape>
            </w:pict>
          </mc:Fallback>
        </mc:AlternateContent>
      </w:r>
    </w:p>
    <w:p w14:paraId="2D36CEEC" w14:textId="77777777" w:rsidR="00825CBF" w:rsidRPr="00B1522E" w:rsidRDefault="00825CBF" w:rsidP="006F2267">
      <w:pPr>
        <w:spacing w:line="480" w:lineRule="auto"/>
        <w:rPr>
          <w:rFonts w:cstheme="minorHAnsi"/>
        </w:rPr>
      </w:pPr>
    </w:p>
    <w:p w14:paraId="4AE8FDD8" w14:textId="77777777" w:rsidR="00825CBF" w:rsidRPr="00B1522E" w:rsidRDefault="00825CBF" w:rsidP="006F2267">
      <w:pPr>
        <w:spacing w:line="480" w:lineRule="auto"/>
        <w:rPr>
          <w:rFonts w:cstheme="minorHAnsi"/>
        </w:rPr>
      </w:pPr>
    </w:p>
    <w:p w14:paraId="4631D505" w14:textId="77777777" w:rsidR="00825CBF" w:rsidRPr="00B1522E" w:rsidRDefault="00825CBF" w:rsidP="006F2267">
      <w:pPr>
        <w:spacing w:line="480" w:lineRule="auto"/>
        <w:rPr>
          <w:rFonts w:cstheme="minorHAnsi"/>
        </w:rPr>
      </w:pPr>
    </w:p>
    <w:p w14:paraId="4619B19C" w14:textId="77777777" w:rsidR="00825CBF" w:rsidRPr="00B1522E" w:rsidRDefault="00825CBF" w:rsidP="006F2267">
      <w:pPr>
        <w:spacing w:line="480" w:lineRule="auto"/>
        <w:rPr>
          <w:rFonts w:cstheme="minorHAnsi"/>
        </w:rPr>
      </w:pPr>
    </w:p>
    <w:p w14:paraId="67403AED" w14:textId="77777777" w:rsidR="00825CBF" w:rsidRPr="00B1522E" w:rsidRDefault="00825CBF" w:rsidP="006F2267">
      <w:pPr>
        <w:spacing w:line="480" w:lineRule="auto"/>
        <w:rPr>
          <w:rFonts w:cstheme="minorHAnsi"/>
        </w:rPr>
      </w:pPr>
    </w:p>
    <w:p w14:paraId="498022E7" w14:textId="77777777" w:rsidR="00825CBF" w:rsidRPr="00B1522E" w:rsidRDefault="00825CBF" w:rsidP="006F2267">
      <w:pPr>
        <w:spacing w:line="480" w:lineRule="auto"/>
        <w:rPr>
          <w:rFonts w:cstheme="minorHAnsi"/>
        </w:rPr>
      </w:pPr>
    </w:p>
    <w:p w14:paraId="7AB09415" w14:textId="7600D10D" w:rsidR="006F2267" w:rsidRPr="00B1522E" w:rsidRDefault="006F2267" w:rsidP="006F2267">
      <w:pPr>
        <w:spacing w:line="480" w:lineRule="auto"/>
        <w:rPr>
          <w:rFonts w:cstheme="minorHAnsi"/>
        </w:rPr>
      </w:pPr>
      <w:r w:rsidRPr="00B1522E">
        <w:rPr>
          <w:rFonts w:cstheme="minorHAnsi"/>
        </w:rPr>
        <w:t xml:space="preserve">This chapter </w:t>
      </w:r>
      <w:r w:rsidR="0020589F" w:rsidRPr="00B1522E">
        <w:rPr>
          <w:rFonts w:cstheme="minorHAnsi"/>
        </w:rPr>
        <w:t xml:space="preserve">has been </w:t>
      </w:r>
      <w:r w:rsidRPr="00B1522E">
        <w:rPr>
          <w:rFonts w:cstheme="minorHAnsi"/>
        </w:rPr>
        <w:t>submitted for publication as:</w:t>
      </w:r>
    </w:p>
    <w:p w14:paraId="5AEB2501" w14:textId="03B4C312" w:rsidR="00DE1408" w:rsidRPr="00B1522E" w:rsidRDefault="002825D1" w:rsidP="00825CBF">
      <w:pPr>
        <w:spacing w:line="240" w:lineRule="auto"/>
      </w:pPr>
      <w:r w:rsidRPr="00B1522E">
        <w:rPr>
          <w:rFonts w:ascii="Calibri" w:hAnsi="Calibri" w:cs="Calibri"/>
          <w:noProof/>
        </w:rPr>
        <w:t>Calvert, S., Dempsey, R. C., Povey, R.</w:t>
      </w:r>
      <w:r w:rsidR="0020589F" w:rsidRPr="00B1522E">
        <w:rPr>
          <w:rFonts w:ascii="Calibri" w:hAnsi="Calibri" w:cs="Calibri"/>
          <w:noProof/>
        </w:rPr>
        <w:t>,</w:t>
      </w:r>
      <w:r w:rsidRPr="00B1522E">
        <w:rPr>
          <w:rFonts w:ascii="Calibri" w:hAnsi="Calibri" w:cs="Calibri"/>
          <w:noProof/>
        </w:rPr>
        <w:t xml:space="preserve"> &amp; </w:t>
      </w:r>
      <w:r w:rsidRPr="00B1522E">
        <w:rPr>
          <w:rFonts w:cstheme="minorHAnsi"/>
        </w:rPr>
        <w:t>Clark-Carter, D. (under review).</w:t>
      </w:r>
      <w:r w:rsidRPr="00B1522E">
        <w:rPr>
          <w:rFonts w:ascii="Calibri" w:hAnsi="Calibri" w:cs="Calibri"/>
          <w:noProof/>
        </w:rPr>
        <w:t xml:space="preserve"> </w:t>
      </w:r>
      <w:r w:rsidRPr="00B1522E">
        <w:t xml:space="preserve">An in-school Social Norms Approach intervention for reducing unhealthy snacking behaviours amongst 11- to 12-year-olds. </w:t>
      </w:r>
      <w:r w:rsidRPr="00B1522E">
        <w:rPr>
          <w:i/>
          <w:iCs/>
        </w:rPr>
        <w:t>[Manuscript has been revised and resubmitted to the British Journal of Health Psychology]</w:t>
      </w:r>
    </w:p>
    <w:bookmarkStart w:id="227" w:name="_Toc84678960"/>
    <w:p w14:paraId="500B31DB" w14:textId="42F06B8F" w:rsidR="0007405A" w:rsidRPr="00B1522E" w:rsidRDefault="00194138" w:rsidP="00AC6514">
      <w:pPr>
        <w:spacing w:line="480" w:lineRule="auto"/>
        <w:rPr>
          <w:b/>
          <w:bCs/>
        </w:rPr>
      </w:pPr>
      <w:r w:rsidRPr="00B1522E">
        <w:lastRenderedPageBreak/>
        <w:fldChar w:fldCharType="begin"/>
      </w:r>
      <w:r w:rsidRPr="00B1522E">
        <w:instrText xml:space="preserve"> TC  "</w:instrText>
      </w:r>
      <w:bookmarkStart w:id="228" w:name="_Toc97310498"/>
      <w:r w:rsidRPr="00B1522E">
        <w:instrText>8.1 Chapter overview</w:instrText>
      </w:r>
      <w:bookmarkEnd w:id="228"/>
      <w:r w:rsidRPr="00B1522E">
        <w:instrText xml:space="preserve">" \f x\l 2 </w:instrText>
      </w:r>
      <w:r w:rsidRPr="00B1522E">
        <w:fldChar w:fldCharType="end"/>
      </w:r>
      <w:r w:rsidR="004642E1" w:rsidRPr="00B1522E">
        <w:rPr>
          <w:b/>
          <w:bCs/>
        </w:rPr>
        <w:t>8.1 Chapter overview</w:t>
      </w:r>
      <w:bookmarkEnd w:id="227"/>
      <w:r w:rsidR="004642E1" w:rsidRPr="00B1522E">
        <w:rPr>
          <w:b/>
          <w:bCs/>
        </w:rPr>
        <w:t xml:space="preserve"> </w:t>
      </w:r>
    </w:p>
    <w:p w14:paraId="06B631F9" w14:textId="3A0A6A98" w:rsidR="004642E1" w:rsidRPr="00B1522E" w:rsidRDefault="004642E1" w:rsidP="00AC6514">
      <w:pPr>
        <w:pStyle w:val="NoSpacing"/>
        <w:spacing w:line="480" w:lineRule="auto"/>
        <w:jc w:val="both"/>
        <w:rPr>
          <w:rFonts w:cstheme="minorHAnsi"/>
        </w:rPr>
      </w:pPr>
      <w:r w:rsidRPr="00B1522E">
        <w:t>The previous Chapter aimed to test for the existence of dietary-related misperceptions amongst students and whether these misperceptions are associated with personal behaviour (Chapter 7). The current Chapter builds on this by investigat</w:t>
      </w:r>
      <w:r w:rsidR="00D146AA" w:rsidRPr="00B1522E">
        <w:t>ing</w:t>
      </w:r>
      <w:r w:rsidRPr="00B1522E">
        <w:t xml:space="preserve"> whether a Social Norms Approach (SNA) intervention which challenges normative misperceptions of peers’ unhealthy snacking</w:t>
      </w:r>
      <w:r w:rsidR="005F6EDF" w:rsidRPr="00B1522E">
        <w:t>,</w:t>
      </w:r>
      <w:r w:rsidR="00D92BBD" w:rsidRPr="00B1522E">
        <w:t xml:space="preserve"> </w:t>
      </w:r>
      <w:r w:rsidR="005A715C" w:rsidRPr="00B1522E">
        <w:t>will lead to a</w:t>
      </w:r>
      <w:r w:rsidR="00D92BBD" w:rsidRPr="00B1522E">
        <w:t xml:space="preserve"> reduc</w:t>
      </w:r>
      <w:r w:rsidR="005A715C" w:rsidRPr="00B1522E">
        <w:t>tion in</w:t>
      </w:r>
      <w:r w:rsidRPr="00B1522E">
        <w:rPr>
          <w:rFonts w:cstheme="minorHAnsi"/>
          <w:shd w:val="clear" w:color="auto" w:fill="FFFFFF"/>
        </w:rPr>
        <w:t xml:space="preserve"> students’ personal unhealthy snacking.</w:t>
      </w:r>
    </w:p>
    <w:p w14:paraId="16A7D342" w14:textId="77777777" w:rsidR="004642E1" w:rsidRPr="00B1522E" w:rsidRDefault="004642E1" w:rsidP="00AC6514">
      <w:pPr>
        <w:spacing w:line="480" w:lineRule="auto"/>
      </w:pPr>
    </w:p>
    <w:bookmarkStart w:id="229" w:name="_Toc84678961"/>
    <w:p w14:paraId="6E08B5BB" w14:textId="2E69FD1D" w:rsidR="0007405A" w:rsidRPr="00B1522E" w:rsidRDefault="00194138" w:rsidP="00AC6514">
      <w:pPr>
        <w:spacing w:line="480" w:lineRule="auto"/>
        <w:rPr>
          <w:b/>
          <w:bCs/>
        </w:rPr>
      </w:pPr>
      <w:r w:rsidRPr="00B1522E">
        <w:fldChar w:fldCharType="begin"/>
      </w:r>
      <w:r w:rsidRPr="00B1522E">
        <w:instrText xml:space="preserve"> TC  "</w:instrText>
      </w:r>
      <w:bookmarkStart w:id="230" w:name="_Toc97310499"/>
      <w:r w:rsidRPr="00B1522E">
        <w:instrText>8.2 Introduction</w:instrText>
      </w:r>
      <w:bookmarkEnd w:id="230"/>
      <w:r w:rsidRPr="00B1522E">
        <w:instrText xml:space="preserve"> " \f x\l 2 </w:instrText>
      </w:r>
      <w:r w:rsidRPr="00B1522E">
        <w:fldChar w:fldCharType="end"/>
      </w:r>
      <w:r w:rsidR="004642E1" w:rsidRPr="00B1522E">
        <w:rPr>
          <w:b/>
          <w:bCs/>
        </w:rPr>
        <w:t>8.2 Introduction</w:t>
      </w:r>
      <w:bookmarkEnd w:id="229"/>
    </w:p>
    <w:p w14:paraId="3B3B23E1" w14:textId="495ED92E" w:rsidR="00227193" w:rsidRPr="00B1522E" w:rsidRDefault="00227193" w:rsidP="00AC6514">
      <w:pPr>
        <w:spacing w:line="480" w:lineRule="auto"/>
        <w:jc w:val="both"/>
      </w:pPr>
      <w:r w:rsidRPr="00B1522E">
        <w:t xml:space="preserve">Health officials have warned that the heavy consumption of unhealthy snacks (both in portion size and frequency) by adolescents may be a main contributing factor to </w:t>
      </w:r>
      <w:r w:rsidR="00E952AC" w:rsidRPr="00B1522E">
        <w:t xml:space="preserve">them </w:t>
      </w:r>
      <w:r w:rsidRPr="00B1522E">
        <w:t xml:space="preserve">being overweight or obese </w:t>
      </w:r>
      <w:r w:rsidRPr="00B1522E">
        <w:fldChar w:fldCharType="begin" w:fldLock="1"/>
      </w:r>
      <w:r w:rsidR="00DF6CCC" w:rsidRPr="00B1522E">
        <w:instrText>ADDIN CSL_CITATION {"citationItems":[{"id":"ITEM-1","itemData":{"ISSN":"0007-1145","abstract":"Despite the potential link between snack food intake and obesity and the reportedly high prevalence of snacking among adolescents, adolescent snack food patterns (types of foods consumed, frequency and portion size) have not been extensively examined. This study examines these issues using data on the snacking patterns of adolescents aged 13–16 years who took part in the 1997 National Diet and Nutrition Survey (NDNS) and that from a Northern Irish (NI) cohort of adolescents collected 8 years later, in 2005. Overall energy intake was significantly higher in the NI adolescents in 2005 compared with the NDNS adolescents in 1997 (P &lt; 0·01). Consequently, energy intake from snacks was significantly higher in the NI cohort (P &lt; 0·01) and a trend for a higher % energy intake from snacks compared with the NDNS group was observed (median 32·5 % v. 29·8 %, respectively). Sugar-sweetened carbonated and soft drinks remained the most popular choice of snack over this 8-year period; however, both the portion size consumed and frequency of consumption were significantly higher among the adolescents in 2005 compared with those in 1997 (P = 0·022 and P = 0·014, respectively). Despite the lower popularity, and correspondingly lower frequency of milks and beverages, the portion size of both food groups was significantly higher among the adolescents in 2005 compared with those in 1997 (P &lt; 0·001 and P = 0·007, respectively). These findings may provide scope for policy interventions to place particular emphasis on reducing typical portion sizes consumed of popular snack choices, in particular high-energy carbonated and soft drinks, among UK adolescents.","author":[{"dropping-particle":"","family":"Kerr","given":"Maeve A","non-dropping-particle":"","parse-names":false,"suffix":""},{"dropping-particle":"","family":"Rennie","given":"Kirsten L","non-dropping-particle":"","parse-names":false,"suffix":""},{"dropping-particle":"","family":"McCaffrey","given":"Tracy A","non-dropping-particle":"","parse-names":false,"suffix":""},{"dropping-particle":"","family":"Wallace","given":"Julie M W","non-dropping-particle":"","parse-names":false,"suffix":""},{"dropping-particle":"","family":"Hannon-Fletcher","given":"Mary P","non-dropping-particle":"","parse-names":false,"suffix":""},{"dropping-particle":"","family":"Livingstone","given":"M Barbara E","non-dropping-particle":"","parse-names":false,"suffix":""}],"container-title":"British Journal of Nutrition","edition":"2008/06/05","id":"ITEM-1","issue":"1","issued":{"date-parts":[["2008"]]},"page":"122-131","publisher":"Cambridge University Press","title":"Snacking patterns among adolescents: a comparison of type, frequency and portion size between Britain in 1997 and Northern Ireland in 2005","type":"article-journal","volume":"101"},"uris":["http://www.mendeley.com/documents/?uuid=7f2b3ffe-d0a7-4f7c-8dcf-187060232787"]},{"id":"ITEM-2","itemData":{"ISSN":"1368-9800","abstract":"Objective:To determine the prevalence of overweight and obesity in British young people (4–18 years) in 1997.Design:Cross-sectional analysis of the National Diet and Nutrition Survey of young people.Setting:Great Britain.Subjects:Nationally representative sample of 1836 young people (age 4–18 years).Results:The prevalence of obesity based on body mass index (weight/height2) and the International Obesity Task Force cut–offs was 4.0%, with a further 15.4% identified as overweight. Asians were almost four times as likely to be obese as white subjects (13.6 vs. 3.5%, P &lt; 0.001). Among white subjects there was no significant difference in the prevalence of obesity between girls and boys, or with age. The risk of obesity was significantly higher in subjects from social classes IV and V than from social classes I–III (6.5 vs. 2.7%, P = 0.003). Subjects living in Scotland and Wales were significantly more likely to be obese than those in England (7.6 and 6.5 vs. 2.9%, respectively, P &lt; 0.01). Multiple logistic regression showed that, among white subjects, those in social classes IV and V living in Wales and Scotland were three times more likely to be obese than the other children in the survey (odds ratio 3.3, 95% confidence interval 1.1–9.8).Conclusion:These data provide information on the national prevalence of overweight and obesity in Great Britain and baseline data from which to monitor future trends. This analysis provides important demographic information on those most at risk of obesity, which may be used to inform public health strategies to prevent obesity in young people.","author":[{"dropping-particle":"","family":"Jebb","given":"Susan A","non-dropping-particle":"","parse-names":false,"suffix":""},{"dropping-particle":"","family":"Rennie","given":"Kirsten L","non-dropping-particle":"","parse-names":false,"suffix":""},{"dropping-particle":"","family":"Cole","given":"Tim J","non-dropping-particle":"","parse-names":false,"suffix":""}],"container-title":"Public Health Nutrition","edition":"2007/01/02","id":"ITEM-2","issue":"3","issued":{"date-parts":[["2004"]]},"page":"461-465","publisher":"Cambridge University Press","title":"Prevalence of overweight and obesity among young people in Great Britain","type":"article-journal","volume":"7"},"uris":["http://www.mendeley.com/documents/?uuid=d3184d0e-15fe-4a49-81ca-b2f3c5506494"]},{"id":"ITEM-3","itemData":{"URL":"https://www.gov.uk/government/news/phe-launches-change4life-campaign-around-childrens-snacking","author":[{"dropping-particle":"","family":"Public Health England","given":"","non-dropping-particle":"","parse-names":false,"suffix":""}],"id":"ITEM-3","issued":{"date-parts":[["2018"]]},"title":"PHE launches Change4Life campaign around children’s snacking","type":"webpage"},"uris":["http://www.mendeley.com/documents/?uuid=7b7d2dfb-dbf1-4c74-962f-fc44eb915ed6"]}],"mendeley":{"formattedCitation":"(Jebb et al., 2004; Kerr et al., 2008; Public Health England, 2018c)","plainTextFormattedCitation":"(Jebb et al., 2004; Kerr et al., 2008; Public Health England, 2018c)","previouslyFormattedCitation":"(Jebb et al., 2004; Kerr et al., 2008; Public Health England, 2018c)"},"properties":{"noteIndex":0},"schema":"https://github.com/citation-style-language/schema/raw/master/csl-citation.json"}</w:instrText>
      </w:r>
      <w:r w:rsidRPr="00B1522E">
        <w:fldChar w:fldCharType="separate"/>
      </w:r>
      <w:r w:rsidR="004B7FAF" w:rsidRPr="00B1522E">
        <w:rPr>
          <w:noProof/>
        </w:rPr>
        <w:t>(Jebb et al., 2004; Kerr et al., 2008; Public Health England, 2018c)</w:t>
      </w:r>
      <w:r w:rsidRPr="00B1522E">
        <w:fldChar w:fldCharType="end"/>
      </w:r>
      <w:r w:rsidRPr="00B1522E">
        <w:t xml:space="preserve">. Adolescents, on average, tend to consume three or more unhealthy snacks a day (e.g., chocolate; </w:t>
      </w:r>
      <w:r w:rsidRPr="00B1522E">
        <w:fldChar w:fldCharType="begin" w:fldLock="1"/>
      </w:r>
      <w:r w:rsidRPr="00B1522E">
        <w:instrText>ADDIN CSL_CITATION {"citationItems":[{"id":"ITEM-1","itemData":{"URL":"https://www.gov.uk/government/news/phe-launches-change4life-campaign-around-childrens-snacking","author":[{"dropping-particle":"","family":"Public Health England","given":"","non-dropping-particle":"","parse-names":false,"suffix":""}],"id":"ITEM-1","issued":{"date-parts":[["2018"]]},"title":"PHE launches Change4Life campaign around children’s snacking","type":"webpage"},"uris":["http://www.mendeley.com/documents/?uuid=7b7d2dfb-dbf1-4c74-962f-fc44eb915ed6"]}],"mendeley":{"formattedCitation":"(Public Health England, 2018c)","manualFormatting":"Public Health England, 2018c)","plainTextFormattedCitation":"(Public Health England, 2018c)","previouslyFormattedCitation":"(Public Health England, 2018c)"},"properties":{"noteIndex":0},"schema":"https://github.com/citation-style-language/schema/raw/master/csl-citation.json"}</w:instrText>
      </w:r>
      <w:r w:rsidRPr="00B1522E">
        <w:fldChar w:fldCharType="separate"/>
      </w:r>
      <w:r w:rsidRPr="00B1522E">
        <w:rPr>
          <w:noProof/>
        </w:rPr>
        <w:t>Public Health England, 2018c)</w:t>
      </w:r>
      <w:r w:rsidRPr="00B1522E">
        <w:fldChar w:fldCharType="end"/>
      </w:r>
      <w:r w:rsidR="00E952AC" w:rsidRPr="00B1522E">
        <w:t>,</w:t>
      </w:r>
      <w:r w:rsidRPr="00B1522E">
        <w:t xml:space="preserve"> and this contributes to around a third of an adolescent’s daily calorie intake </w:t>
      </w:r>
      <w:r w:rsidRPr="00B1522E">
        <w:fldChar w:fldCharType="begin" w:fldLock="1"/>
      </w:r>
      <w:r w:rsidRPr="00B1522E">
        <w:instrText>ADDIN CSL_CITATION {"citationItems":[{"id":"ITEM-1","itemData":{"abstract":"nutrition","author":[{"dropping-particle":"","family":"Public Health England","given":"","non-dropping-particle":"","parse-names":false,"suffix":""}],"container-title":"Public Health England","id":"ITEM-1","issued":{"date-parts":[["2018"]]},"title":"Calorie reduction: The scope and ambition for action","type":"article-journal"},"uris":["http://www.mendeley.com/documents/?uuid=8fa4dc19-e836-4abd-8b46-18b16d6c28bd"]}],"mendeley":{"formattedCitation":"(Public Health England, 2018a)","plainTextFormattedCitation":"(Public Health England, 2018a)","previouslyFormattedCitation":"(Public Health England, 2018a)"},"properties":{"noteIndex":0},"schema":"https://github.com/citation-style-language/schema/raw/master/csl-citation.json"}</w:instrText>
      </w:r>
      <w:r w:rsidRPr="00B1522E">
        <w:fldChar w:fldCharType="separate"/>
      </w:r>
      <w:r w:rsidRPr="00B1522E">
        <w:rPr>
          <w:noProof/>
        </w:rPr>
        <w:t>(Public Health England, 2018a)</w:t>
      </w:r>
      <w:r w:rsidRPr="00B1522E">
        <w:fldChar w:fldCharType="end"/>
      </w:r>
      <w:r w:rsidRPr="00B1522E">
        <w:t xml:space="preserve">. Unhealthy snack consumption is a part of diets that are of poorer nutritional quality, as snack foods are often energy-dense, nutritionally-poor, foods that are high in sugar or saturated fat, which can lead to excessive weight gain </w:t>
      </w:r>
      <w:r w:rsidRPr="00B1522E">
        <w:fldChar w:fldCharType="begin" w:fldLock="1"/>
      </w:r>
      <w:r w:rsidRPr="00B1522E">
        <w:instrText>ADDIN CSL_CITATION {"citationItems":[{"id":"ITEM-1","itemData":{"ISSN":"1476-5640","author":[{"dropping-particle":"","family":"Santaliestra-Pasías","given":"A M","non-dropping-particle":"","parse-names":false,"suffix":""},{"dropping-particle":"","family":"Mouratidou","given":"T","non-dropping-particle":"","parse-names":false,"suffix":""},{"dropping-particle":"","family":"Huybrechts","given":"Inge","non-dropping-particle":"","parse-names":false,"suffix":""},{"dropping-particle":"","family":"Beghin","given":"L","non-dropping-particle":"","parse-names":false,"suffix":""},{"dropping-particle":"","family":"Cuenca-García","given":"M","non-dropping-particle":"","parse-names":false,"suffix":""},{"dropping-particle":"","family":"Castillo","given":"M J","non-dropping-particle":"","parse-names":false,"suffix":""},{"dropping-particle":"","family":"Galfo","given":"M","non-dropping-particle":"","parse-names":false,"suffix":""},{"dropping-particle":"","family":"Hallstrom","given":"L","non-dropping-particle":"","parse-names":false,"suffix":""},{"dropping-particle":"","family":"Kafatos","given":"A","non-dropping-particle":"","parse-names":false,"suffix":""},{"dropping-particle":"","family":"Manios","given":"Y","non-dropping-particle":"","parse-names":false,"suffix":""}],"container-title":"European journal of clinical nutrition","id":"ITEM-1","issue":"3","issued":{"date-parts":[["2014"]]},"page":"300-308","publisher":"Nature Publishing Group","title":"Increased sedentary behaviour is associated with unhealthy dietary patterns in European adolescents participating in the HELENA study","type":"article-journal","volume":"68"},"uris":["http://www.mendeley.com/documents/?uuid=b5346e9d-8e59-459e-bcee-d0cd6aa8c6ad"]}],"mendeley":{"formattedCitation":"(Santaliestra-Pasías et al., 2014)","plainTextFormattedCitation":"(Santaliestra-Pasías et al., 2014)","previouslyFormattedCitation":"(Santaliestra-Pasías et al., 2014)"},"properties":{"noteIndex":0},"schema":"https://github.com/citation-style-language/schema/raw/master/csl-citation.json"}</w:instrText>
      </w:r>
      <w:r w:rsidRPr="00B1522E">
        <w:fldChar w:fldCharType="separate"/>
      </w:r>
      <w:r w:rsidRPr="00B1522E">
        <w:rPr>
          <w:noProof/>
        </w:rPr>
        <w:t>(Santaliestra-Pasías et al., 2014)</w:t>
      </w:r>
      <w:r w:rsidRPr="00B1522E">
        <w:fldChar w:fldCharType="end"/>
      </w:r>
      <w:r w:rsidRPr="00B1522E">
        <w:t xml:space="preserve">. Obesity in adolescents is concerning as it can have both immediate (e.g., lower self-esteem and poorer academic ability) and long-lasting implications (e.g., diabetes and cancer) for health and well-being </w:t>
      </w:r>
      <w:r w:rsidRPr="00B1522E">
        <w:fldChar w:fldCharType="begin" w:fldLock="1"/>
      </w:r>
      <w:r w:rsidRPr="00B1522E">
        <w:instrText>ADDIN CSL_CITATION {"citationItems":[{"id":"ITEM-1","itemData":{"ISSN":"1479-5868","abstract":"BACKGROUND: Snacking is likely to play an important role in the development of overweight and obesity, yet little is known about the contexts of snacking in adolescents or how snacking may influence other dietary habits, like meal skipping. This study examines the contexts in which adolescents snack and whether these contexts are associated with demographic characteristics of adolescents and with meal skipping. METHODS: A cross-sectional, self-reported online food habits survey was administered to 3,250 secondary students in years seven and nine. The students were drawn from 37 secondary schools in Victoria, Australia during 2004–2005. Frequencies of meal skipping, and snacking in eight contexts, were compared across gender, year level and region of residence. Logistic regressions were performed to examine associations between snacking contexts and meal skipping adjusting for gender and region. RESULTS: The most common contexts for snacking among adolescents were after school (4.6 times per week), while watching TV (3.5 times per week) and while hanging out with friends (2.4 times per week). Adolescents were least likely to snack all day long (0.8 times per week) or in the middle of the night (0.4 times per week). Snacking contexts were variously associated with gender, year level and region. In contrast, meal skipping was associated with gender and region of residence but not year level. Adolescents who reported more frequent snacking on the run, on the way to or from school, all day long, or in the middle of the night were more likely to skip meals. CONCLUSION: These data suggest adolescents snack frequently, especially in their leisure time. In addition, adolescents who snack on the run, on the way to or from school, all day long or in the middle of the night are more likely to skip meals than are adolescents who don't snack at these times. Understanding the contexts in which adolescents snack, and their associations with skipping meals, may assist those involved in the promotion of healthy food habits among adolescents.","author":[{"dropping-particle":"","family":"Savige","given":"Gayle","non-dropping-particle":"","parse-names":false,"suffix":""},{"dropping-particle":"","family":"MacFarlane","given":"Abbie","non-dropping-particle":"","parse-names":false,"suffix":""},{"dropping-particle":"","family":"Ball","given":"Kylie","non-dropping-particle":"","parse-names":false,"suffix":""},{"dropping-particle":"","family":"Worsley","given":"Anthony","non-dropping-particle":"","parse-names":false,"suffix":""},{"dropping-particle":"","family":"Crawford","given":"David","non-dropping-particle":"","parse-names":false,"suffix":""}],"container-title":"The International Journal of Behavioral Nutrition and Physical Activity","id":"ITEM-1","issued":{"date-parts":[["2007","9","17"]]},"page":"36-45","publisher":"BioMed Central","publisher-place":"London","title":"Snacking behaviours of adolescents and their association with skipping meals","type":"article-journal","volume":"4"},"uris":["http://www.mendeley.com/documents/?uuid=560ebd1b-9351-4086-9adc-d881bbe2efb8"]},{"id":"ITEM-2","itemData":{"ISSN":"0140-6736","author":[{"dropping-particle":"","family":"Cecchini","given":"Michele","non-dropping-particle":"","parse-names":false,"suffix":""},{"dropping-particle":"","family":"Sassi","given":"Franco","non-dropping-particle":"","parse-names":false,"suffix":""},{"dropping-particle":"","family":"Lauer","given":"Jeremy A","non-dropping-particle":"","parse-names":false,"suffix":""},{"dropping-particle":"","family":"Lee","given":"Yong Y","non-dropping-particle":"","parse-names":false,"suffix":""},{"dropping-particle":"","family":"Guajardo-Barron","given":"Veronica","non-dropping-particle":"","parse-names":false,"suffix":""},{"dropping-particle":"","family":"Chisholm","given":"Daniel","non-dropping-particle":"","parse-names":false,"suffix":""}],"container-title":"The Lancet","id":"ITEM-2","issue":"9754","issued":{"date-parts":[["2010"]]},"page":"1775-1784","publisher":"Elsevier","title":"Tackling of unhealthy diets, physical inactivity, and obesity: health effects and cost-effectiveness","type":"article-journal","volume":"376"},"uris":["http://www.mendeley.com/documents/?uuid=1d6381e9-ddda-49ea-892f-1d47943ce8b5"]}],"mendeley":{"formattedCitation":"(Cecchini et al., 2010; Savige et al., 2007)","plainTextFormattedCitation":"(Cecchini et al., 2010; Savige et al., 2007)","previouslyFormattedCitation":"(Cecchini et al., 2010; Savige et al., 2007)"},"properties":{"noteIndex":0},"schema":"https://github.com/citation-style-language/schema/raw/master/csl-citation.json"}</w:instrText>
      </w:r>
      <w:r w:rsidRPr="00B1522E">
        <w:fldChar w:fldCharType="separate"/>
      </w:r>
      <w:r w:rsidRPr="00B1522E">
        <w:rPr>
          <w:noProof/>
        </w:rPr>
        <w:t>(Cecchini et al., 2010; Savige et al., 2007)</w:t>
      </w:r>
      <w:r w:rsidRPr="00B1522E">
        <w:fldChar w:fldCharType="end"/>
      </w:r>
      <w:r w:rsidRPr="00B1522E">
        <w:t xml:space="preserve">.  </w:t>
      </w:r>
    </w:p>
    <w:p w14:paraId="66DC38FD" w14:textId="56ED4D83" w:rsidR="00227193" w:rsidRPr="00B1522E" w:rsidRDefault="00227193" w:rsidP="00227193">
      <w:pPr>
        <w:spacing w:line="480" w:lineRule="auto"/>
        <w:ind w:firstLine="720"/>
        <w:jc w:val="both"/>
      </w:pPr>
      <w:r w:rsidRPr="00B1522E">
        <w:t xml:space="preserve">Data indicates that the prevalence of obesity in adolescents is strongly related to socioeconomic status (SES), with adolescents living in the most deprived areas of the United Kingdom being more likely to be overweight or obese compared to those living in the least deprived areas </w:t>
      </w:r>
      <w:r w:rsidRPr="00B1522E">
        <w:fldChar w:fldCharType="begin" w:fldLock="1"/>
      </w:r>
      <w:r w:rsidR="00DF6CCC" w:rsidRPr="00B1522E">
        <w:instrText>ADDIN CSL_CITATION {"citationItems":[{"id":"ITEM-1","itemData":{"ISSN":"1932-6203","author":[{"dropping-particle":"","family":"White","given":"James","non-dropping-particle":"","parse-names":false,"suffix":""},{"dropping-particle":"","family":"Rehkopf","given":"David","non-dropping-particle":"","parse-names":false,"suffix":""},{"dropping-particle":"","family":"Mortensen","given":"Laust Hvas","non-dropping-particle":"","parse-names":false,"suffix":""}],"container-title":"PloS one","id":"ITEM-1","issue":"1","issued":{"date-parts":[["2016"]]},"page":"e0147614","publisher":"Public Library of Science San Francisco, CA USA","title":"Trends in socioeconomic inequalities in body mass index, underweight and obesity among English children, 2007–2008 to 2011–2012","type":"article-journal","volume":"11"},"uris":["http://www.mendeley.com/documents/?uuid=d455e7ea-a938-4880-b8b0-5991185a1f70"]},{"id":"ITEM-2","itemData":{"author":[{"dropping-particle":"","family":"NHS","given":"","non-dropping-particle":"","parse-names":false,"suffix":""}],"id":"ITEM-2","issued":{"date-parts":[["2020"]]},"title":"National Child Measurement Programme, England 2019/20 School Year","type":"article"},"uris":["http://www.mendeley.com/documents/?uuid=789d47bc-e465-48d3-9484-ff7a0d648c55"]}],"mendeley":{"formattedCitation":"(NHS, 2020b; White et al., 2016)","plainTextFormattedCitation":"(NHS, 2020b; White et al., 2016)","previouslyFormattedCitation":"(NHS, 2020b; White et al., 2016)"},"properties":{"noteIndex":0},"schema":"https://github.com/citation-style-language/schema/raw/master/csl-citation.json"}</w:instrText>
      </w:r>
      <w:r w:rsidRPr="00B1522E">
        <w:fldChar w:fldCharType="separate"/>
      </w:r>
      <w:r w:rsidR="004B7FAF" w:rsidRPr="00B1522E">
        <w:rPr>
          <w:noProof/>
        </w:rPr>
        <w:t>(NHS, 2020b; White et al., 2016)</w:t>
      </w:r>
      <w:r w:rsidRPr="00B1522E">
        <w:fldChar w:fldCharType="end"/>
      </w:r>
      <w:r w:rsidRPr="00B1522E">
        <w:t xml:space="preserve">. Adolescents from lower SES families tend to consume fewer healthy foods, and more unhealthy snacks, than adolescents from higher SES families </w:t>
      </w:r>
      <w:r w:rsidRPr="00B1522E">
        <w:fldChar w:fldCharType="begin" w:fldLock="1"/>
      </w:r>
      <w:r w:rsidR="00C654DE" w:rsidRPr="00B1522E">
        <w:instrText>ADDIN CSL_CITATION {"citationItems":[{"id":"ITEM-1","itemData":{"ISSN":"1654-6628","author":[{"dropping-particle":"","family":"Skårdal","given":"Madelene","non-dropping-particle":"","parse-names":false,"suffix":""},{"dropping-particle":"","family":"Western","given":"Inger Mari","non-dropping-particle":"","parse-names":false,"suffix":""},{"dropping-particle":"","family":"Ask","given":"Anne M S","non-dropping-particle":"","parse-names":false,"suffix":""},{"dropping-particle":"","family":"Øverby","given":"Nina C","non-dropping-particle":"","parse-names":false,"suffix":""}],"container-title":"Food &amp; nutrition research","id":"ITEM-1","issue":"1","issued":{"date-parts":[["2014"]]},"page":"23590","publisher":"Taylor &amp; Francis","title":"Socioeconomic differences in selected dietary habits among Norwegian 13–14 year-olds: a cross-sectional study","type":"article-journal","volume":"58"},"uris":["http://www.mendeley.com/documents/?uuid=58db2fde-c0f1-41a0-a53f-bc5c685e5c87"]},{"id":"ITEM-2","itemData":{"ISSN":"0007-070X","abstract":"Purpose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Journal","id":"ITEM-2","issue":"4","issued":{"date-parts":[["2020","1","1"]]},"page":"1027-1039","publisher":"Emerald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 Skårdal et al., 2014)","plainTextFormattedCitation":"(Calvert et al., 2020; Skårdal et al., 2014)","previouslyFormattedCitation":"(Calvert et al., 2020; Skårdal et al., 2014)"},"properties":{"noteIndex":0},"schema":"https://github.com/citation-style-language/schema/raw/master/csl-citation.json"}</w:instrText>
      </w:r>
      <w:r w:rsidRPr="00B1522E">
        <w:fldChar w:fldCharType="separate"/>
      </w:r>
      <w:r w:rsidR="00355350" w:rsidRPr="00B1522E">
        <w:rPr>
          <w:noProof/>
        </w:rPr>
        <w:t>(Calvert et al., 2020; Skårdal et al., 2014)</w:t>
      </w:r>
      <w:r w:rsidRPr="00B1522E">
        <w:fldChar w:fldCharType="end"/>
      </w:r>
      <w:r w:rsidRPr="00B1522E">
        <w:t xml:space="preserve">. Such unhealthy snacking behaviours have been associated with the availability and cost of </w:t>
      </w:r>
      <w:r w:rsidRPr="00B1522E">
        <w:lastRenderedPageBreak/>
        <w:t xml:space="preserve">foods in the local area and may be influenced by adolescents’ perceptions about what is acceptable and normative dietary intake </w:t>
      </w:r>
      <w:r w:rsidRPr="00B1522E">
        <w:fldChar w:fldCharType="begin" w:fldLock="1"/>
      </w:r>
      <w:r w:rsidR="004A684E" w:rsidRPr="00B1522E">
        <w:instrText>ADDIN CSL_CITATION {"citationItems":[{"id":"ITEM-1","itemData":{"ISSN":"2044-6055","author":[{"dropping-particle":"","family":"Thomas","given":"Fiona","non-dropping-particle":"","parse-names":false,"suffix":""},{"dropping-particle":"","family":"Thomas","given":"Christopher","non-dropping-particle":"","parse-names":false,"suffix":""},{"dropping-particle":"","family":"Hooper","given":"Lucie","non-dropping-particle":"","parse-names":false,"suffix":""},{"dropping-particle":"","family":"Rosenberg","given":"Gillian","non-dropping-particle":"","parse-names":false,"suffix":""},{"dropping-particle":"","family":"Vohra","given":"Jyotsna","non-dropping-particle":"","parse-names":false,"suffix":""},{"dropping-particle":"","family":"Bauld","given":"Linda","non-dropping-particle":"","parse-names":false,"suffix":""}],"container-title":"BMJ open","id":"ITEM-1","issue":"6","issued":{"date-parts":[["2019"]]},"page":"e027333","publisher":"British Medical Journal Publishing Group","title":"Area deprivation, screen time and consumption of food and drink high in fat salt and sugar (HFSS) in young people: results from a cross-sectional study in the UK","type":"article-journal","volume":"9"},"uris":["http://www.mendeley.com/documents/?uuid=29029d96-f32a-4242-bc54-7f3b68f6181b"]},{"id":"ITEM-2","itemData":{"abstract":"Background Well-informed interventions are needed if school-based health promotion is to be effective. Amongother aims, the Iranian Health Promoting School (IHPS) program that was launched in 2011, has an important aimof promoting dietary behaviors of adolescents. The present study, therefore, aimed to investigate the factors affectingunhealthy snacking of adolescents and provide evidence for a more effective IHPS program. Methods In a cross-sectional study design, 1320 students from 40 schools in Kerman city were selected using aproportional stratified random sampling method. A modified qualitative Food Frequency Questionnaire (FFQ) wasused to gather data about unhealthy snacking behavior. Data about intrapersonal and environmental factors wereobtained using a validated and reliable questionnaire. A mixed-effects negative-binomial regression model was usedto analyze the data. Results Taste and sensory perception (prevalence rate ratio [PRR] = 1.18; 95% CI: 1.09-1.27), being a male (PRR = 1.20;95% CI: 1.05-1.38) and lower nutritional knowledge (PRR = 0.96; 95% CI: 0.91-0.99) were associated with higher weeklyunhealthy snaking. Perceived self-efficacy (PRR = 0.95; 95% CI: 0.91-1.00) negatively influenced the frequency ofunhealthy snaking, with this approaching significance (P&lt; .06). In case of environmental factors, high socio-economicstatus (SES) level (PRR = 1.45; 95% CI: 1.26-1.67), single-parent family (PRR = 1.14; 95% CI: 1.01-1.30), more socialnorms pressure (PRR = 1.08; 95% CI: 1.01-1.17), pocket money allowance (PRR = 1.21; 95% CI: 1.09-1.34), easyaccessibility (PRR = 1.06; 95% CI:1.01-1.11), and less perceived parental control (PRR= 0.96; 95% CI: 0.92-0.99) all hada role in higher consumption of unhealthy snacks. Interestingly, larger school size was associated with less unhealthysnacking (PRR = 0.79; 95% CI: 0.68-0.92). Conclusion Unhealthy snacking behavior is influenced by individual, socio-cultural and physical-environmentalinfluences, namely by factors relating to poor parenting practices, high SES level, family characteristics, improper socialnorms pressure, and less knowledge and self-efficacy of students. This evidence can be used to inform a more evidencebased IHPS program through focusing on supportive strategies at the home, school, and local community levels.","author":[{"dropping-particle":"","family":"Yazdi Feyzabadi","given":"Vahid","non-dropping-particle":"","parse-names":false,"suffix":""},{"dropping-particle":"","family":"Keshavarz Mohammadi","given":"Nastaran","non-dropping-particle":"","parse-names":false,"suffix":""},{"dropping-particle":"","family":"Omidvar","given":"Nasrin","non-dropping-particle":"","parse-names":false,"suffix":""},{"dropping-particle":"","family":"Karimi-Shahanjarini","given":"Akram","non-dropping-particle":"","parse-names":false,"suffix":""},{"dropping-particle":"","family":"Nedjat","given":"Saharnaz","non-dropping-particle":"","parse-names":false,"suffix":""},{"dropping-particle":"","family":"Rashidian","given":"Arash","non-dropping-particle":"","parse-names":false,"suffix":""}],"container-title":"International Journal of Health Policy and Management","id":"ITEM-2","issue":"9","issued":{"date-parts":[["2017"]]},"language":"en","page":"519-528","publisher-place":"Department of Health Management and Economics, School of Public Health, Tehran University of Medical Sciences, Tehran, Iran","title":"Factors Associated With Unhealthy Snacks Consumption Among Adolescents in Iran’s Schools","type":"article-journal","volume":"6"},"uris":["http://www.mendeley.com/documents/?uuid=b2289024-b25f-4930-b3a5-6658b1d1981a"]},{"id":"ITEM-3","itemData":{"ISSN":"0022-0426","author":[{"dropping-particle":"","family":"Perkins","given":"H. W","non-dropping-particle":"","parse-names":false,"suffix":""},{"dropping-particle":"","family":"Wechsler","given":"H","non-dropping-particle":"","parse-names":false,"suffix":""}],"container-title":"Journal of Drug Issues","id":"ITEM-3","issue":"4","issued":{"date-parts":[["1996"]]},"page":"961-974","publisher":"SAGE Publications Sage CA: Los Angeles, CA","title":"Variation in perceived college drinking norms and its impact on alcohol abuse: A nationwide study","type":"article-journal","volume":"26"},"uris":["http://www.mendeley.com/documents/?uuid=d4c49303-57ab-499a-9ccf-4c8da7d8ebe5"]},{"id":"ITEM-4","itemData":{"ISSN":"0007-070X","abstract":"Purpose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Journal","id":"ITEM-4","issue":"4","issued":{"date-parts":[["2020","1","1"]]},"page":"1027-1039","publisher":"Emerald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 H. W Perkins &amp; Wechsler, 1996; F. Thomas et al., 2019; Yazdi Feyzabadi et al., 2017)","manualFormatting":"(Calvert et al., 2020; Perkins &amp; Wechsler, 1996;  Thomas et al., 2019; Yazdi Feyzabadi et al., 2017)","plainTextFormattedCitation":"(Calvert et al., 2020; H. W Perkins &amp; Wechsler, 1996; F. Thomas et al., 2019; Yazdi Feyzabadi et al., 2017)","previouslyFormattedCitation":"(Calvert et al., 2020; H. W Perkins &amp; Wechsler, 1996; F. Thomas et al., 2019; Yazdi Feyzabadi et al., 2017)"},"properties":{"noteIndex":0},"schema":"https://github.com/citation-style-language/schema/raw/master/csl-citation.json"}</w:instrText>
      </w:r>
      <w:r w:rsidRPr="00B1522E">
        <w:fldChar w:fldCharType="separate"/>
      </w:r>
      <w:r w:rsidR="005B0E59" w:rsidRPr="00B1522E">
        <w:rPr>
          <w:noProof/>
        </w:rPr>
        <w:t>(Calvert et al., 2020; Perkins &amp; Wechsler, 1996;  Thomas et al., 2019; Yazdi Feyzabadi et al., 2017)</w:t>
      </w:r>
      <w:r w:rsidRPr="00B1522E">
        <w:fldChar w:fldCharType="end"/>
      </w:r>
      <w:r w:rsidRPr="00B1522E">
        <w:t>.</w:t>
      </w:r>
    </w:p>
    <w:p w14:paraId="29834257" w14:textId="28774A07" w:rsidR="00227193" w:rsidRPr="00B1522E" w:rsidRDefault="00227193" w:rsidP="00227193">
      <w:pPr>
        <w:spacing w:line="480" w:lineRule="auto"/>
        <w:ind w:firstLine="720"/>
        <w:jc w:val="both"/>
        <w:rPr>
          <w:shd w:val="clear" w:color="auto" w:fill="FFFFFF"/>
        </w:rPr>
      </w:pPr>
      <w:r w:rsidRPr="00B1522E">
        <w:t xml:space="preserve">Children transitioning into adolescence (11-12 years old) spend a significant amount of time at school and in the company of peers </w:t>
      </w:r>
      <w:r w:rsidRPr="00B1522E">
        <w:fldChar w:fldCharType="begin" w:fldLock="1"/>
      </w:r>
      <w:r w:rsidRPr="00B1522E">
        <w:instrText>ADDIN CSL_CITATION {"citationItems":[{"id":"ITEM-1","itemData":{"ISSN":"2210-5328","abstract":"The Creating Meaningful Connections project is a longitudinal study that resulted from a partnership between social work academics at the University of Newcastle and educators at a regional secondary school in NSW, Australia. It seeks to better understand the relationship between school connectedness and youth mental health. In stage 1, focus groups were conducted with 99 students 9 months after their transition to secondary school. The shift to secondary school created a range of social and academic challenges for young people. It often resulted in limited—or no—contact with friends from primary school, requiring the negotiation of new friendships. While this process was relatively trouble-free for many students, others described it as risky and challenging. Positive peer relationships appeared to increase happiness, feelings of safety, offer support during difficult periods and facilitate secondary school adjustment. This paper offers a unique perspective by capturing student voice and commentary about the nature and importance of peer relationships during transition. It also highlights the potential for social work and education to work collaboratively to enhance peer relationships, mental health and school connectedness during transition.","author":[{"dropping-particle":"","family":"Heinsch","given":"Milena","non-dropping-particle":"","parse-names":false,"suffix":""},{"dropping-particle":"","family":"Agllias","given":"Kylie","non-dropping-particle":"","parse-names":false,"suffix":""},{"dropping-particle":"","family":"Sampson","given":"Dara","non-dropping-particle":"","parse-names":false,"suffix":""},{"dropping-particle":"","family":"Howard","given":"Amanda","non-dropping-particle":"","parse-names":false,"suffix":""},{"dropping-particle":"","family":"Blakemore","given":"Tamara","non-dropping-particle":"","parse-names":false,"suffix":""},{"dropping-particle":"","family":"Cootes","given":"Hannah","non-dropping-particle":"","parse-names":false,"suffix":""}],"container-title":"The Australian Educational Researcher","id":"ITEM-1","issue":"2","issued":{"date-parts":[["2020"]]},"page":"339-356","title":"Peer connectedness during the transition to secondary school: a collaborative opportunity for education and social work","type":"article-journal","volume":"47"},"uris":["http://www.mendeley.com/documents/?uuid=6cef528e-b94c-4fc4-afc6-8517aa06af4a"]}],"mendeley":{"formattedCitation":"(Heinsch et al., 2020)","plainTextFormattedCitation":"(Heinsch et al., 2020)","previouslyFormattedCitation":"(Heinsch et al., 2020)"},"properties":{"noteIndex":0},"schema":"https://github.com/citation-style-language/schema/raw/master/csl-citation.json"}</w:instrText>
      </w:r>
      <w:r w:rsidRPr="00B1522E">
        <w:fldChar w:fldCharType="separate"/>
      </w:r>
      <w:r w:rsidRPr="00B1522E">
        <w:rPr>
          <w:noProof/>
        </w:rPr>
        <w:t>(Heinsch et al., 2020)</w:t>
      </w:r>
      <w:r w:rsidRPr="00B1522E">
        <w:fldChar w:fldCharType="end"/>
      </w:r>
      <w:r w:rsidRPr="00B1522E">
        <w:rPr>
          <w:rFonts w:eastAsia="Calibri"/>
        </w:rPr>
        <w:t xml:space="preserve">, and these peers become </w:t>
      </w:r>
      <w:r w:rsidRPr="00B1522E">
        <w:rPr>
          <w:shd w:val="clear" w:color="auto" w:fill="FFFFFF"/>
        </w:rPr>
        <w:t xml:space="preserve">a main source of information about what socially normative and acceptable dietary behaviours are </w:t>
      </w:r>
      <w:r w:rsidRPr="00B1522E">
        <w:rPr>
          <w:shd w:val="clear" w:color="auto" w:fill="FFFFFF"/>
        </w:rPr>
        <w:fldChar w:fldCharType="begin" w:fldLock="1"/>
      </w:r>
      <w:r w:rsidRPr="00B1522E">
        <w:rPr>
          <w:shd w:val="clear" w:color="auto" w:fill="FFFFFF"/>
        </w:rPr>
        <w:instrText>ADDIN CSL_CITATION {"citationItems":[{"id":"ITEM-1","itemData":{"ISSN":"0195-6663","abstract":"Objective Peers and siblings are considered an important influence on children's and adolescents' food choice. However, there is a lack of studies examining how peer and sibling impact is related to children's and adolescents' eating behavior. The purpose of this study was to analyze peers' and siblings' impact on children's and adolescents' healthy eating behavior identified from a literature review, summarize the results, and discuss potential social factors that may predict these associations. Method A systematic literature review. Results Findings of the systematic literature review show that peers, and to a lesser extent siblings' influence on children's and adolescents' healthy eating behavior more often is negative than positive, although in some studies, no significant effect was found. However, empirical research of which social factors related to relationships with siblings and peers may explain and predict peers' and siblings' influence on children's and adolescents' healthy eating behavior is limited. Conclusions Peers' influence on children's and adolescents' healthy eating behavior is often found to be negative by the increase in consumption of energy-dense and low-nutrition value foods. However, in some cases, this influence can also be a positive one, and there is a need to find effective ways of how it could be used in encouraging healthy eating behavior of children and adolescents. Studies exploring siblings' impact on children's and adolescents' eating behavior are scarce. In addition, factors related to social interaction that may explain peers' and siblings' influence on children's and adolescents' healthy eating behavior are ambiguous. Therefore, more research in this area is needed.","author":[{"dropping-particle":"","family":"Ragelienė","given":"Tija","non-dropping-particle":"","parse-names":false,"suffix":""},{"dropping-particle":"","family":"Grønhøj","given":"Alice","non-dropping-partic</w:instrText>
      </w:r>
      <w:r w:rsidRPr="00B1522E">
        <w:rPr>
          <w:rFonts w:hint="eastAsia"/>
          <w:shd w:val="clear" w:color="auto" w:fill="FFFFFF"/>
        </w:rPr>
        <w:instrText>le":"","parse-names":false,"suffix":""}],"container-title":"Appetite","id":"ITEM-1","issued":{"date-parts":[["2020"]]},"page":"104592","title":"The influence of peers′ and siblings′ on children’s and adolescents′ healthy eating behavior. A systematic lite</w:instrText>
      </w:r>
      <w:r w:rsidRPr="00B1522E">
        <w:rPr>
          <w:shd w:val="clear" w:color="auto" w:fill="FFFFFF"/>
        </w:rPr>
        <w:instrText>rature review","type":"article-journal","volume":"148"},"uris":["http://www.mendeley.com/documents/?uuid=d792a6de-142c-47c7-9fac-4ccd6c7bb603"]}],"mendeley":{"formattedCitation":"(Ragelienė &amp; Grønhøj, 2020)","plainTextFormattedCitation":"(Ragelienė &amp; Grønhøj, 2020)","previouslyFormattedCitation":"(Ragelienė &amp; Grønhøj, 2020)"},"properties":{"noteIndex":0},"schema":"https://github.com/citation-style-language/schema/raw/master/csl-citation.json"}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(Ragelienė &amp; Grønhøj, 2020)</w:t>
      </w:r>
      <w:r w:rsidRPr="00B1522E">
        <w:rPr>
          <w:shd w:val="clear" w:color="auto" w:fill="FFFFFF"/>
        </w:rPr>
        <w:fldChar w:fldCharType="end"/>
      </w:r>
      <w:r w:rsidRPr="00B1522E">
        <w:t>. These unwritten rules (s</w:t>
      </w:r>
      <w:r w:rsidRPr="00B1522E">
        <w:rPr>
          <w:shd w:val="clear" w:color="auto" w:fill="FFFFFF"/>
        </w:rPr>
        <w:t xml:space="preserve">ocial norms) that develop from interaction with peers become an important guide for adolescents as they serve as social cues directing and constraining personal behaviour and attitudes </w:t>
      </w:r>
      <w:r w:rsidRPr="00B1522E">
        <w:rPr>
          <w:shd w:val="clear" w:color="auto" w:fill="FFFFFF"/>
        </w:rPr>
        <w:fldChar w:fldCharType="begin" w:fldLock="1"/>
      </w:r>
      <w:r w:rsidRPr="00B1522E">
        <w:rPr>
          <w:shd w:val="clear" w:color="auto" w:fill="FFFFFF"/>
        </w:rPr>
        <w:instrText>ADDIN CSL_CITATION {"citationItems":[{"id":"ITEM-1","itemData":{"ISBN":"1610442806","author":[{"dropping-particle":"","family":"Hechter","given":"Michael","non-dropping-particle":"","parse-names":false,"suffix":""},{"dropping-particle":"","family":"Opp","given":"Karl-Dieter","non-dropping-particle":"","parse-names":false,"suffix":""}],"id":"ITEM-1","issued":{"date-parts":[["2001"]]},"publisher":"Russell Sage Foundation","publisher-place":"New York, NY","title":"Social norms","type":"book"},"uris":["http://www.mendeley.com/documents/?uuid=dde20cba-60e0-4dde-812e-e4c2f39ac13f"]},{"id":"ITEM-2","itemData":{"ISSN":"1050-8392","author":[{"dropping-particle":"","family":"Hoorn","given":"Jorien","non-dropping-particle":"Van","parse-names":false,"suffix":""},{"dropping-particle":"","family":"Crone","given":"Eveline A","non-dropping-particle":"","parse-names":false,"suffix":""},{"dropping-particle":"","family":"Leijenhorst","given":"Linda","non-dropping-particle":"Van","parse-names":false,"suffix":""}],"container-</w:instrText>
      </w:r>
      <w:r w:rsidRPr="00B1522E">
        <w:rPr>
          <w:rFonts w:hint="eastAsia"/>
          <w:shd w:val="clear" w:color="auto" w:fill="FFFFFF"/>
        </w:rPr>
        <w:instrText>title":"Journal of Research on Adolescence","id":"ITEM-2","issue":"1","issued":{"date-parts":[["2017"]]},"page":"189-200","publisher":"Wiley Online Library","title":"Hanging out with the right crowd: Peer influence on risk‐taking behavior in adolescence",</w:instrText>
      </w:r>
      <w:r w:rsidRPr="00B1522E">
        <w:rPr>
          <w:shd w:val="clear" w:color="auto" w:fill="FFFFFF"/>
        </w:rPr>
        <w:instrText>"type":"article-journal","volume":"27"},"uris":["http://www.mendeley.com/documents/?uuid=8a4c325d-4ce0-43a3-8f36-9a6c9386c388"]}],"mendeley":{"formattedCitation":"(Hechter &amp; Opp, 2001; Van Hoorn et al., 2017)","plainTextFormattedCitation":"(Hechter &amp; Opp, 2001; Van Hoorn et al., 2017)","previouslyFormattedCitation":"(Hechter &amp; Opp, 2001; Van Hoorn et al., 2017)"},"properties":{"noteIndex":0},"schema":"https://github.com/citation-style-language/schema/raw/master/csl-citation.json"}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(Hechter &amp; Opp, 2001; Van Hoorn et al., 2017)</w:t>
      </w:r>
      <w:r w:rsidRPr="00B1522E">
        <w:rPr>
          <w:shd w:val="clear" w:color="auto" w:fill="FFFFFF"/>
        </w:rPr>
        <w:fldChar w:fldCharType="end"/>
      </w:r>
      <w:r w:rsidRPr="00B1522E">
        <w:rPr>
          <w:shd w:val="clear" w:color="auto" w:fill="FFFFFF"/>
        </w:rPr>
        <w:t xml:space="preserve">. Adolescents will adjust their dietary behaviour to align with the perceived normative dietary behaviour of peers which is driven by a fundamental need for social connection and peer approval </w:t>
      </w:r>
      <w:r w:rsidRPr="00B1522E">
        <w:rPr>
          <w:shd w:val="clear" w:color="auto" w:fill="FFFFFF"/>
        </w:rPr>
        <w:fldChar w:fldCharType="begin" w:fldLock="1"/>
      </w:r>
      <w:r w:rsidR="005776BC" w:rsidRPr="00B1522E">
        <w:rPr>
          <w:shd w:val="clear" w:color="auto" w:fill="FFFFFF"/>
        </w:rPr>
        <w:instrText>ADDIN CSL_CITATION {"citationItems":[{"id":"ITEM-1","itemData":{"ISSN":"1743-7199","author":[{"dropping-particle":"","family":"Stok","given":"F Marijn","non-dropping-particle":"","parse-names":false,"suffix":""},{"dropping-particle":"","family":"Vet","given":"Emely","non-dropping-particle":"de","parse-names":false,"suffix":""},{"dropping-particle":"","family":"Ridder","given":"Denise T D","non-dropping-particle":"de","parse-names":false,"suffix":""},{"dropping-particle":"","family":"Wit","given":"John B F","non-dropping-particle":"de","parse-names":false,"suffix":""}],"container-title":"Health Psychology Review","id":"ITEM-1","issue":"3","issued":{"date-parts":[["2016","7","2"]]},"note":"doi: 10.1080/17437199.2016.1155161","page":"326-340","publisher":"Routledge","title":"The potential of peer social norms to shape food intake in adolescents and young adults: a systematic review of effects and moderators","type":"article-journal","volume":"10"},"uris":["http://www.mendeley.com/documents/?uuid=053095ab-eabf-4ff1-94b0-d3b6e445b199"]},{"id":"ITEM-2","itemData":{"ISBN":"0195-6663(Print)","abstract":"Perceptions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W","non-dropping-particle":"","parse-names":false,"suffix":""}],"container-title":"Appetite","id":"ITEM-2","issued":{"date-parts":[["2018"]]},"page":"82-93","publisher":"Elsevier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States.","type":"article-journal","volume":"129"},"uris":["http://www.mendeley.com/documents/?uuid=8512058f-516f-45e2-9148-9381fb740b26"]},{"id":"ITEM-3","itemData":{"ISSN":"0002-8223","author":[{"dropping-particle":"","family":"Perkins","given":"J.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Association","id":"ITEM-3","issue":"12","issued":{"date-parts":[["2010"]]},"page":"1916-1921","publisher":"Elsevier","title":"Misperceptions of peer norms as a risk factor for sugar-sweetened beverage consumption among secondary school students","type":"article-journal","volume":"110"},"uris":["http://www.mendeley.com/documents/?uuid=057ae4b5-514d-47a6-bfd8-bd60f5e335ea"]},{"id":"ITEM-4","itemData":{"ISSN":"1363-755X","author":[{"dropping-particle":"","family":"Foulkes","given":"Lucy","non-dropping-particle":"","parse-names":false,"suffix":""},{"dropping-particle":"","family":"Leung","given":"Jovita T","non-dropping-particle":"","parse-names":false,"suffix":""},{"dropping-particle":"","family":"Fuhrmann","given":"Delia","non-dropping-particle":"","parse-names":false,"suffix":""},{"dropping-particle":"","family":"Knoll","given":"Lisa J","non-dropping-particle":"","parse-names":false,"suffix":""},{"dropping-particle":"","family":"Blakemore","given":"Sarah‐Jayne","non-dropping-particle":"","parse-names":false,"suffix":""}],"container-title":"Developmental science","id":"ITEM-4","issue":"6","issued":{"date-parts":[["2018"]]},"page":"e12666","publisher":"Wiley Online Library","title":"Age differences in the prosocial influence effect","type":"article-journal","volume":"21"},"uris":["http://www.mendeley.com/documents/?uuid=46b55ce9-fb4b-40a8-bb50-c6d3807d70bd"]}],"mendeley":{"formattedCitation":"(Foulkes et al., 2018; J. M. Perkins et al., 2010, 2018; F. M. Stok et al., 2016)","manualFormatting":"(Foulkes et al., 2018;  Perkins et al., 2010, 2018; Stok et al., 2016)","plainTextFormattedCitation":"(Foulkes et al., 2018; J. M. Perkins et al., 2010, 2018; F. M. Stok et al., 2016)","previouslyFormattedCitation":"(Foulkes et al., 2018; J. M. Perkins et al., 2010, 2018; F. M. Stok et al., 2016)"},"properties":{"noteIndex":0},"schema":"https://github.com/citation-style-language/schema/raw/master/csl-citation.json"}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(Foulkes et al., 2018;  Perkins et al., 2010, 2018; Stok et al., 2016)</w:t>
      </w:r>
      <w:r w:rsidRPr="00B1522E">
        <w:rPr>
          <w:shd w:val="clear" w:color="auto" w:fill="FFFFFF"/>
        </w:rPr>
        <w:fldChar w:fldCharType="end"/>
      </w:r>
      <w:r w:rsidRPr="00B1522E">
        <w:rPr>
          <w:shd w:val="clear" w:color="auto" w:fill="FFFFFF"/>
        </w:rPr>
        <w:t>. These perceptions about peers’ normative dietary behaviours are not always accurate</w:t>
      </w:r>
      <w:r w:rsidRPr="00B1522E">
        <w:rPr>
          <w:rStyle w:val="CommentReference"/>
          <w:sz w:val="24"/>
          <w:szCs w:val="24"/>
        </w:rPr>
        <w:t>,</w:t>
      </w:r>
      <w:r w:rsidRPr="00B1522E">
        <w:rPr>
          <w:shd w:val="clear" w:color="auto" w:fill="FFFFFF"/>
        </w:rPr>
        <w:t xml:space="preserve"> with adolescents tending to overestimate the extent of peers’ unhealthy dietary practices and believe that peers to be more approving of these behaviours than the reality </w:t>
      </w:r>
      <w:r w:rsidRPr="00B1522E">
        <w:rPr>
          <w:shd w:val="clear" w:color="auto" w:fill="FFFFFF"/>
        </w:rPr>
        <w:fldChar w:fldCharType="begin" w:fldLock="1"/>
      </w:r>
      <w:r w:rsidR="005776BC" w:rsidRPr="00B1522E">
        <w:rPr>
          <w:shd w:val="clear" w:color="auto" w:fill="FFFFFF"/>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adolescents.","type":"article-journal","volume":"57"},"uris":["http://www.mendeley.com/documents/?uuid=18a9583d-446e-4d40-8c46-37ad5a8b65e9"]},{"id":"ITEM-2","itemData":{"ISBN":"0195-6663(Print)","abstract":"Perceptions of peer food and beverage consumption norms may predict personal consumption. Yet actual peer norms may be misperceived. Data were collected from adolescents in grades 6–12 (n = 5841) in 13 schools across six regionally diverse states via an anonymous online survey. The male and female averages for the number of sugar-sweetened beverages (SSBs) personally consumed per day were significantly lower than average perceptions of the typical number of SSBs consumed by peers. Inversely, the male and female averages for the number of fruit and vegetable (FV) servings personally consumed per day were significantly higher than average perceptions of typical FVs consumed by peers. Among the majority of male and female grade cohorts, the median SSB consumption was 1 drink per day and the median FV intake was 3 servings per day. Regression analyses found a strong relationship between personal consumption and perceived peer norms about male and female consumption ( β = 0.56, p &lt; .001 for perceived male norm among male students and β = 0.52, p &lt; .001 for perceived female norm among female students about SSB consumption, for example), adjusting for sociodemographic characteristics and actual consumption norms. Overall, 65% and 67% of students overestimated average SSB consumption among males and females in their grade cohort, respectively, while less than 5% underestimated these norms. In addition, 49% and 52% of students underestimated average FV intake among males and females in their grade cohort, respectively, while only about 25–30% overestimated the norm. There was little difference in male and female students’ estimations of peer norms. Unhealthy misperceptions of SSB norms and FV norms existed across all student categories and grade cohorts, which may contribute to unhealthy personal dietary patterns. (PsycINFO Database Record (c) 2019 APA, all rights reserved)","author":[{"dropping-particle":"","family":"Perkins","given":"J M","non-dropping-particle":"","parse-names":false,"suffix":""},{"dropping-particle":"","family":"Perkins","given":"H W","non-dropping-particle":"","parse-names":false,"suffix":""},{"dropping-particle":"","family":"Craig","given":"D W","non-dropping-particle":"","parse-names":false,"suffix":""}],"container-title":"Appetite","id":"ITEM-2","issued":{"date-parts":[["2018"]]},"page":"82-93","publisher":"Elsevier Science","publisher-place":"Perkins, Jessica M.: 230 Appleton Place PMB 90, Nashville, TN, US, 37203-3289, jessica.m.perkins@vanderbilt.edu","title":"Misperceived norms and personal sugar-sweetened beverage consumption and fruit and vegetable intake among students in the United States.","type":"article-journal","volume":"129"},"uris":["http://www.mendeley.com/documents/?uuid=8512058f-516f-45e2-9148-9381fb740b26"]},{"id":"ITEM-3","itemData":{"ISSN":"0195-6663","author":[{"dropping-particle":"","family":"Calvert","given":"Sian","non-dropping-particle":"","parse-names":false,"suffix":""},{"dropping-particle":"","family":"Dempsey","given":"Robert C","non-dropping-particle":"","parse-names":false,"suffix":""},{"dropping-particle":"","family":"Povey","given":"Rachel","non-dropping-particle":"","parse-names":false,"suffix":""}],"container-title":"Appetite","id":"ITEM-3","issued":{"date-parts":[["2021"]]},"page":"105462","publisher":"Elsevier","title":"Normative misperceptions of unhealthy snacking amongst 11-to 12-year-old secondary school students.","type":"article-journal","volume":"166"},"uris":["http://www.mendeley.com/documents/?uuid=910491bf-a1ec-45dd-96c2-11f54b2d3c84"]}],"mendeley":{"formattedCitation":"(Calvert et al., 2021; P Lally et al., 2011; J. M. Perkins et al., 2018)","manualFormatting":"(Calvert et al., 2021; Lally et al., 2011; Perkins et al., 2018)","plainTextFormattedCitation":"(Calvert et al., 2021; P Lally et al., 2011; J. M. Perkins et al., 2018)","previouslyFormattedCitation":"(Calvert et al., 2021; P Lally et al., 2011; J. M. Perkins et al., 2018)"},"properties":{"noteIndex":0},"schema":"https://github.com/citation-style-language/schema/raw/master/csl-citation.json"}</w:instrText>
      </w:r>
      <w:r w:rsidRPr="00B1522E">
        <w:rPr>
          <w:shd w:val="clear" w:color="auto" w:fill="FFFFFF"/>
        </w:rPr>
        <w:fldChar w:fldCharType="separate"/>
      </w:r>
      <w:r w:rsidR="002774F2" w:rsidRPr="00B1522E">
        <w:rPr>
          <w:noProof/>
          <w:shd w:val="clear" w:color="auto" w:fill="FFFFFF"/>
        </w:rPr>
        <w:t>(Calvert et al., 2021; Lally et al., 2011; Perkins et al., 2018)</w:t>
      </w:r>
      <w:r w:rsidRPr="00B1522E">
        <w:rPr>
          <w:shd w:val="clear" w:color="auto" w:fill="FFFFFF"/>
        </w:rPr>
        <w:fldChar w:fldCharType="end"/>
      </w:r>
      <w:r w:rsidRPr="00B1522E">
        <w:rPr>
          <w:shd w:val="clear" w:color="auto" w:fill="FFFFFF"/>
        </w:rPr>
        <w:t xml:space="preserve">. These normative misperceptions can lead to personal unhealthy dietary practices as individuals conform to inaccurate social norms </w:t>
      </w:r>
      <w:r w:rsidRPr="00B1522E">
        <w:rPr>
          <w:shd w:val="clear" w:color="auto" w:fill="FFFFFF"/>
        </w:rPr>
        <w:fldChar w:fldCharType="begin" w:fldLock="1"/>
      </w:r>
      <w:r w:rsidR="005776BC" w:rsidRPr="00B1522E">
        <w:rPr>
          <w:shd w:val="clear" w:color="auto" w:fill="FFFFFF"/>
        </w:rPr>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students","type":"article-journal","volume":"110"},"uris":["http://www.mendeley.com/documents/?uuid=057ae4b5-514d-47a6-bfd8-bd60f5e335ea"]},{"id":"ITEM-2","itemData":{"ISSN":"2165-7904","abstract":"Obesity during childhood and adolescence is a growing problem in the United States, Canada, and around the world that leads to significant physical, psychological, and social impairment. In recent years, empirical research on factors that contribute to the development and maintenance of obesity has begun to consider peer experiences, such as peer rejection, peer victimization, and friendship. Peer experiences have been theoretically and empirically related to the \"Big Two\" contributors to the obesity epidemic, eating and physical activity, but there has not been a comprehensive review of the extant empirical literature. In this article, we review and synthesize the emerging theoretical and empirical literatures on peer experiences in relation to: (a) eating (food consumption and food selection); and (b) physical activity, during childhood and adolescence. A number of limitations and issues in the theoretical and empirical literatures are also discussed, along with future research directions. In conclusion, we argue that the involvement of children and adolescents' peer networks in prevention and intervention efforts may be critical for promoting and maintaining positive behavioral health trajectories.","author":[{"dropping-particle":"","family":"Salvy","given":"Sarah-Jeanne","non-dropping-particle":"","parse-names":false,"suffix":""},{"dropping-particle":"","family":"Bowker","given":"Julie C","non-dropping-particle":"","parse-names":false,"suffix":""}],"container-title":"Journal of obesity &amp; weight loss therapy","edition":"2014/02/07","id":"ITEM-2","issue":"1","issued":{"date-parts":[["2014","2"]]},"language":"eng","page":"207-240","title":"Peers and Obesity during Childhood and Adolescence: A Review of the Empirical Research on Peers, Eating, and Physical Activity","type":"article-journal","volume":"4"},"uris":["http://www.mendeley.com/documents/?uuid=af6c4bbc-9a41-4165-a852-0555acdb1237"]},{"id":"ITEM-3","itemData":{"ISBN":"9789039360781","ISSN":"00157120","PMID":"4944437","abstract":"How do social structures and group behaviors arise from the interaction of individuals? Growing Artificial Societies approaches this question with cutting-edge computer simulation techniques.","author":[{"dropping-particle":"","family":"Stok","given":"F","non-dropping-particle":"","parse-names":false,"suffix":""}],"id":"ITEM-3","issued":{"date-parts":[["2014"]]},"number-of-pages":"162","publisher":"Utrecht University","title":"Eating by the norm : The influence of social norms on young people’ s eating behavior","type":"thesis"},"uris":["http://www.mendeley.com/documents/?uuid=feaee5b8-ac0c-4ae6-af4a-7fbb6c852f97"]}],"mendeley":{"formattedCitation":"(J. M. Perkins et al., 2010; Salvy &amp; Bowker, 2014; F. Stok, 2014)","manualFormatting":"(Perkins et al., 2010; Salvy &amp; Bowker, 2014; Stok, 2014)","plainTextFormattedCitation":"(J. M. Perkins et al., 2010; Salvy &amp; Bowker, 2014; F. Stok, 2014)","previouslyFormattedCitation":"(J. M. Perkins et al., 2010; Salvy &amp; Bowker, 2014; F. Stok, 2014)"},"properties":{"noteIndex":0},"schema":"https://github.com/citation-style-language/schema/raw/master/csl-citation.json"}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(Perkins et al., 2010; Salvy &amp; Bowker, 2014; Stok, 2014)</w:t>
      </w:r>
      <w:r w:rsidRPr="00B1522E">
        <w:rPr>
          <w:shd w:val="clear" w:color="auto" w:fill="FFFFFF"/>
        </w:rPr>
        <w:fldChar w:fldCharType="end"/>
      </w:r>
      <w:r w:rsidRPr="00B1522E">
        <w:rPr>
          <w:shd w:val="clear" w:color="auto" w:fill="FFFFFF"/>
        </w:rPr>
        <w:t>.</w:t>
      </w:r>
    </w:p>
    <w:p w14:paraId="2B94C3D2" w14:textId="6CFF557D" w:rsidR="00227193" w:rsidRPr="00B1522E" w:rsidRDefault="00227193" w:rsidP="00227193">
      <w:pPr>
        <w:spacing w:line="480" w:lineRule="auto"/>
        <w:ind w:firstLine="720"/>
        <w:jc w:val="both"/>
        <w:rPr>
          <w:shd w:val="clear" w:color="auto" w:fill="FFFFFF"/>
        </w:rPr>
      </w:pPr>
      <w:r w:rsidRPr="00B1522E">
        <w:rPr>
          <w:shd w:val="clear" w:color="auto" w:fill="FFFFFF"/>
        </w:rPr>
        <w:t xml:space="preserve">These exaggerated perceptions may be a result of pluralistic ignorance, where an individual observes a peer performing a highly-memorable behaviour (e.g., eating a large number of unhealthy snacks) on one occasion and inaccurately perceives it to be the norm </w:t>
      </w:r>
      <w:r w:rsidRPr="00B1522E">
        <w:rPr>
          <w:shd w:val="clear" w:color="auto" w:fill="FFFFFF"/>
        </w:rPr>
        <w:fldChar w:fldCharType="begin" w:fldLock="1"/>
      </w:r>
      <w:r w:rsidRPr="00B1522E">
        <w:rPr>
          <w:shd w:val="clear" w:color="auto" w:fill="FFFFFF"/>
        </w:rPr>
        <w:instrText>ADDIN CSL_CITATION {"citationItems":[{"id":"ITEM-1","itemData":{"ISSN":"0021-9029","author":[{"dropping-particle":"","family":"Schroeder","given":"Christine M","non-dropping-particle":"","parse-names":false,"suffix":""},{"dropping-particle":"","family":"Prentice","given":"Deborah A","non-dropping-particle":"","parse-names":false,"suffix":""}],"container-title":"Journal of Applied Social Psychology","id":"ITEM-1","issue":"23","issued":{"date-parts":[["1998"]]},"page":"2150-2180","publisher":"Wiley Online Library","title":"Exposing Pluralistic Ignorance to Reduce Alcohol Use Among College Students 1","type":"article-journal","volume":"28"},"uris":["http://www.mendeley.com/documents/?uuid=cceb5df0-828e-496c-ba30-b1d53440ddb1"]}],"mendeley":{"formattedCitation":"(Schroeder &amp; Prentice, 1998)","plainTextFormattedCitation":"(Schroeder &amp; Prentice, 1998)","previouslyFormattedCitation":"(Schroeder &amp; Prentice, 1998)"},"properties":{"noteIndex":0},"schema":"https://github.com/citation-style-language/schema/raw/master/csl-citation.json"}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(Schroeder &amp; Prentice, 1998)</w:t>
      </w:r>
      <w:r w:rsidRPr="00B1522E">
        <w:rPr>
          <w:shd w:val="clear" w:color="auto" w:fill="FFFFFF"/>
        </w:rPr>
        <w:fldChar w:fldCharType="end"/>
      </w:r>
      <w:r w:rsidRPr="00B1522E">
        <w:rPr>
          <w:shd w:val="clear" w:color="auto" w:fill="FFFFFF"/>
        </w:rPr>
        <w:t xml:space="preserve">. This can lead to an individual engaging in an unhealthy behaviour as they align their behaviour to the perceived norm, often because of a fear of social disapproval </w:t>
      </w:r>
      <w:r w:rsidRPr="00B1522E">
        <w:rPr>
          <w:shd w:val="clear" w:color="auto" w:fill="FFFFFF"/>
        </w:rPr>
        <w:fldChar w:fldCharType="begin" w:fldLock="1"/>
      </w:r>
      <w:r w:rsidRPr="00B1522E">
        <w:rPr>
          <w:shd w:val="clear" w:color="auto" w:fill="FFFFFF"/>
        </w:rPr>
        <w:instrText>ADDIN CSL_CITATION {"citationItems":[{"id":"ITEM-1","itemData":{"ISBN":"0190622067","author":[{"dropping-particle":"","family":"Bicchieri","given":"Cristina","non-dropping-particle":"","parse-names":false,"suffix":""}],"id":"ITEM-1","issued":{"date-parts":[["2016"]]},"publisher":"Oxford University Press","title":"Norms in the wild: How to diagnose, measure, and change social norms","type":"book"},"uris":["http://www.mendeley.com/documents/?uuid=78f4e4ea-df49-40e4-bcd0-d6807c8b8fab"]}],"mendeley":{"formattedCitation":"(Bicchieri, 2016)","plainTextFormattedCitation":"(Bicchieri, 2016)","previouslyFormattedCitation":"(Bicchieri, 2016)"},"properties":{"noteIndex":0},"schema":"https://github.com/citation-style-language/schema/raw/master/csl-citation.json"}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(Bicchieri, 2016)</w:t>
      </w:r>
      <w:r w:rsidRPr="00B1522E">
        <w:rPr>
          <w:shd w:val="clear" w:color="auto" w:fill="FFFFFF"/>
        </w:rPr>
        <w:fldChar w:fldCharType="end"/>
      </w:r>
      <w:r w:rsidRPr="00B1522E">
        <w:rPr>
          <w:shd w:val="clear" w:color="auto" w:fill="FFFFFF"/>
        </w:rPr>
        <w:t>. The Social Norms Approach (SNA) operates on the assumption that if these normative misperceptions were challenged</w:t>
      </w:r>
      <w:r w:rsidRPr="00B1522E">
        <w:t>,</w:t>
      </w:r>
      <w:r w:rsidRPr="00B1522E">
        <w:rPr>
          <w:shd w:val="clear" w:color="auto" w:fill="FFFFFF"/>
        </w:rPr>
        <w:t xml:space="preserve"> it should decrease the social pressure to engage in these unhealthy behaviours, consequently leading to a reduction in the behaviour or in the intention to engage in the behaviour </w:t>
      </w:r>
      <w:r w:rsidRPr="00B1522E">
        <w:rPr>
          <w:shd w:val="clear" w:color="auto" w:fill="FFFFFF"/>
        </w:rPr>
        <w:fldChar w:fldCharType="begin" w:fldLock="1"/>
      </w:r>
      <w:r w:rsidRPr="00B1522E">
        <w:rPr>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(Dempsey et al., 2018)</w:t>
      </w:r>
      <w:r w:rsidRPr="00B1522E">
        <w:rPr>
          <w:shd w:val="clear" w:color="auto" w:fill="FFFFFF"/>
        </w:rPr>
        <w:fldChar w:fldCharType="end"/>
      </w:r>
      <w:r w:rsidRPr="00B1522E">
        <w:rPr>
          <w:shd w:val="clear" w:color="auto" w:fill="FFFFFF"/>
        </w:rPr>
        <w:t xml:space="preserve">. </w:t>
      </w:r>
      <w:r w:rsidRPr="00B1522E">
        <w:rPr>
          <w:shd w:val="clear" w:color="auto" w:fill="FFFFFF"/>
        </w:rPr>
        <w:lastRenderedPageBreak/>
        <w:t xml:space="preserve">The SNA focuses on two different types of norms which influence behaviour: </w:t>
      </w:r>
      <w:r w:rsidRPr="00B1522E">
        <w:t xml:space="preserve">descriptive norms (perceived typical behaviour of peers) and injunctive norms (perceived attitude or perceived approval of peers) </w:t>
      </w:r>
      <w:r w:rsidRPr="00B1522E">
        <w:fldChar w:fldCharType="begin" w:fldLock="1"/>
      </w:r>
      <w:r w:rsidR="004A684E" w:rsidRPr="00B1522E">
        <w:instrText>ADDIN CSL_CITATION {"citationItems":[{"id":"ITEM-1","itemData":{"ISSN":"0020-773X","author":[{"dropping-particle":"","family":"Perkins","given":"H. W","non-dropping-particle":"","parse-names":false,"suffix":""},{"dropping-particle":"","family":"Berkowitz","given":"A D","non-dropping-particle":"","parse-names":false,"suffix":""}],"container-title":"International journal of the Addictions","id":"ITEM-1","issue":"9-10","issued":{"date-parts":[["1986"]]},"page":"961-976","publisher":"Taylor &amp; Francis","title":"Perceiving the community norms of alcohol use among students: Some research implications for campus alcohol education programming","type":"article-journal","volume":"21"},"uris":["http://www.mendeley.com/documents/?uuid=c5bb1f76-719b-4b43-8537-bc1ecaff260b"]}],"mendeley":{"formattedCitation":"(H. W Perkins &amp; Berkowitz, 1986)","manualFormatting":"(Perkins &amp; Berkowitz, 1986)","plainTextFormattedCitation":"(H. W Perkins &amp; Berkowitz, 1986)","previouslyFormattedCitation":"(H. W Perkins &amp; Berkowitz, 1986)"},"properties":{"noteIndex":0},"schema":"https://github.com/citation-style-language/schema/raw/master/csl-citation.json"}</w:instrText>
      </w:r>
      <w:r w:rsidRPr="00B1522E">
        <w:fldChar w:fldCharType="separate"/>
      </w:r>
      <w:r w:rsidRPr="00B1522E">
        <w:rPr>
          <w:noProof/>
        </w:rPr>
        <w:t>(Perkins &amp; Berkowitz, 1986)</w:t>
      </w:r>
      <w:r w:rsidRPr="00B1522E">
        <w:fldChar w:fldCharType="end"/>
      </w:r>
      <w:r w:rsidRPr="00B1522E">
        <w:t xml:space="preserve">. </w:t>
      </w:r>
    </w:p>
    <w:p w14:paraId="05291C52" w14:textId="0000B6D3" w:rsidR="00227193" w:rsidRPr="00B1522E" w:rsidRDefault="00227193" w:rsidP="00227193">
      <w:pPr>
        <w:spacing w:line="480" w:lineRule="auto"/>
        <w:ind w:firstLine="720"/>
        <w:jc w:val="both"/>
        <w:rPr>
          <w:shd w:val="clear" w:color="auto" w:fill="FFFFFF"/>
        </w:rPr>
      </w:pPr>
      <w:r w:rsidRPr="00B1522E">
        <w:t xml:space="preserve">SNA interventions aim to challenge commonly held misperceptions of social norms by highlighting the actual reported healthier norm of the majority based on data collected from the target population </w:t>
      </w:r>
      <w:r w:rsidRPr="00B1522E">
        <w:fldChar w:fldCharType="begin" w:fldLock="1"/>
      </w:r>
      <w:r w:rsidR="000B6159" w:rsidRPr="00B1522E">
        <w:instrText>ADDIN CSL_CITATION {"citationItems":[{"id":"ITEM-1","itemData":{"author":[{"dropping-particle":"","family":"Berkowitz","given":"Alan D","non-dropping-particle":"","parse-names":false,"suffix":""}],"chapter-number":"13","container-title":"Changing the culture of college drinking: A socially situated health communication campaign","editor":[{"dropping-particle":"","family":"Lederman","given":"L","non-dropping-particle":"","parse-names":false,"suffix":""},{"dropping-particle":"","family":"Stewart","given":"L","non-dropping-particle":"","parse-names":false,"suffix":""},{"dropping-particle":"","family":"Goodhart","given":"F","non-dropping-particle":"","parse-names":false,"suffix":""},{"dropping-particle":"","family":"Latham","given":"L","non-dropping-particle":"","parse-names":false,"suffix":""}],"id":"ITEM-1","issued":{"date-parts":[["2005"]]},"page":"193-214","title":"An overview of the social norms approach","type":"chapter"},"uris":["http://www.mendeley.com/documents/?uuid=7e72ac3f-525d-40f4-9876-d8bb37f8a3fc"]},{"id":"ITEM-2","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UK","id":"ITEM-2","issued":{"date-parts":[["2010"]]},"title":"Social norms guidebook: A guide to implementing the social norms approach in the UK","type":"article-journal"},"uris":["http://www.mendeley.com/documents/?uuid=cf5081f9-19e6-4ccf-aaab-a0311d1c876e"]}],"mendeley":{"formattedCitation":"(Berkowitz, 2005; J McAlaney et al., 2010)","manualFormatting":"(Berkowitz, 2005; McAlaney et al., 2010)","plainTextFormattedCitation":"(Berkowitz, 2005; J McAlaney et al., 2010)","previouslyFormattedCitation":"(Berkowitz, 2005; J McAlaney et al., 2010)"},"properties":{"noteIndex":0},"schema":"https://github.com/citation-style-language/schema/raw/master/csl-citation.json"}</w:instrText>
      </w:r>
      <w:r w:rsidRPr="00B1522E">
        <w:fldChar w:fldCharType="separate"/>
      </w:r>
      <w:r w:rsidR="00660052" w:rsidRPr="00B1522E">
        <w:rPr>
          <w:noProof/>
        </w:rPr>
        <w:t>(Berkowitz, 2005; McAlaney et al., 2010)</w:t>
      </w:r>
      <w:r w:rsidRPr="00B1522E">
        <w:fldChar w:fldCharType="end"/>
      </w:r>
      <w:r w:rsidRPr="00B1522E">
        <w:t>.</w:t>
      </w:r>
      <w:r w:rsidRPr="00B1522E">
        <w:rPr>
          <w:shd w:val="clear" w:color="auto" w:fill="FFFFFF"/>
        </w:rPr>
        <w:t xml:space="preserve"> SNA feedback, which highlights the difference between perceived and actual norms, should challenge any held misperceptions, reducing the perceived social pressure to engage in the perceived unhealthy behaviours</w:t>
      </w:r>
      <w:r w:rsidR="00BD5DE5" w:rsidRPr="00B1522E">
        <w:rPr>
          <w:shd w:val="clear" w:color="auto" w:fill="FFFFFF"/>
        </w:rPr>
        <w:t xml:space="preserve"> associated with</w:t>
      </w:r>
      <w:r w:rsidRPr="00B1522E">
        <w:rPr>
          <w:shd w:val="clear" w:color="auto" w:fill="FFFFFF"/>
        </w:rPr>
        <w:t xml:space="preserve"> the majority of peers, thereby promoting more positive behaviours </w:t>
      </w:r>
      <w:r w:rsidRPr="00B1522E">
        <w:rPr>
          <w:shd w:val="clear" w:color="auto" w:fill="FFFFFF"/>
        </w:rPr>
        <w:fldChar w:fldCharType="begin" w:fldLock="1"/>
      </w:r>
      <w:r w:rsidR="00217EBA" w:rsidRPr="00B1522E">
        <w:rPr>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shd w:val="clear" w:color="auto" w:fill="FFFFFF"/>
        </w:rPr>
        <w:fldChar w:fldCharType="separate"/>
      </w:r>
      <w:r w:rsidR="00660052" w:rsidRPr="00B1522E">
        <w:rPr>
          <w:noProof/>
          <w:shd w:val="clear" w:color="auto" w:fill="FFFFFF"/>
        </w:rPr>
        <w:t>(McAlaney et al., 2010)</w:t>
      </w:r>
      <w:r w:rsidRPr="00B1522E">
        <w:rPr>
          <w:shd w:val="clear" w:color="auto" w:fill="FFFFFF"/>
        </w:rPr>
        <w:fldChar w:fldCharType="end"/>
      </w:r>
      <w:r w:rsidRPr="00B1522E">
        <w:rPr>
          <w:shd w:val="clear" w:color="auto" w:fill="FFFFFF"/>
        </w:rPr>
        <w:t>. In support of this, there is evidence that changes in perceived norms mediates the effect of SNA feedback on health-related behaviours</w:t>
      </w:r>
      <w:r w:rsidR="00F975DA" w:rsidRPr="00B1522E">
        <w:rPr>
          <w:shd w:val="clear" w:color="auto" w:fill="FFFFFF"/>
        </w:rPr>
        <w:t>,</w:t>
      </w:r>
      <w:r w:rsidRPr="00B1522E">
        <w:rPr>
          <w:shd w:val="clear" w:color="auto" w:fill="FFFFFF"/>
        </w:rPr>
        <w:t xml:space="preserve"> e.g. alcohol use </w:t>
      </w:r>
      <w:r w:rsidRPr="00B1522E">
        <w:fldChar w:fldCharType="begin" w:fldLock="1"/>
      </w:r>
      <w:r w:rsidRPr="00B1522E">
        <w:instrText>ADDIN CSL_CITATION {"citationItems":[{"id":"ITEM-1","itemData":{"ISSN":"1939-2117","abstract":"This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psychology","id":"ITEM-1","issue":"1","issued":{"date-parts":[["2009","2"]]},"language":"eng","page":"51-63","title":"Internet-based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intervention","type":"article-journal","volume":"77"},"uris":["http://www.mendeley.com/documents/?uuid=e474cd44-a8a0-4e78-bf25-b8174689a8a6"]},{"id":"ITEM-2","itemData":{"ISSN":"1939-2117","abstract":"OBJECTIVE: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psychology","id":"ITEM-2","issue":"3","issued":{"date-parts":[["2015","6"]]},"language":"eng","page":"500-511","title":"Efficacy of personalized normative feedback as a brief intervention for college student gambling: a randomized controlled trial","type":"article-journal","volume":"83"},"uris":["http://www.mendeley.com/documents/?uuid=fcaceed2-d4d5-4058-b962-e7683d722ede"]}],"mendeley":{"formattedCitation":"(Neighbors et al., 2009, 2015)","plainTextFormattedCitation":"(Neighbors et al., 2009, 2015)","previouslyFormattedCitation":"(Neighbors et al., 2009, 2015)"},"properties":{"noteIndex":0},"schema":"https://github.com/citation-style-language/schema/raw/master/csl-citation.json"}</w:instrText>
      </w:r>
      <w:r w:rsidRPr="00B1522E">
        <w:fldChar w:fldCharType="separate"/>
      </w:r>
      <w:r w:rsidRPr="00B1522E">
        <w:rPr>
          <w:noProof/>
        </w:rPr>
        <w:t>(Neighbors et al., 2009, 2015)</w:t>
      </w:r>
      <w:r w:rsidRPr="00B1522E">
        <w:fldChar w:fldCharType="end"/>
      </w:r>
      <w:r w:rsidRPr="00B1522E">
        <w:t>. </w:t>
      </w:r>
      <w:r w:rsidRPr="00B1522E">
        <w:rPr>
          <w:shd w:val="clear" w:color="auto" w:fill="FFFFFF"/>
        </w:rPr>
        <w:t xml:space="preserve">SNA interventions conducted in school settings have shown promising results in promoting health behaviours in </w:t>
      </w:r>
      <w:r w:rsidRPr="00B1522E">
        <w:rPr>
          <w:rFonts w:eastAsia="Calibri"/>
        </w:rPr>
        <w:t>adolescents, particularly for</w:t>
      </w:r>
      <w:r w:rsidRPr="00B1522E">
        <w:rPr>
          <w:shd w:val="clear" w:color="auto" w:fill="FFFFFF"/>
        </w:rPr>
        <w:t xml:space="preserve"> reducing alcohol and tobacco consumption </w:t>
      </w:r>
      <w:r w:rsidRPr="00B1522E">
        <w:rPr>
          <w:shd w:val="clear" w:color="auto" w:fill="FFFFFF"/>
        </w:rPr>
        <w:fldChar w:fldCharType="begin" w:fldLock="1"/>
      </w:r>
      <w:r w:rsidR="0053594F">
        <w:rPr>
          <w:shd w:val="clear" w:color="auto" w:fill="FFFFFF"/>
        </w:rPr>
        <w:instrText>ADDIN CSL_CITATION {"citationItems":[{"id":"ITEM-1","itemData":{"ISSN":"2211-3355","abstract":"The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reports","id":"ITEM-1","issued":{"date-parts":[["2018","10","28"]]},"language":"eng","page":"304-311","publisher":"Elsevier","title":"Effects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-2","itemData":{"ISSN":"1404-3858","author":[{"dropping-particle":"","family":"Balvig","given":"Flemming","non-dropping-particle":"","parse-names":false,"suffix":""},{"dropping-particle":"","family":"Holmberg","given":"Lars","non-dropping-particle":"","parse-names":false,"suffix":""}],"container-title":"Journal of Scandinavian Studies in Criminology and Crime Prevention","id":"ITEM-2","issue":"1","issued":{"date-parts":[["2011"]]},"page":"3-19","publisher":"Taylor &amp; Francis","title":"The ripple effect: a randomized trial of a social norms intervention in a Danish middle school setting","type":"article-journal","volume":"12"},"uris":["http://www.mendeley.com/documents/?uuid=535ff636-1cb3-43f4-9c97-2b9a6d9d5de4"]},{"id":"ITEM-3","itemData":{"author":[{"dropping-particle":"","family":"Haines","given":"M P","non-dropping-particle":"","parse-names":false,"suffix":""},{"dropping-particle":"","family":"Barker","given":"G P","non-dropping-particle":"","parse-names":false,"suffix":""},{"dropping-particle":"","family":"Rice","given":"R","non-dropping-particle":"","parse-names":false,"suffix":""}],"container-title":"The social norms approach to preventing school and college age substance abuse: A handbook for educators, counselors, and clinicians","editor":[{"dropping-particle":"","family":"Perkins","given":"H. W","non-dropping-particle":"","parse-names":false,"suffix":""}],"id":"ITEM-3","issued":{"date-parts":[["2003"]]},"page":"235-244","publisher":"Jossey-Bass","title":"Using social norms to reduce alcohol and tobacco use in two midwestern high schools","type":"chapter"},"uris":["http://www.mendeley.com/documents/?uuid=73f99723-f98f-4430-85fb-c8a047b72256"]},{"id":"ITEM-4","itemData":{"ISSN":"0965-4283","author":[{"dropping-particle":"","family":"Sheikh","given":"Afzal","non-dropping-particle":"","parse-names":false,"suffix":""},{"dropping-particle":"","family":"Vadera","given":"Sunil","non-dropping-particle":"","parse-names":false,"suffix":""},{"dropping-particle":"","family":"Ravey","given":"Michael","non-dropping-particle":"","parse-names":false,"suffix":""},{"dropping-particle":"","family":"Lovatt","given":"Gary","non-dropping-particle":"","parse-names":false,"suffix":""},{"dropping-particle":"","family":"Kelly","given":"Grace","non-dropping-particle":"","parse-names":false,"suffix":""}],"container-title":"Health Education","id":"ITEM-4","issue":"6","issued":{"date-parts":[["2017"]]},"page":"530-539","publisher":"Emerald Publishing Limited","title":"A social norms approach to changing school children’s perceptions of tobacco usage","type":"article-journal","volume":"117"},"uris":["http://www.mendeley.com/documents/?uuid=78f817d1-08ba-4c01-ad47-de933c360a0f"]}],"mendeley":{"formattedCitation":"(Balvig &amp; Holmberg, 2011; Haines et al., 2003; Sheikh et al., 2017; Vallentin-Holbech et al., 2018)","plainTextFormattedCitation":"(Balvig &amp; Holmberg, 2011; Haines et al., 2003; Sheikh et al., 2017; Vallentin-Holbech et al., 2018)","previouslyFormattedCitation":"(Balvig &amp; Holmberg, 2011; Haines et al., 2003; Sheikh et al., 2017; Vallentin-Holbech et al., 2018)"},"properties":{"noteIndex":0},"schema":"https://github.com/citation-style-language/schema/raw/master/csl-citation.json"}</w:instrText>
      </w:r>
      <w:r w:rsidRPr="00B1522E">
        <w:rPr>
          <w:shd w:val="clear" w:color="auto" w:fill="FFFFFF"/>
        </w:rPr>
        <w:fldChar w:fldCharType="separate"/>
      </w:r>
      <w:r w:rsidR="00217EBA" w:rsidRPr="00B1522E">
        <w:rPr>
          <w:noProof/>
          <w:shd w:val="clear" w:color="auto" w:fill="FFFFFF"/>
        </w:rPr>
        <w:t>(Balvig &amp; Holmberg, 2011; Haines et al., 2003; Sheikh et al., 2017; Vallentin-Holbech et al., 2018)</w:t>
      </w:r>
      <w:r w:rsidRPr="00B1522E">
        <w:rPr>
          <w:shd w:val="clear" w:color="auto" w:fill="FFFFFF"/>
        </w:rPr>
        <w:fldChar w:fldCharType="end"/>
      </w:r>
      <w:r w:rsidRPr="00B1522E">
        <w:rPr>
          <w:shd w:val="clear" w:color="auto" w:fill="FFFFFF"/>
        </w:rPr>
        <w:t xml:space="preserve">. </w:t>
      </w:r>
      <w:r w:rsidRPr="00B1522E">
        <w:t>As adolescents (11-12 years old) spend a significant amount of time with peers in a school setting</w:t>
      </w:r>
      <w:r w:rsidR="00626F93" w:rsidRPr="00B1522E">
        <w:t>,</w:t>
      </w:r>
      <w:r w:rsidRPr="00B1522E">
        <w:t xml:space="preserve"> and so schools represent a unique social environment with the potential to promote positive dietary behaviour change in adolescents </w:t>
      </w:r>
      <w:r w:rsidRPr="00B1522E">
        <w:fldChar w:fldCharType="begin" w:fldLock="1"/>
      </w:r>
      <w:r w:rsidR="0063396E" w:rsidRPr="00B1522E">
        <w:instrText>ADDIN CSL_CITATION {"citationItems":[{"id":"ITEM-1","itemData":{"ISSN":"2072-6643","abstract":"INTRO: Globally, the prevalence of overweight and obesity is increasing among children and younger adults and is associated with unhealthy dietary habits and lack of physical activity. School food is increasingly brought forward as a policy to address the unhealthy eating patterns among young people. AIM: This study investigated the evidence for the effectiveness of school-based food and nutrition interventions on health outcomes by reviewing scientific evidence-based intervention studies amongst children at the international level. METHODS: This study was based on a systematic review using the PRISMA guidelines. Three electronic databases were systematically searched, reference lists were screened for studies evaluating school-based food and nutrition interventions that promoted children's dietary behaviour and health aiming changes in the body composition among children. Articles dating from 2014 to 2019 were selected and reported effects on anthropometry, dietary behaviour, nutritional knowledge, and attitude. RESULTS: The review showed that school-based interventions in general were able to affect attitudes, knowledge, behaviour and anthropometry, but that the design of the intervention affects the size of the effect. In general, food focused interventions taking an environmental approach seemed to be most effective. CONCLUSIONS: School-based interventions (including multicomponent interventions) can be an effective and promising means for promoting healthy eating, improving dietary behaviour, attitude and anthropometry among young children. Thus, schools as a system have the potential to make lasting improvements, ensuring healthy school environment around the globe for the betterment of children's short- and long-term health.","author":[{"dropping-particle":"","family":"Chaudhary","given":"Abina","non-dropping-particle":"","parse-names":false,"suffix":""},{"dropping-particle":"","family":"Sudzina","given":"František","non-dropping-particle":"","parse-names":false,"suffix":""},{"dropping-particle":"","family":"Mikkelsen","given":"Bent Egberg","non-dropping-particle":"","parse-names":false,"suffix":""}],"container-title":"Nutrients","id":"ITEM-1","issue":"9","issued":{"date-parts":[["2020","9","22"]]},"language":"eng","page":"2894-2928","publisher":"MDPI","title":"Promoting Healthy Eating among Young People-A Review of the Evidence of the Impact of School-Based Interventions","type":"article-journal","volume":"12"},"uris":["http://www.mendeley.com/documents/?uuid=35e25965-e61b-4c34-88e3-ea1a56347528"]}],"mendeley":{"formattedCitation":"(Chaudhary et al., 2020)","plainTextFormattedCitation":"(Chaudhary et al., 2020)","previouslyFormattedCitation":"(Chaudhary et al., 2020)"},"properties":{"noteIndex":0},"schema":"https://github.com/citation-style-language/schema/raw/master/csl-citation.json"}</w:instrText>
      </w:r>
      <w:r w:rsidRPr="00B1522E">
        <w:fldChar w:fldCharType="separate"/>
      </w:r>
      <w:r w:rsidRPr="00B1522E">
        <w:rPr>
          <w:noProof/>
        </w:rPr>
        <w:t>(Chaudhary et al., 2020)</w:t>
      </w:r>
      <w:r w:rsidRPr="00B1522E">
        <w:fldChar w:fldCharType="end"/>
      </w:r>
      <w:r w:rsidRPr="00B1522E">
        <w:t>.</w:t>
      </w:r>
      <w:r w:rsidRPr="00B1522E">
        <w:rPr>
          <w:shd w:val="clear" w:color="auto" w:fill="FFFFFF"/>
        </w:rPr>
        <w:t xml:space="preserve"> </w:t>
      </w:r>
    </w:p>
    <w:p w14:paraId="6D3EE76C" w14:textId="24F2A746" w:rsidR="004642E1" w:rsidRPr="00B1522E" w:rsidRDefault="00227193" w:rsidP="00FA314F">
      <w:pPr>
        <w:spacing w:line="480" w:lineRule="auto"/>
        <w:ind w:firstLine="720"/>
        <w:jc w:val="both"/>
        <w:rPr>
          <w:shd w:val="clear" w:color="auto" w:fill="FFFFFF"/>
        </w:rPr>
      </w:pPr>
      <w:r w:rsidRPr="00B1522E">
        <w:t>T</w:t>
      </w:r>
      <w:r w:rsidRPr="00B1522E">
        <w:rPr>
          <w:shd w:val="clear" w:color="auto" w:fill="FFFFFF"/>
        </w:rPr>
        <w:t>he current study aims to test whether a school-based SNA feedback intervention is effective in reducing unhealthy snacking behaviours and attitudes, and increasing intentions to reduce unhealthy snacking, amongst students aged 11 to 12 years, compared to a</w:t>
      </w:r>
      <w:r w:rsidR="006B2825" w:rsidRPr="00B1522E">
        <w:rPr>
          <w:shd w:val="clear" w:color="auto" w:fill="FFFFFF"/>
        </w:rPr>
        <w:t xml:space="preserve"> non-normative feedback</w:t>
      </w:r>
      <w:r w:rsidRPr="00B1522E">
        <w:rPr>
          <w:shd w:val="clear" w:color="auto" w:fill="FFFFFF"/>
        </w:rPr>
        <w:t xml:space="preserve"> control</w:t>
      </w:r>
      <w:r w:rsidR="006B2825" w:rsidRPr="00B1522E">
        <w:rPr>
          <w:shd w:val="clear" w:color="auto" w:fill="FFFFFF"/>
        </w:rPr>
        <w:t xml:space="preserve"> intervention</w:t>
      </w:r>
      <w:r w:rsidRPr="00B1522E">
        <w:rPr>
          <w:shd w:val="clear" w:color="auto" w:fill="FFFFFF"/>
        </w:rPr>
        <w:t xml:space="preserve">.  </w:t>
      </w:r>
      <w:r w:rsidRPr="00B1522E">
        <w:t xml:space="preserve">Two schools from areas of high socio-economic deprivation were sampled in this study, since there is evidence that areas of greater deprivation are associated with both higher levels of unhealthy food consumption and higher rates of childhood obesity </w:t>
      </w:r>
      <w:r w:rsidRPr="00B1522E">
        <w:fldChar w:fldCharType="begin" w:fldLock="1"/>
      </w:r>
      <w:r w:rsidRPr="00B1522E">
        <w:instrText>ADDIN CSL_CITATION {"citationItems":[{"id":"ITEM-1","itemData":{"abstract":"Objectives To investigate the associations between deprivation and rates of childhood overweight and obesity in England, from 2007 to 2010.Design An ecological study using routine data from the National Child Measurement Programme and Indices of Multiple Deprivation (IMD) 2010 scores.Setting Local authority districts in England.Participants Schoolchildren in Reception year (age 4–5 years) and Year 6 (age 10–11 years) attending non-specialist maintained state schools in England.Primary and secondary outcome measures Prevalence of overweight in both Reception and Year 6, prevalence of obesity in both Reception and Year 6 and IMD 2010 scores for each local authority.Results In 2009–2010, local authority IMD 2010 scores were strongly correlated with obesity rates among schoolchildren in Reception (r=0.625, p&amp;amp;lt;0.001) and Year 6 (r=0.733, p&amp;amp;lt;0.001). There were no statistically significant changes in association between obesity in Reception or Year 6 and IMD from 2007–2008 to 2009–2010. In contrast, the prevalence of overweight was not statistically significantly correlated with local authority IMD scores in Reception (r=0.095, p=0.092) and only weakly correlated in Year 6 (r=0.184, p=0.001). There were no statistically significant changes in association between overweight in Reception or Year 6 and IMD from 2007–2008 to 2009–2010.Conclusions Childhood obesity rates in England are strongly associated with deprivation. Given the enormous public health implications of overweight and obesity in the population, these findings suggest that significant effort is required to tackle unhealthy weight in children in all local authorities and that this should be a priority in areas with high levels of deprivation.","author":[{"dropping-particle":"","family":"Conrad","given":"David","non-dropping-particle":"","parse-names":false,"suffix":""},{"dropping-particle":"","family":"Capewell","given":"Simon","non-dropping-particle":"","parse-names":false,"suffix":""}],"container-title":"BMJ Open","id":"ITEM-1","issue":"2","issued":{"date-parts":[["2012","1","1"]]},"page":"e000463","title":"Associations between deprivation and rates of childhood overweight and obesity in England, 2007–2010: an ecological study","type":"article-journal","volume":"2"},"uris":["http://www.mendeley.com/documents/?uuid=fada76ee-618a-4457-9ed1-dc1e718cb95e"]}],"mendeley":{"formattedCitation":"(Conrad &amp; Capewell, 2012)","plainTextFormattedCitation":"(Conrad &amp; Capewell, 2012)","previouslyFormattedCitation":"(Conrad &amp; Capewell, 2012)"},"properties":{"noteIndex":0},"schema":"https://github.com/citation-style-language/schema/raw/master/csl-citation.json"}</w:instrText>
      </w:r>
      <w:r w:rsidRPr="00B1522E">
        <w:fldChar w:fldCharType="separate"/>
      </w:r>
      <w:r w:rsidRPr="00B1522E">
        <w:rPr>
          <w:noProof/>
        </w:rPr>
        <w:t>(Conrad &amp; Capewell, 2012)</w:t>
      </w:r>
      <w:r w:rsidRPr="00B1522E">
        <w:fldChar w:fldCharType="end"/>
      </w:r>
      <w:r w:rsidRPr="00B1522E">
        <w:t>.</w:t>
      </w:r>
      <w:r w:rsidRPr="00B1522E">
        <w:rPr>
          <w:shd w:val="clear" w:color="auto" w:fill="FFFFFF"/>
        </w:rPr>
        <w:t xml:space="preserve"> Based on previous research that has sampled other age groups and targeted other unhealthy behaviours </w:t>
      </w:r>
      <w:r w:rsidRPr="00B1522E">
        <w:rPr>
          <w:shd w:val="clear" w:color="auto" w:fill="FFFFFF"/>
        </w:rPr>
        <w:fldChar w:fldCharType="begin" w:fldLock="1"/>
      </w:r>
      <w:r w:rsidR="004A684E" w:rsidRPr="00B1522E">
        <w:rPr>
          <w:shd w:val="clear" w:color="auto" w:fill="FFFFFF"/>
        </w:rPr>
        <w:instrText>ADDIN CSL_CITATION {"citationItems":[{"id":"ITEM-1","itemData":{"author":[{"dropping-particle":"","family":"Haines","given":"M P","non-dropping-particle":"","parse-names":false,"suffix":""},{"dropping-particle":"","family":"Perkins","given":"H W","non-dropping-particle":"","parse-names":false,"suffix":""},{"dropping-particle":"","family":"Rice","given":"R M","non-dropping-particle":"","parse-names":false,"suffix":""},{"dropping-particle":"","family":"Barker","given":"G","non-dropping-particle":"","parse-names":false,"suffix":""}],"id":"ITEM-1","issued":{"date-parts":[["2005"]]},"publisher":"National Social Norms Resource Center","title":"A guide to marketing social norms for health promotion in schools and communities","type":"report"},"uris":["http://www.mendeley.com/documents/?uuid=e808c01d-a666-46ae-93e8-f820a4c5cfac"]},{"id":"ITEM-2","itemData":{"ISSN":"2211-3355","abstract":"The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reports","id":"ITEM-2","issued":{"date-parts":[["2018","10","28"]]},"language":"eng","page":"304-311","publisher":"Elsevier","title":"Effects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trial","type":"article-journal","volume":"12"},"uris":["http://www.mendeley.com/documents/?uuid=d14f1680-42aa-4cdf-a003-eb1aa0293b67"]},{"id":"ITEM-3","itemData":{"ISSN":"1368-4302","author":[{"dropping-particle":"","family":"Perkins","given":"H.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Relations","id":"ITEM-3","issue":"5","issued":{"date-parts":[["2011"]]},"page":"703-722","publisher":"Sage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schools","type":"article-journal","volume":"14"},"uris":["http://www.mendeley.com/documents/?uuid=6378a98a-771f-425a-8e50-f7c8134e913c"]},{"id":"ITEM-4","itemData":{"ISSN":"0195-6663","abstract":"We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-4","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adolescents.","type":"article-journal","volume":"57"},"uris":["http://www.mendeley.com/documents/?uuid=18a9583d-446e-4d40-8c46-37ad5a8b65e9"]},{"id":"ITEM-5","itemData":{"ISSN":"1939-2117","abstract":"This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psychology","id":"ITEM-5","issue":"1","issued":{"date-parts":[["2009","2"]]},"language":"eng","page":"51-63","title":"Internet-based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intervention","type":"article-journal","volume":"77"},"uris":["http://www.mendeley.com/documents/?uuid=e474cd44-a8a0-4e78-bf25-b8174689a8a6"]},{"id":"ITEM-6","itemData":{"ISSN":"1939-2117","abstract":"OBJECTIVE: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psychology","id":"ITEM-6","issue":"3","issued":{"date-parts":[["2015","6"]]},"language":"eng","page":"500-511","title":"Efficacy of personalized normative feedback as a brief intervention for college student gambling: a randomized controlled trial","type":"article-journal","volume":"83"},"uris":["http://www.mendeley.com/documents/?uuid=fcaceed2-d4d5-4058-b962-e7683d722ede"]}],"mendeley":{"formattedCitation":"(Haines et al., 2005; P Lally et al., 2011; Neighbors et al., 2009, 2015; H. W Perkins et al., 2011; Vallentin-Holbech et al., 2018)","manualFormatting":"(Haines et al., 2005; Lally et al., 2011; Neighbors et al., 2009, 2015; Perkins et al., 2011; Vallentin-Holbech et al., 2018)","plainTextFormattedCitation":"(Haines et al., 2005; P Lally et al., 2011; Neighbors et al., 2009, 2015; H. W Perkins et al., 2011; Vallentin-Holbech et al., 2018)","previouslyFormattedCitation":"(Haines et al., 2005; P Lally et al., 2011; Neighbors et al., 2009, 2015; H. W Perkins et al., 2011; Vallentin-Holbech et al., 2018)"},"properties":{"noteIndex":0},"schema":"https://github.com/citation-style-language/schema/raw/master/csl-citation.json"}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 xml:space="preserve">(Haines et al., 2005; Lally et al., 2011; Neighbors et al., 2009, 2015; Perkins et al., 2011; </w:t>
      </w:r>
      <w:r w:rsidRPr="00B1522E">
        <w:rPr>
          <w:noProof/>
          <w:shd w:val="clear" w:color="auto" w:fill="FFFFFF"/>
        </w:rPr>
        <w:lastRenderedPageBreak/>
        <w:t>Vallentin-Holbech et al., 2018)</w:t>
      </w:r>
      <w:r w:rsidRPr="00B1522E">
        <w:rPr>
          <w:shd w:val="clear" w:color="auto" w:fill="FFFFFF"/>
        </w:rPr>
        <w:fldChar w:fldCharType="end"/>
      </w:r>
      <w:r w:rsidRPr="00B1522E">
        <w:rPr>
          <w:shd w:val="clear" w:color="auto" w:fill="FFFFFF"/>
        </w:rPr>
        <w:t xml:space="preserve"> it is hypothesised that: 1) students who received snacking-related SNA feedback would (i) report a greater reduction in unhealthy snacking behaviours, (ii) have less positive attitudes towards unhealthy snacking, (iii) have a greater intention to reduce unhealthy snacking, and (iv) have more accurate perceptions about peers’ snacking-related behaviours and attitudes, when compared to a control; 2) the improvements in students’ snacking-related behaviours, attitudes and intentions will be mediated by changes in normative snacking-related </w:t>
      </w:r>
      <w:r w:rsidR="006C7948" w:rsidRPr="00B1522E">
        <w:rPr>
          <w:shd w:val="clear" w:color="auto" w:fill="FFFFFF"/>
        </w:rPr>
        <w:t>mis</w:t>
      </w:r>
      <w:r w:rsidRPr="00B1522E">
        <w:rPr>
          <w:shd w:val="clear" w:color="auto" w:fill="FFFFFF"/>
        </w:rPr>
        <w:t>perceptions. </w:t>
      </w:r>
    </w:p>
    <w:p w14:paraId="4C351CF4" w14:textId="77777777" w:rsidR="00FA314F" w:rsidRPr="00B1522E" w:rsidRDefault="00FA314F" w:rsidP="00FA314F">
      <w:pPr>
        <w:spacing w:line="480" w:lineRule="auto"/>
        <w:ind w:firstLine="720"/>
        <w:jc w:val="both"/>
        <w:rPr>
          <w:shd w:val="clear" w:color="auto" w:fill="FFFFFF"/>
        </w:rPr>
      </w:pPr>
    </w:p>
    <w:bookmarkStart w:id="231" w:name="_Toc84678962"/>
    <w:p w14:paraId="69F04284" w14:textId="4246013C" w:rsidR="0007405A" w:rsidRPr="00B1522E" w:rsidRDefault="00194138" w:rsidP="00280035">
      <w:pPr>
        <w:spacing w:line="480" w:lineRule="auto"/>
        <w:rPr>
          <w:b/>
          <w:bCs/>
        </w:rPr>
      </w:pPr>
      <w:r w:rsidRPr="00B1522E">
        <w:fldChar w:fldCharType="begin"/>
      </w:r>
      <w:r w:rsidRPr="00B1522E">
        <w:instrText xml:space="preserve"> TC  "</w:instrText>
      </w:r>
      <w:bookmarkStart w:id="232" w:name="_Toc97310500"/>
      <w:r w:rsidRPr="00B1522E">
        <w:instrText>8.3 Methods</w:instrText>
      </w:r>
      <w:bookmarkEnd w:id="232"/>
      <w:r w:rsidRPr="00B1522E">
        <w:instrText xml:space="preserve"> " \f x\l 2 </w:instrText>
      </w:r>
      <w:r w:rsidRPr="00B1522E">
        <w:fldChar w:fldCharType="end"/>
      </w:r>
      <w:r w:rsidR="004642E1" w:rsidRPr="00B1522E">
        <w:rPr>
          <w:b/>
          <w:bCs/>
        </w:rPr>
        <w:t>8.3 Method</w:t>
      </w:r>
      <w:bookmarkEnd w:id="231"/>
    </w:p>
    <w:bookmarkStart w:id="233" w:name="_Toc84678963"/>
    <w:p w14:paraId="580D9E8A" w14:textId="57735310" w:rsidR="004642E1" w:rsidRPr="00B1522E" w:rsidRDefault="00194138" w:rsidP="00280035">
      <w:pPr>
        <w:spacing w:line="480" w:lineRule="auto"/>
      </w:pPr>
      <w:r w:rsidRPr="00B1522E">
        <w:fldChar w:fldCharType="begin"/>
      </w:r>
      <w:r w:rsidRPr="00B1522E">
        <w:instrText xml:space="preserve"> TC  "</w:instrText>
      </w:r>
      <w:bookmarkStart w:id="234" w:name="_Toc97310501"/>
      <w:r w:rsidRPr="00B1522E">
        <w:instrText>8.3.1 Design and Participants</w:instrText>
      </w:r>
      <w:bookmarkEnd w:id="234"/>
      <w:r w:rsidRPr="00B1522E">
        <w:instrText xml:space="preserve"> " \f x\l 3 </w:instrText>
      </w:r>
      <w:r w:rsidRPr="00B1522E">
        <w:fldChar w:fldCharType="end"/>
      </w:r>
      <w:r w:rsidR="004642E1" w:rsidRPr="00B1522E">
        <w:t>8.3.1 Design and Participants</w:t>
      </w:r>
      <w:bookmarkEnd w:id="233"/>
    </w:p>
    <w:p w14:paraId="3E151617" w14:textId="222F2C03" w:rsidR="00892DD3" w:rsidRPr="00B1522E" w:rsidRDefault="004E58A6" w:rsidP="00892DD3">
      <w:pPr>
        <w:spacing w:line="480" w:lineRule="auto"/>
        <w:jc w:val="both"/>
        <w:rPr>
          <w:rFonts w:cstheme="minorHAnsi"/>
          <w:noProof/>
        </w:rPr>
      </w:pPr>
      <w:r w:rsidRPr="00B1522E">
        <w:rPr>
          <w:rFonts w:cstheme="minorHAnsi"/>
        </w:rPr>
        <w:t xml:space="preserve">A </w:t>
      </w:r>
      <w:r w:rsidRPr="00B1522E">
        <w:rPr>
          <w:rFonts w:cstheme="minorHAnsi"/>
          <w:shd w:val="clear" w:color="auto" w:fill="FCFCFC"/>
        </w:rPr>
        <w:t>quasi-experimental design was used for the present </w:t>
      </w:r>
      <w:r w:rsidRPr="00B1522E">
        <w:rPr>
          <w:rFonts w:cstheme="minorHAnsi"/>
        </w:rPr>
        <w:t xml:space="preserve">study. Two secondary schools from the North and Midlands of England were sampled, both of which were located in the 30% most-deprived areas of the UK </w:t>
      </w:r>
      <w:r w:rsidRPr="00B1522E">
        <w:rPr>
          <w:rFonts w:cstheme="minorHAnsi"/>
        </w:rPr>
        <w:fldChar w:fldCharType="begin" w:fldLock="1"/>
      </w:r>
      <w:r w:rsidRPr="00B1522E">
        <w:rPr>
          <w:rFonts w:cstheme="minorHAnsi"/>
        </w:rPr>
        <w:instrText>ADDIN CSL_CITATION {"citationItems":[{"id":"ITEM-1","itemData":{"author":[{"dropping-particle":"","family":"Noble","given":"Stefan","non-dropping-particle":"","parse-names":false,"suffix":""},{"dropping-particle":"","family":"McLennan","given":"David","non-dropping-particle":"","parse-names":false,"suffix":""},{"dropping-particle":"","family":"Noble","given":"Michael","non-dropping-particle":"","parse-names":false,"suffix":""},{"dropping-particle":"","family":"Plunkett","given":"Emma","non-dropping-particle":"","parse-names":false,"suffix":""},{"dropping-particle":"","family":"Gutacker","given":"Nils","non-dropping-particle":"","parse-names":false,"suffix":""},{"dropping-particle":"","family":"Silk","given":"Mary","non-dropping-particle":"","parse-names":false,"suffix":""},{"dropping-particle":"","family":"Wright","given":"Gemma","non-dropping-particle":"","parse-names":false,"suffix":""}],"id":"ITEM-1","issued":{"date-parts":[["2019"]]},"publisher":"Ministry of Housing, Communities and Local Government","title":"The English indices of deprivation 2019","type":"report"},"uris":["http://www.mendeley.com/documents/?uuid=c2ffbd70-f225-4156-97a9-c107b1be01bd"]}],"mendeley":{"formattedCitation":"(Noble et al., 2019)","plainTextFormattedCitation":"(Noble et al., 2019)","previouslyFormattedCitation":"(Noble et al., 2019)"},"properties":{"noteIndex":0},"schema":"https://github.com/citation-style-language/schema/raw/master/csl-citation.json"}</w:instrText>
      </w:r>
      <w:r w:rsidRPr="00B1522E">
        <w:rPr>
          <w:rFonts w:cstheme="minorHAnsi"/>
        </w:rPr>
        <w:fldChar w:fldCharType="separate"/>
      </w:r>
      <w:r w:rsidRPr="00B1522E">
        <w:rPr>
          <w:rFonts w:cstheme="minorHAnsi"/>
          <w:noProof/>
        </w:rPr>
        <w:t>(Noble et al., 2019)</w:t>
      </w:r>
      <w:r w:rsidRPr="00B1522E">
        <w:rPr>
          <w:rFonts w:cstheme="minorHAnsi"/>
        </w:rPr>
        <w:fldChar w:fldCharType="end"/>
      </w:r>
      <w:r w:rsidRPr="00B1522E">
        <w:rPr>
          <w:rFonts w:cstheme="minorHAnsi"/>
        </w:rPr>
        <w:t xml:space="preserve">. A total of 373 students aged between 11 and 12 years of age (School </w:t>
      </w:r>
      <w:r w:rsidRPr="00646E6A">
        <w:rPr>
          <w:rFonts w:cstheme="minorHAnsi"/>
        </w:rPr>
        <w:t xml:space="preserve">Year 7) from both schools were invited to take part. Of these, 258 students </w:t>
      </w:r>
      <w:r w:rsidR="004B4C88" w:rsidRPr="00646E6A">
        <w:rPr>
          <w:rFonts w:cstheme="minorHAnsi"/>
        </w:rPr>
        <w:t>assented</w:t>
      </w:r>
      <w:r w:rsidRPr="00646E6A">
        <w:rPr>
          <w:rFonts w:cstheme="minorHAnsi"/>
        </w:rPr>
        <w:t xml:space="preserve"> to participate</w:t>
      </w:r>
      <w:r w:rsidRPr="00B1522E">
        <w:rPr>
          <w:rFonts w:cstheme="minorHAnsi"/>
        </w:rPr>
        <w:t xml:space="preserve"> (School A = 163 and School B = 95), of which 252 students completed questionnaires at baseline (School A = 157 and School B = 95), 254 students completed questionnaire at Time 2 (School A = 163 and School B = 91) which dropped to 205 by Time 3 (School A = 137 and School B = 68). Students in School A were allocated to the SNA feedback condition and students in School B were allocated to the control condition. An a-priori power analysis indicated that a minimum of 124 participants (62 participants per condition) was required to achieve a desired power of 0.8 with medium effect size (ɳ</w:t>
      </w:r>
      <w:r w:rsidRPr="00B1522E">
        <w:rPr>
          <w:rFonts w:cstheme="minorHAnsi"/>
          <w:vertAlign w:val="superscript"/>
        </w:rPr>
        <w:t>2</w:t>
      </w:r>
      <w:r w:rsidRPr="00B1522E">
        <w:rPr>
          <w:rFonts w:cstheme="minorHAnsi"/>
        </w:rPr>
        <w:t xml:space="preserve"> = .059) for a series of one-way ANCOVAs to be conducted for each outcome variable, with the baseline value treated as the covariate (Clark-Carter, 2018). </w:t>
      </w:r>
      <w:r w:rsidR="00892DD3" w:rsidRPr="00B1522E">
        <w:rPr>
          <w:rFonts w:cstheme="minorHAnsi"/>
          <w:noProof/>
        </w:rPr>
        <w:t>The project was approved by</w:t>
      </w:r>
      <w:r w:rsidR="00892DD3" w:rsidRPr="00B1522E">
        <w:rPr>
          <w:rFonts w:cstheme="minorHAnsi"/>
        </w:rPr>
        <w:t xml:space="preserve"> Staffordshire University </w:t>
      </w:r>
      <w:r w:rsidR="00892DD3" w:rsidRPr="00B1522E">
        <w:rPr>
          <w:rFonts w:cstheme="minorHAnsi"/>
          <w:noProof/>
        </w:rPr>
        <w:t>Ethics Committee (Appendix 1</w:t>
      </w:r>
      <w:r w:rsidR="00977A09" w:rsidRPr="00B1522E">
        <w:rPr>
          <w:rFonts w:cstheme="minorHAnsi"/>
          <w:noProof/>
        </w:rPr>
        <w:t>5</w:t>
      </w:r>
      <w:r w:rsidR="00892DD3" w:rsidRPr="00B1522E">
        <w:rPr>
          <w:rFonts w:cstheme="minorHAnsi"/>
          <w:noProof/>
        </w:rPr>
        <w:t>).</w:t>
      </w:r>
    </w:p>
    <w:p w14:paraId="0E17F364" w14:textId="1A888334" w:rsidR="004E58A6" w:rsidRPr="00B1522E" w:rsidRDefault="004E58A6" w:rsidP="002E02C9">
      <w:pPr>
        <w:spacing w:line="480" w:lineRule="auto"/>
        <w:ind w:firstLine="720"/>
        <w:jc w:val="both"/>
      </w:pPr>
      <w:r w:rsidRPr="00B1522E">
        <w:t>A</w:t>
      </w:r>
      <w:r w:rsidR="00E9595F" w:rsidRPr="00B1522E">
        <w:t>n advisory</w:t>
      </w:r>
      <w:r w:rsidRPr="00B1522E">
        <w:t xml:space="preserve"> panel of older students (aged 12- to 13-years; n = 6) from School A was formed to </w:t>
      </w:r>
      <w:r w:rsidR="00F903F2" w:rsidRPr="00B1522E">
        <w:t xml:space="preserve">help </w:t>
      </w:r>
      <w:r w:rsidRPr="00B1522E">
        <w:t xml:space="preserve">direct and deliver the SNA feedback intervention. </w:t>
      </w:r>
      <w:r w:rsidRPr="00B1522E">
        <w:rPr>
          <w:shd w:val="clear" w:color="auto" w:fill="FFFFFF"/>
        </w:rPr>
        <w:t xml:space="preserve">School-based interventions have been </w:t>
      </w:r>
      <w:r w:rsidRPr="00B1522E">
        <w:rPr>
          <w:shd w:val="clear" w:color="auto" w:fill="FFFFFF"/>
        </w:rPr>
        <w:lastRenderedPageBreak/>
        <w:t>suggested to be more effective at promoting healthier dietary behaviours in adolescents if they involve peers in both the intervention development and implementation</w:t>
      </w:r>
      <w:r w:rsidR="0018565B" w:rsidRPr="00B1522E">
        <w:rPr>
          <w:shd w:val="clear" w:color="auto" w:fill="FFFFFF"/>
        </w:rPr>
        <w:t xml:space="preserve"> </w:t>
      </w:r>
      <w:r w:rsidR="0018565B" w:rsidRPr="00B1522E">
        <w:rPr>
          <w:shd w:val="clear" w:color="auto" w:fill="FFFFFF"/>
        </w:rPr>
        <w:fldChar w:fldCharType="begin" w:fldLock="1"/>
      </w:r>
      <w:r w:rsidR="0034339E" w:rsidRPr="00B1522E">
        <w:rPr>
          <w:shd w:val="clear" w:color="auto" w:fill="FFFFFF"/>
        </w:rPr>
        <w:instrText>ADDIN CSL_CITATION {"citationItems":[{"id":"ITEM-1","itemData":{"ISSN":"1467-789X (Electronic)","PMID":"30550629","abstract":"Childhood obesity is a global health concern, which has both short- and long-term health consequences for the individual, and is a potential burden on health care services and the wider economy. The school environment is a setting where changes can be applied to dietary behaviours, as schools have direct and intensive contact with children. This systematic review evaluated school-based interventions designed to improve dietary behaviours among adolescents (11- to 16-year-olds). The aims were to review types of interventions delivered, dietary behaviours targeted, and interventions' effectiveness in improving dietary behaviour and associated intervention components. Twenty-nine school-based interventional studies with this population were identified for review. The data were synthesized by identifying and comparing individual studies' results, intervention components, and characteristics. Interventions appeared more effective when they involved peers, used educational media to deliver health messages, increased availability of healthy foods in school, and incorporated computer-based individualized feedback with normative information on eating behaviours. A limitation of the review was the lack of description in certain reviewed studies and the nonfeasibility of conducting a meta-analysis owing to study heterogeneity. Future interventions with this population could consider including the aforementioned components, gender-specific feedback, and both short- and long-term follow-ups as change may not be apparent immediately and to determine if changes are sustained.","author":[{"dropping-particle":"","family":"Calvert","given":"Sian","non-dropping-particle":"","parse-names":false,"suffix":""},{"dropping-particle":"","family":"Dempsey","given":"Robert C","non-dropping-particle":"","parse-names":false,"suffix":""},{"dropping-particle":"","family":"Povey","given":"Rachel","non-dropping-particle":"","parse-names":false,"suffix":""}],"container-title":"Obesity Reviews","id":"ITEM-1","issue":"4","issued":{"date-parts":[["2019","4"]]},"language":"eng","page":"543-553","publisher-place":"England","title":"Delivering in-school interventions to improve dietary behaviours amongst 11- to 16-year-olds: A systematic review.","type":"article-journal","volume":"20"},"uris":["http://www.mendeley.com/documents/?uuid=2a47b1c0-b7a8-4533-b072-390e15ff8b1f"]}],"mendeley":{"formattedCitation":"(Calvert et al., 2019)","plainTextFormattedCitation":"(Calvert et al., 2019)","previouslyFormattedCitation":"(Calvert et al., 2019)"},"properties":{"noteIndex":0},"schema":"https://github.com/citation-style-language/schema/raw/master/csl-citation.json"}</w:instrText>
      </w:r>
      <w:r w:rsidR="0018565B" w:rsidRPr="00B1522E">
        <w:rPr>
          <w:shd w:val="clear" w:color="auto" w:fill="FFFFFF"/>
        </w:rPr>
        <w:fldChar w:fldCharType="separate"/>
      </w:r>
      <w:r w:rsidR="0018565B" w:rsidRPr="00B1522E">
        <w:rPr>
          <w:noProof/>
          <w:shd w:val="clear" w:color="auto" w:fill="FFFFFF"/>
        </w:rPr>
        <w:t>(Calvert et al., 2019)</w:t>
      </w:r>
      <w:r w:rsidR="0018565B" w:rsidRPr="00B1522E">
        <w:rPr>
          <w:shd w:val="clear" w:color="auto" w:fill="FFFFFF"/>
        </w:rPr>
        <w:fldChar w:fldCharType="end"/>
      </w:r>
      <w:r w:rsidRPr="00B1522E">
        <w:rPr>
          <w:shd w:val="clear" w:color="auto" w:fill="FFFFFF"/>
        </w:rPr>
        <w:t xml:space="preserve">, as peers can provide both key insights into the target student group and can help reinforce the social acceptability and credibility of health promotion messages </w:t>
      </w:r>
      <w:r w:rsidRPr="00B1522E">
        <w:rPr>
          <w:shd w:val="clear" w:color="auto" w:fill="FFFFFF"/>
        </w:rPr>
        <w:fldChar w:fldCharType="begin" w:fldLock="1"/>
      </w:r>
      <w:r w:rsidR="0034339E" w:rsidRPr="00B1522E">
        <w:rPr>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shd w:val="clear" w:color="auto" w:fill="FFFFFF"/>
        </w:rPr>
        <w:fldChar w:fldCharType="separate"/>
      </w:r>
      <w:r w:rsidR="0018565B" w:rsidRPr="00B1522E">
        <w:rPr>
          <w:noProof/>
          <w:shd w:val="clear" w:color="auto" w:fill="FFFFFF"/>
        </w:rPr>
        <w:t>(McAlaney et al., 2010)</w:t>
      </w:r>
      <w:r w:rsidRPr="00B1522E">
        <w:rPr>
          <w:shd w:val="clear" w:color="auto" w:fill="FFFFFF"/>
        </w:rPr>
        <w:fldChar w:fldCharType="end"/>
      </w:r>
      <w:r w:rsidRPr="00B1522E">
        <w:rPr>
          <w:shd w:val="clear" w:color="auto" w:fill="FFFFFF"/>
        </w:rPr>
        <w:t xml:space="preserve">. </w:t>
      </w:r>
      <w:r w:rsidRPr="00B1522E">
        <w:t xml:space="preserve">The advisory panel met on three occasions to advise on effective ways of engaging students with the SNA messages and to provide feedback on the resources developed for the intervention. </w:t>
      </w:r>
      <w:r w:rsidRPr="00B1522E">
        <w:rPr>
          <w:shd w:val="clear" w:color="auto" w:fill="FFFFFF"/>
        </w:rPr>
        <w:t xml:space="preserve">All of the resources used in this study were reviewed </w:t>
      </w:r>
      <w:r w:rsidRPr="00B1522E">
        <w:rPr>
          <w:rFonts w:eastAsia="Calibri"/>
        </w:rPr>
        <w:t>by the advisory group and by the Head of Year (a teacher) to check</w:t>
      </w:r>
      <w:r w:rsidRPr="00B1522E">
        <w:t xml:space="preserve"> for age-appropriate language and comprehensibility as the school had indicated that students’ literacy and understanding were below age-related expectations.</w:t>
      </w:r>
    </w:p>
    <w:p w14:paraId="61747CAD" w14:textId="77777777" w:rsidR="004642E1" w:rsidRPr="00B1522E" w:rsidRDefault="004642E1" w:rsidP="004642E1">
      <w:pPr>
        <w:spacing w:line="480" w:lineRule="auto"/>
        <w:jc w:val="both"/>
        <w:rPr>
          <w:rFonts w:cstheme="minorHAnsi"/>
        </w:rPr>
      </w:pPr>
    </w:p>
    <w:bookmarkStart w:id="235" w:name="_Toc84678964"/>
    <w:p w14:paraId="4CDFEF29" w14:textId="65DC52F7" w:rsidR="004642E1" w:rsidRPr="00B1522E" w:rsidRDefault="00194138" w:rsidP="00FA314F">
      <w:pPr>
        <w:spacing w:line="480" w:lineRule="auto"/>
      </w:pPr>
      <w:r w:rsidRPr="00B1522E">
        <w:fldChar w:fldCharType="begin"/>
      </w:r>
      <w:r w:rsidRPr="00B1522E">
        <w:instrText xml:space="preserve"> TC  "</w:instrText>
      </w:r>
      <w:bookmarkStart w:id="236" w:name="_Toc97310502"/>
      <w:r w:rsidRPr="00B1522E">
        <w:instrText>8.3.2 Measures</w:instrText>
      </w:r>
      <w:bookmarkEnd w:id="236"/>
      <w:r w:rsidRPr="00B1522E">
        <w:instrText xml:space="preserve"> " \f x\l 3 </w:instrText>
      </w:r>
      <w:r w:rsidRPr="00B1522E">
        <w:fldChar w:fldCharType="end"/>
      </w:r>
      <w:r w:rsidR="004642E1" w:rsidRPr="00B1522E">
        <w:t>8.3.2 Measures</w:t>
      </w:r>
      <w:bookmarkEnd w:id="235"/>
    </w:p>
    <w:p w14:paraId="45E6CA77" w14:textId="1B64FFB4" w:rsidR="004642E1" w:rsidRPr="00B1522E" w:rsidRDefault="004642E1" w:rsidP="00FA314F">
      <w:pPr>
        <w:spacing w:line="480" w:lineRule="auto"/>
        <w:jc w:val="both"/>
        <w:rPr>
          <w:rFonts w:cstheme="minorHAnsi"/>
        </w:rPr>
      </w:pPr>
      <w:r w:rsidRPr="00B1522E">
        <w:rPr>
          <w:rFonts w:cstheme="minorHAnsi"/>
        </w:rPr>
        <w:t>Previously-conducted focus groups within both schools identified that there were differences between the sexes in dietary-related normative perceptions</w:t>
      </w:r>
      <w:r w:rsidRPr="00B1522E">
        <w:rPr>
          <w:rFonts w:eastAsia="Calibri" w:cstheme="minorHAnsi"/>
        </w:rPr>
        <w:t xml:space="preserve"> </w:t>
      </w:r>
      <w:r w:rsidRPr="00B1522E">
        <w:rPr>
          <w:rFonts w:eastAsia="Calibri" w:cstheme="minorHAnsi"/>
        </w:rPr>
        <w:fldChar w:fldCharType="begin" w:fldLock="1"/>
      </w:r>
      <w:r w:rsidR="00C654DE" w:rsidRPr="00B1522E">
        <w:rPr>
          <w:rFonts w:eastAsia="Calibri" w:cstheme="minorHAnsi"/>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Pr="00B1522E">
        <w:rPr>
          <w:rFonts w:eastAsia="Calibri" w:cstheme="minorHAnsi"/>
        </w:rPr>
        <w:fldChar w:fldCharType="separate"/>
      </w:r>
      <w:r w:rsidR="00355350" w:rsidRPr="00B1522E">
        <w:rPr>
          <w:rFonts w:eastAsia="Calibri" w:cstheme="minorHAnsi"/>
          <w:noProof/>
        </w:rPr>
        <w:t>(Calvert et al., 2020)</w:t>
      </w:r>
      <w:r w:rsidRPr="00B1522E">
        <w:rPr>
          <w:rFonts w:eastAsia="Calibri" w:cstheme="minorHAnsi"/>
        </w:rPr>
        <w:fldChar w:fldCharType="end"/>
      </w:r>
      <w:r w:rsidRPr="00B1522E">
        <w:rPr>
          <w:rFonts w:eastAsia="Calibri" w:cstheme="minorHAnsi"/>
        </w:rPr>
        <w:t xml:space="preserve">. Therefore, </w:t>
      </w:r>
      <w:r w:rsidRPr="00B1522E">
        <w:rPr>
          <w:rFonts w:eastAsia="Calibri" w:cstheme="minorHAnsi"/>
          <w:noProof/>
        </w:rPr>
        <w:t xml:space="preserve">questionnaires </w:t>
      </w:r>
      <w:r w:rsidR="004E125D" w:rsidRPr="00B1522E">
        <w:rPr>
          <w:rFonts w:eastAsia="Calibri" w:cstheme="minorHAnsi"/>
          <w:noProof/>
        </w:rPr>
        <w:t xml:space="preserve">(Appendix </w:t>
      </w:r>
      <w:r w:rsidR="00190EB1" w:rsidRPr="00B1522E">
        <w:rPr>
          <w:rFonts w:eastAsia="Calibri" w:cstheme="minorHAnsi"/>
          <w:noProof/>
        </w:rPr>
        <w:t>21</w:t>
      </w:r>
      <w:r w:rsidR="004E125D" w:rsidRPr="00B1522E">
        <w:rPr>
          <w:rFonts w:eastAsia="Calibri" w:cstheme="minorHAnsi"/>
          <w:noProof/>
        </w:rPr>
        <w:t xml:space="preserve">) </w:t>
      </w:r>
      <w:r w:rsidRPr="00B1522E">
        <w:rPr>
          <w:rFonts w:eastAsia="Calibri" w:cstheme="minorHAnsi"/>
          <w:noProof/>
        </w:rPr>
        <w:t xml:space="preserve">included </w:t>
      </w:r>
      <w:r w:rsidR="00B41033" w:rsidRPr="00B1522E">
        <w:rPr>
          <w:rFonts w:eastAsia="Calibri" w:cstheme="minorHAnsi"/>
          <w:noProof/>
        </w:rPr>
        <w:t>social norm</w:t>
      </w:r>
      <w:r w:rsidRPr="00B1522E">
        <w:rPr>
          <w:rFonts w:eastAsia="Calibri" w:cstheme="minorHAnsi"/>
          <w:noProof/>
        </w:rPr>
        <w:t xml:space="preserve"> items that referred to same-sex same-school peers</w:t>
      </w:r>
      <w:r w:rsidRPr="00B1522E">
        <w:rPr>
          <w:rStyle w:val="CommentReference"/>
          <w:rFonts w:cstheme="minorHAnsi"/>
          <w:noProof/>
        </w:rPr>
        <w:t>.</w:t>
      </w:r>
    </w:p>
    <w:p w14:paraId="41F21783" w14:textId="77777777" w:rsidR="004642E1" w:rsidRPr="00B1522E" w:rsidRDefault="004642E1" w:rsidP="004642E1">
      <w:pPr>
        <w:spacing w:line="480" w:lineRule="auto"/>
        <w:jc w:val="both"/>
        <w:rPr>
          <w:rFonts w:cstheme="minorHAnsi"/>
          <w:noProof/>
          <w:sz w:val="24"/>
          <w:szCs w:val="24"/>
        </w:rPr>
      </w:pPr>
    </w:p>
    <w:p w14:paraId="7F7CE616" w14:textId="6E075505" w:rsidR="004642E1" w:rsidRPr="00B1522E" w:rsidRDefault="004642E1" w:rsidP="00FA314F">
      <w:pPr>
        <w:spacing w:line="480" w:lineRule="auto"/>
      </w:pPr>
      <w:r w:rsidRPr="00B1522E">
        <w:t xml:space="preserve">8.3.2.1 Personal snacking behaviour </w:t>
      </w:r>
    </w:p>
    <w:p w14:paraId="493DE172" w14:textId="40DDB9A1" w:rsidR="0034339E" w:rsidRPr="00B1522E" w:rsidRDefault="0034339E" w:rsidP="00FA314F">
      <w:pPr>
        <w:pStyle w:val="CommentText"/>
        <w:spacing w:line="480" w:lineRule="auto"/>
        <w:jc w:val="both"/>
        <w:rPr>
          <w:sz w:val="22"/>
          <w:szCs w:val="22"/>
        </w:rPr>
      </w:pPr>
      <w:r w:rsidRPr="00B1522E">
        <w:rPr>
          <w:rFonts w:eastAsia="Calibri"/>
          <w:sz w:val="22"/>
          <w:szCs w:val="22"/>
        </w:rPr>
        <w:t xml:space="preserve">The specific snacking behaviours measured in this study were informed by a previous qualitative focus group study which </w:t>
      </w:r>
      <w:r w:rsidRPr="00B1522E">
        <w:rPr>
          <w:sz w:val="22"/>
          <w:szCs w:val="22"/>
        </w:rPr>
        <w:t xml:space="preserve">identified a number of commonly-consumed snack foods (i.e., </w:t>
      </w:r>
      <w:r w:rsidRPr="00B1522E">
        <w:rPr>
          <w:rFonts w:eastAsia="Calibri"/>
          <w:noProof/>
          <w:sz w:val="22"/>
          <w:szCs w:val="22"/>
        </w:rPr>
        <w:t>chocolate, sweets, crisps, biscuits, and cake)</w:t>
      </w:r>
      <w:r w:rsidRPr="00B1522E">
        <w:rPr>
          <w:sz w:val="22"/>
          <w:szCs w:val="22"/>
        </w:rPr>
        <w:t xml:space="preserve"> amongst this target group </w:t>
      </w:r>
      <w:r w:rsidRPr="00B1522E">
        <w:rPr>
          <w:sz w:val="22"/>
          <w:szCs w:val="22"/>
        </w:rPr>
        <w:fldChar w:fldCharType="begin" w:fldLock="1"/>
      </w:r>
      <w:r w:rsidR="00C654DE" w:rsidRPr="00B1522E">
        <w:rPr>
          <w:sz w:val="22"/>
          <w:szCs w:val="22"/>
        </w:rPr>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Pr="00B1522E">
        <w:rPr>
          <w:sz w:val="22"/>
          <w:szCs w:val="22"/>
        </w:rPr>
        <w:fldChar w:fldCharType="separate"/>
      </w:r>
      <w:r w:rsidR="00355350" w:rsidRPr="00B1522E">
        <w:rPr>
          <w:noProof/>
          <w:sz w:val="22"/>
          <w:szCs w:val="22"/>
        </w:rPr>
        <w:t>(Calvert et al., 2020)</w:t>
      </w:r>
      <w:r w:rsidRPr="00B1522E">
        <w:rPr>
          <w:sz w:val="22"/>
          <w:szCs w:val="22"/>
        </w:rPr>
        <w:fldChar w:fldCharType="end"/>
      </w:r>
      <w:r w:rsidRPr="00B1522E">
        <w:rPr>
          <w:sz w:val="22"/>
          <w:szCs w:val="22"/>
        </w:rPr>
        <w:t xml:space="preserve">.  The foodstuffs measured were not only commonly-consumed snacks amongst the target population, but are also nutritionally poor and high in sugar and/or fat, and recommended to only be consumed occasionally and in moderation </w:t>
      </w:r>
      <w:r w:rsidRPr="00B1522E">
        <w:rPr>
          <w:sz w:val="22"/>
          <w:szCs w:val="22"/>
        </w:rPr>
        <w:fldChar w:fldCharType="begin" w:fldLock="1"/>
      </w:r>
      <w:r w:rsidRPr="00B1522E">
        <w:rPr>
          <w:sz w:val="22"/>
          <w:szCs w:val="22"/>
        </w:rPr>
        <w:instrText>ADDIN CSL_CITATION {"citationItems":[{"id":"ITEM-1","itemData":{"URL":"https://www.nhs.uk/change4life/food-facts/healthier-snacks-for-kids","author":[{"dropping-particle":"","family":"NHS","given":"","non-dropping-particle":"","parse-names":false,"suffix":""}],"id":"ITEM-1","issued":{"date-parts":[["2020"]]},"title":"Healthier snacks for kids","type":"webpage"},"uris":["http://www.mendeley.com/documents/?uuid=24802516-622d-44f5-be95-c3cc25afb59f"]},{"id":"ITEM-2","itemData":{"URL":"https://www.gov.uk/government/publications/the-eatwell-guide","author":[{"dropping-particle":"","family":"Public Health England","given":"","non-dropping-particle":"","parse-names":false,"suffix":""}],"id":"ITEM-2","issued":{"date-parts":[["2018"]]},"title":"Guidance The Eatwell Guide","type":"webpage"},"uris":["http://www.mendeley.com/documents/?uuid=89c57649-eefd-4f39-8805-2b79fc46bf40"]}],"mendeley":{"formattedCitation":"(NHS, 2020a; Public Health England, 2018b)","plainTextFormattedCitation":"(NHS, 2020a; Public Health England, 2018b)","previouslyFormattedCitation":"(NHS, 2020a; Public Health England, 2018b)"},"properties":{"noteIndex":0},"schema":"https://github.com/citation-style-language/schema/raw/master/csl-citation.json"}</w:instrText>
      </w:r>
      <w:r w:rsidRPr="00B1522E">
        <w:rPr>
          <w:sz w:val="22"/>
          <w:szCs w:val="22"/>
        </w:rPr>
        <w:fldChar w:fldCharType="separate"/>
      </w:r>
      <w:r w:rsidRPr="00B1522E">
        <w:rPr>
          <w:noProof/>
          <w:sz w:val="22"/>
          <w:szCs w:val="22"/>
        </w:rPr>
        <w:t>(NHS, 2020a; Public Health England, 2018b)</w:t>
      </w:r>
      <w:r w:rsidRPr="00B1522E">
        <w:rPr>
          <w:sz w:val="22"/>
          <w:szCs w:val="22"/>
        </w:rPr>
        <w:fldChar w:fldCharType="end"/>
      </w:r>
      <w:r w:rsidRPr="00B1522E">
        <w:rPr>
          <w:sz w:val="22"/>
          <w:szCs w:val="22"/>
        </w:rPr>
        <w:t>. Students were asked to self-report how frequently they had consumed</w:t>
      </w:r>
      <w:r w:rsidRPr="00B1522E">
        <w:rPr>
          <w:rFonts w:eastAsia="Calibri"/>
          <w:noProof/>
          <w:sz w:val="22"/>
          <w:szCs w:val="22"/>
        </w:rPr>
        <w:t xml:space="preserve"> these snack </w:t>
      </w:r>
      <w:r w:rsidRPr="00B1522E">
        <w:rPr>
          <w:rFonts w:eastAsia="Calibri"/>
          <w:sz w:val="22"/>
          <w:szCs w:val="22"/>
        </w:rPr>
        <w:t>foods</w:t>
      </w:r>
      <w:r w:rsidRPr="00B1522E">
        <w:rPr>
          <w:sz w:val="22"/>
          <w:szCs w:val="22"/>
        </w:rPr>
        <w:t xml:space="preserve"> over the previous week using an adapted food frequency questionnaire </w:t>
      </w:r>
      <w:r w:rsidRPr="00B1522E">
        <w:rPr>
          <w:sz w:val="22"/>
          <w:szCs w:val="22"/>
        </w:rPr>
        <w:fldChar w:fldCharType="begin" w:fldLock="1"/>
      </w:r>
      <w:r w:rsidR="00343218" w:rsidRPr="00B1522E">
        <w:rPr>
          <w:sz w:val="22"/>
          <w:szCs w:val="22"/>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B1522E">
        <w:rPr>
          <w:sz w:val="22"/>
          <w:szCs w:val="22"/>
        </w:rPr>
        <w:fldChar w:fldCharType="separate"/>
      </w:r>
      <w:r w:rsidRPr="00B1522E">
        <w:rPr>
          <w:noProof/>
          <w:sz w:val="22"/>
          <w:szCs w:val="22"/>
        </w:rPr>
        <w:t>(Lally et al., 2011)</w:t>
      </w:r>
      <w:r w:rsidRPr="00B1522E">
        <w:rPr>
          <w:sz w:val="22"/>
          <w:szCs w:val="22"/>
        </w:rPr>
        <w:fldChar w:fldCharType="end"/>
      </w:r>
      <w:r w:rsidRPr="00B1522E">
        <w:rPr>
          <w:sz w:val="22"/>
          <w:szCs w:val="22"/>
        </w:rPr>
        <w:t>.</w:t>
      </w:r>
      <w:r w:rsidRPr="00B1522E">
        <w:rPr>
          <w:rFonts w:eastAsia="Calibri"/>
          <w:sz w:val="22"/>
          <w:szCs w:val="22"/>
        </w:rPr>
        <w:t xml:space="preserve"> Each snack food had a corresponding description of a </w:t>
      </w:r>
      <w:r w:rsidRPr="00B1522E">
        <w:rPr>
          <w:rFonts w:eastAsia="Calibri"/>
          <w:sz w:val="22"/>
          <w:szCs w:val="22"/>
        </w:rPr>
        <w:lastRenderedPageBreak/>
        <w:t>single serving (e.g., one small bag of crisps) based on a validated adolescent f</w:t>
      </w:r>
      <w:r w:rsidRPr="00B1522E">
        <w:rPr>
          <w:sz w:val="22"/>
          <w:szCs w:val="22"/>
        </w:rPr>
        <w:t>ood frequency questionnaire</w:t>
      </w:r>
      <w:r w:rsidRPr="00B1522E">
        <w:rPr>
          <w:rFonts w:eastAsia="Calibri"/>
          <w:sz w:val="22"/>
          <w:szCs w:val="22"/>
        </w:rPr>
        <w:t xml:space="preserve"> </w:t>
      </w:r>
      <w:r w:rsidRPr="00B1522E">
        <w:rPr>
          <w:rFonts w:eastAsia="Calibri"/>
          <w:sz w:val="22"/>
          <w:szCs w:val="22"/>
        </w:rPr>
        <w:fldChar w:fldCharType="begin" w:fldLock="1"/>
      </w:r>
      <w:r w:rsidRPr="00B1522E">
        <w:rPr>
          <w:rFonts w:eastAsia="Calibri"/>
          <w:sz w:val="22"/>
          <w:szCs w:val="22"/>
        </w:rPr>
        <w:instrText>ADDIN CSL_CITATION {"citationItems":[{"id":"ITEM-1","itemData":{"ISSN":"0002-8223","author":[{"dropping-particle":"","family":"Rockett","given":"Helaine R H","non-dropping-particle":"","parse-names":false,"suffix":""},{"dropping-particle":"","family":"Wolf","given":"Anne M","non-dropping-particle":"","parse-names":false,"suffix":""},{"dropping-particle":"","family":"Colditz","given":"Graham A","non-dropping-particle":"","parse-names":false,"suffix":""}],"container-title":"Journal of the American Dietetic Association","id":"ITEM-1","issue":"3","issued":{"date-parts":[["1995"]]},"page":"336-340","publisher":"Elsevier","title":"Development and reproducibility of a food frequency questionnaire to assess diets of older children and adolescents","type":"article-journal","volume":"95"},"uris":["http://www.mendeley.com/documents/?uuid=637b0cef-3a6b-46dd-89e0-4d5eb68ec273"]}],"mendeley":{"formattedCitation":"(Rockett et al., 1995)","plainTextFormattedCitation":"(Rockett et al., 1995)","previouslyFormattedCitation":"(Rockett et al., 1995)"},"properties":{"noteIndex":0},"schema":"https://github.com/citation-style-language/schema/raw/master/csl-citation.json"}</w:instrText>
      </w:r>
      <w:r w:rsidRPr="00B1522E">
        <w:rPr>
          <w:rFonts w:eastAsia="Calibri"/>
          <w:sz w:val="22"/>
          <w:szCs w:val="22"/>
        </w:rPr>
        <w:fldChar w:fldCharType="separate"/>
      </w:r>
      <w:r w:rsidRPr="00B1522E">
        <w:rPr>
          <w:rFonts w:eastAsia="Calibri"/>
          <w:noProof/>
          <w:sz w:val="22"/>
          <w:szCs w:val="22"/>
        </w:rPr>
        <w:t>(Rockett et al., 1995)</w:t>
      </w:r>
      <w:r w:rsidRPr="00B1522E">
        <w:rPr>
          <w:rFonts w:eastAsia="Calibri"/>
          <w:sz w:val="22"/>
          <w:szCs w:val="22"/>
        </w:rPr>
        <w:fldChar w:fldCharType="end"/>
      </w:r>
      <w:r w:rsidRPr="00B1522E">
        <w:rPr>
          <w:rFonts w:eastAsia="Calibri"/>
          <w:sz w:val="22"/>
          <w:szCs w:val="22"/>
        </w:rPr>
        <w:t>;</w:t>
      </w:r>
      <w:r w:rsidRPr="00B1522E">
        <w:rPr>
          <w:rFonts w:eastAsia="Calibri"/>
          <w:noProof/>
          <w:sz w:val="22"/>
          <w:szCs w:val="22"/>
        </w:rPr>
        <w:t xml:space="preserve"> e.g.:</w:t>
      </w:r>
      <w:r w:rsidRPr="00B1522E">
        <w:rPr>
          <w:rFonts w:eastAsia="Calibri"/>
          <w:sz w:val="22"/>
          <w:szCs w:val="22"/>
        </w:rPr>
        <w:t xml:space="preserve"> </w:t>
      </w:r>
      <w:r w:rsidRPr="00B1522E">
        <w:rPr>
          <w:rFonts w:eastAsia="Calibri"/>
          <w:i/>
          <w:iCs/>
          <w:sz w:val="22"/>
          <w:szCs w:val="22"/>
        </w:rPr>
        <w:t>‘thinking back over the past week, how many servings of these foods did you eat?’</w:t>
      </w:r>
      <w:r w:rsidRPr="00B1522E">
        <w:rPr>
          <w:rFonts w:eastAsia="Calibri"/>
          <w:sz w:val="22"/>
          <w:szCs w:val="22"/>
        </w:rPr>
        <w:t>.</w:t>
      </w:r>
      <w:r w:rsidRPr="00B1522E">
        <w:rPr>
          <w:sz w:val="22"/>
          <w:szCs w:val="22"/>
        </w:rPr>
        <w:t xml:space="preserve"> </w:t>
      </w:r>
      <w:r w:rsidRPr="00B1522E">
        <w:rPr>
          <w:rFonts w:eastAsia="Calibri"/>
          <w:sz w:val="22"/>
          <w:szCs w:val="22"/>
        </w:rPr>
        <w:t>Response options ranged from ‘less than one a week’ to ‘4 or more a day’; these were converted into values to reflect frequency of consumption per week, for example, ‘4 or more a day’ was coded as 28 (4 portions a day x 7 days = 28 portions per week). A summary measure of snacking behaviour over a week was constructed by summing responses for the five snack foodstuffs. The higher the score, the greater the number of unhealthy snacks the students consumed. The internal reliability (Cronbach’s alpha) across the three timepoints for these items ranged from 0.64 - 0.74.</w:t>
      </w:r>
    </w:p>
    <w:p w14:paraId="42B69277" w14:textId="77777777" w:rsidR="004642E1" w:rsidRPr="00B1522E" w:rsidRDefault="004642E1" w:rsidP="004642E1">
      <w:pPr>
        <w:spacing w:line="480" w:lineRule="auto"/>
        <w:jc w:val="both"/>
        <w:rPr>
          <w:rFonts w:cstheme="minorHAnsi"/>
        </w:rPr>
      </w:pPr>
    </w:p>
    <w:p w14:paraId="711DB612" w14:textId="35E21787" w:rsidR="004642E1" w:rsidRPr="00B1522E" w:rsidRDefault="004642E1" w:rsidP="00FA314F">
      <w:pPr>
        <w:spacing w:line="480" w:lineRule="auto"/>
      </w:pPr>
      <w:r w:rsidRPr="00B1522E">
        <w:t>8.3.2.2 Personal snacking attitudes</w:t>
      </w:r>
    </w:p>
    <w:p w14:paraId="0424FD11" w14:textId="094EDB92" w:rsidR="00B914C8" w:rsidRPr="00B1522E" w:rsidRDefault="00B914C8" w:rsidP="00FA314F">
      <w:pPr>
        <w:spacing w:line="480" w:lineRule="auto"/>
        <w:jc w:val="both"/>
        <w:rPr>
          <w:rFonts w:eastAsia="Calibri"/>
          <w:noProof/>
        </w:rPr>
      </w:pPr>
      <w:r w:rsidRPr="00B1522E">
        <w:rPr>
          <w:rFonts w:eastAsia="Calibri"/>
        </w:rPr>
        <w:t xml:space="preserve">There were two separate measures of personal attitude towards snacking.  The first measure focused on attitudes towards snacking: </w:t>
      </w:r>
      <w:r w:rsidRPr="00B1522E">
        <w:rPr>
          <w:rFonts w:eastAsia="Calibri"/>
          <w:i/>
          <w:iCs/>
        </w:rPr>
        <w:t xml:space="preserve">‘In general, do you think that eating two or more unhealthy snack foods on most days is…?’ </w:t>
      </w:r>
      <w:r w:rsidRPr="00B1522E">
        <w:rPr>
          <w:rFonts w:eastAsia="Calibri"/>
        </w:rPr>
        <w:t xml:space="preserve">and the second measure focused on attitudes toward reducing snacking behaviour: </w:t>
      </w:r>
      <w:r w:rsidRPr="00B1522E">
        <w:rPr>
          <w:rFonts w:eastAsia="Calibri"/>
          <w:i/>
          <w:iCs/>
        </w:rPr>
        <w:t>‘For me to eat fewer unhealthy snacks over the next month would be’</w:t>
      </w:r>
      <w:r w:rsidRPr="00B1522E">
        <w:rPr>
          <w:rFonts w:eastAsia="Calibri"/>
        </w:rPr>
        <w:t xml:space="preserve">. The item wording and scales were adapted from existing measures </w:t>
      </w:r>
      <w:r w:rsidRPr="00B1522E">
        <w:rPr>
          <w:rFonts w:eastAsia="Calibri"/>
        </w:rPr>
        <w:fldChar w:fldCharType="begin" w:fldLock="1"/>
      </w:r>
      <w:r w:rsidR="00863426" w:rsidRPr="00B1522E">
        <w:rPr>
          <w:rFonts w:eastAsia="Calibri"/>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id":"ITEM-2","itemData":{"author":[{"dropping-particle":"","family":"Sheridan","given":"Sabrina","non-dropping-particle":"","parse-names":false,"suffix":""}],"id":"ITEM-2","issued":{"date-parts":[["2014"]]},"publisher":"Dublin Business School","title":"Unhealthy Snacking: An exploration of the theory of planned behaviour, impulsivity, reward sensitivity and BMI.","type":"thesis"},"uris":["http://www.mendeley.com/documents/?uuid=896c3e04-ccfb-4e99-b3a7-223721a8f144"]}],"mendeley":{"formattedCitation":"(P Lally et al., 2011; Sheridan, 2014)","manualFormatting":"(Lally et al., 2011; Sheridan, 2014)","plainTextFormattedCitation":"(P Lally et al., 2011; Sheridan, 2014)","previouslyFormattedCitation":"(P Lally et al., 2011; Sheridan, 2014)"},"properties":{"noteIndex":0},"schema":"https://github.com/citation-style-language/schema/raw/master/csl-citation.json"}</w:instrText>
      </w:r>
      <w:r w:rsidRPr="00B1522E">
        <w:rPr>
          <w:rFonts w:eastAsia="Calibri"/>
        </w:rPr>
        <w:fldChar w:fldCharType="separate"/>
      </w:r>
      <w:r w:rsidR="00343218" w:rsidRPr="00B1522E">
        <w:rPr>
          <w:rFonts w:eastAsia="Calibri"/>
          <w:noProof/>
        </w:rPr>
        <w:t>(Lally et al., 2011; Sheridan, 2014)</w:t>
      </w:r>
      <w:r w:rsidRPr="00B1522E">
        <w:rPr>
          <w:rFonts w:eastAsia="Calibri"/>
        </w:rPr>
        <w:fldChar w:fldCharType="end"/>
      </w:r>
      <w:r w:rsidRPr="00B1522E">
        <w:rPr>
          <w:rFonts w:eastAsia="Calibri"/>
        </w:rPr>
        <w:t xml:space="preserve">. Both measures were formed by calculating responses to two 5-point Likert scales, 1 (bad/foolish) to 5 (good/sensible), which were summed to give a total attitude score ranging from 2-10 for each measure. </w:t>
      </w:r>
      <w:r w:rsidRPr="00B1522E">
        <w:rPr>
          <w:rFonts w:eastAsia="Calibri"/>
          <w:noProof/>
        </w:rPr>
        <w:t>The higher the score, the more positive the personal attitude towards the behaviour.</w:t>
      </w:r>
    </w:p>
    <w:p w14:paraId="567175FD" w14:textId="77777777" w:rsidR="00863426" w:rsidRPr="00B1522E" w:rsidRDefault="00863426" w:rsidP="00FA314F">
      <w:pPr>
        <w:spacing w:line="480" w:lineRule="auto"/>
        <w:jc w:val="both"/>
        <w:rPr>
          <w:rFonts w:eastAsia="Calibri"/>
        </w:rPr>
      </w:pPr>
    </w:p>
    <w:p w14:paraId="22472096" w14:textId="0D0E04AC" w:rsidR="004642E1" w:rsidRPr="00B1522E" w:rsidRDefault="004642E1" w:rsidP="00FA314F">
      <w:pPr>
        <w:spacing w:line="480" w:lineRule="auto"/>
      </w:pPr>
      <w:r w:rsidRPr="00B1522E">
        <w:t xml:space="preserve">8.3.2.3 Descriptive and </w:t>
      </w:r>
      <w:r w:rsidR="00512A0E" w:rsidRPr="00B1522E">
        <w:t>I</w:t>
      </w:r>
      <w:r w:rsidRPr="00B1522E">
        <w:t>njunctive Norms</w:t>
      </w:r>
    </w:p>
    <w:p w14:paraId="3AF94E81" w14:textId="40A6CDBA" w:rsidR="00512A0E" w:rsidRPr="00B1522E" w:rsidRDefault="00512A0E" w:rsidP="00FA314F">
      <w:pPr>
        <w:spacing w:line="480" w:lineRule="auto"/>
        <w:jc w:val="both"/>
        <w:rPr>
          <w:rFonts w:eastAsia="Calibri" w:cstheme="minorHAnsi"/>
        </w:rPr>
      </w:pPr>
      <w:r w:rsidRPr="00B1522E">
        <w:rPr>
          <w:rFonts w:eastAsia="Calibri" w:cstheme="minorHAnsi"/>
          <w:iCs/>
          <w:noProof/>
        </w:rPr>
        <w:t xml:space="preserve">Students’ normative perceptions about same-sex peers’ </w:t>
      </w:r>
      <w:r w:rsidRPr="00B1522E">
        <w:rPr>
          <w:rFonts w:cstheme="minorHAnsi"/>
          <w:shd w:val="clear" w:color="auto" w:fill="FFFFFF"/>
        </w:rPr>
        <w:t>snacking behaviours (descriptive norms) were measured </w:t>
      </w:r>
      <w:r w:rsidRPr="00B1522E">
        <w:rPr>
          <w:rFonts w:eastAsia="Calibri" w:cstheme="minorHAnsi"/>
          <w:iCs/>
        </w:rPr>
        <w:t xml:space="preserve">by asking how often over the previous week students thought the majority of same-sex peers at their school consumed </w:t>
      </w:r>
      <w:r w:rsidR="001E2A74" w:rsidRPr="00B1522E">
        <w:rPr>
          <w:rFonts w:eastAsia="Calibri" w:cstheme="minorHAnsi"/>
          <w:iCs/>
        </w:rPr>
        <w:t>each</w:t>
      </w:r>
      <w:r w:rsidRPr="00B1522E">
        <w:rPr>
          <w:rFonts w:eastAsia="Calibri" w:cstheme="minorHAnsi"/>
          <w:iCs/>
        </w:rPr>
        <w:t xml:space="preserve"> snack food (</w:t>
      </w:r>
      <w:r w:rsidRPr="00B1522E">
        <w:rPr>
          <w:rFonts w:eastAsia="Calibri" w:cstheme="minorHAnsi"/>
        </w:rPr>
        <w:t>chocolate, sweets, crisps, biscuits and cake)</w:t>
      </w:r>
      <w:r w:rsidRPr="00B1522E">
        <w:rPr>
          <w:rFonts w:eastAsia="Calibri" w:cstheme="minorHAnsi"/>
          <w:iCs/>
        </w:rPr>
        <w:t xml:space="preserve">. </w:t>
      </w:r>
      <w:r w:rsidRPr="00B1522E">
        <w:rPr>
          <w:rFonts w:eastAsia="Calibri" w:cstheme="minorHAnsi"/>
        </w:rPr>
        <w:t xml:space="preserve">An </w:t>
      </w:r>
      <w:r w:rsidRPr="00B1522E">
        <w:rPr>
          <w:rFonts w:eastAsia="Calibri" w:cstheme="minorHAnsi"/>
        </w:rPr>
        <w:lastRenderedPageBreak/>
        <w:t>example of an item was: ‘</w:t>
      </w:r>
      <w:r w:rsidRPr="00B1522E">
        <w:rPr>
          <w:rFonts w:eastAsia="Calibri" w:cstheme="minorHAnsi"/>
          <w:i/>
          <w:iCs/>
        </w:rPr>
        <w:t xml:space="preserve">how many servings of each of the following do you think most of the </w:t>
      </w:r>
      <w:r w:rsidRPr="00B1522E">
        <w:rPr>
          <w:rFonts w:eastAsia="Calibri" w:cstheme="minorHAnsi"/>
        </w:rPr>
        <w:t>[boys/girls]</w:t>
      </w:r>
      <w:r w:rsidRPr="00B1522E">
        <w:rPr>
          <w:rFonts w:eastAsia="Calibri" w:cstheme="minorHAnsi"/>
          <w:i/>
          <w:iCs/>
        </w:rPr>
        <w:t xml:space="preserve"> at </w:t>
      </w:r>
      <w:r w:rsidRPr="00B1522E">
        <w:rPr>
          <w:rFonts w:eastAsia="Calibri" w:cstheme="minorHAnsi"/>
        </w:rPr>
        <w:t>[school name]</w:t>
      </w:r>
      <w:r w:rsidRPr="00B1522E">
        <w:rPr>
          <w:rFonts w:eastAsia="Calibri" w:cstheme="minorHAnsi"/>
          <w:i/>
          <w:iCs/>
        </w:rPr>
        <w:t xml:space="preserve"> have eaten over the past week?’</w:t>
      </w:r>
      <w:r w:rsidRPr="00B1522E">
        <w:rPr>
          <w:rFonts w:eastAsia="Calibri" w:cstheme="minorHAnsi"/>
        </w:rPr>
        <w:t xml:space="preserve"> The wording of the social norms items </w:t>
      </w:r>
      <w:r w:rsidRPr="00646E6A">
        <w:rPr>
          <w:rFonts w:eastAsia="Calibri" w:cstheme="minorHAnsi"/>
        </w:rPr>
        <w:t>was adapted from previously-used measures (</w:t>
      </w:r>
      <w:r w:rsidRPr="00646E6A">
        <w:rPr>
          <w:rFonts w:eastAsia="Calibri" w:cstheme="minorHAnsi"/>
        </w:rPr>
        <w:fldChar w:fldCharType="begin" w:fldLock="1"/>
      </w:r>
      <w:r w:rsidRPr="00646E6A">
        <w:rPr>
          <w:rFonts w:eastAsia="Calibri" w:cstheme="minorHAnsi"/>
        </w:rPr>
        <w:instrText>ADDIN CSL_CITATION {"citationItems":[{"id":"ITEM-1","itemData":{"ISSN":"0306-4603","author":[{"dropping-particle":"","family":"Pischke","given":"Claudia R","non-dropping-particle":"","parse-names":false,"suffix":""},{"dropping-particle":"","family":"Helmer","given":"Stefanie M","non-dropping-particle":"","parse-names":false,"suffix":""},{"dropping-particle":"","family":"McAlaney","given":"John","non-dropping-particle":"","parse-names":false,"suffix":""},{"dropping-particle":"","family":"Bewick","given":"Bridgette M","non-dropping-particle":"","parse-names":false,"suffix":""},{"dropping-particle":"","family":"Vriesacker","given":"Bart","non-dropping-particle":"","parse-names":false,"suffix":""},{"dropping-particle":"","family":"Hal","given":"Guido","non-dropping-particle":"Van","parse-names":false,"suffix":""},{"dropping-particle":"","family":"Mikolajczyk","given":"Rafael T","non-dropping-particle":"","parse-names":false,"suffix":""},{"dropping-particle":"","family":"Akvardar","given":"Yildiz","non-dropping-particle":"","parse-names":false,"suffix":""},{"dropping-particle":"","family":"Guillen-Grima","given":"Francisco","non-dropping-particle":"","parse-names":false,"suffix":""},{"dropping-particle":"","family":"Salonna","given":"Ferdinand","non-dropping-particle":"","parse-names":false,"suffix":""},{"dropping-particle":"","family":"Orosova","given":"Olga","non-dropping-particle":"","parse-names":false,"suffix":""},{"dropping-particle":"","family":"Dohrmann","given":"Solveig","non-dropping-particle":"","parse-names":false,"suffix":""},{"dropping-particle":"","family":"Dempsey","given":"Robert C","non-dropping-particle":"","parse-names":false,"suffix":""},{"dropping-particle":"","family":"Zeeb","given":"Hajo","non-dropping-particle":"","parse-names":false,"suffix":""}],"container-title":"Addictive Behaviors","id":"ITEM-1","issued":{"date-parts":[["2015"]]},"page":"158-164","publisher":"Elsevier","title":"Normative misperceptions of tobacco use among university students in seven European countries: Baseline findings of the ‘Social Norms Intervention for the prevention of Polydrug usE’study","type":"article-journal","volume":"51"},"uris":["http://www.mendeley.com/documents/?uuid=ddeb51c9-244c-4908-b795-34633f0d893d"]}],"mendeley":{"formattedCitation":"(Pischke et al., 2015)","manualFormatting":"Pischke et al., 2015;","plainTextFormattedCitation":"(Pischke et al., 2015)","previouslyFormattedCitation":"(Pischke et al., 2015)"},"properties":{"noteIndex":0},"schema":"https://github.com/citation-style-language/schema/raw/master/csl-citation.json"}</w:instrText>
      </w:r>
      <w:r w:rsidRPr="00646E6A">
        <w:rPr>
          <w:rFonts w:eastAsia="Calibri" w:cstheme="minorHAnsi"/>
        </w:rPr>
        <w:fldChar w:fldCharType="separate"/>
      </w:r>
      <w:r w:rsidRPr="00646E6A">
        <w:rPr>
          <w:rFonts w:eastAsia="Calibri" w:cstheme="minorHAnsi"/>
          <w:noProof/>
          <w:lang w:val="nl-NL"/>
        </w:rPr>
        <w:t>Pischke et al., 2015;</w:t>
      </w:r>
      <w:r w:rsidRPr="00646E6A">
        <w:rPr>
          <w:rFonts w:eastAsia="Calibri" w:cstheme="minorHAnsi"/>
        </w:rPr>
        <w:fldChar w:fldCharType="end"/>
      </w:r>
      <w:r w:rsidRPr="00646E6A">
        <w:rPr>
          <w:rFonts w:eastAsia="Calibri" w:cstheme="minorHAnsi"/>
          <w:lang w:val="nl-NL"/>
        </w:rPr>
        <w:t xml:space="preserve"> </w:t>
      </w:r>
      <w:r w:rsidRPr="00646E6A">
        <w:rPr>
          <w:rFonts w:eastAsia="Calibri" w:cstheme="minorHAnsi"/>
        </w:rPr>
        <w:fldChar w:fldCharType="begin" w:fldLock="1"/>
      </w:r>
      <w:r w:rsidR="00993ABF" w:rsidRPr="00646E6A">
        <w:rPr>
          <w:rFonts w:eastAsia="Calibri" w:cstheme="minorHAnsi"/>
          <w:lang w:val="nl-NL"/>
        </w:rPr>
        <w:instrText>ADDIN CSL_CITATION {"citationItems":[{"id":"ITEM-1","itemData":{"ISSN":"0195-6663","abstract":"We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-1","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adolescents.","type":"article-journal","volume":"57"},"uris":["http://www.mendeley.com/documents/?uuid=18a9583d-446e-4d40-8c46-37ad5a8b65e9"]}],"mendeley":{"formattedCitation":"(P Lally et al., 2011)","manualFormatting":"Lally et al., 2011)","plainTextFormattedCitation":"(P Lally et al., 2011)","previouslyFormattedCitation":"(P Lally et al., 2011)"},"properties":{"noteIndex":0},"schema":"https://github.com/citation-style-language/schema/raw/master/csl-citation.json"}</w:instrText>
      </w:r>
      <w:r w:rsidRPr="00646E6A">
        <w:rPr>
          <w:rFonts w:eastAsia="Calibri" w:cstheme="minorHAnsi"/>
        </w:rPr>
        <w:fldChar w:fldCharType="separate"/>
      </w:r>
      <w:r w:rsidRPr="00646E6A">
        <w:rPr>
          <w:rFonts w:eastAsia="Calibri" w:cstheme="minorHAnsi"/>
          <w:noProof/>
          <w:lang w:val="nl-NL"/>
        </w:rPr>
        <w:t>Lally et al., 2011)</w:t>
      </w:r>
      <w:r w:rsidRPr="00646E6A">
        <w:rPr>
          <w:rFonts w:eastAsia="Calibri" w:cstheme="minorHAnsi"/>
        </w:rPr>
        <w:fldChar w:fldCharType="end"/>
      </w:r>
      <w:r w:rsidRPr="00646E6A">
        <w:rPr>
          <w:rFonts w:eastAsia="Calibri" w:cstheme="minorHAnsi"/>
          <w:lang w:val="nl-NL"/>
        </w:rPr>
        <w:t>.</w:t>
      </w:r>
      <w:r w:rsidR="00041CD1" w:rsidRPr="00646E6A">
        <w:rPr>
          <w:rFonts w:eastAsia="Calibri"/>
        </w:rPr>
        <w:t xml:space="preserve"> Response options ranged from ‘less than one a week’ to ‘4 or more a day’; these were converted into values to reflect frequency of consumption per week, for example, ‘4 or more a day’ was coded as 28 (4 portions a day x 7 days = 28 portions per week)</w:t>
      </w:r>
      <w:r w:rsidRPr="00646E6A">
        <w:rPr>
          <w:rFonts w:eastAsia="Calibri" w:cstheme="minorHAnsi"/>
          <w:iCs/>
          <w:lang w:val="nl-NL"/>
        </w:rPr>
        <w:t>.</w:t>
      </w:r>
      <w:r w:rsidRPr="00646E6A">
        <w:rPr>
          <w:rFonts w:eastAsia="Calibri" w:cstheme="minorHAnsi"/>
          <w:lang w:val="nl-NL"/>
        </w:rPr>
        <w:t xml:space="preserve"> </w:t>
      </w:r>
      <w:r w:rsidRPr="00646E6A">
        <w:rPr>
          <w:rFonts w:eastAsia="Calibri" w:cstheme="minorHAnsi"/>
        </w:rPr>
        <w:t>Individual snack food descriptive norm responses were summed to</w:t>
      </w:r>
      <w:r w:rsidRPr="00B1522E">
        <w:rPr>
          <w:rFonts w:eastAsia="Calibri" w:cstheme="minorHAnsi"/>
        </w:rPr>
        <w:t xml:space="preserve"> give an unhealthy snacking norm score. The higher the score, the higher the number of unhealthy snacks students perceived their peers to consume. </w:t>
      </w:r>
      <w:r w:rsidRPr="00B1522E">
        <w:rPr>
          <w:rFonts w:eastAsia="Calibri" w:cstheme="minorHAnsi"/>
          <w:noProof/>
        </w:rPr>
        <w:t xml:space="preserve">The internal reliability (Cronbach’s alpha) across the three timepoints for these items </w:t>
      </w:r>
      <w:r w:rsidRPr="00B1522E">
        <w:rPr>
          <w:rFonts w:eastAsia="Calibri" w:cstheme="minorHAnsi"/>
        </w:rPr>
        <w:t>ranged from</w:t>
      </w:r>
      <w:r w:rsidRPr="00B1522E">
        <w:rPr>
          <w:rFonts w:eastAsia="Calibri" w:cstheme="minorHAnsi"/>
          <w:noProof/>
        </w:rPr>
        <w:t xml:space="preserve"> </w:t>
      </w:r>
      <w:r w:rsidRPr="00B1522E">
        <w:rPr>
          <w:rFonts w:eastAsia="Calibri" w:cstheme="minorHAnsi"/>
        </w:rPr>
        <w:t xml:space="preserve">0.82 - 0.85. </w:t>
      </w:r>
    </w:p>
    <w:p w14:paraId="09457246" w14:textId="0C2B2EE0" w:rsidR="00512A0E" w:rsidRPr="00B1522E" w:rsidRDefault="00512A0E" w:rsidP="00512A0E">
      <w:pPr>
        <w:spacing w:line="480" w:lineRule="auto"/>
        <w:ind w:firstLine="720"/>
        <w:jc w:val="both"/>
        <w:rPr>
          <w:rStyle w:val="normaltextrun"/>
          <w:rFonts w:eastAsia="Calibri"/>
          <w:noProof/>
        </w:rPr>
      </w:pPr>
      <w:r w:rsidRPr="00B1522E">
        <w:rPr>
          <w:rFonts w:eastAsia="Calibri"/>
          <w:noProof/>
        </w:rPr>
        <w:t>Students’ normative perceptions about same-sex peer attitudes (injunctive norms) towards snacking were measured using two separate individual measures adapted from exisiting measures (these measures were not summed together) (Lally et al., 2011; Sheridan, 2014).  The first measure explored normative perceptions about eating unhealthy snacks: ‘</w:t>
      </w:r>
      <w:r w:rsidRPr="00B1522E">
        <w:rPr>
          <w:rFonts w:eastAsia="Calibri"/>
          <w:i/>
          <w:iCs/>
          <w:noProof/>
        </w:rPr>
        <w:t>In general, do you think that most of the</w:t>
      </w:r>
      <w:r w:rsidRPr="00B1522E">
        <w:rPr>
          <w:rFonts w:eastAsia="Calibri"/>
          <w:noProof/>
        </w:rPr>
        <w:t xml:space="preserve"> [boys/girls]</w:t>
      </w:r>
      <w:r w:rsidRPr="00B1522E">
        <w:rPr>
          <w:rFonts w:eastAsia="Calibri"/>
          <w:i/>
          <w:iCs/>
          <w:noProof/>
        </w:rPr>
        <w:t xml:space="preserve"> at</w:t>
      </w:r>
      <w:r w:rsidRPr="00B1522E">
        <w:rPr>
          <w:rFonts w:eastAsia="Calibri"/>
          <w:noProof/>
        </w:rPr>
        <w:t xml:space="preserve"> [school name]</w:t>
      </w:r>
      <w:r w:rsidRPr="00B1522E">
        <w:rPr>
          <w:rFonts w:eastAsia="Calibri"/>
          <w:i/>
          <w:iCs/>
          <w:noProof/>
        </w:rPr>
        <w:t xml:space="preserve"> think that eating two or more unhealthy snack foods on most days is…?’.  </w:t>
      </w:r>
      <w:r w:rsidRPr="00B1522E">
        <w:rPr>
          <w:rFonts w:eastAsia="Calibri"/>
          <w:noProof/>
        </w:rPr>
        <w:t xml:space="preserve">The second measure explored normative perceptions about eating fewer unhealthy snacks: </w:t>
      </w:r>
      <w:r w:rsidRPr="00B1522E">
        <w:rPr>
          <w:rStyle w:val="normaltextrun"/>
          <w:i/>
          <w:iCs/>
          <w:noProof/>
          <w:shd w:val="clear" w:color="auto" w:fill="FFFFFF"/>
        </w:rPr>
        <w:t>In general, do you think that most of the </w:t>
      </w:r>
      <w:r w:rsidRPr="00B1522E">
        <w:rPr>
          <w:rStyle w:val="normaltextrun"/>
          <w:noProof/>
          <w:shd w:val="clear" w:color="auto" w:fill="FFFFFF"/>
        </w:rPr>
        <w:t>[boys/girls]</w:t>
      </w:r>
      <w:r w:rsidRPr="00B1522E">
        <w:rPr>
          <w:rStyle w:val="normaltextrun"/>
          <w:i/>
          <w:iCs/>
          <w:noProof/>
          <w:shd w:val="clear" w:color="auto" w:fill="FFFFFF"/>
        </w:rPr>
        <w:t> at </w:t>
      </w:r>
      <w:r w:rsidRPr="00B1522E">
        <w:rPr>
          <w:rFonts w:eastAsia="Calibri"/>
          <w:noProof/>
        </w:rPr>
        <w:t>[school name]</w:t>
      </w:r>
      <w:r w:rsidRPr="00B1522E">
        <w:rPr>
          <w:rStyle w:val="normaltextrun"/>
          <w:noProof/>
          <w:shd w:val="clear" w:color="auto" w:fill="FFFFFF"/>
        </w:rPr>
        <w:t> </w:t>
      </w:r>
      <w:r w:rsidRPr="00B1522E">
        <w:rPr>
          <w:rStyle w:val="normaltextrun"/>
          <w:i/>
          <w:iCs/>
          <w:noProof/>
          <w:shd w:val="clear" w:color="auto" w:fill="FFFFFF"/>
        </w:rPr>
        <w:t xml:space="preserve">think that eating fewer unhealthy </w:t>
      </w:r>
      <w:r w:rsidRPr="00646E6A">
        <w:rPr>
          <w:rStyle w:val="normaltextrun"/>
          <w:i/>
          <w:iCs/>
          <w:noProof/>
          <w:shd w:val="clear" w:color="auto" w:fill="FFFFFF"/>
        </w:rPr>
        <w:t xml:space="preserve">snacks would be?’. </w:t>
      </w:r>
      <w:r w:rsidR="004E750D" w:rsidRPr="00646E6A">
        <w:rPr>
          <w:rFonts w:eastAsia="Calibri"/>
        </w:rPr>
        <w:t>Both measures were formed by calculating responses to two 5-point Likert scales, 1 (bad/foolish) to 5 (good/sensible), which were summed to give a total score ranging from 2-10 for each measure.</w:t>
      </w:r>
      <w:r w:rsidRPr="00646E6A">
        <w:rPr>
          <w:rStyle w:val="normaltextrun"/>
          <w:noProof/>
          <w:shd w:val="clear" w:color="auto" w:fill="FFFFFF"/>
        </w:rPr>
        <w:t xml:space="preserve"> </w:t>
      </w:r>
      <w:r w:rsidRPr="00646E6A">
        <w:rPr>
          <w:rFonts w:eastAsia="Calibri"/>
          <w:noProof/>
        </w:rPr>
        <w:t>The higher the score, the more positive the students perceived their peers’ attitude to</w:t>
      </w:r>
      <w:r w:rsidRPr="00B1522E">
        <w:rPr>
          <w:rFonts w:eastAsia="Calibri"/>
          <w:noProof/>
        </w:rPr>
        <w:t xml:space="preserve"> be towards the behaviour. </w:t>
      </w:r>
    </w:p>
    <w:p w14:paraId="2E766391" w14:textId="77777777" w:rsidR="004642E1" w:rsidRPr="00B1522E" w:rsidRDefault="004642E1" w:rsidP="004642E1">
      <w:pPr>
        <w:spacing w:line="480" w:lineRule="auto"/>
        <w:jc w:val="both"/>
        <w:rPr>
          <w:rFonts w:eastAsia="Calibri" w:cstheme="minorHAnsi"/>
          <w:noProof/>
          <w:sz w:val="24"/>
          <w:szCs w:val="24"/>
        </w:rPr>
      </w:pPr>
    </w:p>
    <w:p w14:paraId="1D637B58" w14:textId="09F44C38" w:rsidR="005D04C6" w:rsidRPr="00B1522E" w:rsidRDefault="004642E1" w:rsidP="00FA314F">
      <w:pPr>
        <w:spacing w:line="480" w:lineRule="auto"/>
      </w:pPr>
      <w:r w:rsidRPr="00B1522E">
        <w:t>8.3.2.4 Behavioural Intentions</w:t>
      </w:r>
    </w:p>
    <w:p w14:paraId="14295236" w14:textId="77777777" w:rsidR="00137488" w:rsidRPr="00B1522E" w:rsidRDefault="00137488" w:rsidP="00FA314F">
      <w:pPr>
        <w:spacing w:line="480" w:lineRule="auto"/>
        <w:jc w:val="both"/>
        <w:rPr>
          <w:rFonts w:eastAsia="Calibri"/>
          <w:i/>
          <w:iCs/>
          <w:noProof/>
        </w:rPr>
      </w:pPr>
      <w:r w:rsidRPr="00B1522E">
        <w:rPr>
          <w:rFonts w:eastAsia="Calibri"/>
          <w:noProof/>
        </w:rPr>
        <w:t xml:space="preserve">Intentions to reduce unhealthy snacking were measured using four separate items using a </w:t>
      </w:r>
      <w:r w:rsidRPr="00B1522E">
        <w:rPr>
          <w:noProof/>
        </w:rPr>
        <w:t>7-point Likert scale</w:t>
      </w:r>
      <w:r w:rsidRPr="00B1522E">
        <w:rPr>
          <w:rFonts w:eastAsia="Calibri"/>
          <w:i/>
          <w:iCs/>
          <w:noProof/>
        </w:rPr>
        <w:t xml:space="preserve"> </w:t>
      </w:r>
      <w:r w:rsidRPr="00B1522E">
        <w:rPr>
          <w:noProof/>
        </w:rPr>
        <w:t xml:space="preserve">ranging from 1 (unlikely/false) to 7 (likely/true). The wording and scale had been adapted from existing measures </w:t>
      </w:r>
      <w:r w:rsidRPr="00B1522E">
        <w:rPr>
          <w:noProof/>
        </w:rPr>
        <w:fldChar w:fldCharType="begin" w:fldLock="1"/>
      </w:r>
      <w:r w:rsidRPr="00B1522E">
        <w:rPr>
          <w:noProof/>
        </w:rPr>
        <w:instrText>ADDIN CSL_CITATION {"citationItems":[{"id":"ITEM-1","itemData":{"author":[{"dropping-particle":"","family":"Sheridan","given":"Sabrina","non-dropping-particle":"","parse-names":false,"suffix":""}],"id":"ITEM-1","issued":{"date-parts":[["2014"]]},"publisher":"Dublin Business School","title":"Unhealthy Snacking: An exploration of the theory of planned behaviour, impulsivity, reward sensitivity and BMI.","type":"thesis"},"uris":["http://www.mendeley.com/documents/?uuid=896c3e04-ccfb-4e99-b3a7-223721a8f144"]},{"id":"ITEM-2","itemData":{"ISSN":"0046-2772","abstract":"Abstract Implementation intentions have been shown to effectively change counter-intentional habits. Research has, however, almost solely been concerned with the effectiveness of a single plan. In the present research, we investigated the behavioral and cognitive implications of making multiple implementation intentions targeting unhealthy snacking habits and its underlying processes, linking multiple habitual snacking cues to healthy alternatives. Study 1 revealed that formulating multiple implementation intentions was not effective in decreasing unhealthy snacking, whereas formulating a single plan successfully induced behavior change. By using a lexical decision task in Study 2, it was found that when making a single plan, but not multiple plans, the healthy alternative became cognitively more accessible in response to a critical cue prime than the habitual response. However, when making additional plans in an unrelated domain, the negative effects of making multiple plans were absent. In sum, the current findings suggest that formulating multiple implementation intentions is ineffective when changing unwanted behavior. These reduced effects of multiple implementation intentions do not occur when making the plan but are rather due to interference in the enacting phase of the planning process. Copyright ? 2013 John Wiley &amp; Sons, Ltd.","author":[{"dropping-particle":"","family":"Verhoeven","given":"Aukje A C","non-dropping-particle":"","parse-names":false,"suffix":""},{"dropping-particle":"","family":"Adriaanse","given":"Marieke A","non-dropping-particle":"","parse-names":false,"suffix":""},{"dropping-particle":"","family":"Ridder","given":"Denise T D","non-dropping-particle":"de","parse-names":false,"suffix":""},{"dropping-particle":"","family":"Vet","given":"Emely","non-dropping-particle":"de","parse-names":false,"suffix":""},{"dropping-particle":"","family":"Fennis","given":"Bob M","non-dropping-particle":"","parse-names":false,"suffix":""}],"container-title":"European Journal of Social Psychology","id":"ITEM-2","issue":"5","issued":{"date-parts":[["2013","8","1"]]},"note":"doi: 10.1002/ejsp.1963","page":"344-354","publisher":"John Wiley &amp; Sons, Ltd","title":"Less is more: The effect of multiple implementation intentions targeting unhealthy snacking habits","type":"article-journal","volume":"43"},"uris":["http://www.mendeley.com/documents/?uuid=801181b9-e60e-4348-b476-679dd8592cf2"]}],"mendeley":{"formattedCitation":"(Sheridan, 2014; Verhoeven et al., 2013)","plainTextFormattedCitation":"(Sheridan, 2014; Verhoeven et al., 2013)","previouslyFormattedCitation":"(Sheridan, 2014; Verhoeven et al., 2013)"},"properties":{"noteIndex":0},"schema":"https://github.com/citation-style-language/schema/raw/master/csl-citation.json"}</w:instrText>
      </w:r>
      <w:r w:rsidRPr="00B1522E">
        <w:rPr>
          <w:noProof/>
        </w:rPr>
        <w:fldChar w:fldCharType="separate"/>
      </w:r>
      <w:r w:rsidRPr="00B1522E">
        <w:rPr>
          <w:noProof/>
        </w:rPr>
        <w:t>(Sheridan, 2014; Verhoeven et al., 2013)</w:t>
      </w:r>
      <w:r w:rsidRPr="00B1522E">
        <w:rPr>
          <w:noProof/>
        </w:rPr>
        <w:fldChar w:fldCharType="end"/>
      </w:r>
      <w:r w:rsidRPr="00B1522E">
        <w:rPr>
          <w:noProof/>
        </w:rPr>
        <w:t>, e.g.: ‘</w:t>
      </w:r>
      <w:r w:rsidRPr="00B1522E">
        <w:rPr>
          <w:i/>
          <w:iCs/>
        </w:rPr>
        <w:t xml:space="preserve">I am determined to eat fewer </w:t>
      </w:r>
      <w:r w:rsidRPr="00B1522E">
        <w:rPr>
          <w:i/>
          <w:iCs/>
        </w:rPr>
        <w:lastRenderedPageBreak/>
        <w:t>unhealthy snacks over the next month</w:t>
      </w:r>
      <w:r w:rsidRPr="00B1522E">
        <w:rPr>
          <w:i/>
          <w:iCs/>
          <w:noProof/>
        </w:rPr>
        <w:t>’</w:t>
      </w:r>
      <w:r w:rsidRPr="00B1522E">
        <w:rPr>
          <w:noProof/>
        </w:rPr>
        <w:t xml:space="preserve">. The four item scores were summed to give a total intention score. The higher the intention score, the stronger the intention to reduce unhealthy snacking. </w:t>
      </w:r>
      <w:r w:rsidRPr="00B1522E">
        <w:rPr>
          <w:rFonts w:eastAsia="Calibri"/>
          <w:noProof/>
        </w:rPr>
        <w:t xml:space="preserve">The internal reliability (Cronbach’s alpha) across the three timepoints for these items </w:t>
      </w:r>
      <w:r w:rsidRPr="00B1522E">
        <w:rPr>
          <w:rFonts w:eastAsia="Calibri"/>
        </w:rPr>
        <w:t xml:space="preserve">ranged from </w:t>
      </w:r>
      <w:r w:rsidRPr="00B1522E">
        <w:rPr>
          <w:rFonts w:eastAsia="Calibri"/>
          <w:noProof/>
        </w:rPr>
        <w:t>0.74 - 0.81</w:t>
      </w:r>
      <w:r w:rsidRPr="00B1522E">
        <w:rPr>
          <w:noProof/>
        </w:rPr>
        <w:t xml:space="preserve">. </w:t>
      </w:r>
    </w:p>
    <w:p w14:paraId="3CD83330" w14:textId="77777777" w:rsidR="004642E1" w:rsidRPr="00B1522E" w:rsidRDefault="004642E1" w:rsidP="004642E1">
      <w:pPr>
        <w:pStyle w:val="CommentText"/>
        <w:spacing w:line="480" w:lineRule="auto"/>
        <w:jc w:val="both"/>
        <w:rPr>
          <w:rFonts w:cstheme="minorHAnsi"/>
        </w:rPr>
      </w:pPr>
    </w:p>
    <w:bookmarkStart w:id="237" w:name="_Toc84678965"/>
    <w:p w14:paraId="4D307CC6" w14:textId="74DEBFA1" w:rsidR="004642E1" w:rsidRPr="00B1522E" w:rsidRDefault="00194138" w:rsidP="00FA314F">
      <w:pPr>
        <w:spacing w:line="480" w:lineRule="auto"/>
      </w:pPr>
      <w:r w:rsidRPr="00B1522E">
        <w:fldChar w:fldCharType="begin"/>
      </w:r>
      <w:r w:rsidRPr="00B1522E">
        <w:instrText xml:space="preserve"> TC  "</w:instrText>
      </w:r>
      <w:bookmarkStart w:id="238" w:name="_Toc97310503"/>
      <w:r w:rsidRPr="00B1522E">
        <w:instrText>8.3.3 Procedure</w:instrText>
      </w:r>
      <w:bookmarkEnd w:id="238"/>
      <w:r w:rsidRPr="00B1522E">
        <w:instrText xml:space="preserve"> " \f x\l 3 </w:instrText>
      </w:r>
      <w:r w:rsidRPr="00B1522E">
        <w:fldChar w:fldCharType="end"/>
      </w:r>
      <w:r w:rsidR="004642E1" w:rsidRPr="00B1522E">
        <w:t>8.3.3 Procedure</w:t>
      </w:r>
      <w:bookmarkEnd w:id="237"/>
    </w:p>
    <w:p w14:paraId="0AEF0FDD" w14:textId="349676D3" w:rsidR="00082958" w:rsidRPr="00B1522E" w:rsidRDefault="00082958" w:rsidP="00FA314F">
      <w:pPr>
        <w:spacing w:line="480" w:lineRule="auto"/>
        <w:jc w:val="both"/>
        <w:rPr>
          <w:rFonts w:cstheme="minorHAnsi"/>
        </w:rPr>
      </w:pPr>
      <w:r w:rsidRPr="00B1522E">
        <w:t xml:space="preserve">All students in Year 7 (first year) of both schools were invited to participate in the study. Individual schools sent information letters and opt-out consent forms to parents/guardians of all students in Year 7 (Appendix </w:t>
      </w:r>
      <w:r w:rsidR="00190EB1" w:rsidRPr="00B1522E">
        <w:t>16</w:t>
      </w:r>
      <w:r w:rsidR="00FE6B16" w:rsidRPr="00B1522E">
        <w:t xml:space="preserve"> and 1</w:t>
      </w:r>
      <w:r w:rsidR="00190EB1" w:rsidRPr="00B1522E">
        <w:t>7</w:t>
      </w:r>
      <w:r w:rsidRPr="00B1522E">
        <w:t xml:space="preserve">). Students who wished to participate in the study after reading the </w:t>
      </w:r>
      <w:r w:rsidRPr="00646E6A">
        <w:t xml:space="preserve">information sheet </w:t>
      </w:r>
      <w:r w:rsidR="00111440" w:rsidRPr="00646E6A">
        <w:t xml:space="preserve">(Appendix </w:t>
      </w:r>
      <w:r w:rsidR="006E3AFD" w:rsidRPr="00646E6A">
        <w:t>1</w:t>
      </w:r>
      <w:r w:rsidR="00A96B58" w:rsidRPr="00646E6A">
        <w:t>8</w:t>
      </w:r>
      <w:r w:rsidR="006E3AFD" w:rsidRPr="00646E6A">
        <w:t xml:space="preserve"> and </w:t>
      </w:r>
      <w:r w:rsidR="009E068D" w:rsidRPr="00646E6A">
        <w:t>1</w:t>
      </w:r>
      <w:r w:rsidR="00A96B58" w:rsidRPr="00646E6A">
        <w:t>9</w:t>
      </w:r>
      <w:r w:rsidR="00111440" w:rsidRPr="00646E6A">
        <w:t xml:space="preserve">) </w:t>
      </w:r>
      <w:r w:rsidRPr="00646E6A">
        <w:t xml:space="preserve">were asked to </w:t>
      </w:r>
      <w:r w:rsidR="0059682E" w:rsidRPr="00646E6A">
        <w:t>provide</w:t>
      </w:r>
      <w:r w:rsidRPr="00646E6A">
        <w:t xml:space="preserve"> </w:t>
      </w:r>
      <w:r w:rsidR="003A42B2" w:rsidRPr="00646E6A">
        <w:t xml:space="preserve">assent </w:t>
      </w:r>
      <w:r w:rsidR="00111440" w:rsidRPr="00646E6A">
        <w:t xml:space="preserve">(Appendix </w:t>
      </w:r>
      <w:r w:rsidR="00A96B58" w:rsidRPr="00646E6A">
        <w:t>20</w:t>
      </w:r>
      <w:r w:rsidR="00111440" w:rsidRPr="00646E6A">
        <w:t xml:space="preserve">) </w:t>
      </w:r>
      <w:r w:rsidRPr="00646E6A">
        <w:t xml:space="preserve">prior to completing the baseline questionnaire and were also asked verbally prior to completing subsequent questionnaires. Only students in the SNA feedback condition were invited to participate in </w:t>
      </w:r>
      <w:r w:rsidR="00591914" w:rsidRPr="00646E6A">
        <w:t>the</w:t>
      </w:r>
      <w:r w:rsidRPr="00646E6A">
        <w:t xml:space="preserve"> practical poster-making session and students were asked to give verbal </w:t>
      </w:r>
      <w:r w:rsidR="00E15933" w:rsidRPr="00646E6A">
        <w:t>assent</w:t>
      </w:r>
      <w:r w:rsidRPr="00646E6A">
        <w:t xml:space="preserve"> before the session</w:t>
      </w:r>
      <w:r w:rsidRPr="00B1522E">
        <w:t xml:space="preserve"> commenced; if they did not </w:t>
      </w:r>
      <w:r w:rsidR="00E15933" w:rsidRPr="00B1522E">
        <w:t>wish to participate</w:t>
      </w:r>
      <w:r w:rsidRPr="00B1522E">
        <w:t>, the school arranged for an alternative activity. Students in both conditions completed questionnaires at baseline (Time 1 – September), post-intervention (Time 2 - January), and at 3 months post-intervention (Time 3 - March).</w:t>
      </w:r>
      <w:r w:rsidR="00AA5B3D" w:rsidRPr="00B1522E">
        <w:t xml:space="preserve"> </w:t>
      </w:r>
      <w:r w:rsidR="005C29E7" w:rsidRPr="00B1522E">
        <w:t>Following the third questionnaire, participants were thanked for participating in the research and were provided with a debriefing form (Appendix</w:t>
      </w:r>
      <w:r w:rsidR="009A3D6F" w:rsidRPr="00B1522E">
        <w:t xml:space="preserve"> 2</w:t>
      </w:r>
      <w:r w:rsidR="00D61E15" w:rsidRPr="00B1522E">
        <w:t>2</w:t>
      </w:r>
      <w:r w:rsidR="009A3D6F" w:rsidRPr="00B1522E">
        <w:t xml:space="preserve"> and </w:t>
      </w:r>
      <w:r w:rsidR="0002158C" w:rsidRPr="00B1522E">
        <w:t>2</w:t>
      </w:r>
      <w:r w:rsidR="00D61E15" w:rsidRPr="00B1522E">
        <w:t>3</w:t>
      </w:r>
      <w:r w:rsidR="005C29E7" w:rsidRPr="00B1522E">
        <w:t>)</w:t>
      </w:r>
      <w:r w:rsidR="005C29E7" w:rsidRPr="00B1522E">
        <w:rPr>
          <w:rFonts w:cstheme="minorHAnsi"/>
        </w:rPr>
        <w:t xml:space="preserve">. </w:t>
      </w:r>
      <w:r w:rsidRPr="00B1522E">
        <w:t xml:space="preserve">Paper-based questionnaires were administered by teachers and completed during school hours during a timetabled teaching session. </w:t>
      </w:r>
    </w:p>
    <w:p w14:paraId="68CB99FD" w14:textId="77777777" w:rsidR="009A3D6F" w:rsidRPr="00B1522E" w:rsidRDefault="009A3D6F" w:rsidP="00FA314F">
      <w:pPr>
        <w:spacing w:line="480" w:lineRule="auto"/>
      </w:pPr>
    </w:p>
    <w:p w14:paraId="583997A0" w14:textId="627CCCD9" w:rsidR="005D04C6" w:rsidRPr="00B1522E" w:rsidRDefault="004642E1" w:rsidP="00FA314F">
      <w:pPr>
        <w:spacing w:line="480" w:lineRule="auto"/>
      </w:pPr>
      <w:r w:rsidRPr="00B1522E">
        <w:t xml:space="preserve">8.3.3.1 Intervention </w:t>
      </w:r>
    </w:p>
    <w:p w14:paraId="01EDEFE6" w14:textId="651ABF0F" w:rsidR="00F91315" w:rsidRPr="00B1522E" w:rsidRDefault="00F91315" w:rsidP="00FA314F">
      <w:pPr>
        <w:spacing w:line="480" w:lineRule="auto"/>
        <w:jc w:val="both"/>
        <w:rPr>
          <w:rFonts w:cstheme="minorHAnsi"/>
        </w:rPr>
      </w:pPr>
      <w:r w:rsidRPr="00B1522E">
        <w:rPr>
          <w:rFonts w:cstheme="minorHAnsi"/>
        </w:rPr>
        <w:t xml:space="preserve">Students in both conditions received a copy of the non-normative healthy eating information (‘Eatwell Guide’) (Appendix </w:t>
      </w:r>
      <w:r w:rsidR="006E3AFD" w:rsidRPr="00B1522E">
        <w:rPr>
          <w:rFonts w:cstheme="minorHAnsi"/>
        </w:rPr>
        <w:t>2</w:t>
      </w:r>
      <w:r w:rsidR="00A05874" w:rsidRPr="00B1522E">
        <w:rPr>
          <w:rFonts w:cstheme="minorHAnsi"/>
        </w:rPr>
        <w:t>4</w:t>
      </w:r>
      <w:r w:rsidRPr="00B1522E">
        <w:rPr>
          <w:rFonts w:cstheme="minorHAnsi"/>
        </w:rPr>
        <w:t xml:space="preserve">) the first week of the Spring term (January). The ‘Eatwell Guide’ provides age-appropriate UK Government recommendations about the number of individual foodstuffs that should </w:t>
      </w:r>
      <w:r w:rsidRPr="00B1522E">
        <w:rPr>
          <w:rFonts w:cstheme="minorHAnsi"/>
        </w:rPr>
        <w:lastRenderedPageBreak/>
        <w:t xml:space="preserve">come from each food group (e.g., fruit and vegetables) to achieve a healthy, balanced diet </w:t>
      </w:r>
      <w:r w:rsidRPr="00B1522E">
        <w:rPr>
          <w:rFonts w:cstheme="minorHAnsi"/>
        </w:rPr>
        <w:fldChar w:fldCharType="begin" w:fldLock="1"/>
      </w:r>
      <w:r w:rsidRPr="00B1522E">
        <w:rPr>
          <w:rFonts w:cstheme="minorHAnsi"/>
        </w:rPr>
        <w:instrText>ADDIN CSL_CITATION {"citationItems":[{"id":"ITEM-1","itemData":{"URL":"https://www.gov.uk/government/publications/the-eatwell-guide","author":[{"dropping-particle":"","family":"Public Health England","given":"","non-dropping-particle":"","parse-names":false,"suffix":""}],"id":"ITEM-1","issued":{"date-parts":[["2018"]]},"title":"Guidance The Eatwell Guide","type":"webpage"},"uris":["http://www.mendeley.com/documents/?uuid=89c57649-eefd-4f39-8805-2b79fc46bf40"]}],"mendeley":{"formattedCitation":"(Public Health England, 2018b)","plainTextFormattedCitation":"(Public Health England, 2018b)","previouslyFormattedCitation":"(Public Health England, 2018b)"},"properties":{"noteIndex":0},"schema":"https://github.com/citation-style-language/schema/raw/master/csl-citation.json"}</w:instrText>
      </w:r>
      <w:r w:rsidRPr="00B1522E">
        <w:rPr>
          <w:rFonts w:cstheme="minorHAnsi"/>
        </w:rPr>
        <w:fldChar w:fldCharType="separate"/>
      </w:r>
      <w:r w:rsidRPr="00B1522E">
        <w:rPr>
          <w:rFonts w:cstheme="minorHAnsi"/>
          <w:noProof/>
        </w:rPr>
        <w:t>(Public Health England, 2018b)</w:t>
      </w:r>
      <w:r w:rsidRPr="00B1522E">
        <w:rPr>
          <w:rFonts w:cstheme="minorHAnsi"/>
        </w:rPr>
        <w:fldChar w:fldCharType="end"/>
      </w:r>
      <w:r w:rsidRPr="00B1522E">
        <w:rPr>
          <w:rFonts w:cstheme="minorHAnsi"/>
        </w:rPr>
        <w:t xml:space="preserve">. Paper copies of the ‘Eatwell Guide’ were delivered to the schools and teachers distributed them to participating students. </w:t>
      </w:r>
    </w:p>
    <w:p w14:paraId="2018F3C4" w14:textId="68AA8687" w:rsidR="00F91315" w:rsidRPr="00B1522E" w:rsidRDefault="00F91315" w:rsidP="00F91315">
      <w:pPr>
        <w:spacing w:line="480" w:lineRule="auto"/>
        <w:ind w:firstLine="720"/>
        <w:jc w:val="both"/>
        <w:rPr>
          <w:shd w:val="clear" w:color="auto" w:fill="FFFFFF"/>
        </w:rPr>
      </w:pPr>
      <w:r w:rsidRPr="00B1522E">
        <w:t>Students in the SNA feedback condition, in the same week as receiving the healthy eating information (‘Eatwell Guide’), also participated in an interactive poster-making session. The poster-making session was one hour long and was led by a teacher following a detailed lesson plan</w:t>
      </w:r>
      <w:r w:rsidR="00562662" w:rsidRPr="00B1522E">
        <w:t xml:space="preserve"> (Appendix </w:t>
      </w:r>
      <w:r w:rsidR="006E3AFD" w:rsidRPr="00B1522E">
        <w:t>2</w:t>
      </w:r>
      <w:r w:rsidR="00A05874" w:rsidRPr="00B1522E">
        <w:t>5</w:t>
      </w:r>
      <w:r w:rsidR="00562662" w:rsidRPr="00B1522E">
        <w:t>)</w:t>
      </w:r>
      <w:r w:rsidRPr="00B1522E">
        <w:t xml:space="preserve"> provided by the researcher. The lesson plan provided detailed instructions for the teachers, to be used as a step-by-step guide for the session to help ensure intervention fidelity was maintained. There were approximately 25 students in each poster-making session (a total of seven poster-making sessions across the week). To help students engage with the SNA feedback, students were asked to design and create a poster in small groups </w:t>
      </w:r>
      <w:r w:rsidR="00C45C6B" w:rsidRPr="00B1522E">
        <w:t xml:space="preserve">(Appendix </w:t>
      </w:r>
      <w:r w:rsidR="003C0FF9" w:rsidRPr="00B1522E">
        <w:t>2</w:t>
      </w:r>
      <w:r w:rsidR="002D6D1C" w:rsidRPr="00B1522E">
        <w:t>6</w:t>
      </w:r>
      <w:r w:rsidR="00C45C6B" w:rsidRPr="00B1522E">
        <w:t xml:space="preserve">) </w:t>
      </w:r>
      <w:r w:rsidRPr="00B1522E">
        <w:t>that included the SNA unhealthy snacking feedback messages (the SNA messages were based on students own baseline data)</w:t>
      </w:r>
      <w:r w:rsidR="00C45C6B" w:rsidRPr="00B1522E">
        <w:t xml:space="preserve"> (Appendix </w:t>
      </w:r>
      <w:r w:rsidR="003C0FF9" w:rsidRPr="00B1522E">
        <w:t>2</w:t>
      </w:r>
      <w:r w:rsidR="001D1139" w:rsidRPr="00B1522E">
        <w:t>7</w:t>
      </w:r>
      <w:r w:rsidR="00C45C6B" w:rsidRPr="00B1522E">
        <w:t>)</w:t>
      </w:r>
      <w:r w:rsidRPr="00B1522E">
        <w:t xml:space="preserve">. The use of an interactive poster-making session was a recommendation made by the student advisory group to help ensure students had attended to and engaged with the SNA feedback. </w:t>
      </w:r>
      <w:r w:rsidRPr="00B1522E">
        <w:rPr>
          <w:shd w:val="clear" w:color="auto" w:fill="FFFFFF"/>
        </w:rPr>
        <w:t xml:space="preserve">There is some suggestion that studies that include </w:t>
      </w:r>
      <w:r w:rsidRPr="00B1522E">
        <w:t xml:space="preserve">interactive methods to deliver campaign messages are more effective than print-based mass media campaigns: they help ensure students actively engage with the presented feedback </w:t>
      </w:r>
      <w:r w:rsidRPr="00B1522E">
        <w:fldChar w:fldCharType="begin" w:fldLock="1"/>
      </w:r>
      <w:r w:rsidRPr="00B1522E">
        <w:instrText>ADDIN CSL_CITATION {"citationItems":[{"id":"ITEM-1","itemData":{"ISSN":"0306-4603","abstract":"Drug prevention in schools is a top priority in most Western countries and several well-designed studies have shown that prevention programs have the potential of reducing drug use in adolescents. However, most prevention programs are not effective and there are no general criteria available for deciding which program is effective and which is not. In this systematic review of the literature, the current scientific knowledge about which characteristics determine the effectiveness of drug prevention programs is examined. Three types of studies are reviewed: meta-analyses (3 studies were included), studies examining mediating variables of interventions (6 studies), and studies directly comparing prevention programs with or without specific characteristics (4 studies on boosters, 12 on peer- versus adult-led programs, and 5 on adding community interventions to school programs). Seven evidence-based quality criteria were formulated: the effects of a program should have been proven; interactive delivery methods are superior; the “social influence model” is the best we have; focus on norms, commitment not to use, and intentions not to use; adding community interventions increases effects; the use of peer leaders is better; and adding life skills to programs may strengthen effects.","author":[{"dropping-particle":"","family":"Cuijpers","given":"Pim","non-dropping-particle":"","parse-names":false,"suffix":""}],"container-title":"Addictive Behaviors","id":"ITEM-1","issue":"6","issued":{"date-parts":[["2002"]]},"page":"1009-1023","title":"Effective ingredients of school-based drug prevention programs: A systematic review","type":"article-journal","volume":"27"},"uris":["http://www.mendeley.com/documents/?uuid=e31f7207-1275-43ea-8a0d-bd7d3e3bcbb5"]},{"id":"ITEM-2","itemData":{"ISSN":"2211-3355","abstract":"The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reports","id":"ITEM-2","issued":{"date-parts":[["2018","10","28"]]},"language":"eng","page":"304-311","publisher":"Elsevier","title":"Effects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trial","type":"article-journal","volume":"12"},"uris":["http://www.mendeley.com/documents/?uuid=d14f1680-42aa-4cdf-a003-eb1aa0293b67"]}],"mendeley":{"formattedCitation":"(Cuijpers, 2002; Vallentin-Holbech et al., 2018)","plainTextFormattedCitation":"(Cuijpers, 2002; Vallentin-Holbech et al., 2018)","previouslyFormattedCitation":"(Cuijpers, 2002; Vallentin-Holbech et al., 2018)"},"properties":{"noteIndex":0},"schema":"https://github.com/citation-style-language/schema/raw/master/csl-citation.json"}</w:instrText>
      </w:r>
      <w:r w:rsidRPr="00B1522E">
        <w:fldChar w:fldCharType="separate"/>
      </w:r>
      <w:r w:rsidRPr="00B1522E">
        <w:rPr>
          <w:noProof/>
        </w:rPr>
        <w:t>(Cuijpers, 2002; Vallentin-Holbech et al., 2018)</w:t>
      </w:r>
      <w:r w:rsidRPr="00B1522E">
        <w:fldChar w:fldCharType="end"/>
      </w:r>
      <w:r w:rsidRPr="00B1522E">
        <w:t>.</w:t>
      </w:r>
      <w:r w:rsidRPr="00B1522E">
        <w:rPr>
          <w:shd w:val="clear" w:color="auto" w:fill="FFFFFF"/>
        </w:rPr>
        <w:t xml:space="preserve"> </w:t>
      </w:r>
      <w:r w:rsidRPr="00B1522E">
        <w:t xml:space="preserve">The SNA messages to be included on the poster were phrased to demonstrate the three most-pronounced discrepancies between the perceived and actual snacking norm for boys and girls. Wording used for the SNA feedback messages was recommended by </w:t>
      </w:r>
      <w:r w:rsidRPr="00B1522E">
        <w:fldChar w:fldCharType="begin" w:fldLock="1"/>
      </w:r>
      <w:r w:rsidR="004A684E" w:rsidRPr="00B1522E">
        <w:instrText>ADDIN CSL_CITATION {"citationItems":[{"id":"ITEM-1","itemData":{"ISBN":"078796459X","author":[{"dropping-particle":"","family":"Perkins","given":"H. W","non-dropping-particle":"","parse-names":false,"suffix":""}],"id":"ITEM-1","issued":{"date-parts":[["2003"]]},"publisher":"John Wiley &amp; Sons","title":"The social norms approach to preventing school and college age substance abuse: A handbook for educators, counselors, and clinicians","type":"book"},"uris":["http://www.mendeley.com/documents/?uuid=8b88ec0c-34aa-4e5a-a06b-ab78a7f060a7"]}],"mendeley":{"formattedCitation":"(H. W Perkins, 2003b)","manualFormatting":"Perkins (2003)","plainTextFormattedCitation":"(H. W Perkins, 2003b)","previouslyFormattedCitation":"(H. W Perkins, 2003b)"},"properties":{"noteIndex":0},"schema":"https://github.com/citation-style-language/schema/raw/master/csl-citation.json"}</w:instrText>
      </w:r>
      <w:r w:rsidRPr="00B1522E">
        <w:fldChar w:fldCharType="separate"/>
      </w:r>
      <w:r w:rsidRPr="00B1522E">
        <w:rPr>
          <w:noProof/>
        </w:rPr>
        <w:t>Perkins (2003)</w:t>
      </w:r>
      <w:r w:rsidRPr="00B1522E">
        <w:fldChar w:fldCharType="end"/>
      </w:r>
      <w:r w:rsidRPr="00B1522E">
        <w:t xml:space="preserve"> and has been adapted for use by other SNA intervention studies </w:t>
      </w:r>
      <w:r w:rsidRPr="00B1522E">
        <w:fldChar w:fldCharType="begin" w:fldLock="1"/>
      </w:r>
      <w:r w:rsidRPr="00B1522E">
        <w:instrText>ADDIN CSL_CITATION {"citationItems":[{"id":"ITEM-1","itemData":{"ISSN":"2211-3355","abstract":"The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reports","id":"ITEM-1","issued":{"date-parts":[["2018","10","28"]]},"language":"eng","page":"304-311","publisher":"Elsevier","title":"Effects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-2","itemData":{"ISSN":"1368-4302","author":[{"dropping-particle":"","family":"Neighbors","given":"Clayton","non-dropping-particle":"","parse-names":false,"suffix":""},{"dropping-particle":"","family":"Jensen","given":"Megan","non-dropping-particle":"","parse-names":false,"suffix":""},{"dropping-particle":"","family":"Tidwell","given":"Judy","non-dropping-particle":"","parse-names":false,"suffix":""},{"dropping-particle":"","family":"Walter","given":"Theresa","non-dropping-particle":"","parse-names":false,"suffix":""},{"dropping-particle":"","family":"Fossos","given":"Nicole","non-dropping-particle":"","parse-names":false,"suffix":""},{"dropping-particle":"","family":"Lewis","given":"Melissa A","non-dropping-particle":"","parse-names":false,"suffix":""}],"container-title":"Group Processes &amp; Intergroup Relations","id":"ITEM-2","issue":"5","issued":{"date-parts":[["2011"]]},"page":"651-669","publisher":"Sage Publications Sage UK: London, England","title":"Social-norms interventions for light and nondrinking students","type":"article-journal","volume":"14"},"uris":["http://www.mendeley.com/documents/?uuid=a3c78c1c-7b7f-49b8-abde-ee58a91d07df"]}],"mendeley":{"formattedCitation":"(Neighbors et al., 2011; Vallentin-Holbech et al., 2018)","plainTextFormattedCitation":"(Neighbors et al., 2011; Vallentin-Holbech et al., 2018)","previouslyFormattedCitation":"(Neighbors et al., 2011; Vallentin-Holbech et al., 2018)"},"properties":{"noteIndex":0},"schema":"https://github.com/citation-style-language/schema/raw/master/csl-citation.json"}</w:instrText>
      </w:r>
      <w:r w:rsidRPr="00B1522E">
        <w:fldChar w:fldCharType="separate"/>
      </w:r>
      <w:r w:rsidRPr="00B1522E">
        <w:rPr>
          <w:noProof/>
        </w:rPr>
        <w:t>(Neighbors et al., 2011; Vallentin-Holbech et al., 2018)</w:t>
      </w:r>
      <w:r w:rsidRPr="00B1522E">
        <w:fldChar w:fldCharType="end"/>
      </w:r>
      <w:r w:rsidRPr="00B1522E">
        <w:t xml:space="preserve">. An example message: perceived descriptive norm, </w:t>
      </w:r>
      <w:r w:rsidRPr="00B1522E">
        <w:rPr>
          <w:i/>
          <w:iCs/>
        </w:rPr>
        <w:t xml:space="preserve">“Did you know </w:t>
      </w:r>
      <w:r w:rsidRPr="00B1522E">
        <w:rPr>
          <w:rFonts w:eastAsia="Calibri"/>
          <w:b/>
          <w:bCs/>
          <w:i/>
          <w:iCs/>
          <w:u w:val="double"/>
        </w:rPr>
        <w:t>58%</w:t>
      </w:r>
      <w:r w:rsidRPr="00B1522E">
        <w:rPr>
          <w:rFonts w:eastAsia="Calibri"/>
          <w:b/>
          <w:bCs/>
          <w:i/>
          <w:iCs/>
        </w:rPr>
        <w:t xml:space="preserve"> of girls</w:t>
      </w:r>
      <w:r w:rsidRPr="00B1522E">
        <w:rPr>
          <w:i/>
          <w:iCs/>
        </w:rPr>
        <w:t xml:space="preserve"> think most other girls at</w:t>
      </w:r>
      <w:r w:rsidRPr="00B1522E">
        <w:rPr>
          <w:rFonts w:eastAsia="Calibri"/>
          <w:i/>
          <w:iCs/>
        </w:rPr>
        <w:t xml:space="preserve"> </w:t>
      </w:r>
      <w:r w:rsidRPr="00B1522E">
        <w:rPr>
          <w:rFonts w:eastAsia="Calibri"/>
        </w:rPr>
        <w:t>[name of school]</w:t>
      </w:r>
      <w:r w:rsidRPr="00B1522E">
        <w:rPr>
          <w:rFonts w:eastAsia="Calibri"/>
          <w:i/>
          <w:iCs/>
        </w:rPr>
        <w:t xml:space="preserve"> </w:t>
      </w:r>
      <w:r w:rsidRPr="00B1522E">
        <w:rPr>
          <w:i/>
          <w:iCs/>
        </w:rPr>
        <w:t xml:space="preserve">eat biscuits </w:t>
      </w:r>
      <w:r w:rsidRPr="00B1522E">
        <w:rPr>
          <w:b/>
          <w:bCs/>
          <w:i/>
          <w:iCs/>
          <w:u w:val="double"/>
        </w:rPr>
        <w:t>4+ times in a week</w:t>
      </w:r>
      <w:r w:rsidRPr="00B1522E">
        <w:rPr>
          <w:i/>
          <w:iCs/>
          <w:u w:val="double"/>
        </w:rPr>
        <w:t>?</w:t>
      </w:r>
      <w:r w:rsidRPr="00B1522E">
        <w:rPr>
          <w:u w:val="double"/>
        </w:rPr>
        <w:t xml:space="preserve">”; </w:t>
      </w:r>
      <w:r w:rsidRPr="00B1522E">
        <w:rPr>
          <w:rFonts w:eastAsia="Calibri"/>
        </w:rPr>
        <w:t>actual descriptive group norm, “</w:t>
      </w:r>
      <w:r w:rsidRPr="00B1522E">
        <w:rPr>
          <w:i/>
          <w:iCs/>
        </w:rPr>
        <w:t xml:space="preserve">Fact, </w:t>
      </w:r>
      <w:r w:rsidRPr="00B1522E">
        <w:rPr>
          <w:b/>
          <w:bCs/>
          <w:i/>
          <w:iCs/>
          <w:u w:val="double"/>
        </w:rPr>
        <w:t>69% of girls</w:t>
      </w:r>
      <w:r w:rsidRPr="00B1522E">
        <w:rPr>
          <w:i/>
          <w:iCs/>
        </w:rPr>
        <w:t xml:space="preserve"> at</w:t>
      </w:r>
      <w:r w:rsidRPr="00B1522E">
        <w:t xml:space="preserve"> </w:t>
      </w:r>
      <w:r w:rsidRPr="00B1522E">
        <w:rPr>
          <w:rFonts w:eastAsia="Calibri"/>
        </w:rPr>
        <w:t>[name of school]</w:t>
      </w:r>
      <w:r w:rsidRPr="00B1522E">
        <w:rPr>
          <w:rFonts w:eastAsia="Calibri"/>
          <w:i/>
          <w:iCs/>
        </w:rPr>
        <w:t xml:space="preserve"> </w:t>
      </w:r>
      <w:r w:rsidRPr="00B1522E">
        <w:rPr>
          <w:i/>
          <w:iCs/>
        </w:rPr>
        <w:t>eat biscuits</w:t>
      </w:r>
      <w:r w:rsidRPr="00B1522E">
        <w:rPr>
          <w:b/>
          <w:bCs/>
          <w:i/>
          <w:iCs/>
          <w:u w:val="double"/>
        </w:rPr>
        <w:t xml:space="preserve"> less than 3 times in a week</w:t>
      </w:r>
      <w:r w:rsidRPr="00B1522E">
        <w:rPr>
          <w:i/>
          <w:iCs/>
          <w:u w:val="double"/>
        </w:rPr>
        <w:t>.”</w:t>
      </w:r>
      <w:r w:rsidRPr="00B1522E">
        <w:rPr>
          <w:i/>
          <w:iCs/>
        </w:rPr>
        <w:t xml:space="preserve"> </w:t>
      </w:r>
      <w:r w:rsidRPr="00B1522E">
        <w:t xml:space="preserve">Percentages were also communicated using pictorial representations to aid in students’ understanding based on recommendations made by the advisory group (Appendix </w:t>
      </w:r>
      <w:r w:rsidR="00EA344F" w:rsidRPr="00B1522E">
        <w:t>2</w:t>
      </w:r>
      <w:r w:rsidR="00264CF5" w:rsidRPr="00B1522E">
        <w:t>7</w:t>
      </w:r>
      <w:r w:rsidRPr="00B1522E">
        <w:t xml:space="preserve">). To ensure students had read and engaged with the SNA feedback, towards the end of the session </w:t>
      </w:r>
      <w:r w:rsidRPr="00B1522E">
        <w:lastRenderedPageBreak/>
        <w:t>students were asked in their small groups to briefly present their posters</w:t>
      </w:r>
      <w:r w:rsidR="008539C7" w:rsidRPr="00B1522E">
        <w:t xml:space="preserve"> </w:t>
      </w:r>
      <w:r w:rsidRPr="00B1522E">
        <w:t xml:space="preserve">to the rest of the groups, with the following questions: </w:t>
      </w:r>
      <w:r w:rsidRPr="00B1522E">
        <w:rPr>
          <w:i/>
          <w:iCs/>
        </w:rPr>
        <w:t>‘W</w:t>
      </w:r>
      <w:r w:rsidRPr="00B1522E">
        <w:rPr>
          <w:rFonts w:eastAsia="Calibri"/>
          <w:i/>
          <w:iCs/>
        </w:rPr>
        <w:t>hy did they design the poster in that way?’</w:t>
      </w:r>
      <w:r w:rsidRPr="00B1522E">
        <w:rPr>
          <w:i/>
          <w:iCs/>
        </w:rPr>
        <w:t>, ‘</w:t>
      </w:r>
      <w:r w:rsidRPr="00B1522E">
        <w:rPr>
          <w:rFonts w:eastAsia="Calibri"/>
          <w:i/>
          <w:iCs/>
        </w:rPr>
        <w:t xml:space="preserve">Was any of the information surprising to them?’, and  ‘Did they learn something new?’ </w:t>
      </w:r>
    </w:p>
    <w:p w14:paraId="784C7C4C" w14:textId="77777777" w:rsidR="00F91315" w:rsidRPr="00B1522E" w:rsidRDefault="00F91315" w:rsidP="00F91315">
      <w:pPr>
        <w:spacing w:line="480" w:lineRule="auto"/>
        <w:ind w:firstLine="720"/>
        <w:jc w:val="both"/>
      </w:pPr>
      <w:r w:rsidRPr="00B1522E">
        <w:rPr>
          <w:rFonts w:eastAsia="Calibri"/>
        </w:rPr>
        <w:t>To increase exposure to and engagement with the SNA feedback, a prize-based competition for the best poster was held and students voted for the best poster from their session. The</w:t>
      </w:r>
      <w:r w:rsidRPr="00B1522E">
        <w:t xml:space="preserve"> seven best posters (one from each session) were then displayed in the school in a location that Year 7 students frequented throughout the day. One month after the posters were displayed, the advisory panel designed a short PowerPoint presentation (exhibiting the seven best posters) to each class that had participated in a poster-making session which facilitated a class discussion (asking students to consider w</w:t>
      </w:r>
      <w:r w:rsidRPr="00B1522E">
        <w:rPr>
          <w:rFonts w:eastAsia="Calibri"/>
        </w:rPr>
        <w:t>hich poster: displayed the information clearly; was the most eye-catching; and was the easiest to read and understand)</w:t>
      </w:r>
      <w:r w:rsidRPr="00B1522E">
        <w:t>. Each class voted for the best poster and votes were totalled to give an overall winner for the competition; the winning students received shopping vouchers.</w:t>
      </w:r>
    </w:p>
    <w:p w14:paraId="29495524" w14:textId="77777777" w:rsidR="00F91315" w:rsidRPr="00B1522E" w:rsidRDefault="00F91315" w:rsidP="00F91315">
      <w:pPr>
        <w:spacing w:line="480" w:lineRule="auto"/>
        <w:rPr>
          <w:rFonts w:cstheme="minorHAnsi"/>
        </w:rPr>
      </w:pPr>
    </w:p>
    <w:bookmarkStart w:id="239" w:name="_Toc84678966"/>
    <w:p w14:paraId="092DBBD3" w14:textId="28CEFDF8" w:rsidR="00651E76" w:rsidRPr="00B1522E" w:rsidRDefault="00194138" w:rsidP="00FA314F">
      <w:pPr>
        <w:spacing w:line="480" w:lineRule="auto"/>
      </w:pPr>
      <w:r w:rsidRPr="00B1522E">
        <w:fldChar w:fldCharType="begin"/>
      </w:r>
      <w:r w:rsidRPr="00B1522E">
        <w:instrText xml:space="preserve"> TC  "</w:instrText>
      </w:r>
      <w:bookmarkStart w:id="240" w:name="_Toc97310504"/>
      <w:r w:rsidRPr="00B1522E">
        <w:instrText>8.3.4 Analysis plan</w:instrText>
      </w:r>
      <w:bookmarkEnd w:id="240"/>
      <w:r w:rsidRPr="00B1522E">
        <w:instrText xml:space="preserve"> " \f x\l 3 </w:instrText>
      </w:r>
      <w:r w:rsidRPr="00B1522E">
        <w:fldChar w:fldCharType="end"/>
      </w:r>
      <w:r w:rsidR="004642E1" w:rsidRPr="00B1522E">
        <w:t>8.3.4 Analysis plan</w:t>
      </w:r>
      <w:bookmarkEnd w:id="239"/>
    </w:p>
    <w:p w14:paraId="4961F03B" w14:textId="167E089B" w:rsidR="00651E76" w:rsidRPr="00B1522E" w:rsidRDefault="00651E76" w:rsidP="00FA314F">
      <w:pPr>
        <w:spacing w:line="480" w:lineRule="auto"/>
        <w:jc w:val="both"/>
      </w:pPr>
      <w:r w:rsidRPr="00B1522E">
        <w:t xml:space="preserve">Normative misperceptions of unhealthy snacking behaviour were calculated by subtracting the median of self-reported unhealthy snacking behaviour of the group (school/sex specific) (actual norm) from each student’s reported perception of peers’ unhealthy snacking behaviour (descriptive norm) </w:t>
      </w:r>
      <w:r w:rsidRPr="00B1522E">
        <w:fldChar w:fldCharType="begin" w:fldLock="1"/>
      </w:r>
      <w:r w:rsidR="005776BC" w:rsidRPr="00B1522E">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fldChar w:fldCharType="separate"/>
      </w:r>
      <w:r w:rsidRPr="00B1522E">
        <w:rPr>
          <w:noProof/>
        </w:rPr>
        <w:t>(Perkins et al., 2010)</w:t>
      </w:r>
      <w:r w:rsidRPr="00B1522E">
        <w:fldChar w:fldCharType="end"/>
      </w:r>
      <w:r w:rsidRPr="00B1522E">
        <w:t xml:space="preserve">. A positive score indicated that students perceived peers to consume the unhealthy snacks more often than the reported group norm. Misperceptions of peers’ snacking attitudes were calculated by subtracting the median score of self-reported attitude of the group (school/sex specific) (actual norm) from each student’s reported perception score of peers’ attitudes (injunctive norm) </w:t>
      </w:r>
      <w:r w:rsidRPr="00B1522E">
        <w:fldChar w:fldCharType="begin" w:fldLock="1"/>
      </w:r>
      <w:r w:rsidR="005776BC" w:rsidRPr="00B1522E">
        <w:instrText>ADDIN CSL_CITATION {"citationItems":[{"id":"ITEM-1","itemData":{"ISSN":"0002-8223","author":[{"dropping-particle":"","family":"Perkins","given":"J. M","non-dropping-particle":"","parse-names":false,"suffix":""},{"dropping-particle":"","family":"Perkins","given":"H. W","non-dropping-particle":"","parse-names":false,"suffix":""},{"dropping-particle":"","family":"Craig","given":"D.W","non-dropping-particle":"","parse-names":false,"suffix":""}],"container-title":"Journal of the American Dietetic Association","id":"ITEM-1","issue":"12","issued":{"date-parts":[["2010"]]},"page":"1916-1921","publisher":"Elsevier","title":"Misperceptions of peer norms as a risk factor for sugar-sweetened beverage consumption among secondary school students","type":"article-journal","volume":"110"},"uris":["http://www.mendeley.com/documents/?uuid=057ae4b5-514d-47a6-bfd8-bd60f5e335ea"]}],"mendeley":{"formattedCitation":"(J. M. Perkins et al., 2010)","manualFormatting":"(Perkins et al., 2010)","plainTextFormattedCitation":"(J. M. Perkins et al., 2010)","previouslyFormattedCitation":"(J. M. Perkins et al., 2010)"},"properties":{"noteIndex":0},"schema":"https://github.com/citation-style-language/schema/raw/master/csl-citation.json"}</w:instrText>
      </w:r>
      <w:r w:rsidRPr="00B1522E">
        <w:fldChar w:fldCharType="separate"/>
      </w:r>
      <w:r w:rsidRPr="00B1522E">
        <w:rPr>
          <w:noProof/>
        </w:rPr>
        <w:t>(Perkins et al., 2010)</w:t>
      </w:r>
      <w:r w:rsidRPr="00B1522E">
        <w:fldChar w:fldCharType="end"/>
      </w:r>
      <w:r w:rsidRPr="00B1522E">
        <w:t>. This approach created two attitude misperception scores: (1) misperceptions of peers’ attitude towards unhealthy snacking; and (2) misperceptions of peers’ attitude towards consuming fewer snacks. A higher score indicated that students perceived their peers to have a more positive attitude towards the behaviour than was the actual reported group norm.</w:t>
      </w:r>
    </w:p>
    <w:p w14:paraId="4D49E6E4" w14:textId="77777777" w:rsidR="00651E76" w:rsidRPr="00B1522E" w:rsidRDefault="00651E76" w:rsidP="00651E76">
      <w:pPr>
        <w:spacing w:line="480" w:lineRule="auto"/>
        <w:ind w:firstLine="720"/>
        <w:jc w:val="both"/>
        <w:rPr>
          <w:rFonts w:cstheme="minorHAnsi"/>
        </w:rPr>
      </w:pPr>
      <w:r w:rsidRPr="00B1522E">
        <w:rPr>
          <w:rFonts w:cstheme="minorHAnsi"/>
        </w:rPr>
        <w:lastRenderedPageBreak/>
        <w:t xml:space="preserve">To test hypothesis one, a series of between subjects ANCOVAs/ANCOHETs were conducted to assess differences between the conditions (SNA feedback versus control condition) on each outcome variable (personal unhealthy snacking, personal attitude towards unhealthy snacking, personal attitude towards reducing unhealthy snacking, intention to reduce snacking and normative misperceptions of peers’ snacking-related behaviour and attitudes) at post intervention (Time 2) and at 3-month follow-up (Time 3), whilst controlling for baseline values (Time 1). </w:t>
      </w:r>
    </w:p>
    <w:p w14:paraId="21CAC5B8" w14:textId="26892712" w:rsidR="00871F09" w:rsidRPr="00B1522E" w:rsidRDefault="00651E76" w:rsidP="00C40591">
      <w:pPr>
        <w:spacing w:line="480" w:lineRule="auto"/>
        <w:ind w:firstLine="720"/>
        <w:jc w:val="both"/>
        <w:rPr>
          <w:rFonts w:cstheme="minorHAnsi"/>
          <w:shd w:val="clear" w:color="auto" w:fill="FFFFFF"/>
        </w:rPr>
      </w:pPr>
      <w:r w:rsidRPr="00B1522E">
        <w:rPr>
          <w:rFonts w:cstheme="minorHAnsi"/>
        </w:rPr>
        <w:t xml:space="preserve">To test hypothesis two, change scores values were calculated for each outcome variable (subtracting the outcome variable at Time 1 from the same outcome variable at Time 2 or 3) and correlations were conducted to explore the relationships between these values. A series of mediation analyses examined whether </w:t>
      </w:r>
      <w:r w:rsidRPr="00B1522E">
        <w:rPr>
          <w:rFonts w:cstheme="minorHAnsi"/>
          <w:shd w:val="clear" w:color="auto" w:fill="FFFFFF"/>
        </w:rPr>
        <w:t>changes in students’ personal unhealthy snacking behaviour or changes in students’ personal unhealthy snacking attitudes were mediated by changes in normative snacking-related misperceptions.</w:t>
      </w:r>
    </w:p>
    <w:p w14:paraId="76ACA3AB" w14:textId="77777777" w:rsidR="00C40591" w:rsidRPr="00B1522E" w:rsidRDefault="00C40591" w:rsidP="00C40591">
      <w:pPr>
        <w:spacing w:line="480" w:lineRule="auto"/>
        <w:ind w:firstLine="720"/>
        <w:jc w:val="both"/>
        <w:rPr>
          <w:rFonts w:cstheme="minorHAnsi"/>
          <w:shd w:val="clear" w:color="auto" w:fill="FFFFFF"/>
        </w:rPr>
      </w:pPr>
    </w:p>
    <w:bookmarkStart w:id="241" w:name="_Toc84678967"/>
    <w:p w14:paraId="1DCD43F1" w14:textId="791E495A" w:rsidR="0007405A" w:rsidRPr="00B1522E" w:rsidRDefault="00194138" w:rsidP="00C40591">
      <w:pPr>
        <w:spacing w:line="480" w:lineRule="auto"/>
        <w:rPr>
          <w:b/>
          <w:bCs/>
        </w:rPr>
      </w:pPr>
      <w:r w:rsidRPr="00B1522E">
        <w:fldChar w:fldCharType="begin"/>
      </w:r>
      <w:r w:rsidRPr="00B1522E">
        <w:instrText xml:space="preserve"> TC  "</w:instrText>
      </w:r>
      <w:bookmarkStart w:id="242" w:name="_Toc97310505"/>
      <w:r w:rsidRPr="00B1522E">
        <w:instrText>8.4 Result</w:instrText>
      </w:r>
      <w:bookmarkEnd w:id="242"/>
      <w:r w:rsidRPr="00B1522E">
        <w:instrText xml:space="preserve"> " \f x\l </w:instrText>
      </w:r>
      <w:r w:rsidR="004C4C97" w:rsidRPr="00B1522E">
        <w:instrText>2</w:instrText>
      </w:r>
      <w:r w:rsidRPr="00B1522E">
        <w:instrText xml:space="preserve"> </w:instrText>
      </w:r>
      <w:r w:rsidRPr="00B1522E">
        <w:fldChar w:fldCharType="end"/>
      </w:r>
      <w:r w:rsidR="004642E1" w:rsidRPr="00B1522E">
        <w:rPr>
          <w:b/>
          <w:bCs/>
        </w:rPr>
        <w:t>8.4 Results</w:t>
      </w:r>
      <w:bookmarkEnd w:id="241"/>
    </w:p>
    <w:bookmarkStart w:id="243" w:name="_Toc84678968"/>
    <w:p w14:paraId="5D868D70" w14:textId="38FB068A" w:rsidR="00B5501A" w:rsidRPr="00B1522E" w:rsidRDefault="00194138" w:rsidP="00C40591">
      <w:pPr>
        <w:spacing w:line="480" w:lineRule="auto"/>
      </w:pPr>
      <w:r w:rsidRPr="00B1522E">
        <w:fldChar w:fldCharType="begin"/>
      </w:r>
      <w:r w:rsidRPr="00B1522E">
        <w:instrText xml:space="preserve"> TC  "</w:instrText>
      </w:r>
      <w:bookmarkStart w:id="244" w:name="_Toc97310506"/>
      <w:r w:rsidRPr="00B1522E">
        <w:instrText>8.4.1 Data screening</w:instrText>
      </w:r>
      <w:bookmarkEnd w:id="244"/>
      <w:r w:rsidRPr="00B1522E">
        <w:instrText xml:space="preserve"> " \f x\l 3 </w:instrText>
      </w:r>
      <w:r w:rsidRPr="00B1522E">
        <w:fldChar w:fldCharType="end"/>
      </w:r>
      <w:r w:rsidR="004642E1" w:rsidRPr="00B1522E">
        <w:t>8.4.1 Data screening</w:t>
      </w:r>
      <w:bookmarkEnd w:id="243"/>
      <w:r w:rsidR="004642E1" w:rsidRPr="00B1522E">
        <w:t xml:space="preserve"> </w:t>
      </w:r>
    </w:p>
    <w:p w14:paraId="77C6A58F" w14:textId="2BAE097A" w:rsidR="00A6619F" w:rsidRPr="00B1522E" w:rsidRDefault="00A6619F" w:rsidP="00FA314F">
      <w:pPr>
        <w:spacing w:line="480" w:lineRule="auto"/>
        <w:jc w:val="both"/>
        <w:rPr>
          <w:rFonts w:cstheme="minorHAnsi"/>
        </w:rPr>
      </w:pPr>
      <w:r w:rsidRPr="00B1522E">
        <w:rPr>
          <w:rFonts w:cstheme="minorHAnsi"/>
        </w:rPr>
        <w:t>Data were screened to check for: sensible values; missing values; multivariate outliers; normal distribution of residuals; linear relationships between outcome measures and covariates in each condition; homogeneity of regression slope in each dependent variable for each ANCOVA; and for change scores values, equal variance between conditions, normal distribution and a linear relationship between values. There were a number of missing values observed across the data set. Missing values analysis (MVA) was conducted to understand whether there was a pattern to the missing data. Little’s missing value analysis was non-significant suggesting that data were missing completely at random (MCAR) (</w:t>
      </w:r>
      <m:oMath>
        <m:sSup>
          <m:sSupPr>
            <m:ctrlPr>
              <w:rPr>
                <w:rFonts w:ascii="Cambria Math" w:hAnsi="Cambria Math" w:cstheme="minorHAnsi"/>
                <w:i/>
                <w:iCs/>
              </w:rPr>
            </m:ctrlPr>
          </m:sSupPr>
          <m:e>
            <m:r>
              <w:rPr>
                <w:rFonts w:ascii="Cambria Math" w:hAnsi="Cambria Math" w:cstheme="minorHAnsi"/>
              </w:rPr>
              <m:t>x</m:t>
            </m:r>
          </m:e>
          <m:sup>
            <m:r>
              <w:rPr>
                <w:rFonts w:ascii="Cambria Math" w:hAnsi="Cambria Math" w:cstheme="minorHAnsi"/>
              </w:rPr>
              <m:t>2</m:t>
            </m:r>
          </m:sup>
        </m:sSup>
      </m:oMath>
      <w:r w:rsidRPr="00B1522E">
        <w:rPr>
          <w:rFonts w:cstheme="minorHAnsi"/>
        </w:rPr>
        <w:t xml:space="preserve"> = 15604.485,</w:t>
      </w:r>
      <w:r w:rsidRPr="00B1522E">
        <w:rPr>
          <w:rFonts w:cstheme="minorHAnsi"/>
          <w:i/>
          <w:iCs/>
        </w:rPr>
        <w:t xml:space="preserve"> p</w:t>
      </w:r>
      <w:r w:rsidRPr="00B1522E">
        <w:rPr>
          <w:rFonts w:cstheme="minorHAnsi"/>
        </w:rPr>
        <w:t xml:space="preserve"> = .307). Intention to treat (ITT) analysis was used to minimise bias in the sample and address the majority of the missing data. ITT analysis reduces bias as it gives a more </w:t>
      </w:r>
      <w:r w:rsidRPr="00B1522E">
        <w:rPr>
          <w:rFonts w:cstheme="minorHAnsi"/>
        </w:rPr>
        <w:lastRenderedPageBreak/>
        <w:t xml:space="preserve">realistic estimate of treatment effect, as once participants are allocated to a condition, removal of participants (because of drop-out or incomplete responses) could introduce bias and give a false impression of the reported outcomes </w:t>
      </w:r>
      <w:r w:rsidRPr="00B1522E">
        <w:rPr>
          <w:rFonts w:cstheme="minorHAnsi"/>
        </w:rPr>
        <w:fldChar w:fldCharType="begin" w:fldLock="1"/>
      </w:r>
      <w:r w:rsidR="00DF6CCC" w:rsidRPr="00B1522E">
        <w:rPr>
          <w:rFonts w:cstheme="minorHAnsi"/>
        </w:rPr>
        <w:instrText>ADDIN CSL_CITATION {"citationItems":[{"id":"ITEM-1","itemData":{"ISSN":"2005-6419","abstract":"Even in a well-designed and controlled study, missing data occurs in almost all research. Missing data can reduce the statistical power of a study and can produce biased estimates, leading to invalid conclusions. This manuscript reviews the problems and types of missing data, along with the techniques for handling missing data. The mechanisms by which missing data occurs are illustrated, and the methods for handling the missing data are discussed. The paper concludes with recommendations for the handling of missing data.","author":[{"dropping-particle":"","family":"Kang","given":"Hyun","non-dropping-particle":"","parse-names":false,"suffix":""}],"container-title":"Korean journal of anesthesiology","edition":"2013/05/24","id":"ITEM-1","issue":"5","issued":{"date-parts":[["2013","5"]]},"language":"eng","page":"402-406","publisher":"The Korean Society of Anesthesiologists","title":"The prevention and handling of the missing data","type":"article-journal","volume":"64"},"uris":["http://www.mendeley.com/documents/?uuid=47179d14-03ce-47c9-b081-275598db8ecc"]},{"id":"ITEM-2","itemData":{"abstract":"Objectives Intention to treat (ITT) is an analytic strategy for reducing potential bias in treatment effects arising from missing data in randomised controlled trials (RCTs). Currently, no universally accepted definition of ITT exists, although many researchers consider it to require either no attrition or a strategy to handle missing data. Using the reports of a large pool of RCTs, we examined discrepancies between the types of analyses that alcohol pharmacotherapy researchers stated they used versus those they actually used. We also examined the linkage between analytic strategy (ie, ITT or not) and how missing data on outcomes were handled (if at all), and whether data analytic and missing data strategies have changed over time. Design Descriptive statistics were generated for reported and actual data analytic strategy and for missing data strategy. In addition, generalised linear models determined changes over time in the use of ITT analyses and missing data strategies. Participants 165 RCTs of pharmacotherapy for alcohol use disorders. Results Of the 165 studies, 74 reported using an ITT strategy. However, less than 40% of the studies actually conducted ITT according to the rigorous definition above. Whereas no change in the use of ITT analyses over time was found, censored (last follow-up completed) and imputed missing data strategies have increased over time, while analyses of data only for the sample actually followed have decreased. Conclusions Discrepancies in reporting versus actually conducting ITT analyses were found in this body of RCTs. Lack of clarity regarding the missing data strategy used was common. Consensus on a definition of ITT is important for an adequate understanding of research findings. Clearer reporting standards for analyses and the handling of missing data in pharmacotherapy trials and other intervention studies are needed.","author":[{"dropping-particle":"","family":"Re","given":"A C","non-dropping-particle":"Del","parse-names":false,"suffix":""},{"dropping-particle":"","family":"Maisel","given":"Natalya C","non-dropping-particle":"","parse-names":false,"suffix":""},{"dropping-particle":"","family":"Blodgett","given":"Janet C","non-dropping-particle":"","parse-names":false,"suffix":""},{"dropping-particle":"","family":"Finney","given":"John W","non-dropping-particle":"","parse-names":false,"suffix":""}],"container-title":"BMJ Open","id":"ITEM-2","issue":"11","issued":{"date-parts":[["2013","11","1"]]},"page":"e003464","title":"Intention-to-treat analyses and missing data approaches in pharmacotherapy trials for alcohol use disorders","type":"article-journal","volume":"3"},"uris":["http://www.mendeley.com/documents/?uuid=dcc10c5d-fdac-4a55-9ddc-da959a97c4d5"]},{"id":"ITEM-3","itemData":{"ISSN":"2229-5488","abstract":"Randomized controlled trials often suffer from two major complications, i.e., noncompliance and missing outcomes. One potential solution to this problem is a statistical concept called intention-to-treat (ITT) analysis. ITT analysis includes every subject who is randomized according to randomized treatment assignment. It ignores noncompliance, protocol deviations, withdrawal, and anything that happens after randomization. ITT analysis maintains prognostic balance generated from the original random treatment allocation. In ITT analysis, estimate of treatment effect is generally conservative. A better application of the ITT approach is possible if complete outcome data are available for all randomized subjects. Per-protocol population is defined as a subset of the ITT population who completed the study without any major protocol violations.","author":[{"dropping-particle":"","family":"Gupta","given":"Sandeep K","non-dropping-particle":"","parse-names":false,"suffix":""}],"container-title":"Perspectives in clinical research","id":"ITEM-3","issue":"3","issued":{"date-parts":[["2011","7"]]},"language":"eng","page":"109-112","publisher":"Medknow Publications Pvt Ltd","title":"Intention-to-treat concept: A review","type":"article-journal","volume":"2"},"uris":["http://www.mendeley.com/documents/?uuid=42a62b9c-e166-46b1-9470-a20972ab5bfd"]}],"mendeley":{"formattedCitation":"(Del Re et al., 2013; S. K. Gupta, 2011; Kang, 2013)","manualFormatting":"(Del Re et al., 2013; Gupta, 2011; Kang, 2013)","plainTextFormattedCitation":"(Del Re et al., 2013; S. K. Gupta, 2011; Kang, 2013)","previouslyFormattedCitation":"(Del Re et al., 2013; S. K. Gupta, 2011; Kang, 2013)"},"properties":{"noteIndex":0},"schema":"https://github.com/citation-style-language/schema/raw/master/csl-citation.json"}</w:instrText>
      </w:r>
      <w:r w:rsidRPr="00B1522E">
        <w:rPr>
          <w:rFonts w:cstheme="minorHAnsi"/>
        </w:rPr>
        <w:fldChar w:fldCharType="separate"/>
      </w:r>
      <w:r w:rsidR="00343218" w:rsidRPr="00B1522E">
        <w:rPr>
          <w:rFonts w:cstheme="minorHAnsi"/>
          <w:noProof/>
        </w:rPr>
        <w:t>(Del Re et al., 2013; Gupta, 2011; Kang, 2013)</w:t>
      </w:r>
      <w:r w:rsidRPr="00B1522E">
        <w:rPr>
          <w:rFonts w:cstheme="minorHAnsi"/>
        </w:rPr>
        <w:fldChar w:fldCharType="end"/>
      </w:r>
      <w:r w:rsidRPr="00B1522E">
        <w:rPr>
          <w:rFonts w:cstheme="minorHAnsi"/>
        </w:rPr>
        <w:t xml:space="preserve">. Missing data post-intervention (Time 2) were replaced with baseline values (Time 1) (last observation carried forward: LOCF) and missing data at 3-month follow-up (Time 3) were also replaced with baseline values (Time 1) (baseline observation carried forward: BOCF).  </w:t>
      </w:r>
    </w:p>
    <w:p w14:paraId="1ACA5916" w14:textId="77777777" w:rsidR="00A6619F" w:rsidRPr="00B1522E" w:rsidRDefault="00A6619F" w:rsidP="00A6619F">
      <w:pPr>
        <w:spacing w:line="480" w:lineRule="auto"/>
        <w:ind w:firstLine="720"/>
        <w:jc w:val="both"/>
        <w:rPr>
          <w:rFonts w:cstheme="minorHAnsi"/>
        </w:rPr>
      </w:pPr>
      <w:r w:rsidRPr="00B1522E">
        <w:rPr>
          <w:rFonts w:cstheme="minorHAnsi"/>
        </w:rPr>
        <w:t xml:space="preserve">Following the ITT analysis, twelve multivariate outliers were identified (using scatter plots of Cook’s Distance and Uncentered Leverage value for each outcome measure). After further investigation of individual cases, two multivariate outliers (one case from each condition) were removed; their individual response patterns demonstrated systematic reporting of extreme scores across variables and at more than one timepoint, indicating that these participants may have either misunderstood or were not attending to question content (Leys et al., 2018). </w:t>
      </w:r>
    </w:p>
    <w:p w14:paraId="5FC85777" w14:textId="5D8742BF" w:rsidR="00A6619F" w:rsidRPr="00B1522E" w:rsidRDefault="00A6619F" w:rsidP="00A6619F">
      <w:pPr>
        <w:spacing w:line="480" w:lineRule="auto"/>
        <w:ind w:firstLine="720"/>
        <w:jc w:val="both"/>
      </w:pPr>
      <w:r w:rsidRPr="00B1522E">
        <w:t xml:space="preserve">The residuals for each analysis were found to be normally distributed and there was a linear relationship between outcome measures and covariates in both the intervention and control conditions, fulfilling the assumptions for ANCOVA. Three of the primary outcome analyses (Time 2 personal unhealthy snacking; Time 3 personal unhealthy snacking; and Time 3 misperception of peers’ attitude towards fewer unhealthy snacks) were found to have heterogeneity of regression slope.  Therefore a one-way between-subjects Analysis of Covariance with Heterogeneity (ANCOHET) was conducted </w:t>
      </w:r>
      <w:r w:rsidRPr="00B1522E">
        <w:fldChar w:fldCharType="begin" w:fldLock="1"/>
      </w:r>
      <w:r w:rsidRPr="00B1522E">
        <w:instrText>ADDIN CSL_CITATION {"citationItems":[{"id":"ITEM-1","itemData":{"ISBN":"1315398133","author":[{"dropping-particle":"","family":"Clark-Carter","given":"David","non-dropping-particle":"","parse-names":false,"suffix":""}],"edition":"4","id":"ITEM-1","issued":{"date-parts":[["2018"]]},"publisher":"Routledge","publisher-place":"Oxford","title":"Quantitative psychological research: The complete student's companion","type":"book"},"uris":["http://www.mendeley.com/documents/?uuid=f5b38bb5-f542-4aa0-bb14-11142db55002"]}],"mendeley":{"formattedCitation":"(Clark-Carter, 2018)","plainTextFormattedCitation":"(Clark-Carter, 2018)","previouslyFormattedCitation":"(Clark-Carter, 2018)"},"properties":{"noteIndex":0},"schema":"https://github.com/citation-style-language/schema/raw/master/csl-citation.json"}</w:instrText>
      </w:r>
      <w:r w:rsidRPr="00B1522E">
        <w:fldChar w:fldCharType="separate"/>
      </w:r>
      <w:r w:rsidRPr="00B1522E">
        <w:rPr>
          <w:noProof/>
        </w:rPr>
        <w:t>(Clark-Carter, 2018)</w:t>
      </w:r>
      <w:r w:rsidRPr="00B1522E">
        <w:fldChar w:fldCharType="end"/>
      </w:r>
      <w:r w:rsidRPr="00B1522E">
        <w:t xml:space="preserve">, in order to conduct an analysis of covariance whilst taking into account the heterogeneity of regression slope </w:t>
      </w:r>
      <w:r w:rsidRPr="00B1522E">
        <w:fldChar w:fldCharType="begin" w:fldLock="1"/>
      </w:r>
      <w:r w:rsidR="00DF6CCC" w:rsidRPr="00B1522E">
        <w:instrText>ADDIN CSL_CITATION {"citationItems":[{"id":"ITEM-1","itemData":{"ISBN":"1315642956","author":[{"dropping-particle":"","family":"Maxwell","given":"Scott E","non-dropping-particle":"","parse-names":false,"suffix":""},{"dropping-particle":"","family":"Delaney","given":"Harold D","non-dropping-particle":"","parse-names":false,"suffix":""},{"dropping-particle":"","family":"Kelley","given":"Ken","non-dropping-particle":"","parse-names":false,"suffix":""}],"id":"ITEM-1","issued":{"date-parts":[["2017"]]},"publisher":"Routledge","title":"Designing experiments and analyzing data: A model comparison perspective","type":"book"},"uris":["http://www.mendeley.com/documents/?uuid=6f3f773a-c3f0-40a2-ac2c-d2501c133113"]}],"mendeley":{"formattedCitation":"(Maxwell et al., 2017)","plainTextFormattedCitation":"(Maxwell et al., 2017)","previouslyFormattedCitation":"(Maxwell et al., 2017)"},"properties":{"noteIndex":0},"schema":"https://github.com/citation-style-language/schema/raw/master/csl-citation.json"}</w:instrText>
      </w:r>
      <w:r w:rsidRPr="00B1522E">
        <w:fldChar w:fldCharType="separate"/>
      </w:r>
      <w:r w:rsidR="004B7FAF" w:rsidRPr="00B1522E">
        <w:rPr>
          <w:noProof/>
        </w:rPr>
        <w:t>(Maxwell et al., 2017)</w:t>
      </w:r>
      <w:r w:rsidRPr="00B1522E">
        <w:fldChar w:fldCharType="end"/>
      </w:r>
      <w:r w:rsidRPr="00B1522E">
        <w:t xml:space="preserve">. Lastly, the change scores were found to have equal variance between conditions, were normally distributed, and had a linear relationship between values, fulfilling the assumptions for Pearson’s and </w:t>
      </w:r>
      <w:r w:rsidRPr="00B1522E">
        <w:rPr>
          <w:shd w:val="clear" w:color="auto" w:fill="FFFFFF"/>
        </w:rPr>
        <w:t>Point-Biserial</w:t>
      </w:r>
      <w:r w:rsidRPr="00B1522E">
        <w:t xml:space="preserve"> correlation.</w:t>
      </w:r>
    </w:p>
    <w:p w14:paraId="6E44D839" w14:textId="77777777" w:rsidR="004642E1" w:rsidRPr="00B1522E" w:rsidRDefault="004642E1" w:rsidP="004A1B1E">
      <w:pPr>
        <w:pStyle w:val="Heading2"/>
        <w:rPr>
          <w:rFonts w:asciiTheme="minorHAnsi" w:hAnsiTheme="minorHAnsi" w:cstheme="minorHAnsi"/>
        </w:rPr>
      </w:pPr>
    </w:p>
    <w:bookmarkStart w:id="245" w:name="_Toc84678969"/>
    <w:p w14:paraId="4B832A8F" w14:textId="35F878FF" w:rsidR="00794B55" w:rsidRPr="00B1522E" w:rsidRDefault="00194138" w:rsidP="00FA314F">
      <w:pPr>
        <w:spacing w:line="480" w:lineRule="auto"/>
      </w:pPr>
      <w:r w:rsidRPr="00B1522E">
        <w:fldChar w:fldCharType="begin"/>
      </w:r>
      <w:r w:rsidRPr="00B1522E">
        <w:instrText xml:space="preserve"> TC  "</w:instrText>
      </w:r>
      <w:bookmarkStart w:id="246" w:name="_Toc97310507"/>
      <w:r w:rsidRPr="00B1522E">
        <w:instrText>8.4.2 Baseline differences</w:instrText>
      </w:r>
      <w:bookmarkEnd w:id="246"/>
      <w:r w:rsidRPr="00B1522E">
        <w:instrText xml:space="preserve"> " \f x\l 3 </w:instrText>
      </w:r>
      <w:r w:rsidRPr="00B1522E">
        <w:fldChar w:fldCharType="end"/>
      </w:r>
      <w:r w:rsidRPr="00B1522E">
        <w:t xml:space="preserve"> </w:t>
      </w:r>
      <w:r w:rsidR="004642E1" w:rsidRPr="00B1522E">
        <w:t>8.4.2 Baseline differences</w:t>
      </w:r>
      <w:bookmarkEnd w:id="245"/>
      <w:r w:rsidR="004642E1" w:rsidRPr="00B1522E">
        <w:t xml:space="preserve"> </w:t>
      </w:r>
    </w:p>
    <w:p w14:paraId="5D2E8FA0" w14:textId="7DED706D" w:rsidR="00794B55" w:rsidRPr="00B1522E" w:rsidRDefault="00794B55" w:rsidP="00FA314F">
      <w:pPr>
        <w:spacing w:line="480" w:lineRule="auto"/>
        <w:jc w:val="both"/>
        <w:rPr>
          <w:shd w:val="clear" w:color="auto" w:fill="FFFFFF"/>
        </w:rPr>
      </w:pPr>
      <w:r w:rsidRPr="00B1522E">
        <w:lastRenderedPageBreak/>
        <w:t>The means indicate that at baseline, students in the SNA feedback condition on average reported consuming slightly more unhealthy snack portions per week compared to the control condition. Students’ attitudes towards unhealthy snacking were not dissimilar between the two conditions at baseline (Table 1</w:t>
      </w:r>
      <w:r w:rsidR="004373BD" w:rsidRPr="00B1522E">
        <w:t>7</w:t>
      </w:r>
      <w:r w:rsidRPr="00B1522E">
        <w:t>).</w:t>
      </w:r>
      <w:r w:rsidRPr="00B1522E">
        <w:rPr>
          <w:shd w:val="clear" w:color="auto" w:fill="FFFFFF"/>
        </w:rPr>
        <w:t xml:space="preserve"> </w:t>
      </w:r>
      <w:r w:rsidRPr="00B1522E">
        <w:t>Baseline measures indicate that students in the SNA feedback condition overestimated peers’ weekly unhealthy snack consumption, on average, by 23.50 portions per week (approx. daily overestimation of 3.4 portions) above the reported group norm, and students in the control condition, on average, overestimated peers’ weekly consumption by 16.85 portions per week (approx. daily overestimation of 2.4 portions) above the reported group norm. At baseline, 72% of students in the SNA condition and 77% of students in the control condition overestimated peers’ weekly unhealthy snacking consumption above the reported group norm for the respective school (28% in the SNA condition and 21% in the control underestimated peers’ weekly unhealthy snacking consumption below the group norm). The means indicated that students in both conditions, at baseline, perceived peers to have more positive attitudes towards consuming unhealthy snacks than the reported group norm,</w:t>
      </w:r>
      <w:r w:rsidRPr="00B1522E">
        <w:rPr>
          <w:i/>
          <w:iCs/>
        </w:rPr>
        <w:t xml:space="preserve"> </w:t>
      </w:r>
      <w:r w:rsidRPr="00B1522E">
        <w:t>and perceived peers to have more negative attitudes towards reducing unhealthy snacking than the reported group norm (Table 1</w:t>
      </w:r>
      <w:r w:rsidR="00C702D1" w:rsidRPr="00B1522E">
        <w:t>7</w:t>
      </w:r>
      <w:r w:rsidRPr="00B1522E">
        <w:t>).</w:t>
      </w:r>
    </w:p>
    <w:p w14:paraId="7F40D104" w14:textId="77777777" w:rsidR="004642E1" w:rsidRPr="00B1522E" w:rsidRDefault="004642E1" w:rsidP="004642E1">
      <w:pPr>
        <w:spacing w:line="480" w:lineRule="auto"/>
        <w:jc w:val="both"/>
        <w:rPr>
          <w:rFonts w:cstheme="minorHAnsi"/>
        </w:rPr>
      </w:pPr>
    </w:p>
    <w:bookmarkStart w:id="247" w:name="_Toc84678970"/>
    <w:p w14:paraId="03F24DE3" w14:textId="38015812" w:rsidR="007B663D" w:rsidRPr="00B1522E" w:rsidRDefault="00194138" w:rsidP="00FA314F">
      <w:pPr>
        <w:spacing w:line="480" w:lineRule="auto"/>
      </w:pPr>
      <w:r w:rsidRPr="00B1522E">
        <w:fldChar w:fldCharType="begin"/>
      </w:r>
      <w:r w:rsidRPr="00B1522E">
        <w:instrText xml:space="preserve"> TC  "</w:instrText>
      </w:r>
      <w:bookmarkStart w:id="248" w:name="_Toc97310508"/>
      <w:r w:rsidRPr="00B1522E">
        <w:instrText>8.4.3 Intervention outcomes post-intervention (Time 2)</w:instrText>
      </w:r>
      <w:bookmarkEnd w:id="248"/>
      <w:r w:rsidRPr="00B1522E">
        <w:instrText xml:space="preserve"> " \f x\l 3 </w:instrText>
      </w:r>
      <w:r w:rsidRPr="00B1522E">
        <w:fldChar w:fldCharType="end"/>
      </w:r>
      <w:r w:rsidR="004642E1" w:rsidRPr="00B1522E">
        <w:t xml:space="preserve">8.4.3 </w:t>
      </w:r>
      <w:r w:rsidR="001C759B" w:rsidRPr="00B1522E">
        <w:t>O</w:t>
      </w:r>
      <w:r w:rsidR="004642E1" w:rsidRPr="00B1522E">
        <w:t>utcomes post-intervention (Time 2)</w:t>
      </w:r>
      <w:bookmarkEnd w:id="247"/>
    </w:p>
    <w:p w14:paraId="05FA2775" w14:textId="2DC5B028" w:rsidR="007B663D" w:rsidRPr="00B1522E" w:rsidRDefault="007B663D" w:rsidP="00FA314F">
      <w:pPr>
        <w:spacing w:line="480" w:lineRule="auto"/>
        <w:jc w:val="both"/>
      </w:pPr>
      <w:r w:rsidRPr="00B1522E">
        <w:t>Table 1</w:t>
      </w:r>
      <w:r w:rsidR="00C702D1" w:rsidRPr="00B1522E">
        <w:t>7</w:t>
      </w:r>
      <w:r w:rsidRPr="00B1522E">
        <w:t xml:space="preserve"> presents the outcomes of individual ANCOVA/ANCOHET analyses for the seven outcome variables at Time 2 with the baseline scores treated as the covariate. At Time 2, the analyses showed significant differences in misperceptions of peers’ attitudes towards unhealthy snacking between the intervention and control conditions. Students who received SNA feedback had significantly more accurate perceptions of peers’ attitude towards unhealthy snacking (M = .12 SE = .1</w:t>
      </w:r>
      <w:r w:rsidR="00D74FC5" w:rsidRPr="00B1522E">
        <w:t>3</w:t>
      </w:r>
      <w:r w:rsidRPr="00B1522E">
        <w:t>) compared to students in the control condition (M = 1.20, SE = .2</w:t>
      </w:r>
      <w:r w:rsidR="00D74FC5" w:rsidRPr="00B1522E">
        <w:t>2</w:t>
      </w:r>
      <w:r w:rsidRPr="00B1522E">
        <w:t xml:space="preserve">), </w:t>
      </w:r>
      <w:r w:rsidRPr="00B1522E">
        <w:rPr>
          <w:i/>
          <w:iCs/>
        </w:rPr>
        <w:t>F</w:t>
      </w:r>
      <w:r w:rsidRPr="00B1522E">
        <w:t xml:space="preserve">(1, 232) = 16.405, </w:t>
      </w:r>
      <w:r w:rsidRPr="00B1522E">
        <w:rPr>
          <w:i/>
          <w:iCs/>
        </w:rPr>
        <w:t>p</w:t>
      </w:r>
      <w:r w:rsidRPr="00B1522E">
        <w:t xml:space="preserve"> &lt; .001, </w:t>
      </w:r>
      <w:r w:rsidRPr="00B1522E">
        <w:rPr>
          <w:rStyle w:val="Emphasis"/>
        </w:rPr>
        <w:t>η</w:t>
      </w:r>
      <w:r w:rsidRPr="00B1522E">
        <w:rPr>
          <w:rStyle w:val="mi"/>
          <w:bdr w:val="none" w:sz="0" w:space="0" w:color="auto" w:frame="1"/>
          <w:vertAlign w:val="superscript"/>
        </w:rPr>
        <w:t>2</w:t>
      </w:r>
      <w:r w:rsidRPr="00B1522E">
        <w:rPr>
          <w:rStyle w:val="mi"/>
          <w:bdr w:val="none" w:sz="0" w:space="0" w:color="auto" w:frame="1"/>
        </w:rPr>
        <w:t xml:space="preserve"> =.059</w:t>
      </w:r>
      <w:r w:rsidRPr="00B1522E">
        <w:rPr>
          <w:i/>
          <w:iCs/>
        </w:rPr>
        <w:t xml:space="preserve"> </w:t>
      </w:r>
      <w:r w:rsidRPr="00B1522E">
        <w:t>(Table 1</w:t>
      </w:r>
      <w:r w:rsidR="00C702D1" w:rsidRPr="00B1522E">
        <w:t>7</w:t>
      </w:r>
      <w:r w:rsidRPr="00B1522E">
        <w:t>). There were no other significant e</w:t>
      </w:r>
      <w:r w:rsidRPr="00B1522E">
        <w:rPr>
          <w:shd w:val="clear" w:color="auto" w:fill="FFFFFF"/>
        </w:rPr>
        <w:t>ffects observed</w:t>
      </w:r>
      <w:r w:rsidRPr="00B1522E">
        <w:t xml:space="preserve"> immediately p</w:t>
      </w:r>
      <w:r w:rsidRPr="00B1522E">
        <w:rPr>
          <w:shd w:val="clear" w:color="auto" w:fill="FFFFFF"/>
        </w:rPr>
        <w:t xml:space="preserve">ost-intervention </w:t>
      </w:r>
      <w:r w:rsidRPr="00B1522E">
        <w:t xml:space="preserve">(Time 2).  </w:t>
      </w:r>
    </w:p>
    <w:p w14:paraId="5793EA92" w14:textId="77777777" w:rsidR="004642E1" w:rsidRPr="00B1522E" w:rsidRDefault="004642E1" w:rsidP="004642E1">
      <w:pPr>
        <w:spacing w:line="480" w:lineRule="auto"/>
        <w:jc w:val="center"/>
        <w:rPr>
          <w:rFonts w:cstheme="minorHAnsi"/>
        </w:rPr>
        <w:sectPr w:rsidR="004642E1" w:rsidRPr="00B1522E" w:rsidSect="007043D1">
          <w:footerReference w:type="default" r:id="rId35"/>
          <w:pgSz w:w="11906" w:h="16838"/>
          <w:pgMar w:top="1440" w:right="1440" w:bottom="1440" w:left="1440" w:header="708" w:footer="708" w:gutter="0"/>
          <w:cols w:space="708"/>
          <w:docGrid w:linePitch="360"/>
        </w:sectPr>
      </w:pPr>
    </w:p>
    <w:p w14:paraId="609AD7C7" w14:textId="31177684" w:rsidR="004642E1" w:rsidRPr="00B1522E" w:rsidRDefault="004B7E33" w:rsidP="004642E1">
      <w:pPr>
        <w:pStyle w:val="Caption"/>
        <w:keepNext/>
        <w:rPr>
          <w:i w:val="0"/>
          <w:iCs w:val="0"/>
          <w:color w:val="auto"/>
          <w:sz w:val="22"/>
          <w:szCs w:val="22"/>
        </w:rPr>
      </w:pPr>
      <w:r w:rsidRPr="00B1522E">
        <w:rPr>
          <w:b/>
          <w:bCs/>
          <w:i w:val="0"/>
          <w:iCs w:val="0"/>
          <w:color w:val="auto"/>
          <w:sz w:val="22"/>
          <w:szCs w:val="22"/>
        </w:rPr>
        <w:lastRenderedPageBreak/>
        <w:fldChar w:fldCharType="begin"/>
      </w:r>
      <w:r w:rsidRPr="00B1522E">
        <w:rPr>
          <w:b/>
          <w:bCs/>
          <w:i w:val="0"/>
          <w:iCs w:val="0"/>
          <w:color w:val="auto"/>
          <w:sz w:val="22"/>
          <w:szCs w:val="22"/>
        </w:rPr>
        <w:instrText xml:space="preserve"> TC  "</w:instrText>
      </w:r>
      <w:r w:rsidRPr="00B1522E">
        <w:rPr>
          <w:i w:val="0"/>
          <w:iCs w:val="0"/>
          <w:color w:val="auto"/>
          <w:sz w:val="22"/>
          <w:szCs w:val="22"/>
        </w:rPr>
        <w:instrText xml:space="preserve"> </w:instrText>
      </w:r>
      <w:bookmarkStart w:id="249" w:name="_Toc97557140"/>
      <w:r w:rsidRPr="00B1522E">
        <w:rPr>
          <w:i w:val="0"/>
          <w:iCs w:val="0"/>
          <w:color w:val="auto"/>
          <w:sz w:val="22"/>
          <w:szCs w:val="22"/>
        </w:rPr>
        <w:instrText xml:space="preserve">Table </w:instrText>
      </w:r>
      <w:r w:rsidR="003A4E9D" w:rsidRPr="00B1522E">
        <w:rPr>
          <w:i w:val="0"/>
          <w:iCs w:val="0"/>
          <w:color w:val="auto"/>
          <w:sz w:val="22"/>
          <w:szCs w:val="22"/>
        </w:rPr>
        <w:instrText>1</w:instrText>
      </w:r>
      <w:r w:rsidR="00C207DC" w:rsidRPr="00B1522E">
        <w:rPr>
          <w:i w:val="0"/>
          <w:iCs w:val="0"/>
          <w:color w:val="auto"/>
          <w:sz w:val="22"/>
          <w:szCs w:val="22"/>
        </w:rPr>
        <w:instrText>7</w:instrText>
      </w:r>
      <w:r w:rsidRPr="00B1522E">
        <w:rPr>
          <w:i w:val="0"/>
          <w:iCs w:val="0"/>
          <w:color w:val="auto"/>
          <w:sz w:val="22"/>
          <w:szCs w:val="22"/>
        </w:rPr>
        <w:instrText>. Shows results of the ANCOVA/ANCOHET with adjusted means, standard errors and confidence intervals for each of the outcome variables for the post-intervention data (Time 2)</w:instrText>
      </w:r>
      <w:bookmarkEnd w:id="249"/>
      <w:r w:rsidR="00F53D82" w:rsidRPr="00B1522E">
        <w:rPr>
          <w:i w:val="0"/>
          <w:iCs w:val="0"/>
          <w:color w:val="auto"/>
          <w:sz w:val="22"/>
          <w:szCs w:val="22"/>
        </w:rPr>
        <w:instrText>”</w:instrText>
      </w:r>
      <w:r w:rsidRPr="00B1522E">
        <w:rPr>
          <w:i w:val="0"/>
          <w:iCs w:val="0"/>
          <w:color w:val="auto"/>
          <w:sz w:val="22"/>
          <w:szCs w:val="22"/>
        </w:rPr>
        <w:instrText>.</w:instrText>
      </w:r>
      <w:r w:rsidRPr="00B1522E">
        <w:rPr>
          <w:b/>
          <w:bCs/>
          <w:i w:val="0"/>
          <w:iCs w:val="0"/>
          <w:color w:val="auto"/>
          <w:sz w:val="22"/>
          <w:szCs w:val="22"/>
        </w:rPr>
        <w:instrText xml:space="preserve">\f z\l 2 </w:instrText>
      </w:r>
      <w:r w:rsidRPr="00B1522E">
        <w:rPr>
          <w:b/>
          <w:bCs/>
          <w:i w:val="0"/>
          <w:iCs w:val="0"/>
          <w:color w:val="auto"/>
          <w:sz w:val="22"/>
          <w:szCs w:val="22"/>
        </w:rPr>
        <w:fldChar w:fldCharType="end"/>
      </w:r>
      <w:r w:rsidR="004642E1" w:rsidRPr="00B1522E">
        <w:rPr>
          <w:i w:val="0"/>
          <w:iCs w:val="0"/>
          <w:color w:val="auto"/>
          <w:sz w:val="22"/>
          <w:szCs w:val="22"/>
        </w:rPr>
        <w:t xml:space="preserve">Table </w:t>
      </w:r>
      <w:r w:rsidR="003A4E9D" w:rsidRPr="00B1522E">
        <w:rPr>
          <w:i w:val="0"/>
          <w:iCs w:val="0"/>
          <w:color w:val="auto"/>
          <w:sz w:val="22"/>
          <w:szCs w:val="22"/>
        </w:rPr>
        <w:t>1</w:t>
      </w:r>
      <w:r w:rsidR="00C24220" w:rsidRPr="00B1522E">
        <w:rPr>
          <w:i w:val="0"/>
          <w:iCs w:val="0"/>
          <w:color w:val="auto"/>
          <w:sz w:val="22"/>
          <w:szCs w:val="22"/>
        </w:rPr>
        <w:t>7</w:t>
      </w:r>
      <w:r w:rsidR="006A3DB5" w:rsidRPr="00B1522E">
        <w:rPr>
          <w:i w:val="0"/>
          <w:iCs w:val="0"/>
          <w:color w:val="auto"/>
          <w:sz w:val="22"/>
          <w:szCs w:val="22"/>
        </w:rPr>
        <w:t>.</w:t>
      </w:r>
      <w:r w:rsidR="004642E1" w:rsidRPr="00B1522E">
        <w:rPr>
          <w:i w:val="0"/>
          <w:iCs w:val="0"/>
          <w:color w:val="auto"/>
          <w:sz w:val="22"/>
          <w:szCs w:val="22"/>
        </w:rPr>
        <w:t xml:space="preserve"> Shows results of the ANCOVA/ANCOHET with adjusted means, standard errors and confidence intervals for each of the outcome variables for the post-intervention data (Time 2).</w:t>
      </w:r>
    </w:p>
    <w:tbl>
      <w:tblPr>
        <w:tblStyle w:val="TableGrid"/>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1044"/>
        <w:gridCol w:w="1045"/>
        <w:gridCol w:w="1030"/>
        <w:gridCol w:w="15"/>
        <w:gridCol w:w="693"/>
        <w:gridCol w:w="1050"/>
        <w:gridCol w:w="1050"/>
        <w:gridCol w:w="1019"/>
        <w:gridCol w:w="878"/>
        <w:gridCol w:w="878"/>
        <w:gridCol w:w="878"/>
        <w:gridCol w:w="910"/>
      </w:tblGrid>
      <w:tr w:rsidR="00E77769" w:rsidRPr="00B1522E" w14:paraId="357E4699" w14:textId="77777777" w:rsidTr="00DD38D3">
        <w:trPr>
          <w:trHeight w:val="563"/>
        </w:trPr>
        <w:tc>
          <w:tcPr>
            <w:tcW w:w="2268" w:type="dxa"/>
            <w:tcBorders>
              <w:top w:val="single" w:sz="4" w:space="0" w:color="auto"/>
            </w:tcBorders>
          </w:tcPr>
          <w:p w14:paraId="0881564D" w14:textId="77777777" w:rsidR="00FC0C6B" w:rsidRPr="00B1522E" w:rsidRDefault="00FC0C6B" w:rsidP="00DD38D3">
            <w:pPr>
              <w:jc w:val="center"/>
            </w:pPr>
          </w:p>
        </w:tc>
        <w:tc>
          <w:tcPr>
            <w:tcW w:w="3828" w:type="dxa"/>
            <w:gridSpan w:val="4"/>
            <w:tcBorders>
              <w:top w:val="single" w:sz="4" w:space="0" w:color="auto"/>
              <w:bottom w:val="single" w:sz="4" w:space="0" w:color="auto"/>
            </w:tcBorders>
            <w:vAlign w:val="center"/>
          </w:tcPr>
          <w:p w14:paraId="64D884F6" w14:textId="77777777" w:rsidR="00FC0C6B" w:rsidRPr="00B1522E" w:rsidRDefault="00FC0C6B" w:rsidP="00DD38D3">
            <w:pPr>
              <w:jc w:val="center"/>
            </w:pPr>
            <w:r w:rsidRPr="00B1522E">
              <w:t>SNA feedback</w:t>
            </w:r>
          </w:p>
        </w:tc>
        <w:tc>
          <w:tcPr>
            <w:tcW w:w="3827" w:type="dxa"/>
            <w:gridSpan w:val="5"/>
            <w:tcBorders>
              <w:top w:val="single" w:sz="4" w:space="0" w:color="auto"/>
              <w:bottom w:val="single" w:sz="4" w:space="0" w:color="auto"/>
            </w:tcBorders>
            <w:vAlign w:val="center"/>
          </w:tcPr>
          <w:p w14:paraId="6171CC06" w14:textId="77777777" w:rsidR="00FC0C6B" w:rsidRPr="00B1522E" w:rsidRDefault="00FC0C6B" w:rsidP="00DD38D3">
            <w:pPr>
              <w:jc w:val="center"/>
            </w:pPr>
            <w:r w:rsidRPr="00B1522E">
              <w:t>Control</w:t>
            </w:r>
          </w:p>
        </w:tc>
        <w:tc>
          <w:tcPr>
            <w:tcW w:w="3544" w:type="dxa"/>
            <w:gridSpan w:val="4"/>
            <w:tcBorders>
              <w:top w:val="single" w:sz="4" w:space="0" w:color="auto"/>
              <w:bottom w:val="single" w:sz="4" w:space="0" w:color="auto"/>
            </w:tcBorders>
            <w:vAlign w:val="center"/>
          </w:tcPr>
          <w:p w14:paraId="65ACE947" w14:textId="77777777" w:rsidR="00FC0C6B" w:rsidRPr="00B1522E" w:rsidRDefault="00FC0C6B" w:rsidP="00DD38D3">
            <w:pPr>
              <w:jc w:val="center"/>
            </w:pPr>
            <w:r w:rsidRPr="00B1522E">
              <w:t>ANCOVA/ANCOHET</w:t>
            </w:r>
          </w:p>
        </w:tc>
      </w:tr>
      <w:tr w:rsidR="00E77769" w:rsidRPr="00B1522E" w14:paraId="351A8C45" w14:textId="77777777" w:rsidTr="00DD38D3">
        <w:trPr>
          <w:trHeight w:val="1114"/>
        </w:trPr>
        <w:tc>
          <w:tcPr>
            <w:tcW w:w="2268" w:type="dxa"/>
            <w:tcBorders>
              <w:bottom w:val="single" w:sz="4" w:space="0" w:color="auto"/>
            </w:tcBorders>
          </w:tcPr>
          <w:p w14:paraId="48673472" w14:textId="77777777" w:rsidR="00FC0C6B" w:rsidRPr="00B1522E" w:rsidRDefault="00FC0C6B" w:rsidP="00DD38D3">
            <w:pPr>
              <w:rPr>
                <w:rFonts w:cstheme="minorHAnsi"/>
              </w:rPr>
            </w:pPr>
          </w:p>
        </w:tc>
        <w:tc>
          <w:tcPr>
            <w:tcW w:w="709" w:type="dxa"/>
            <w:tcBorders>
              <w:top w:val="single" w:sz="4" w:space="0" w:color="auto"/>
              <w:bottom w:val="single" w:sz="4" w:space="0" w:color="auto"/>
            </w:tcBorders>
            <w:vAlign w:val="center"/>
          </w:tcPr>
          <w:p w14:paraId="3A53E397" w14:textId="77777777" w:rsidR="00FC0C6B" w:rsidRPr="00B1522E" w:rsidRDefault="00FC0C6B" w:rsidP="00DD38D3">
            <w:pPr>
              <w:jc w:val="center"/>
              <w:rPr>
                <w:rFonts w:cstheme="minorHAnsi"/>
              </w:rPr>
            </w:pPr>
            <w:r w:rsidRPr="00B1522E">
              <w:rPr>
                <w:rFonts w:cstheme="minorHAnsi"/>
              </w:rPr>
              <w:t>N</w:t>
            </w:r>
          </w:p>
        </w:tc>
        <w:tc>
          <w:tcPr>
            <w:tcW w:w="1044" w:type="dxa"/>
            <w:tcBorders>
              <w:top w:val="single" w:sz="4" w:space="0" w:color="auto"/>
              <w:bottom w:val="single" w:sz="4" w:space="0" w:color="auto"/>
            </w:tcBorders>
            <w:vAlign w:val="center"/>
          </w:tcPr>
          <w:p w14:paraId="3F4EDA18" w14:textId="77777777" w:rsidR="00FC0C6B" w:rsidRPr="00B1522E" w:rsidRDefault="00FC0C6B" w:rsidP="00DD38D3">
            <w:pPr>
              <w:jc w:val="center"/>
              <w:rPr>
                <w:rFonts w:cstheme="minorHAnsi"/>
              </w:rPr>
            </w:pPr>
            <w:r w:rsidRPr="00B1522E">
              <w:rPr>
                <w:rFonts w:cstheme="minorHAnsi"/>
              </w:rPr>
              <w:t>Baseline mean</w:t>
            </w:r>
          </w:p>
        </w:tc>
        <w:tc>
          <w:tcPr>
            <w:tcW w:w="1045" w:type="dxa"/>
            <w:tcBorders>
              <w:top w:val="single" w:sz="4" w:space="0" w:color="auto"/>
              <w:bottom w:val="single" w:sz="4" w:space="0" w:color="auto"/>
            </w:tcBorders>
            <w:vAlign w:val="center"/>
          </w:tcPr>
          <w:p w14:paraId="4F119413" w14:textId="77777777" w:rsidR="00FC0C6B" w:rsidRPr="00B1522E" w:rsidRDefault="00FC0C6B" w:rsidP="00DD38D3">
            <w:pPr>
              <w:jc w:val="center"/>
              <w:rPr>
                <w:rFonts w:cstheme="minorHAnsi"/>
              </w:rPr>
            </w:pPr>
            <w:r w:rsidRPr="00B1522E">
              <w:rPr>
                <w:rFonts w:cstheme="minorHAnsi"/>
              </w:rPr>
              <w:t>Follow-up adjusted mean</w:t>
            </w:r>
          </w:p>
        </w:tc>
        <w:tc>
          <w:tcPr>
            <w:tcW w:w="1045" w:type="dxa"/>
            <w:gridSpan w:val="2"/>
            <w:tcBorders>
              <w:top w:val="single" w:sz="4" w:space="0" w:color="auto"/>
              <w:bottom w:val="single" w:sz="4" w:space="0" w:color="auto"/>
            </w:tcBorders>
            <w:vAlign w:val="center"/>
          </w:tcPr>
          <w:p w14:paraId="706A7012" w14:textId="77777777" w:rsidR="00FC0C6B" w:rsidRPr="00B1522E" w:rsidRDefault="00FC0C6B" w:rsidP="00DD38D3">
            <w:pPr>
              <w:jc w:val="center"/>
              <w:rPr>
                <w:rFonts w:cstheme="minorHAnsi"/>
              </w:rPr>
            </w:pPr>
            <w:r w:rsidRPr="00B1522E">
              <w:rPr>
                <w:rFonts w:cstheme="minorHAnsi"/>
              </w:rPr>
              <w:t>CI (95%)</w:t>
            </w:r>
          </w:p>
          <w:p w14:paraId="3E5A5435" w14:textId="77777777" w:rsidR="00FC0C6B" w:rsidRPr="00B1522E" w:rsidRDefault="00FC0C6B" w:rsidP="00DD38D3">
            <w:pPr>
              <w:jc w:val="center"/>
              <w:rPr>
                <w:rFonts w:cstheme="minorHAnsi"/>
              </w:rPr>
            </w:pPr>
            <w:r w:rsidRPr="00B1522E">
              <w:rPr>
                <w:rFonts w:cstheme="minorHAnsi"/>
              </w:rPr>
              <w:t>[LL-UL]</w:t>
            </w:r>
          </w:p>
        </w:tc>
        <w:tc>
          <w:tcPr>
            <w:tcW w:w="693" w:type="dxa"/>
            <w:tcBorders>
              <w:top w:val="single" w:sz="4" w:space="0" w:color="auto"/>
              <w:bottom w:val="single" w:sz="4" w:space="0" w:color="auto"/>
            </w:tcBorders>
            <w:vAlign w:val="center"/>
          </w:tcPr>
          <w:p w14:paraId="2A5D3DDC" w14:textId="77777777" w:rsidR="00FC0C6B" w:rsidRPr="00B1522E" w:rsidRDefault="00FC0C6B" w:rsidP="00DD38D3">
            <w:pPr>
              <w:jc w:val="center"/>
              <w:rPr>
                <w:rFonts w:cstheme="minorHAnsi"/>
              </w:rPr>
            </w:pPr>
            <w:r w:rsidRPr="00B1522E">
              <w:rPr>
                <w:rFonts w:cstheme="minorHAnsi"/>
              </w:rPr>
              <w:t>N</w:t>
            </w:r>
          </w:p>
        </w:tc>
        <w:tc>
          <w:tcPr>
            <w:tcW w:w="1050" w:type="dxa"/>
            <w:tcBorders>
              <w:top w:val="single" w:sz="4" w:space="0" w:color="auto"/>
              <w:bottom w:val="single" w:sz="4" w:space="0" w:color="auto"/>
            </w:tcBorders>
            <w:vAlign w:val="center"/>
          </w:tcPr>
          <w:p w14:paraId="561AFB22" w14:textId="77777777" w:rsidR="00FC0C6B" w:rsidRPr="00B1522E" w:rsidRDefault="00FC0C6B" w:rsidP="00DD38D3">
            <w:pPr>
              <w:jc w:val="center"/>
              <w:rPr>
                <w:rFonts w:cstheme="minorHAnsi"/>
              </w:rPr>
            </w:pPr>
            <w:r w:rsidRPr="00B1522E">
              <w:rPr>
                <w:rFonts w:cstheme="minorHAnsi"/>
              </w:rPr>
              <w:t>Baseline mean</w:t>
            </w:r>
          </w:p>
        </w:tc>
        <w:tc>
          <w:tcPr>
            <w:tcW w:w="1050" w:type="dxa"/>
            <w:tcBorders>
              <w:top w:val="single" w:sz="4" w:space="0" w:color="auto"/>
              <w:bottom w:val="single" w:sz="4" w:space="0" w:color="auto"/>
            </w:tcBorders>
            <w:vAlign w:val="center"/>
          </w:tcPr>
          <w:p w14:paraId="64213BDD" w14:textId="77777777" w:rsidR="00FC0C6B" w:rsidRPr="00B1522E" w:rsidRDefault="00FC0C6B" w:rsidP="00DD38D3">
            <w:pPr>
              <w:jc w:val="center"/>
              <w:rPr>
                <w:rFonts w:cstheme="minorHAnsi"/>
              </w:rPr>
            </w:pPr>
            <w:r w:rsidRPr="00B1522E">
              <w:rPr>
                <w:rFonts w:cstheme="minorHAnsi"/>
              </w:rPr>
              <w:t>Follow-up adjusted mean</w:t>
            </w:r>
          </w:p>
        </w:tc>
        <w:tc>
          <w:tcPr>
            <w:tcW w:w="1019" w:type="dxa"/>
            <w:tcBorders>
              <w:top w:val="single" w:sz="4" w:space="0" w:color="auto"/>
              <w:bottom w:val="single" w:sz="4" w:space="0" w:color="auto"/>
            </w:tcBorders>
            <w:vAlign w:val="center"/>
          </w:tcPr>
          <w:p w14:paraId="6A02786E" w14:textId="77777777" w:rsidR="00FC0C6B" w:rsidRPr="00B1522E" w:rsidRDefault="00FC0C6B" w:rsidP="00DD38D3">
            <w:pPr>
              <w:jc w:val="center"/>
              <w:rPr>
                <w:rFonts w:cstheme="minorHAnsi"/>
              </w:rPr>
            </w:pPr>
            <w:r w:rsidRPr="00B1522E">
              <w:rPr>
                <w:rFonts w:cstheme="minorHAnsi"/>
              </w:rPr>
              <w:t>CI (95%)</w:t>
            </w:r>
          </w:p>
          <w:p w14:paraId="7BD30A6B" w14:textId="77777777" w:rsidR="00FC0C6B" w:rsidRPr="00B1522E" w:rsidRDefault="00FC0C6B" w:rsidP="00DD38D3">
            <w:pPr>
              <w:jc w:val="center"/>
              <w:rPr>
                <w:rFonts w:cstheme="minorHAnsi"/>
              </w:rPr>
            </w:pPr>
            <w:r w:rsidRPr="00B1522E">
              <w:rPr>
                <w:rFonts w:cstheme="minorHAnsi"/>
              </w:rPr>
              <w:t>[LL-UL]</w:t>
            </w:r>
          </w:p>
        </w:tc>
        <w:tc>
          <w:tcPr>
            <w:tcW w:w="878" w:type="dxa"/>
            <w:tcBorders>
              <w:top w:val="single" w:sz="4" w:space="0" w:color="auto"/>
              <w:bottom w:val="single" w:sz="4" w:space="0" w:color="auto"/>
            </w:tcBorders>
            <w:vAlign w:val="center"/>
          </w:tcPr>
          <w:p w14:paraId="6A43B1BD" w14:textId="77777777" w:rsidR="00FC0C6B" w:rsidRPr="00B1522E" w:rsidRDefault="00FC0C6B" w:rsidP="00DD38D3">
            <w:pPr>
              <w:jc w:val="center"/>
              <w:rPr>
                <w:rFonts w:cstheme="minorHAnsi"/>
              </w:rPr>
            </w:pPr>
            <w:r w:rsidRPr="00B1522E">
              <w:rPr>
                <w:rStyle w:val="Emphasis"/>
                <w:rFonts w:cstheme="minorHAnsi"/>
              </w:rPr>
              <w:t>F</w:t>
            </w:r>
          </w:p>
        </w:tc>
        <w:tc>
          <w:tcPr>
            <w:tcW w:w="878" w:type="dxa"/>
            <w:tcBorders>
              <w:top w:val="single" w:sz="4" w:space="0" w:color="auto"/>
              <w:bottom w:val="single" w:sz="4" w:space="0" w:color="auto"/>
            </w:tcBorders>
            <w:vAlign w:val="center"/>
          </w:tcPr>
          <w:p w14:paraId="42069E10" w14:textId="77777777" w:rsidR="00FC0C6B" w:rsidRPr="00B1522E" w:rsidRDefault="00FC0C6B" w:rsidP="00DD38D3">
            <w:pPr>
              <w:jc w:val="center"/>
              <w:rPr>
                <w:rFonts w:cstheme="minorHAnsi"/>
              </w:rPr>
            </w:pPr>
            <w:r w:rsidRPr="00B1522E">
              <w:rPr>
                <w:rStyle w:val="Emphasis"/>
                <w:rFonts w:cstheme="minorHAnsi"/>
              </w:rPr>
              <w:t>df</w:t>
            </w:r>
            <w:r w:rsidRPr="00B1522E">
              <w:rPr>
                <w:rFonts w:cstheme="minorHAnsi"/>
              </w:rPr>
              <w:t> </w:t>
            </w:r>
          </w:p>
          <w:p w14:paraId="12EAB610" w14:textId="77777777" w:rsidR="00FC0C6B" w:rsidRPr="00B1522E" w:rsidRDefault="00FC0C6B" w:rsidP="00DD38D3">
            <w:pPr>
              <w:ind w:left="-110"/>
              <w:jc w:val="center"/>
              <w:rPr>
                <w:rFonts w:cstheme="minorHAnsi"/>
              </w:rPr>
            </w:pPr>
            <w:r w:rsidRPr="00B1522E">
              <w:rPr>
                <w:rFonts w:cstheme="minorHAnsi"/>
              </w:rPr>
              <w:t>(error)</w:t>
            </w:r>
          </w:p>
        </w:tc>
        <w:tc>
          <w:tcPr>
            <w:tcW w:w="878" w:type="dxa"/>
            <w:tcBorders>
              <w:top w:val="single" w:sz="4" w:space="0" w:color="auto"/>
              <w:bottom w:val="single" w:sz="4" w:space="0" w:color="auto"/>
            </w:tcBorders>
            <w:vAlign w:val="center"/>
          </w:tcPr>
          <w:p w14:paraId="51574D04" w14:textId="77777777" w:rsidR="00FC0C6B" w:rsidRPr="00B1522E" w:rsidRDefault="00FC0C6B" w:rsidP="00DD38D3">
            <w:pPr>
              <w:jc w:val="center"/>
              <w:rPr>
                <w:rFonts w:cstheme="minorHAnsi"/>
              </w:rPr>
            </w:pPr>
            <w:r w:rsidRPr="00B1522E">
              <w:rPr>
                <w:rStyle w:val="Emphasis"/>
                <w:rFonts w:cstheme="minorHAnsi"/>
              </w:rPr>
              <w:t>p</w:t>
            </w:r>
          </w:p>
        </w:tc>
        <w:tc>
          <w:tcPr>
            <w:tcW w:w="910" w:type="dxa"/>
            <w:tcBorders>
              <w:top w:val="single" w:sz="4" w:space="0" w:color="auto"/>
              <w:bottom w:val="single" w:sz="4" w:space="0" w:color="auto"/>
            </w:tcBorders>
            <w:vAlign w:val="center"/>
          </w:tcPr>
          <w:p w14:paraId="1D327E0D" w14:textId="77777777" w:rsidR="00FC0C6B" w:rsidRPr="00B1522E" w:rsidRDefault="00FC0C6B" w:rsidP="00DD38D3">
            <w:pPr>
              <w:jc w:val="center"/>
              <w:rPr>
                <w:rFonts w:cstheme="minorHAnsi"/>
              </w:rPr>
            </w:pPr>
            <w:r w:rsidRPr="00B1522E">
              <w:rPr>
                <w:rStyle w:val="Emphasis"/>
                <w:rFonts w:cstheme="minorHAnsi"/>
              </w:rPr>
              <w:t>η</w:t>
            </w:r>
            <w:r w:rsidRPr="00B1522E">
              <w:rPr>
                <w:rStyle w:val="Emphasis"/>
                <w:rFonts w:cstheme="minorHAnsi"/>
                <w:vertAlign w:val="superscript"/>
              </w:rPr>
              <w:t>2</w:t>
            </w:r>
          </w:p>
        </w:tc>
      </w:tr>
      <w:tr w:rsidR="00E77769" w:rsidRPr="00B1522E" w14:paraId="7653CB32" w14:textId="77777777" w:rsidTr="00DD38D3">
        <w:trPr>
          <w:trHeight w:val="563"/>
        </w:trPr>
        <w:tc>
          <w:tcPr>
            <w:tcW w:w="2268" w:type="dxa"/>
            <w:tcBorders>
              <w:top w:val="single" w:sz="4" w:space="0" w:color="auto"/>
            </w:tcBorders>
          </w:tcPr>
          <w:p w14:paraId="5683FAD9" w14:textId="77777777" w:rsidR="00FC0C6B" w:rsidRPr="00B1522E" w:rsidRDefault="00FC0C6B" w:rsidP="00DD38D3">
            <w:pPr>
              <w:rPr>
                <w:rFonts w:cstheme="minorHAnsi"/>
              </w:rPr>
            </w:pPr>
            <w:r w:rsidRPr="00B1522E">
              <w:rPr>
                <w:rFonts w:cstheme="minorHAnsi"/>
              </w:rPr>
              <w:t>Measures</w:t>
            </w:r>
          </w:p>
        </w:tc>
        <w:tc>
          <w:tcPr>
            <w:tcW w:w="709" w:type="dxa"/>
            <w:tcBorders>
              <w:top w:val="single" w:sz="4" w:space="0" w:color="auto"/>
            </w:tcBorders>
            <w:vAlign w:val="center"/>
          </w:tcPr>
          <w:p w14:paraId="203B311F" w14:textId="77777777" w:rsidR="00FC0C6B" w:rsidRPr="00B1522E" w:rsidRDefault="00FC0C6B" w:rsidP="00DD38D3">
            <w:pPr>
              <w:jc w:val="center"/>
              <w:rPr>
                <w:rFonts w:cstheme="minorHAnsi"/>
              </w:rPr>
            </w:pPr>
          </w:p>
        </w:tc>
        <w:tc>
          <w:tcPr>
            <w:tcW w:w="1044" w:type="dxa"/>
            <w:tcBorders>
              <w:top w:val="single" w:sz="4" w:space="0" w:color="auto"/>
            </w:tcBorders>
          </w:tcPr>
          <w:p w14:paraId="19D84762" w14:textId="77777777" w:rsidR="00FC0C6B" w:rsidRPr="00B1522E" w:rsidRDefault="00FC0C6B" w:rsidP="00DD38D3">
            <w:pPr>
              <w:rPr>
                <w:rFonts w:cstheme="minorHAnsi"/>
              </w:rPr>
            </w:pPr>
          </w:p>
        </w:tc>
        <w:tc>
          <w:tcPr>
            <w:tcW w:w="1045" w:type="dxa"/>
            <w:tcBorders>
              <w:top w:val="single" w:sz="4" w:space="0" w:color="auto"/>
            </w:tcBorders>
          </w:tcPr>
          <w:p w14:paraId="19373B44" w14:textId="77777777" w:rsidR="00FC0C6B" w:rsidRPr="00B1522E" w:rsidRDefault="00FC0C6B" w:rsidP="00DD38D3">
            <w:pPr>
              <w:rPr>
                <w:rFonts w:cstheme="minorHAnsi"/>
              </w:rPr>
            </w:pPr>
          </w:p>
        </w:tc>
        <w:tc>
          <w:tcPr>
            <w:tcW w:w="1045" w:type="dxa"/>
            <w:gridSpan w:val="2"/>
            <w:tcBorders>
              <w:top w:val="single" w:sz="4" w:space="0" w:color="auto"/>
            </w:tcBorders>
          </w:tcPr>
          <w:p w14:paraId="76E9702C" w14:textId="77777777" w:rsidR="00FC0C6B" w:rsidRPr="00B1522E" w:rsidRDefault="00FC0C6B" w:rsidP="00DD38D3">
            <w:pPr>
              <w:rPr>
                <w:rFonts w:cstheme="minorHAnsi"/>
              </w:rPr>
            </w:pPr>
          </w:p>
        </w:tc>
        <w:tc>
          <w:tcPr>
            <w:tcW w:w="693" w:type="dxa"/>
            <w:tcBorders>
              <w:top w:val="single" w:sz="4" w:space="0" w:color="auto"/>
            </w:tcBorders>
          </w:tcPr>
          <w:p w14:paraId="74814B55" w14:textId="77777777" w:rsidR="00FC0C6B" w:rsidRPr="00B1522E" w:rsidRDefault="00FC0C6B" w:rsidP="00DD38D3">
            <w:pPr>
              <w:rPr>
                <w:rFonts w:cstheme="minorHAnsi"/>
              </w:rPr>
            </w:pPr>
          </w:p>
        </w:tc>
        <w:tc>
          <w:tcPr>
            <w:tcW w:w="1050" w:type="dxa"/>
            <w:tcBorders>
              <w:top w:val="single" w:sz="4" w:space="0" w:color="auto"/>
            </w:tcBorders>
          </w:tcPr>
          <w:p w14:paraId="1F33E5C1" w14:textId="77777777" w:rsidR="00FC0C6B" w:rsidRPr="00B1522E" w:rsidRDefault="00FC0C6B" w:rsidP="00DD38D3">
            <w:pPr>
              <w:rPr>
                <w:rFonts w:cstheme="minorHAnsi"/>
              </w:rPr>
            </w:pPr>
          </w:p>
        </w:tc>
        <w:tc>
          <w:tcPr>
            <w:tcW w:w="1050" w:type="dxa"/>
            <w:tcBorders>
              <w:top w:val="single" w:sz="4" w:space="0" w:color="auto"/>
            </w:tcBorders>
          </w:tcPr>
          <w:p w14:paraId="2501E9EB" w14:textId="77777777" w:rsidR="00FC0C6B" w:rsidRPr="00B1522E" w:rsidRDefault="00FC0C6B" w:rsidP="00DD38D3">
            <w:pPr>
              <w:rPr>
                <w:rFonts w:cstheme="minorHAnsi"/>
              </w:rPr>
            </w:pPr>
          </w:p>
        </w:tc>
        <w:tc>
          <w:tcPr>
            <w:tcW w:w="1019" w:type="dxa"/>
            <w:tcBorders>
              <w:top w:val="single" w:sz="4" w:space="0" w:color="auto"/>
            </w:tcBorders>
          </w:tcPr>
          <w:p w14:paraId="557796D0" w14:textId="77777777" w:rsidR="00FC0C6B" w:rsidRPr="00B1522E" w:rsidRDefault="00FC0C6B" w:rsidP="00DD38D3">
            <w:pPr>
              <w:rPr>
                <w:rFonts w:cstheme="minorHAnsi"/>
              </w:rPr>
            </w:pPr>
          </w:p>
        </w:tc>
        <w:tc>
          <w:tcPr>
            <w:tcW w:w="878" w:type="dxa"/>
            <w:tcBorders>
              <w:top w:val="single" w:sz="4" w:space="0" w:color="auto"/>
            </w:tcBorders>
          </w:tcPr>
          <w:p w14:paraId="67E19D79" w14:textId="77777777" w:rsidR="00FC0C6B" w:rsidRPr="00B1522E" w:rsidRDefault="00FC0C6B" w:rsidP="00DD38D3">
            <w:pPr>
              <w:rPr>
                <w:rFonts w:cstheme="minorHAnsi"/>
              </w:rPr>
            </w:pPr>
          </w:p>
        </w:tc>
        <w:tc>
          <w:tcPr>
            <w:tcW w:w="878" w:type="dxa"/>
            <w:tcBorders>
              <w:top w:val="single" w:sz="4" w:space="0" w:color="auto"/>
            </w:tcBorders>
          </w:tcPr>
          <w:p w14:paraId="55632B15" w14:textId="77777777" w:rsidR="00FC0C6B" w:rsidRPr="00B1522E" w:rsidRDefault="00FC0C6B" w:rsidP="00DD38D3">
            <w:pPr>
              <w:rPr>
                <w:rFonts w:cstheme="minorHAnsi"/>
              </w:rPr>
            </w:pPr>
          </w:p>
        </w:tc>
        <w:tc>
          <w:tcPr>
            <w:tcW w:w="878" w:type="dxa"/>
            <w:tcBorders>
              <w:top w:val="single" w:sz="4" w:space="0" w:color="auto"/>
            </w:tcBorders>
          </w:tcPr>
          <w:p w14:paraId="5878B5B2" w14:textId="77777777" w:rsidR="00FC0C6B" w:rsidRPr="00B1522E" w:rsidRDefault="00FC0C6B" w:rsidP="00DD38D3">
            <w:pPr>
              <w:rPr>
                <w:rFonts w:cstheme="minorHAnsi"/>
              </w:rPr>
            </w:pPr>
          </w:p>
        </w:tc>
        <w:tc>
          <w:tcPr>
            <w:tcW w:w="910" w:type="dxa"/>
            <w:tcBorders>
              <w:top w:val="single" w:sz="4" w:space="0" w:color="auto"/>
            </w:tcBorders>
          </w:tcPr>
          <w:p w14:paraId="29DF4B2D" w14:textId="77777777" w:rsidR="00FC0C6B" w:rsidRPr="00B1522E" w:rsidRDefault="00FC0C6B" w:rsidP="00DD38D3">
            <w:pPr>
              <w:rPr>
                <w:rFonts w:cstheme="minorHAnsi"/>
              </w:rPr>
            </w:pPr>
          </w:p>
        </w:tc>
      </w:tr>
      <w:tr w:rsidR="00E77769" w:rsidRPr="00B1522E" w14:paraId="56EEA648" w14:textId="77777777" w:rsidTr="00DD38D3">
        <w:trPr>
          <w:trHeight w:val="275"/>
        </w:trPr>
        <w:tc>
          <w:tcPr>
            <w:tcW w:w="2268" w:type="dxa"/>
          </w:tcPr>
          <w:p w14:paraId="07A732CE" w14:textId="77777777" w:rsidR="00FC0C6B" w:rsidRPr="00B1522E" w:rsidRDefault="00FC0C6B" w:rsidP="00DD38D3">
            <w:pPr>
              <w:ind w:left="174" w:hanging="142"/>
              <w:rPr>
                <w:rFonts w:cstheme="minorHAnsi"/>
                <w:vertAlign w:val="superscript"/>
              </w:rPr>
            </w:pPr>
            <w:bookmarkStart w:id="250" w:name="_Hlk68178160"/>
            <w:r w:rsidRPr="00B1522E">
              <w:rPr>
                <w:rFonts w:cstheme="minorHAnsi"/>
              </w:rPr>
              <w:t>Personal unhealthy snacking consumption</w:t>
            </w:r>
            <w:r w:rsidRPr="00B1522E">
              <w:rPr>
                <w:rFonts w:cstheme="minorHAnsi"/>
                <w:vertAlign w:val="superscript"/>
              </w:rPr>
              <w:t>a</w:t>
            </w:r>
          </w:p>
        </w:tc>
        <w:tc>
          <w:tcPr>
            <w:tcW w:w="709" w:type="dxa"/>
            <w:vAlign w:val="center"/>
          </w:tcPr>
          <w:p w14:paraId="3454C335" w14:textId="77777777" w:rsidR="00FC0C6B" w:rsidRPr="00B1522E" w:rsidRDefault="00FC0C6B" w:rsidP="00DD38D3">
            <w:pPr>
              <w:jc w:val="center"/>
              <w:rPr>
                <w:rFonts w:cstheme="minorHAnsi"/>
              </w:rPr>
            </w:pPr>
            <w:r w:rsidRPr="00B1522E">
              <w:rPr>
                <w:rFonts w:cstheme="minorHAnsi"/>
              </w:rPr>
              <w:t>148</w:t>
            </w:r>
          </w:p>
        </w:tc>
        <w:tc>
          <w:tcPr>
            <w:tcW w:w="1044" w:type="dxa"/>
            <w:vAlign w:val="center"/>
          </w:tcPr>
          <w:p w14:paraId="32D18ED6" w14:textId="77777777" w:rsidR="00FC0C6B" w:rsidRPr="00B1522E" w:rsidRDefault="00FC0C6B" w:rsidP="00DD38D3">
            <w:pPr>
              <w:tabs>
                <w:tab w:val="decimal" w:pos="294"/>
              </w:tabs>
              <w:jc w:val="center"/>
              <w:rPr>
                <w:rFonts w:cstheme="minorHAnsi"/>
              </w:rPr>
            </w:pPr>
            <w:r w:rsidRPr="00B1522E">
              <w:rPr>
                <w:rFonts w:cstheme="minorHAnsi"/>
              </w:rPr>
              <w:t>22.05</w:t>
            </w:r>
          </w:p>
        </w:tc>
        <w:tc>
          <w:tcPr>
            <w:tcW w:w="1045" w:type="dxa"/>
            <w:vAlign w:val="center"/>
          </w:tcPr>
          <w:p w14:paraId="2C6185A1" w14:textId="77777777" w:rsidR="00FC0C6B" w:rsidRPr="00B1522E" w:rsidRDefault="00FC0C6B" w:rsidP="00DD38D3">
            <w:pPr>
              <w:tabs>
                <w:tab w:val="decimal" w:pos="387"/>
              </w:tabs>
              <w:jc w:val="center"/>
              <w:rPr>
                <w:rFonts w:cstheme="minorHAnsi"/>
              </w:rPr>
            </w:pPr>
            <w:r w:rsidRPr="00B1522E">
              <w:rPr>
                <w:rFonts w:cstheme="minorHAnsi"/>
              </w:rPr>
              <w:t>17.70</w:t>
            </w:r>
          </w:p>
        </w:tc>
        <w:tc>
          <w:tcPr>
            <w:tcW w:w="1045" w:type="dxa"/>
            <w:gridSpan w:val="2"/>
            <w:vAlign w:val="center"/>
          </w:tcPr>
          <w:p w14:paraId="34503BD1" w14:textId="77777777" w:rsidR="00FC0C6B" w:rsidRPr="00B1522E" w:rsidRDefault="00FC0C6B" w:rsidP="00DD38D3">
            <w:pPr>
              <w:jc w:val="center"/>
              <w:rPr>
                <w:rFonts w:cstheme="minorHAnsi"/>
              </w:rPr>
            </w:pPr>
            <w:r w:rsidRPr="00B1522E">
              <w:rPr>
                <w:rFonts w:cstheme="minorHAnsi"/>
              </w:rPr>
              <w:t>15.20-20.21</w:t>
            </w:r>
          </w:p>
        </w:tc>
        <w:tc>
          <w:tcPr>
            <w:tcW w:w="693" w:type="dxa"/>
            <w:vAlign w:val="center"/>
          </w:tcPr>
          <w:p w14:paraId="0513A1F6" w14:textId="77777777" w:rsidR="00FC0C6B" w:rsidRPr="00B1522E" w:rsidRDefault="00FC0C6B" w:rsidP="00DD38D3">
            <w:pPr>
              <w:jc w:val="center"/>
              <w:rPr>
                <w:rFonts w:cstheme="minorHAnsi"/>
              </w:rPr>
            </w:pPr>
            <w:r w:rsidRPr="00B1522E">
              <w:rPr>
                <w:rFonts w:cstheme="minorHAnsi"/>
              </w:rPr>
              <w:t>90</w:t>
            </w:r>
          </w:p>
        </w:tc>
        <w:tc>
          <w:tcPr>
            <w:tcW w:w="1050" w:type="dxa"/>
            <w:vAlign w:val="center"/>
          </w:tcPr>
          <w:p w14:paraId="5D391675" w14:textId="77777777" w:rsidR="00FC0C6B" w:rsidRPr="00B1522E" w:rsidRDefault="00FC0C6B" w:rsidP="00DD38D3">
            <w:pPr>
              <w:tabs>
                <w:tab w:val="decimal" w:pos="360"/>
              </w:tabs>
              <w:jc w:val="center"/>
              <w:rPr>
                <w:rFonts w:cstheme="minorHAnsi"/>
              </w:rPr>
            </w:pPr>
            <w:r w:rsidRPr="00B1522E">
              <w:rPr>
                <w:rFonts w:cstheme="minorHAnsi"/>
              </w:rPr>
              <w:t>17.41</w:t>
            </w:r>
          </w:p>
        </w:tc>
        <w:tc>
          <w:tcPr>
            <w:tcW w:w="1050" w:type="dxa"/>
            <w:vAlign w:val="center"/>
          </w:tcPr>
          <w:p w14:paraId="721F7A44" w14:textId="77777777" w:rsidR="00FC0C6B" w:rsidRPr="00B1522E" w:rsidRDefault="00FC0C6B" w:rsidP="00DD38D3">
            <w:pPr>
              <w:tabs>
                <w:tab w:val="decimal" w:pos="268"/>
                <w:tab w:val="left" w:pos="434"/>
              </w:tabs>
              <w:jc w:val="center"/>
              <w:rPr>
                <w:rFonts w:cstheme="minorHAnsi"/>
              </w:rPr>
            </w:pPr>
            <w:r w:rsidRPr="00B1522E">
              <w:rPr>
                <w:rFonts w:cstheme="minorHAnsi"/>
              </w:rPr>
              <w:t>20.69</w:t>
            </w:r>
          </w:p>
        </w:tc>
        <w:tc>
          <w:tcPr>
            <w:tcW w:w="1019" w:type="dxa"/>
            <w:vAlign w:val="center"/>
          </w:tcPr>
          <w:p w14:paraId="3CA274E5" w14:textId="77777777" w:rsidR="00FC0C6B" w:rsidRPr="00B1522E" w:rsidRDefault="00FC0C6B" w:rsidP="00DD38D3">
            <w:pPr>
              <w:jc w:val="center"/>
              <w:rPr>
                <w:rFonts w:cstheme="minorHAnsi"/>
              </w:rPr>
            </w:pPr>
            <w:r w:rsidRPr="00B1522E">
              <w:rPr>
                <w:rFonts w:cstheme="minorHAnsi"/>
              </w:rPr>
              <w:t>17.46-23.92</w:t>
            </w:r>
          </w:p>
        </w:tc>
        <w:tc>
          <w:tcPr>
            <w:tcW w:w="878" w:type="dxa"/>
            <w:vAlign w:val="center"/>
          </w:tcPr>
          <w:p w14:paraId="3F6B4823" w14:textId="77777777" w:rsidR="00FC0C6B" w:rsidRPr="00B1522E" w:rsidRDefault="00FC0C6B" w:rsidP="00DD38D3">
            <w:pPr>
              <w:tabs>
                <w:tab w:val="decimal" w:pos="172"/>
              </w:tabs>
              <w:ind w:left="-26"/>
              <w:jc w:val="center"/>
              <w:rPr>
                <w:rFonts w:cstheme="minorHAnsi"/>
              </w:rPr>
            </w:pPr>
            <w:r w:rsidRPr="00B1522E">
              <w:rPr>
                <w:rFonts w:cstheme="minorHAnsi"/>
              </w:rPr>
              <w:t>3.422</w:t>
            </w:r>
          </w:p>
        </w:tc>
        <w:tc>
          <w:tcPr>
            <w:tcW w:w="878" w:type="dxa"/>
            <w:vAlign w:val="center"/>
          </w:tcPr>
          <w:p w14:paraId="11BB437B" w14:textId="77777777" w:rsidR="00FC0C6B" w:rsidRPr="00B1522E" w:rsidRDefault="00FC0C6B" w:rsidP="00DD38D3">
            <w:pPr>
              <w:jc w:val="center"/>
              <w:rPr>
                <w:rFonts w:cstheme="minorHAnsi"/>
              </w:rPr>
            </w:pPr>
            <w:r w:rsidRPr="00B1522E">
              <w:rPr>
                <w:rFonts w:cstheme="minorHAnsi"/>
              </w:rPr>
              <w:t>234</w:t>
            </w:r>
          </w:p>
        </w:tc>
        <w:tc>
          <w:tcPr>
            <w:tcW w:w="878" w:type="dxa"/>
            <w:vAlign w:val="center"/>
          </w:tcPr>
          <w:p w14:paraId="58187437" w14:textId="77777777" w:rsidR="00FC0C6B" w:rsidRPr="00B1522E" w:rsidRDefault="00FC0C6B" w:rsidP="00DD38D3">
            <w:pPr>
              <w:jc w:val="center"/>
              <w:rPr>
                <w:rFonts w:cstheme="minorHAnsi"/>
              </w:rPr>
            </w:pPr>
            <w:r w:rsidRPr="00B1522E">
              <w:rPr>
                <w:rFonts w:cstheme="minorHAnsi"/>
              </w:rPr>
              <w:t>.066</w:t>
            </w:r>
          </w:p>
        </w:tc>
        <w:tc>
          <w:tcPr>
            <w:tcW w:w="910" w:type="dxa"/>
            <w:vAlign w:val="center"/>
          </w:tcPr>
          <w:p w14:paraId="3D2F341A" w14:textId="77777777" w:rsidR="00FC0C6B" w:rsidRPr="00B1522E" w:rsidRDefault="00FC0C6B" w:rsidP="00DD38D3">
            <w:pPr>
              <w:jc w:val="center"/>
              <w:rPr>
                <w:rFonts w:cstheme="minorHAnsi"/>
              </w:rPr>
            </w:pPr>
            <w:r w:rsidRPr="00B1522E">
              <w:rPr>
                <w:rFonts w:cstheme="minorHAnsi"/>
              </w:rPr>
              <w:t>.005</w:t>
            </w:r>
          </w:p>
        </w:tc>
      </w:tr>
      <w:tr w:rsidR="00E77769" w:rsidRPr="00B1522E" w14:paraId="3CF4C547" w14:textId="77777777" w:rsidTr="00DD38D3">
        <w:trPr>
          <w:trHeight w:val="275"/>
        </w:trPr>
        <w:tc>
          <w:tcPr>
            <w:tcW w:w="2268" w:type="dxa"/>
          </w:tcPr>
          <w:p w14:paraId="1C6DF405" w14:textId="77777777" w:rsidR="00FC0C6B" w:rsidRPr="00B1522E" w:rsidRDefault="00FC0C6B" w:rsidP="00DD38D3">
            <w:pPr>
              <w:ind w:left="174" w:hanging="142"/>
              <w:rPr>
                <w:rFonts w:cstheme="minorHAnsi"/>
              </w:rPr>
            </w:pPr>
            <w:r w:rsidRPr="00B1522E">
              <w:rPr>
                <w:rFonts w:cstheme="minorHAnsi"/>
              </w:rPr>
              <w:t xml:space="preserve">Personal attitude towards unhealthy snacking </w:t>
            </w:r>
          </w:p>
        </w:tc>
        <w:tc>
          <w:tcPr>
            <w:tcW w:w="709" w:type="dxa"/>
            <w:vAlign w:val="center"/>
          </w:tcPr>
          <w:p w14:paraId="413731D1" w14:textId="77777777" w:rsidR="00FC0C6B" w:rsidRPr="00B1522E" w:rsidRDefault="00FC0C6B" w:rsidP="00DD38D3">
            <w:pPr>
              <w:jc w:val="center"/>
              <w:rPr>
                <w:rFonts w:cstheme="minorHAnsi"/>
              </w:rPr>
            </w:pPr>
            <w:r w:rsidRPr="00B1522E">
              <w:rPr>
                <w:rFonts w:cstheme="minorHAnsi"/>
              </w:rPr>
              <w:t>131</w:t>
            </w:r>
          </w:p>
        </w:tc>
        <w:tc>
          <w:tcPr>
            <w:tcW w:w="1044" w:type="dxa"/>
            <w:vAlign w:val="center"/>
          </w:tcPr>
          <w:p w14:paraId="7D7EFC22" w14:textId="77777777" w:rsidR="00FC0C6B" w:rsidRPr="00B1522E" w:rsidRDefault="00FC0C6B" w:rsidP="00DD38D3">
            <w:pPr>
              <w:tabs>
                <w:tab w:val="decimal" w:pos="294"/>
              </w:tabs>
              <w:jc w:val="center"/>
              <w:rPr>
                <w:rFonts w:cstheme="minorHAnsi"/>
              </w:rPr>
            </w:pPr>
            <w:r w:rsidRPr="00B1522E">
              <w:rPr>
                <w:rFonts w:cstheme="minorHAnsi"/>
              </w:rPr>
              <w:t>5.42</w:t>
            </w:r>
          </w:p>
        </w:tc>
        <w:tc>
          <w:tcPr>
            <w:tcW w:w="1045" w:type="dxa"/>
            <w:vAlign w:val="center"/>
          </w:tcPr>
          <w:p w14:paraId="0B9BA30F" w14:textId="77777777" w:rsidR="00FC0C6B" w:rsidRPr="00B1522E" w:rsidRDefault="00FC0C6B" w:rsidP="00DD38D3">
            <w:pPr>
              <w:tabs>
                <w:tab w:val="decimal" w:pos="387"/>
              </w:tabs>
              <w:jc w:val="center"/>
              <w:rPr>
                <w:rFonts w:cstheme="minorHAnsi"/>
              </w:rPr>
            </w:pPr>
            <w:r w:rsidRPr="00B1522E">
              <w:rPr>
                <w:rFonts w:cstheme="minorHAnsi"/>
              </w:rPr>
              <w:t>5.13</w:t>
            </w:r>
          </w:p>
        </w:tc>
        <w:tc>
          <w:tcPr>
            <w:tcW w:w="1045" w:type="dxa"/>
            <w:gridSpan w:val="2"/>
            <w:vAlign w:val="center"/>
          </w:tcPr>
          <w:p w14:paraId="6CCB2FEB" w14:textId="77777777" w:rsidR="00FC0C6B" w:rsidRPr="00B1522E" w:rsidRDefault="00FC0C6B" w:rsidP="00DD38D3">
            <w:pPr>
              <w:jc w:val="center"/>
              <w:rPr>
                <w:rFonts w:cstheme="minorHAnsi"/>
              </w:rPr>
            </w:pPr>
            <w:r w:rsidRPr="00B1522E">
              <w:rPr>
                <w:rFonts w:cstheme="minorHAnsi"/>
              </w:rPr>
              <w:t>4.87-5.39</w:t>
            </w:r>
          </w:p>
        </w:tc>
        <w:tc>
          <w:tcPr>
            <w:tcW w:w="693" w:type="dxa"/>
            <w:vAlign w:val="center"/>
          </w:tcPr>
          <w:p w14:paraId="49FA306C" w14:textId="77777777" w:rsidR="00FC0C6B" w:rsidRPr="00B1522E" w:rsidRDefault="00FC0C6B" w:rsidP="00DD38D3">
            <w:pPr>
              <w:jc w:val="center"/>
              <w:rPr>
                <w:rFonts w:cstheme="minorHAnsi"/>
              </w:rPr>
            </w:pPr>
            <w:r w:rsidRPr="00B1522E">
              <w:rPr>
                <w:rFonts w:cstheme="minorHAnsi"/>
              </w:rPr>
              <w:t>71</w:t>
            </w:r>
          </w:p>
        </w:tc>
        <w:tc>
          <w:tcPr>
            <w:tcW w:w="1050" w:type="dxa"/>
            <w:vAlign w:val="center"/>
          </w:tcPr>
          <w:p w14:paraId="1E20885C" w14:textId="77777777" w:rsidR="00FC0C6B" w:rsidRPr="00B1522E" w:rsidRDefault="00FC0C6B" w:rsidP="00DD38D3">
            <w:pPr>
              <w:tabs>
                <w:tab w:val="decimal" w:pos="360"/>
              </w:tabs>
              <w:jc w:val="center"/>
              <w:rPr>
                <w:rFonts w:cstheme="minorHAnsi"/>
              </w:rPr>
            </w:pPr>
            <w:r w:rsidRPr="00B1522E">
              <w:rPr>
                <w:rFonts w:cstheme="minorHAnsi"/>
              </w:rPr>
              <w:t>5.17</w:t>
            </w:r>
          </w:p>
        </w:tc>
        <w:tc>
          <w:tcPr>
            <w:tcW w:w="1050" w:type="dxa"/>
            <w:vAlign w:val="center"/>
          </w:tcPr>
          <w:p w14:paraId="611C0531" w14:textId="77777777" w:rsidR="00FC0C6B" w:rsidRPr="00B1522E" w:rsidRDefault="00FC0C6B" w:rsidP="00DD38D3">
            <w:pPr>
              <w:tabs>
                <w:tab w:val="decimal" w:pos="268"/>
                <w:tab w:val="left" w:pos="434"/>
              </w:tabs>
              <w:jc w:val="center"/>
              <w:rPr>
                <w:rFonts w:cstheme="minorHAnsi"/>
              </w:rPr>
            </w:pPr>
            <w:r w:rsidRPr="00B1522E">
              <w:rPr>
                <w:rFonts w:cstheme="minorHAnsi"/>
              </w:rPr>
              <w:t>5.26</w:t>
            </w:r>
          </w:p>
        </w:tc>
        <w:tc>
          <w:tcPr>
            <w:tcW w:w="1019" w:type="dxa"/>
            <w:vAlign w:val="center"/>
          </w:tcPr>
          <w:p w14:paraId="0B00057E" w14:textId="77777777" w:rsidR="00FC0C6B" w:rsidRPr="00B1522E" w:rsidRDefault="00FC0C6B" w:rsidP="00DD38D3">
            <w:pPr>
              <w:jc w:val="center"/>
              <w:rPr>
                <w:rFonts w:cstheme="minorHAnsi"/>
              </w:rPr>
            </w:pPr>
            <w:r w:rsidRPr="00B1522E">
              <w:rPr>
                <w:rFonts w:cstheme="minorHAnsi"/>
              </w:rPr>
              <w:t>4.91-5.61</w:t>
            </w:r>
          </w:p>
        </w:tc>
        <w:tc>
          <w:tcPr>
            <w:tcW w:w="878" w:type="dxa"/>
            <w:vAlign w:val="center"/>
          </w:tcPr>
          <w:p w14:paraId="1ADF5A57" w14:textId="77777777" w:rsidR="00FC0C6B" w:rsidRPr="00B1522E" w:rsidRDefault="00FC0C6B" w:rsidP="00DD38D3">
            <w:pPr>
              <w:tabs>
                <w:tab w:val="decimal" w:pos="172"/>
              </w:tabs>
              <w:jc w:val="center"/>
              <w:rPr>
                <w:rFonts w:cstheme="minorHAnsi"/>
              </w:rPr>
            </w:pPr>
            <w:r w:rsidRPr="00B1522E">
              <w:rPr>
                <w:rFonts w:cstheme="minorHAnsi"/>
              </w:rPr>
              <w:t>.320</w:t>
            </w:r>
          </w:p>
        </w:tc>
        <w:tc>
          <w:tcPr>
            <w:tcW w:w="878" w:type="dxa"/>
            <w:vAlign w:val="center"/>
          </w:tcPr>
          <w:p w14:paraId="05996B7D" w14:textId="77777777" w:rsidR="00FC0C6B" w:rsidRPr="00B1522E" w:rsidRDefault="00FC0C6B" w:rsidP="00DD38D3">
            <w:pPr>
              <w:jc w:val="center"/>
              <w:rPr>
                <w:rFonts w:cstheme="minorHAnsi"/>
              </w:rPr>
            </w:pPr>
            <w:r w:rsidRPr="00B1522E">
              <w:rPr>
                <w:rFonts w:cstheme="minorHAnsi"/>
              </w:rPr>
              <w:t>199</w:t>
            </w:r>
          </w:p>
        </w:tc>
        <w:tc>
          <w:tcPr>
            <w:tcW w:w="878" w:type="dxa"/>
            <w:vAlign w:val="center"/>
          </w:tcPr>
          <w:p w14:paraId="69BD5082" w14:textId="77777777" w:rsidR="00FC0C6B" w:rsidRPr="00B1522E" w:rsidRDefault="00FC0C6B" w:rsidP="00DD38D3">
            <w:pPr>
              <w:jc w:val="center"/>
              <w:rPr>
                <w:rFonts w:cstheme="minorHAnsi"/>
              </w:rPr>
            </w:pPr>
            <w:r w:rsidRPr="00B1522E">
              <w:rPr>
                <w:rFonts w:cstheme="minorHAnsi"/>
              </w:rPr>
              <w:t>.572</w:t>
            </w:r>
          </w:p>
        </w:tc>
        <w:tc>
          <w:tcPr>
            <w:tcW w:w="910" w:type="dxa"/>
            <w:vAlign w:val="center"/>
          </w:tcPr>
          <w:p w14:paraId="1EC66A9D" w14:textId="77777777" w:rsidR="00FC0C6B" w:rsidRPr="00B1522E" w:rsidRDefault="00FC0C6B" w:rsidP="00DD38D3">
            <w:pPr>
              <w:jc w:val="center"/>
              <w:rPr>
                <w:rFonts w:cstheme="minorHAnsi"/>
              </w:rPr>
            </w:pPr>
            <w:r w:rsidRPr="00B1522E">
              <w:rPr>
                <w:rFonts w:cstheme="minorHAnsi"/>
              </w:rPr>
              <w:t>&lt;.001</w:t>
            </w:r>
          </w:p>
        </w:tc>
      </w:tr>
      <w:tr w:rsidR="00E77769" w:rsidRPr="00B1522E" w14:paraId="5992AAEF" w14:textId="77777777" w:rsidTr="00DD38D3">
        <w:trPr>
          <w:trHeight w:val="275"/>
        </w:trPr>
        <w:tc>
          <w:tcPr>
            <w:tcW w:w="2268" w:type="dxa"/>
          </w:tcPr>
          <w:p w14:paraId="15411022" w14:textId="77777777" w:rsidR="00FC0C6B" w:rsidRPr="00B1522E" w:rsidRDefault="00FC0C6B" w:rsidP="00DD38D3">
            <w:pPr>
              <w:ind w:left="174" w:hanging="142"/>
              <w:rPr>
                <w:rFonts w:cstheme="minorHAnsi"/>
              </w:rPr>
            </w:pPr>
            <w:r w:rsidRPr="00B1522E">
              <w:rPr>
                <w:rFonts w:cstheme="minorHAnsi"/>
              </w:rPr>
              <w:t>Personal attitude towards fewer unhealthy snacks</w:t>
            </w:r>
          </w:p>
        </w:tc>
        <w:tc>
          <w:tcPr>
            <w:tcW w:w="709" w:type="dxa"/>
            <w:vAlign w:val="center"/>
          </w:tcPr>
          <w:p w14:paraId="7C14ABEF" w14:textId="77777777" w:rsidR="00FC0C6B" w:rsidRPr="00B1522E" w:rsidRDefault="00FC0C6B" w:rsidP="00DD38D3">
            <w:pPr>
              <w:jc w:val="center"/>
              <w:rPr>
                <w:rFonts w:cstheme="minorHAnsi"/>
              </w:rPr>
            </w:pPr>
            <w:r w:rsidRPr="00B1522E">
              <w:rPr>
                <w:rFonts w:cstheme="minorHAnsi"/>
              </w:rPr>
              <w:t>135</w:t>
            </w:r>
          </w:p>
        </w:tc>
        <w:tc>
          <w:tcPr>
            <w:tcW w:w="1044" w:type="dxa"/>
            <w:vAlign w:val="center"/>
          </w:tcPr>
          <w:p w14:paraId="4014E9E2" w14:textId="77777777" w:rsidR="00FC0C6B" w:rsidRPr="00B1522E" w:rsidRDefault="00FC0C6B" w:rsidP="00DD38D3">
            <w:pPr>
              <w:tabs>
                <w:tab w:val="decimal" w:pos="294"/>
              </w:tabs>
              <w:jc w:val="center"/>
              <w:rPr>
                <w:rFonts w:cstheme="minorHAnsi"/>
              </w:rPr>
            </w:pPr>
            <w:r w:rsidRPr="00B1522E">
              <w:rPr>
                <w:rFonts w:cstheme="minorHAnsi"/>
              </w:rPr>
              <w:t>6.77</w:t>
            </w:r>
          </w:p>
        </w:tc>
        <w:tc>
          <w:tcPr>
            <w:tcW w:w="1045" w:type="dxa"/>
            <w:vAlign w:val="center"/>
          </w:tcPr>
          <w:p w14:paraId="7D5D58E4" w14:textId="77777777" w:rsidR="00FC0C6B" w:rsidRPr="00B1522E" w:rsidRDefault="00FC0C6B" w:rsidP="00DD38D3">
            <w:pPr>
              <w:tabs>
                <w:tab w:val="decimal" w:pos="387"/>
              </w:tabs>
              <w:jc w:val="center"/>
              <w:rPr>
                <w:rFonts w:cstheme="minorHAnsi"/>
              </w:rPr>
            </w:pPr>
            <w:r w:rsidRPr="00B1522E">
              <w:rPr>
                <w:rFonts w:cstheme="minorHAnsi"/>
              </w:rPr>
              <w:t>7.02</w:t>
            </w:r>
          </w:p>
        </w:tc>
        <w:tc>
          <w:tcPr>
            <w:tcW w:w="1045" w:type="dxa"/>
            <w:gridSpan w:val="2"/>
            <w:vAlign w:val="center"/>
          </w:tcPr>
          <w:p w14:paraId="01282236" w14:textId="77777777" w:rsidR="00FC0C6B" w:rsidRPr="00B1522E" w:rsidRDefault="00FC0C6B" w:rsidP="00DD38D3">
            <w:pPr>
              <w:jc w:val="center"/>
              <w:rPr>
                <w:rFonts w:cstheme="minorHAnsi"/>
              </w:rPr>
            </w:pPr>
            <w:r w:rsidRPr="00B1522E">
              <w:rPr>
                <w:rFonts w:cstheme="minorHAnsi"/>
              </w:rPr>
              <w:t>6.65-7.38</w:t>
            </w:r>
          </w:p>
        </w:tc>
        <w:tc>
          <w:tcPr>
            <w:tcW w:w="693" w:type="dxa"/>
            <w:vAlign w:val="center"/>
          </w:tcPr>
          <w:p w14:paraId="7BB51CFF" w14:textId="77777777" w:rsidR="00FC0C6B" w:rsidRPr="00B1522E" w:rsidRDefault="00FC0C6B" w:rsidP="00DD38D3">
            <w:pPr>
              <w:jc w:val="center"/>
              <w:rPr>
                <w:rFonts w:cstheme="minorHAnsi"/>
              </w:rPr>
            </w:pPr>
            <w:r w:rsidRPr="00B1522E">
              <w:rPr>
                <w:rFonts w:cstheme="minorHAnsi"/>
              </w:rPr>
              <w:t>71</w:t>
            </w:r>
          </w:p>
        </w:tc>
        <w:tc>
          <w:tcPr>
            <w:tcW w:w="1050" w:type="dxa"/>
            <w:vAlign w:val="center"/>
          </w:tcPr>
          <w:p w14:paraId="6E26695B" w14:textId="77777777" w:rsidR="00FC0C6B" w:rsidRPr="00B1522E" w:rsidRDefault="00FC0C6B" w:rsidP="00DD38D3">
            <w:pPr>
              <w:tabs>
                <w:tab w:val="decimal" w:pos="360"/>
              </w:tabs>
              <w:jc w:val="center"/>
              <w:rPr>
                <w:rFonts w:cstheme="minorHAnsi"/>
              </w:rPr>
            </w:pPr>
            <w:r w:rsidRPr="00B1522E">
              <w:rPr>
                <w:rFonts w:cstheme="minorHAnsi"/>
              </w:rPr>
              <w:t>6.92</w:t>
            </w:r>
          </w:p>
        </w:tc>
        <w:tc>
          <w:tcPr>
            <w:tcW w:w="1050" w:type="dxa"/>
            <w:vAlign w:val="center"/>
          </w:tcPr>
          <w:p w14:paraId="52A4C410" w14:textId="77777777" w:rsidR="00FC0C6B" w:rsidRPr="00B1522E" w:rsidRDefault="00FC0C6B" w:rsidP="00DD38D3">
            <w:pPr>
              <w:tabs>
                <w:tab w:val="decimal" w:pos="268"/>
                <w:tab w:val="left" w:pos="434"/>
              </w:tabs>
              <w:jc w:val="center"/>
              <w:rPr>
                <w:rFonts w:cstheme="minorHAnsi"/>
              </w:rPr>
            </w:pPr>
            <w:r w:rsidRPr="00B1522E">
              <w:rPr>
                <w:rFonts w:cstheme="minorHAnsi"/>
              </w:rPr>
              <w:t>7.13</w:t>
            </w:r>
          </w:p>
        </w:tc>
        <w:tc>
          <w:tcPr>
            <w:tcW w:w="1019" w:type="dxa"/>
            <w:vAlign w:val="center"/>
          </w:tcPr>
          <w:p w14:paraId="16028B55" w14:textId="77777777" w:rsidR="00FC0C6B" w:rsidRPr="00B1522E" w:rsidRDefault="00FC0C6B" w:rsidP="00DD38D3">
            <w:pPr>
              <w:jc w:val="center"/>
              <w:rPr>
                <w:rFonts w:cstheme="minorHAnsi"/>
              </w:rPr>
            </w:pPr>
            <w:r w:rsidRPr="00B1522E">
              <w:rPr>
                <w:rFonts w:cstheme="minorHAnsi"/>
              </w:rPr>
              <w:t>6.62-7.63</w:t>
            </w:r>
          </w:p>
        </w:tc>
        <w:tc>
          <w:tcPr>
            <w:tcW w:w="878" w:type="dxa"/>
            <w:vAlign w:val="center"/>
          </w:tcPr>
          <w:p w14:paraId="7AA7F678" w14:textId="77777777" w:rsidR="00FC0C6B" w:rsidRPr="00B1522E" w:rsidRDefault="00FC0C6B" w:rsidP="00DD38D3">
            <w:pPr>
              <w:tabs>
                <w:tab w:val="decimal" w:pos="172"/>
              </w:tabs>
              <w:jc w:val="center"/>
              <w:rPr>
                <w:rFonts w:cstheme="minorHAnsi"/>
              </w:rPr>
            </w:pPr>
            <w:r w:rsidRPr="00B1522E">
              <w:rPr>
                <w:rFonts w:cstheme="minorHAnsi"/>
              </w:rPr>
              <w:t>.126</w:t>
            </w:r>
          </w:p>
        </w:tc>
        <w:tc>
          <w:tcPr>
            <w:tcW w:w="878" w:type="dxa"/>
            <w:vAlign w:val="center"/>
          </w:tcPr>
          <w:p w14:paraId="18A75B72" w14:textId="77777777" w:rsidR="00FC0C6B" w:rsidRPr="00B1522E" w:rsidRDefault="00FC0C6B" w:rsidP="00DD38D3">
            <w:pPr>
              <w:jc w:val="center"/>
              <w:rPr>
                <w:rFonts w:cstheme="minorHAnsi"/>
              </w:rPr>
            </w:pPr>
            <w:r w:rsidRPr="00B1522E">
              <w:rPr>
                <w:rFonts w:cstheme="minorHAnsi"/>
              </w:rPr>
              <w:t>203</w:t>
            </w:r>
          </w:p>
        </w:tc>
        <w:tc>
          <w:tcPr>
            <w:tcW w:w="878" w:type="dxa"/>
            <w:vAlign w:val="center"/>
          </w:tcPr>
          <w:p w14:paraId="676BF602" w14:textId="77777777" w:rsidR="00FC0C6B" w:rsidRPr="00B1522E" w:rsidRDefault="00FC0C6B" w:rsidP="00DD38D3">
            <w:pPr>
              <w:jc w:val="center"/>
              <w:rPr>
                <w:rFonts w:cstheme="minorHAnsi"/>
              </w:rPr>
            </w:pPr>
            <w:r w:rsidRPr="00B1522E">
              <w:rPr>
                <w:rFonts w:cstheme="minorHAnsi"/>
              </w:rPr>
              <w:t>.723</w:t>
            </w:r>
          </w:p>
        </w:tc>
        <w:tc>
          <w:tcPr>
            <w:tcW w:w="910" w:type="dxa"/>
            <w:vAlign w:val="center"/>
          </w:tcPr>
          <w:p w14:paraId="33C9A383" w14:textId="77777777" w:rsidR="00FC0C6B" w:rsidRPr="00B1522E" w:rsidRDefault="00FC0C6B" w:rsidP="00DD38D3">
            <w:pPr>
              <w:jc w:val="center"/>
              <w:rPr>
                <w:rFonts w:cstheme="minorHAnsi"/>
              </w:rPr>
            </w:pPr>
            <w:r w:rsidRPr="00B1522E">
              <w:rPr>
                <w:rFonts w:cstheme="minorHAnsi"/>
              </w:rPr>
              <w:t>&lt;.001</w:t>
            </w:r>
          </w:p>
        </w:tc>
      </w:tr>
      <w:tr w:rsidR="00E77769" w:rsidRPr="00B1522E" w14:paraId="1BBE2140" w14:textId="77777777" w:rsidTr="00DD38D3">
        <w:trPr>
          <w:trHeight w:val="275"/>
        </w:trPr>
        <w:tc>
          <w:tcPr>
            <w:tcW w:w="2268" w:type="dxa"/>
          </w:tcPr>
          <w:p w14:paraId="6AB48490" w14:textId="77777777" w:rsidR="00FC0C6B" w:rsidRPr="00B1522E" w:rsidRDefault="00FC0C6B" w:rsidP="00DD38D3">
            <w:pPr>
              <w:ind w:left="174" w:hanging="142"/>
              <w:rPr>
                <w:rFonts w:cstheme="minorHAnsi"/>
              </w:rPr>
            </w:pPr>
            <w:bookmarkStart w:id="251" w:name="_Hlk85715214"/>
            <w:r w:rsidRPr="00B1522E">
              <w:rPr>
                <w:rFonts w:cstheme="minorHAnsi"/>
              </w:rPr>
              <w:t xml:space="preserve">Intention to reduce unhealthy snacking </w:t>
            </w:r>
            <w:bookmarkEnd w:id="251"/>
          </w:p>
        </w:tc>
        <w:tc>
          <w:tcPr>
            <w:tcW w:w="709" w:type="dxa"/>
            <w:vAlign w:val="center"/>
          </w:tcPr>
          <w:p w14:paraId="2A4E7E2D" w14:textId="77777777" w:rsidR="00FC0C6B" w:rsidRPr="00B1522E" w:rsidRDefault="00FC0C6B" w:rsidP="00DD38D3">
            <w:pPr>
              <w:jc w:val="center"/>
              <w:rPr>
                <w:rFonts w:cstheme="minorHAnsi"/>
              </w:rPr>
            </w:pPr>
            <w:r w:rsidRPr="00B1522E">
              <w:rPr>
                <w:rFonts w:cstheme="minorHAnsi"/>
              </w:rPr>
              <w:t>140</w:t>
            </w:r>
          </w:p>
        </w:tc>
        <w:tc>
          <w:tcPr>
            <w:tcW w:w="1044" w:type="dxa"/>
            <w:vAlign w:val="center"/>
          </w:tcPr>
          <w:p w14:paraId="204B5379" w14:textId="77777777" w:rsidR="00FC0C6B" w:rsidRPr="00B1522E" w:rsidRDefault="00FC0C6B" w:rsidP="00DD38D3">
            <w:pPr>
              <w:tabs>
                <w:tab w:val="decimal" w:pos="294"/>
              </w:tabs>
              <w:jc w:val="center"/>
              <w:rPr>
                <w:rFonts w:cstheme="minorHAnsi"/>
              </w:rPr>
            </w:pPr>
            <w:r w:rsidRPr="00B1522E">
              <w:rPr>
                <w:rFonts w:cstheme="minorHAnsi"/>
              </w:rPr>
              <w:t>17.76</w:t>
            </w:r>
          </w:p>
        </w:tc>
        <w:tc>
          <w:tcPr>
            <w:tcW w:w="1045" w:type="dxa"/>
            <w:vAlign w:val="center"/>
          </w:tcPr>
          <w:p w14:paraId="04CE1B9B" w14:textId="77777777" w:rsidR="00FC0C6B" w:rsidRPr="00B1522E" w:rsidRDefault="00FC0C6B" w:rsidP="00DD38D3">
            <w:pPr>
              <w:tabs>
                <w:tab w:val="decimal" w:pos="387"/>
              </w:tabs>
              <w:jc w:val="center"/>
              <w:rPr>
                <w:rFonts w:cstheme="minorHAnsi"/>
              </w:rPr>
            </w:pPr>
            <w:r w:rsidRPr="00B1522E">
              <w:rPr>
                <w:rFonts w:cstheme="minorHAnsi"/>
              </w:rPr>
              <w:t>18.07</w:t>
            </w:r>
          </w:p>
        </w:tc>
        <w:tc>
          <w:tcPr>
            <w:tcW w:w="1045" w:type="dxa"/>
            <w:gridSpan w:val="2"/>
            <w:vAlign w:val="center"/>
          </w:tcPr>
          <w:p w14:paraId="7205CA32" w14:textId="77777777" w:rsidR="00FC0C6B" w:rsidRPr="00B1522E" w:rsidRDefault="00FC0C6B" w:rsidP="00DD38D3">
            <w:pPr>
              <w:jc w:val="center"/>
              <w:rPr>
                <w:rFonts w:cstheme="minorHAnsi"/>
              </w:rPr>
            </w:pPr>
            <w:r w:rsidRPr="00B1522E">
              <w:rPr>
                <w:rFonts w:cstheme="minorHAnsi"/>
              </w:rPr>
              <w:t>17.28-18.87</w:t>
            </w:r>
          </w:p>
        </w:tc>
        <w:tc>
          <w:tcPr>
            <w:tcW w:w="693" w:type="dxa"/>
            <w:vAlign w:val="center"/>
          </w:tcPr>
          <w:p w14:paraId="632AC58A" w14:textId="77777777" w:rsidR="00FC0C6B" w:rsidRPr="00B1522E" w:rsidRDefault="00FC0C6B" w:rsidP="00DD38D3">
            <w:pPr>
              <w:jc w:val="center"/>
              <w:rPr>
                <w:rFonts w:cstheme="minorHAnsi"/>
              </w:rPr>
            </w:pPr>
            <w:r w:rsidRPr="00B1522E">
              <w:rPr>
                <w:rFonts w:cstheme="minorHAnsi"/>
              </w:rPr>
              <w:t>71</w:t>
            </w:r>
          </w:p>
        </w:tc>
        <w:tc>
          <w:tcPr>
            <w:tcW w:w="1050" w:type="dxa"/>
            <w:vAlign w:val="center"/>
          </w:tcPr>
          <w:p w14:paraId="7AE93631" w14:textId="77777777" w:rsidR="00FC0C6B" w:rsidRPr="00B1522E" w:rsidRDefault="00FC0C6B" w:rsidP="00DD38D3">
            <w:pPr>
              <w:tabs>
                <w:tab w:val="decimal" w:pos="360"/>
              </w:tabs>
              <w:jc w:val="center"/>
              <w:rPr>
                <w:rFonts w:cstheme="minorHAnsi"/>
              </w:rPr>
            </w:pPr>
            <w:r w:rsidRPr="00B1522E">
              <w:rPr>
                <w:rFonts w:cstheme="minorHAnsi"/>
              </w:rPr>
              <w:t>18.38</w:t>
            </w:r>
          </w:p>
        </w:tc>
        <w:tc>
          <w:tcPr>
            <w:tcW w:w="1050" w:type="dxa"/>
            <w:vAlign w:val="center"/>
          </w:tcPr>
          <w:p w14:paraId="5FD0E7B1" w14:textId="77777777" w:rsidR="00FC0C6B" w:rsidRPr="00B1522E" w:rsidRDefault="00FC0C6B" w:rsidP="00DD38D3">
            <w:pPr>
              <w:tabs>
                <w:tab w:val="decimal" w:pos="268"/>
                <w:tab w:val="left" w:pos="434"/>
              </w:tabs>
              <w:jc w:val="center"/>
              <w:rPr>
                <w:rFonts w:cstheme="minorHAnsi"/>
              </w:rPr>
            </w:pPr>
            <w:r w:rsidRPr="00B1522E">
              <w:rPr>
                <w:rFonts w:cstheme="minorHAnsi"/>
              </w:rPr>
              <w:t>17.96</w:t>
            </w:r>
          </w:p>
        </w:tc>
        <w:tc>
          <w:tcPr>
            <w:tcW w:w="1019" w:type="dxa"/>
            <w:vAlign w:val="center"/>
          </w:tcPr>
          <w:p w14:paraId="6C554EBC" w14:textId="77777777" w:rsidR="00FC0C6B" w:rsidRPr="00B1522E" w:rsidRDefault="00FC0C6B" w:rsidP="00DD38D3">
            <w:pPr>
              <w:jc w:val="center"/>
              <w:rPr>
                <w:rFonts w:cstheme="minorHAnsi"/>
              </w:rPr>
            </w:pPr>
            <w:r w:rsidRPr="00B1522E">
              <w:rPr>
                <w:rFonts w:cstheme="minorHAnsi"/>
              </w:rPr>
              <w:t>16.84-19.07</w:t>
            </w:r>
          </w:p>
        </w:tc>
        <w:tc>
          <w:tcPr>
            <w:tcW w:w="878" w:type="dxa"/>
            <w:vAlign w:val="center"/>
          </w:tcPr>
          <w:p w14:paraId="1FBA6F8B" w14:textId="77777777" w:rsidR="00FC0C6B" w:rsidRPr="00B1522E" w:rsidRDefault="00FC0C6B" w:rsidP="00DD38D3">
            <w:pPr>
              <w:tabs>
                <w:tab w:val="decimal" w:pos="172"/>
              </w:tabs>
              <w:jc w:val="center"/>
              <w:rPr>
                <w:rFonts w:cstheme="minorHAnsi"/>
              </w:rPr>
            </w:pPr>
            <w:r w:rsidRPr="00B1522E">
              <w:rPr>
                <w:rFonts w:cstheme="minorHAnsi"/>
              </w:rPr>
              <w:t>.029</w:t>
            </w:r>
          </w:p>
        </w:tc>
        <w:tc>
          <w:tcPr>
            <w:tcW w:w="878" w:type="dxa"/>
            <w:vAlign w:val="center"/>
          </w:tcPr>
          <w:p w14:paraId="4E55FB0A" w14:textId="77777777" w:rsidR="00FC0C6B" w:rsidRPr="00B1522E" w:rsidRDefault="00FC0C6B" w:rsidP="00DD38D3">
            <w:pPr>
              <w:jc w:val="center"/>
              <w:rPr>
                <w:rFonts w:cstheme="minorHAnsi"/>
              </w:rPr>
            </w:pPr>
            <w:r w:rsidRPr="00B1522E">
              <w:rPr>
                <w:rFonts w:cstheme="minorHAnsi"/>
              </w:rPr>
              <w:t>208</w:t>
            </w:r>
          </w:p>
        </w:tc>
        <w:tc>
          <w:tcPr>
            <w:tcW w:w="878" w:type="dxa"/>
            <w:vAlign w:val="center"/>
          </w:tcPr>
          <w:p w14:paraId="538C9CC7" w14:textId="77777777" w:rsidR="00FC0C6B" w:rsidRPr="00B1522E" w:rsidRDefault="00FC0C6B" w:rsidP="00DD38D3">
            <w:pPr>
              <w:jc w:val="center"/>
              <w:rPr>
                <w:rFonts w:cstheme="minorHAnsi"/>
              </w:rPr>
            </w:pPr>
            <w:r w:rsidRPr="00B1522E">
              <w:rPr>
                <w:rFonts w:cstheme="minorHAnsi"/>
              </w:rPr>
              <w:t>.866</w:t>
            </w:r>
          </w:p>
        </w:tc>
        <w:tc>
          <w:tcPr>
            <w:tcW w:w="910" w:type="dxa"/>
            <w:vAlign w:val="center"/>
          </w:tcPr>
          <w:p w14:paraId="54675895" w14:textId="77777777" w:rsidR="00FC0C6B" w:rsidRPr="00B1522E" w:rsidRDefault="00FC0C6B" w:rsidP="00DD38D3">
            <w:pPr>
              <w:jc w:val="center"/>
              <w:rPr>
                <w:rFonts w:cstheme="minorHAnsi"/>
              </w:rPr>
            </w:pPr>
            <w:r w:rsidRPr="00B1522E">
              <w:rPr>
                <w:rFonts w:cstheme="minorHAnsi"/>
              </w:rPr>
              <w:t>&lt;.001</w:t>
            </w:r>
          </w:p>
        </w:tc>
      </w:tr>
      <w:bookmarkEnd w:id="250"/>
      <w:tr w:rsidR="00E77769" w:rsidRPr="00B1522E" w14:paraId="1CA70D33" w14:textId="77777777" w:rsidTr="00DD38D3">
        <w:trPr>
          <w:trHeight w:val="275"/>
        </w:trPr>
        <w:tc>
          <w:tcPr>
            <w:tcW w:w="2268" w:type="dxa"/>
          </w:tcPr>
          <w:p w14:paraId="680E54E9" w14:textId="77777777" w:rsidR="00FC0C6B" w:rsidRPr="00B1522E" w:rsidRDefault="00FC0C6B" w:rsidP="00DD38D3">
            <w:pPr>
              <w:ind w:left="174" w:hanging="142"/>
              <w:rPr>
                <w:rFonts w:cstheme="minorHAnsi"/>
                <w:vertAlign w:val="superscript"/>
              </w:rPr>
            </w:pPr>
            <w:r w:rsidRPr="00B1522E">
              <w:rPr>
                <w:rFonts w:cstheme="minorHAnsi"/>
              </w:rPr>
              <w:t>Misperceptions of peers’ unhealthy snacking behaviour</w:t>
            </w:r>
            <w:r w:rsidRPr="00B1522E">
              <w:rPr>
                <w:rFonts w:cstheme="minorHAnsi"/>
                <w:vertAlign w:val="superscript"/>
              </w:rPr>
              <w:t>b</w:t>
            </w:r>
          </w:p>
        </w:tc>
        <w:tc>
          <w:tcPr>
            <w:tcW w:w="709" w:type="dxa"/>
            <w:vAlign w:val="center"/>
          </w:tcPr>
          <w:p w14:paraId="08DC657C" w14:textId="77777777" w:rsidR="00FC0C6B" w:rsidRPr="00B1522E" w:rsidRDefault="00FC0C6B" w:rsidP="00DD38D3">
            <w:pPr>
              <w:jc w:val="center"/>
              <w:rPr>
                <w:rFonts w:cstheme="minorHAnsi"/>
              </w:rPr>
            </w:pPr>
            <w:r w:rsidRPr="00B1522E">
              <w:rPr>
                <w:rFonts w:cstheme="minorHAnsi"/>
              </w:rPr>
              <w:t>127</w:t>
            </w:r>
          </w:p>
        </w:tc>
        <w:tc>
          <w:tcPr>
            <w:tcW w:w="1044" w:type="dxa"/>
            <w:vAlign w:val="center"/>
          </w:tcPr>
          <w:p w14:paraId="0A2DFCAC" w14:textId="77777777" w:rsidR="00FC0C6B" w:rsidRPr="00B1522E" w:rsidRDefault="00FC0C6B" w:rsidP="00DD38D3">
            <w:pPr>
              <w:tabs>
                <w:tab w:val="decimal" w:pos="294"/>
              </w:tabs>
              <w:jc w:val="center"/>
              <w:rPr>
                <w:rFonts w:cstheme="minorHAnsi"/>
              </w:rPr>
            </w:pPr>
            <w:r w:rsidRPr="00B1522E">
              <w:rPr>
                <w:rFonts w:cstheme="minorHAnsi"/>
              </w:rPr>
              <w:t>23.50</w:t>
            </w:r>
          </w:p>
        </w:tc>
        <w:tc>
          <w:tcPr>
            <w:tcW w:w="1045" w:type="dxa"/>
            <w:vAlign w:val="center"/>
          </w:tcPr>
          <w:p w14:paraId="214315EC" w14:textId="77777777" w:rsidR="00FC0C6B" w:rsidRPr="00B1522E" w:rsidRDefault="00FC0C6B" w:rsidP="00DD38D3">
            <w:pPr>
              <w:tabs>
                <w:tab w:val="decimal" w:pos="387"/>
              </w:tabs>
              <w:jc w:val="center"/>
              <w:rPr>
                <w:rFonts w:cstheme="minorHAnsi"/>
              </w:rPr>
            </w:pPr>
            <w:r w:rsidRPr="00B1522E">
              <w:rPr>
                <w:rFonts w:cstheme="minorHAnsi"/>
              </w:rPr>
              <w:t>20.15</w:t>
            </w:r>
          </w:p>
        </w:tc>
        <w:tc>
          <w:tcPr>
            <w:tcW w:w="1045" w:type="dxa"/>
            <w:gridSpan w:val="2"/>
            <w:vAlign w:val="center"/>
          </w:tcPr>
          <w:p w14:paraId="25ACC47F" w14:textId="77777777" w:rsidR="00FC0C6B" w:rsidRPr="00B1522E" w:rsidRDefault="00FC0C6B" w:rsidP="00DD38D3">
            <w:pPr>
              <w:jc w:val="center"/>
              <w:rPr>
                <w:rFonts w:cstheme="minorHAnsi"/>
              </w:rPr>
            </w:pPr>
            <w:r w:rsidRPr="00B1522E">
              <w:rPr>
                <w:rFonts w:cstheme="minorHAnsi"/>
              </w:rPr>
              <w:t>14.89-25.40</w:t>
            </w:r>
          </w:p>
        </w:tc>
        <w:tc>
          <w:tcPr>
            <w:tcW w:w="693" w:type="dxa"/>
            <w:vAlign w:val="center"/>
          </w:tcPr>
          <w:p w14:paraId="6FFAF3BB" w14:textId="77777777" w:rsidR="00FC0C6B" w:rsidRPr="00B1522E" w:rsidRDefault="00FC0C6B" w:rsidP="00DD38D3">
            <w:pPr>
              <w:jc w:val="center"/>
              <w:rPr>
                <w:rFonts w:cstheme="minorHAnsi"/>
              </w:rPr>
            </w:pPr>
            <w:r w:rsidRPr="00B1522E">
              <w:rPr>
                <w:rFonts w:cstheme="minorHAnsi"/>
              </w:rPr>
              <w:t>85</w:t>
            </w:r>
          </w:p>
        </w:tc>
        <w:tc>
          <w:tcPr>
            <w:tcW w:w="1050" w:type="dxa"/>
            <w:vAlign w:val="center"/>
          </w:tcPr>
          <w:p w14:paraId="09654499" w14:textId="77777777" w:rsidR="00FC0C6B" w:rsidRPr="00B1522E" w:rsidRDefault="00FC0C6B" w:rsidP="00DD38D3">
            <w:pPr>
              <w:tabs>
                <w:tab w:val="decimal" w:pos="360"/>
              </w:tabs>
              <w:jc w:val="center"/>
              <w:rPr>
                <w:rFonts w:cstheme="minorHAnsi"/>
              </w:rPr>
            </w:pPr>
            <w:r w:rsidRPr="00B1522E">
              <w:rPr>
                <w:rFonts w:cstheme="minorHAnsi"/>
              </w:rPr>
              <w:t>16.82</w:t>
            </w:r>
          </w:p>
        </w:tc>
        <w:tc>
          <w:tcPr>
            <w:tcW w:w="1050" w:type="dxa"/>
            <w:vAlign w:val="center"/>
          </w:tcPr>
          <w:p w14:paraId="0D055835" w14:textId="77777777" w:rsidR="00FC0C6B" w:rsidRPr="00B1522E" w:rsidRDefault="00FC0C6B" w:rsidP="00DD38D3">
            <w:pPr>
              <w:tabs>
                <w:tab w:val="decimal" w:pos="268"/>
                <w:tab w:val="left" w:pos="434"/>
              </w:tabs>
              <w:jc w:val="center"/>
              <w:rPr>
                <w:rFonts w:cstheme="minorHAnsi"/>
              </w:rPr>
            </w:pPr>
            <w:r w:rsidRPr="00B1522E">
              <w:rPr>
                <w:rFonts w:cstheme="minorHAnsi"/>
              </w:rPr>
              <w:t>26.80</w:t>
            </w:r>
          </w:p>
        </w:tc>
        <w:tc>
          <w:tcPr>
            <w:tcW w:w="1019" w:type="dxa"/>
            <w:vAlign w:val="center"/>
          </w:tcPr>
          <w:p w14:paraId="2115ACB1" w14:textId="77777777" w:rsidR="00FC0C6B" w:rsidRPr="00B1522E" w:rsidRDefault="00FC0C6B" w:rsidP="00DD38D3">
            <w:pPr>
              <w:jc w:val="center"/>
              <w:rPr>
                <w:rFonts w:cstheme="minorHAnsi"/>
              </w:rPr>
            </w:pPr>
            <w:r w:rsidRPr="00B1522E">
              <w:rPr>
                <w:rFonts w:cstheme="minorHAnsi"/>
              </w:rPr>
              <w:t>20.37-33.23</w:t>
            </w:r>
          </w:p>
        </w:tc>
        <w:tc>
          <w:tcPr>
            <w:tcW w:w="878" w:type="dxa"/>
            <w:vAlign w:val="center"/>
          </w:tcPr>
          <w:p w14:paraId="578EC80F" w14:textId="77777777" w:rsidR="00FC0C6B" w:rsidRPr="00B1522E" w:rsidRDefault="00FC0C6B" w:rsidP="00DD38D3">
            <w:pPr>
              <w:tabs>
                <w:tab w:val="decimal" w:pos="172"/>
              </w:tabs>
              <w:jc w:val="center"/>
              <w:rPr>
                <w:rFonts w:cstheme="minorHAnsi"/>
              </w:rPr>
            </w:pPr>
            <w:r w:rsidRPr="00B1522E">
              <w:rPr>
                <w:rFonts w:cstheme="minorHAnsi"/>
              </w:rPr>
              <w:t>2.477</w:t>
            </w:r>
          </w:p>
        </w:tc>
        <w:tc>
          <w:tcPr>
            <w:tcW w:w="878" w:type="dxa"/>
            <w:vAlign w:val="center"/>
          </w:tcPr>
          <w:p w14:paraId="1B9DC569" w14:textId="77777777" w:rsidR="00FC0C6B" w:rsidRPr="00B1522E" w:rsidRDefault="00FC0C6B" w:rsidP="00DD38D3">
            <w:pPr>
              <w:jc w:val="center"/>
              <w:rPr>
                <w:rFonts w:cstheme="minorHAnsi"/>
              </w:rPr>
            </w:pPr>
            <w:r w:rsidRPr="00B1522E">
              <w:rPr>
                <w:rFonts w:cstheme="minorHAnsi"/>
              </w:rPr>
              <w:t>209</w:t>
            </w:r>
          </w:p>
        </w:tc>
        <w:tc>
          <w:tcPr>
            <w:tcW w:w="878" w:type="dxa"/>
            <w:vAlign w:val="center"/>
          </w:tcPr>
          <w:p w14:paraId="0EAB1E72" w14:textId="77777777" w:rsidR="00FC0C6B" w:rsidRPr="00B1522E" w:rsidRDefault="00FC0C6B" w:rsidP="00DD38D3">
            <w:pPr>
              <w:jc w:val="center"/>
              <w:rPr>
                <w:rFonts w:cstheme="minorHAnsi"/>
              </w:rPr>
            </w:pPr>
            <w:r w:rsidRPr="00B1522E">
              <w:rPr>
                <w:rFonts w:cstheme="minorHAnsi"/>
              </w:rPr>
              <w:t>.117</w:t>
            </w:r>
          </w:p>
        </w:tc>
        <w:tc>
          <w:tcPr>
            <w:tcW w:w="910" w:type="dxa"/>
            <w:vAlign w:val="center"/>
          </w:tcPr>
          <w:p w14:paraId="55BBB1F6" w14:textId="77777777" w:rsidR="00FC0C6B" w:rsidRPr="00B1522E" w:rsidRDefault="00FC0C6B" w:rsidP="00DD38D3">
            <w:pPr>
              <w:jc w:val="center"/>
              <w:rPr>
                <w:rFonts w:cstheme="minorHAnsi"/>
              </w:rPr>
            </w:pPr>
            <w:r w:rsidRPr="00B1522E">
              <w:rPr>
                <w:rFonts w:cstheme="minorHAnsi"/>
              </w:rPr>
              <w:t>.007</w:t>
            </w:r>
          </w:p>
        </w:tc>
      </w:tr>
      <w:tr w:rsidR="00E77769" w:rsidRPr="00B1522E" w14:paraId="64A97040" w14:textId="77777777" w:rsidTr="00DD38D3">
        <w:trPr>
          <w:trHeight w:val="275"/>
        </w:trPr>
        <w:tc>
          <w:tcPr>
            <w:tcW w:w="2268" w:type="dxa"/>
          </w:tcPr>
          <w:p w14:paraId="4FB22768" w14:textId="77777777" w:rsidR="00FC0C6B" w:rsidRPr="00B1522E" w:rsidRDefault="00FC0C6B" w:rsidP="00DD38D3">
            <w:pPr>
              <w:ind w:left="174" w:hanging="142"/>
              <w:rPr>
                <w:rFonts w:cstheme="minorHAnsi"/>
                <w:vertAlign w:val="superscript"/>
              </w:rPr>
            </w:pPr>
            <w:r w:rsidRPr="00B1522E">
              <w:rPr>
                <w:rFonts w:cstheme="minorHAnsi"/>
              </w:rPr>
              <w:t>Misperceptions of peers’ attitude towards unhealthy snacking</w:t>
            </w:r>
            <w:r w:rsidRPr="00B1522E">
              <w:rPr>
                <w:rFonts w:cstheme="minorHAnsi"/>
                <w:vertAlign w:val="superscript"/>
              </w:rPr>
              <w:t>c</w:t>
            </w:r>
          </w:p>
        </w:tc>
        <w:tc>
          <w:tcPr>
            <w:tcW w:w="709" w:type="dxa"/>
            <w:vAlign w:val="center"/>
          </w:tcPr>
          <w:p w14:paraId="009E9E5F" w14:textId="77777777" w:rsidR="00FC0C6B" w:rsidRPr="00B1522E" w:rsidRDefault="00FC0C6B" w:rsidP="00DD38D3">
            <w:pPr>
              <w:jc w:val="center"/>
              <w:rPr>
                <w:rFonts w:cstheme="minorHAnsi"/>
              </w:rPr>
            </w:pPr>
            <w:r w:rsidRPr="00B1522E">
              <w:rPr>
                <w:rFonts w:cstheme="minorHAnsi"/>
              </w:rPr>
              <w:t>130</w:t>
            </w:r>
          </w:p>
        </w:tc>
        <w:tc>
          <w:tcPr>
            <w:tcW w:w="1044" w:type="dxa"/>
            <w:vAlign w:val="center"/>
          </w:tcPr>
          <w:p w14:paraId="602E50F7" w14:textId="77777777" w:rsidR="00FC0C6B" w:rsidRPr="00B1522E" w:rsidRDefault="00FC0C6B" w:rsidP="00DD38D3">
            <w:pPr>
              <w:tabs>
                <w:tab w:val="decimal" w:pos="294"/>
              </w:tabs>
              <w:jc w:val="center"/>
              <w:rPr>
                <w:rFonts w:cstheme="minorHAnsi"/>
              </w:rPr>
            </w:pPr>
            <w:r w:rsidRPr="00B1522E">
              <w:rPr>
                <w:rFonts w:cstheme="minorHAnsi"/>
              </w:rPr>
              <w:t>.79</w:t>
            </w:r>
          </w:p>
        </w:tc>
        <w:tc>
          <w:tcPr>
            <w:tcW w:w="1045" w:type="dxa"/>
            <w:vAlign w:val="center"/>
          </w:tcPr>
          <w:p w14:paraId="6BE5053F" w14:textId="77777777" w:rsidR="00FC0C6B" w:rsidRPr="00B1522E" w:rsidRDefault="00FC0C6B" w:rsidP="00DD38D3">
            <w:pPr>
              <w:tabs>
                <w:tab w:val="decimal" w:pos="387"/>
              </w:tabs>
              <w:jc w:val="center"/>
              <w:rPr>
                <w:rFonts w:cstheme="minorHAnsi"/>
              </w:rPr>
            </w:pPr>
            <w:r w:rsidRPr="00B1522E">
              <w:rPr>
                <w:rFonts w:cstheme="minorHAnsi"/>
              </w:rPr>
              <w:t>.12</w:t>
            </w:r>
          </w:p>
        </w:tc>
        <w:tc>
          <w:tcPr>
            <w:tcW w:w="1045" w:type="dxa"/>
            <w:gridSpan w:val="2"/>
            <w:vAlign w:val="center"/>
          </w:tcPr>
          <w:p w14:paraId="4C072E4F" w14:textId="77777777" w:rsidR="00FC0C6B" w:rsidRPr="00B1522E" w:rsidRDefault="00FC0C6B" w:rsidP="00DD38D3">
            <w:pPr>
              <w:jc w:val="center"/>
              <w:rPr>
                <w:rFonts w:cstheme="minorHAnsi"/>
              </w:rPr>
            </w:pPr>
            <w:r w:rsidRPr="00B1522E">
              <w:rPr>
                <w:rFonts w:cstheme="minorHAnsi"/>
              </w:rPr>
              <w:t>-.19-</w:t>
            </w:r>
          </w:p>
          <w:p w14:paraId="4A88603E" w14:textId="77777777" w:rsidR="00FC0C6B" w:rsidRPr="00B1522E" w:rsidRDefault="00FC0C6B" w:rsidP="00DD38D3">
            <w:pPr>
              <w:jc w:val="center"/>
              <w:rPr>
                <w:rFonts w:cstheme="minorHAnsi"/>
              </w:rPr>
            </w:pPr>
            <w:r w:rsidRPr="00B1522E">
              <w:rPr>
                <w:rFonts w:cstheme="minorHAnsi"/>
              </w:rPr>
              <w:t>.43</w:t>
            </w:r>
          </w:p>
        </w:tc>
        <w:tc>
          <w:tcPr>
            <w:tcW w:w="693" w:type="dxa"/>
            <w:vAlign w:val="center"/>
          </w:tcPr>
          <w:p w14:paraId="6CE118AA" w14:textId="77777777" w:rsidR="00FC0C6B" w:rsidRPr="00B1522E" w:rsidRDefault="00FC0C6B" w:rsidP="00DD38D3">
            <w:pPr>
              <w:jc w:val="center"/>
              <w:rPr>
                <w:rFonts w:cstheme="minorHAnsi"/>
              </w:rPr>
            </w:pPr>
            <w:r w:rsidRPr="00B1522E">
              <w:rPr>
                <w:rFonts w:cstheme="minorHAnsi"/>
              </w:rPr>
              <w:t>68</w:t>
            </w:r>
          </w:p>
        </w:tc>
        <w:tc>
          <w:tcPr>
            <w:tcW w:w="1050" w:type="dxa"/>
            <w:vAlign w:val="center"/>
          </w:tcPr>
          <w:p w14:paraId="127C326A" w14:textId="77777777" w:rsidR="00FC0C6B" w:rsidRPr="00B1522E" w:rsidRDefault="00FC0C6B" w:rsidP="00DD38D3">
            <w:pPr>
              <w:tabs>
                <w:tab w:val="decimal" w:pos="360"/>
              </w:tabs>
              <w:jc w:val="center"/>
              <w:rPr>
                <w:rFonts w:cstheme="minorHAnsi"/>
              </w:rPr>
            </w:pPr>
            <w:r w:rsidRPr="00B1522E">
              <w:rPr>
                <w:rFonts w:cstheme="minorHAnsi"/>
              </w:rPr>
              <w:t>.84</w:t>
            </w:r>
          </w:p>
        </w:tc>
        <w:tc>
          <w:tcPr>
            <w:tcW w:w="1050" w:type="dxa"/>
            <w:vAlign w:val="center"/>
          </w:tcPr>
          <w:p w14:paraId="41A6BB57" w14:textId="77777777" w:rsidR="00FC0C6B" w:rsidRPr="00B1522E" w:rsidRDefault="00FC0C6B" w:rsidP="00DD38D3">
            <w:pPr>
              <w:tabs>
                <w:tab w:val="decimal" w:pos="268"/>
                <w:tab w:val="left" w:pos="434"/>
              </w:tabs>
              <w:jc w:val="center"/>
              <w:rPr>
                <w:rFonts w:cstheme="minorHAnsi"/>
              </w:rPr>
            </w:pPr>
            <w:r w:rsidRPr="00B1522E">
              <w:rPr>
                <w:rFonts w:cstheme="minorHAnsi"/>
              </w:rPr>
              <w:t>1.20</w:t>
            </w:r>
          </w:p>
        </w:tc>
        <w:tc>
          <w:tcPr>
            <w:tcW w:w="1019" w:type="dxa"/>
            <w:vAlign w:val="center"/>
          </w:tcPr>
          <w:p w14:paraId="346DC03D" w14:textId="77777777" w:rsidR="00FC0C6B" w:rsidRPr="00B1522E" w:rsidRDefault="00FC0C6B" w:rsidP="00DD38D3">
            <w:pPr>
              <w:jc w:val="center"/>
              <w:rPr>
                <w:rFonts w:cstheme="minorHAnsi"/>
              </w:rPr>
            </w:pPr>
            <w:r w:rsidRPr="00B1522E">
              <w:rPr>
                <w:rFonts w:cstheme="minorHAnsi"/>
              </w:rPr>
              <w:t>.78-</w:t>
            </w:r>
          </w:p>
          <w:p w14:paraId="7174B082" w14:textId="77777777" w:rsidR="00FC0C6B" w:rsidRPr="00B1522E" w:rsidRDefault="00FC0C6B" w:rsidP="00DD38D3">
            <w:pPr>
              <w:jc w:val="center"/>
              <w:rPr>
                <w:rFonts w:cstheme="minorHAnsi"/>
              </w:rPr>
            </w:pPr>
            <w:r w:rsidRPr="00B1522E">
              <w:rPr>
                <w:rFonts w:cstheme="minorHAnsi"/>
              </w:rPr>
              <w:t>1.64</w:t>
            </w:r>
          </w:p>
        </w:tc>
        <w:tc>
          <w:tcPr>
            <w:tcW w:w="878" w:type="dxa"/>
            <w:vAlign w:val="center"/>
          </w:tcPr>
          <w:p w14:paraId="24A46EF4" w14:textId="77777777" w:rsidR="00FC0C6B" w:rsidRPr="00B1522E" w:rsidRDefault="00FC0C6B" w:rsidP="00DD38D3">
            <w:pPr>
              <w:tabs>
                <w:tab w:val="decimal" w:pos="172"/>
              </w:tabs>
              <w:jc w:val="center"/>
              <w:rPr>
                <w:rFonts w:cstheme="minorHAnsi"/>
              </w:rPr>
            </w:pPr>
            <w:r w:rsidRPr="00B1522E">
              <w:rPr>
                <w:rFonts w:cstheme="minorHAnsi"/>
              </w:rPr>
              <w:t>16.405</w:t>
            </w:r>
          </w:p>
        </w:tc>
        <w:tc>
          <w:tcPr>
            <w:tcW w:w="878" w:type="dxa"/>
            <w:vAlign w:val="center"/>
          </w:tcPr>
          <w:p w14:paraId="534146B4" w14:textId="77777777" w:rsidR="00FC0C6B" w:rsidRPr="00B1522E" w:rsidRDefault="00FC0C6B" w:rsidP="00DD38D3">
            <w:pPr>
              <w:jc w:val="center"/>
              <w:rPr>
                <w:rFonts w:cstheme="minorHAnsi"/>
              </w:rPr>
            </w:pPr>
            <w:r w:rsidRPr="00B1522E">
              <w:rPr>
                <w:rFonts w:cstheme="minorHAnsi"/>
              </w:rPr>
              <w:t>195</w:t>
            </w:r>
          </w:p>
        </w:tc>
        <w:tc>
          <w:tcPr>
            <w:tcW w:w="878" w:type="dxa"/>
            <w:vAlign w:val="center"/>
          </w:tcPr>
          <w:p w14:paraId="0A424CD9" w14:textId="77777777" w:rsidR="00FC0C6B" w:rsidRPr="00B1522E" w:rsidRDefault="00FC0C6B" w:rsidP="00DD38D3">
            <w:pPr>
              <w:jc w:val="center"/>
              <w:rPr>
                <w:rFonts w:cstheme="minorHAnsi"/>
              </w:rPr>
            </w:pPr>
            <w:r w:rsidRPr="00B1522E">
              <w:rPr>
                <w:rFonts w:cstheme="minorHAnsi"/>
              </w:rPr>
              <w:t>&lt;.001</w:t>
            </w:r>
          </w:p>
        </w:tc>
        <w:tc>
          <w:tcPr>
            <w:tcW w:w="910" w:type="dxa"/>
            <w:vAlign w:val="center"/>
          </w:tcPr>
          <w:p w14:paraId="2C8AD210" w14:textId="77777777" w:rsidR="00FC0C6B" w:rsidRPr="00B1522E" w:rsidRDefault="00FC0C6B" w:rsidP="00DD38D3">
            <w:pPr>
              <w:jc w:val="center"/>
              <w:rPr>
                <w:rFonts w:cstheme="minorHAnsi"/>
              </w:rPr>
            </w:pPr>
            <w:r w:rsidRPr="00B1522E">
              <w:rPr>
                <w:rFonts w:cstheme="minorHAnsi"/>
              </w:rPr>
              <w:t>.059</w:t>
            </w:r>
          </w:p>
        </w:tc>
      </w:tr>
      <w:tr w:rsidR="00FC0C6B" w:rsidRPr="00B1522E" w14:paraId="4B7AEEE4" w14:textId="77777777" w:rsidTr="00DD38D3">
        <w:trPr>
          <w:trHeight w:val="275"/>
        </w:trPr>
        <w:tc>
          <w:tcPr>
            <w:tcW w:w="2268" w:type="dxa"/>
            <w:tcBorders>
              <w:bottom w:val="single" w:sz="4" w:space="0" w:color="auto"/>
            </w:tcBorders>
          </w:tcPr>
          <w:p w14:paraId="5344292E" w14:textId="77777777" w:rsidR="00FC0C6B" w:rsidRPr="00B1522E" w:rsidRDefault="00FC0C6B" w:rsidP="00DD38D3">
            <w:pPr>
              <w:ind w:left="174" w:hanging="142"/>
              <w:rPr>
                <w:rFonts w:cstheme="minorHAnsi"/>
                <w:vertAlign w:val="superscript"/>
              </w:rPr>
            </w:pPr>
            <w:r w:rsidRPr="00B1522E">
              <w:rPr>
                <w:rFonts w:cstheme="minorHAnsi"/>
              </w:rPr>
              <w:t>Misperceptions</w:t>
            </w:r>
            <w:r w:rsidRPr="00B1522E">
              <w:rPr>
                <w:rFonts w:cstheme="minorHAnsi"/>
                <w:vertAlign w:val="superscript"/>
              </w:rPr>
              <w:t xml:space="preserve"> </w:t>
            </w:r>
            <w:r w:rsidRPr="00B1522E">
              <w:rPr>
                <w:rFonts w:cstheme="minorHAnsi"/>
              </w:rPr>
              <w:t>of peers’ attitude towards fewer unhealthy snacks</w:t>
            </w:r>
            <w:r w:rsidRPr="00B1522E">
              <w:rPr>
                <w:rFonts w:cstheme="minorHAnsi"/>
                <w:vertAlign w:val="superscript"/>
              </w:rPr>
              <w:t>c</w:t>
            </w:r>
          </w:p>
        </w:tc>
        <w:tc>
          <w:tcPr>
            <w:tcW w:w="709" w:type="dxa"/>
            <w:tcBorders>
              <w:bottom w:val="single" w:sz="4" w:space="0" w:color="auto"/>
            </w:tcBorders>
            <w:vAlign w:val="center"/>
          </w:tcPr>
          <w:p w14:paraId="78ECB30F" w14:textId="77777777" w:rsidR="00FC0C6B" w:rsidRPr="00B1522E" w:rsidRDefault="00FC0C6B" w:rsidP="00DD38D3">
            <w:pPr>
              <w:jc w:val="center"/>
              <w:rPr>
                <w:rFonts w:cstheme="minorHAnsi"/>
              </w:rPr>
            </w:pPr>
            <w:r w:rsidRPr="00B1522E">
              <w:rPr>
                <w:rFonts w:cstheme="minorHAnsi"/>
              </w:rPr>
              <w:t>128</w:t>
            </w:r>
          </w:p>
        </w:tc>
        <w:tc>
          <w:tcPr>
            <w:tcW w:w="1044" w:type="dxa"/>
            <w:tcBorders>
              <w:bottom w:val="single" w:sz="4" w:space="0" w:color="auto"/>
            </w:tcBorders>
            <w:vAlign w:val="center"/>
          </w:tcPr>
          <w:p w14:paraId="2B9E2F20" w14:textId="77777777" w:rsidR="00FC0C6B" w:rsidRPr="00B1522E" w:rsidRDefault="00FC0C6B" w:rsidP="00DD38D3">
            <w:pPr>
              <w:tabs>
                <w:tab w:val="decimal" w:pos="294"/>
              </w:tabs>
              <w:jc w:val="center"/>
              <w:rPr>
                <w:rFonts w:cstheme="minorHAnsi"/>
              </w:rPr>
            </w:pPr>
            <w:r w:rsidRPr="00B1522E">
              <w:rPr>
                <w:rFonts w:cstheme="minorHAnsi"/>
              </w:rPr>
              <w:t>-.38</w:t>
            </w:r>
          </w:p>
        </w:tc>
        <w:tc>
          <w:tcPr>
            <w:tcW w:w="1045" w:type="dxa"/>
            <w:tcBorders>
              <w:bottom w:val="single" w:sz="4" w:space="0" w:color="auto"/>
            </w:tcBorders>
            <w:vAlign w:val="center"/>
          </w:tcPr>
          <w:p w14:paraId="6E82AF05" w14:textId="77777777" w:rsidR="00FC0C6B" w:rsidRPr="00B1522E" w:rsidRDefault="00FC0C6B" w:rsidP="00DD38D3">
            <w:pPr>
              <w:tabs>
                <w:tab w:val="decimal" w:pos="387"/>
              </w:tabs>
              <w:jc w:val="center"/>
              <w:rPr>
                <w:rFonts w:cstheme="minorHAnsi"/>
              </w:rPr>
            </w:pPr>
            <w:r w:rsidRPr="00B1522E">
              <w:rPr>
                <w:rFonts w:cstheme="minorHAnsi"/>
              </w:rPr>
              <w:t>-1.067</w:t>
            </w:r>
          </w:p>
        </w:tc>
        <w:tc>
          <w:tcPr>
            <w:tcW w:w="1045" w:type="dxa"/>
            <w:gridSpan w:val="2"/>
            <w:tcBorders>
              <w:bottom w:val="single" w:sz="4" w:space="0" w:color="auto"/>
            </w:tcBorders>
            <w:vAlign w:val="center"/>
          </w:tcPr>
          <w:p w14:paraId="26814F33" w14:textId="77777777" w:rsidR="00FC0C6B" w:rsidRPr="00B1522E" w:rsidRDefault="00FC0C6B" w:rsidP="00DD38D3">
            <w:pPr>
              <w:jc w:val="center"/>
              <w:rPr>
                <w:rFonts w:cstheme="minorHAnsi"/>
              </w:rPr>
            </w:pPr>
            <w:r w:rsidRPr="00B1522E">
              <w:rPr>
                <w:rFonts w:cstheme="minorHAnsi"/>
              </w:rPr>
              <w:t>-1.41-</w:t>
            </w:r>
          </w:p>
          <w:p w14:paraId="49C81F15" w14:textId="77777777" w:rsidR="00FC0C6B" w:rsidRPr="00B1522E" w:rsidRDefault="00FC0C6B" w:rsidP="00DD38D3">
            <w:pPr>
              <w:jc w:val="center"/>
              <w:rPr>
                <w:rFonts w:cstheme="minorHAnsi"/>
              </w:rPr>
            </w:pPr>
            <w:r w:rsidRPr="00B1522E">
              <w:rPr>
                <w:rFonts w:cstheme="minorHAnsi"/>
              </w:rPr>
              <w:t>-.72</w:t>
            </w:r>
          </w:p>
        </w:tc>
        <w:tc>
          <w:tcPr>
            <w:tcW w:w="693" w:type="dxa"/>
            <w:tcBorders>
              <w:bottom w:val="single" w:sz="4" w:space="0" w:color="auto"/>
            </w:tcBorders>
            <w:vAlign w:val="center"/>
          </w:tcPr>
          <w:p w14:paraId="1D5D5461" w14:textId="77777777" w:rsidR="00FC0C6B" w:rsidRPr="00B1522E" w:rsidRDefault="00FC0C6B" w:rsidP="00DD38D3">
            <w:pPr>
              <w:jc w:val="center"/>
              <w:rPr>
                <w:rFonts w:cstheme="minorHAnsi"/>
              </w:rPr>
            </w:pPr>
            <w:r w:rsidRPr="00B1522E">
              <w:rPr>
                <w:rFonts w:cstheme="minorHAnsi"/>
              </w:rPr>
              <w:t>66</w:t>
            </w:r>
          </w:p>
        </w:tc>
        <w:tc>
          <w:tcPr>
            <w:tcW w:w="1050" w:type="dxa"/>
            <w:tcBorders>
              <w:bottom w:val="single" w:sz="4" w:space="0" w:color="auto"/>
            </w:tcBorders>
            <w:vAlign w:val="center"/>
          </w:tcPr>
          <w:p w14:paraId="207AC85C" w14:textId="77777777" w:rsidR="00FC0C6B" w:rsidRPr="00B1522E" w:rsidRDefault="00FC0C6B" w:rsidP="00DD38D3">
            <w:pPr>
              <w:tabs>
                <w:tab w:val="decimal" w:pos="360"/>
              </w:tabs>
              <w:jc w:val="center"/>
              <w:rPr>
                <w:rFonts w:cstheme="minorHAnsi"/>
              </w:rPr>
            </w:pPr>
            <w:r w:rsidRPr="00B1522E">
              <w:rPr>
                <w:rFonts w:cstheme="minorHAnsi"/>
              </w:rPr>
              <w:t>-.65</w:t>
            </w:r>
          </w:p>
        </w:tc>
        <w:tc>
          <w:tcPr>
            <w:tcW w:w="1050" w:type="dxa"/>
            <w:tcBorders>
              <w:bottom w:val="single" w:sz="4" w:space="0" w:color="auto"/>
            </w:tcBorders>
            <w:vAlign w:val="center"/>
          </w:tcPr>
          <w:p w14:paraId="216530F7" w14:textId="77777777" w:rsidR="00FC0C6B" w:rsidRPr="00B1522E" w:rsidRDefault="00FC0C6B" w:rsidP="00DD38D3">
            <w:pPr>
              <w:tabs>
                <w:tab w:val="decimal" w:pos="268"/>
                <w:tab w:val="left" w:pos="434"/>
              </w:tabs>
              <w:jc w:val="center"/>
              <w:rPr>
                <w:rFonts w:cstheme="minorHAnsi"/>
              </w:rPr>
            </w:pPr>
            <w:r w:rsidRPr="00B1522E">
              <w:rPr>
                <w:rFonts w:cstheme="minorHAnsi"/>
              </w:rPr>
              <w:t>-1.317</w:t>
            </w:r>
          </w:p>
        </w:tc>
        <w:tc>
          <w:tcPr>
            <w:tcW w:w="1019" w:type="dxa"/>
            <w:tcBorders>
              <w:bottom w:val="single" w:sz="4" w:space="0" w:color="auto"/>
            </w:tcBorders>
            <w:vAlign w:val="center"/>
          </w:tcPr>
          <w:p w14:paraId="42142868" w14:textId="77777777" w:rsidR="00FC0C6B" w:rsidRPr="00B1522E" w:rsidRDefault="00FC0C6B" w:rsidP="00DD38D3">
            <w:pPr>
              <w:jc w:val="center"/>
              <w:rPr>
                <w:rFonts w:cstheme="minorHAnsi"/>
              </w:rPr>
            </w:pPr>
            <w:r w:rsidRPr="00B1522E">
              <w:rPr>
                <w:rFonts w:cstheme="minorHAnsi"/>
              </w:rPr>
              <w:t xml:space="preserve">-1.80- </w:t>
            </w:r>
          </w:p>
          <w:p w14:paraId="1A5EEBDC" w14:textId="77777777" w:rsidR="00FC0C6B" w:rsidRPr="00B1522E" w:rsidRDefault="00FC0C6B" w:rsidP="00DD38D3">
            <w:pPr>
              <w:jc w:val="center"/>
              <w:rPr>
                <w:rFonts w:cstheme="minorHAnsi"/>
              </w:rPr>
            </w:pPr>
            <w:r w:rsidRPr="00B1522E">
              <w:rPr>
                <w:rFonts w:cstheme="minorHAnsi"/>
              </w:rPr>
              <w:t>-.84</w:t>
            </w:r>
          </w:p>
        </w:tc>
        <w:tc>
          <w:tcPr>
            <w:tcW w:w="878" w:type="dxa"/>
            <w:tcBorders>
              <w:bottom w:val="single" w:sz="4" w:space="0" w:color="auto"/>
            </w:tcBorders>
            <w:vAlign w:val="center"/>
          </w:tcPr>
          <w:p w14:paraId="468B14BD" w14:textId="77777777" w:rsidR="00FC0C6B" w:rsidRPr="00B1522E" w:rsidRDefault="00FC0C6B" w:rsidP="00DD38D3">
            <w:pPr>
              <w:tabs>
                <w:tab w:val="decimal" w:pos="172"/>
              </w:tabs>
              <w:jc w:val="center"/>
              <w:rPr>
                <w:rFonts w:cstheme="minorHAnsi"/>
              </w:rPr>
            </w:pPr>
            <w:r w:rsidRPr="00B1522E">
              <w:rPr>
                <w:rFonts w:cstheme="minorHAnsi"/>
              </w:rPr>
              <w:t>.693</w:t>
            </w:r>
          </w:p>
        </w:tc>
        <w:tc>
          <w:tcPr>
            <w:tcW w:w="878" w:type="dxa"/>
            <w:tcBorders>
              <w:bottom w:val="single" w:sz="4" w:space="0" w:color="auto"/>
            </w:tcBorders>
            <w:vAlign w:val="center"/>
          </w:tcPr>
          <w:p w14:paraId="60A76AE1" w14:textId="77777777" w:rsidR="00FC0C6B" w:rsidRPr="00B1522E" w:rsidRDefault="00FC0C6B" w:rsidP="00DD38D3">
            <w:pPr>
              <w:jc w:val="center"/>
              <w:rPr>
                <w:rFonts w:cstheme="minorHAnsi"/>
              </w:rPr>
            </w:pPr>
            <w:r w:rsidRPr="00B1522E">
              <w:rPr>
                <w:rFonts w:cstheme="minorHAnsi"/>
              </w:rPr>
              <w:t>191</w:t>
            </w:r>
          </w:p>
        </w:tc>
        <w:tc>
          <w:tcPr>
            <w:tcW w:w="878" w:type="dxa"/>
            <w:tcBorders>
              <w:bottom w:val="single" w:sz="4" w:space="0" w:color="auto"/>
            </w:tcBorders>
            <w:vAlign w:val="center"/>
          </w:tcPr>
          <w:p w14:paraId="11BC19E0" w14:textId="77777777" w:rsidR="00FC0C6B" w:rsidRPr="00B1522E" w:rsidRDefault="00FC0C6B" w:rsidP="00DD38D3">
            <w:pPr>
              <w:jc w:val="center"/>
              <w:rPr>
                <w:rFonts w:cstheme="minorHAnsi"/>
              </w:rPr>
            </w:pPr>
            <w:r w:rsidRPr="00B1522E">
              <w:rPr>
                <w:rFonts w:cstheme="minorHAnsi"/>
              </w:rPr>
              <w:t>.406</w:t>
            </w:r>
          </w:p>
        </w:tc>
        <w:tc>
          <w:tcPr>
            <w:tcW w:w="910" w:type="dxa"/>
            <w:tcBorders>
              <w:bottom w:val="single" w:sz="4" w:space="0" w:color="auto"/>
            </w:tcBorders>
            <w:vAlign w:val="center"/>
          </w:tcPr>
          <w:p w14:paraId="78395B92" w14:textId="77777777" w:rsidR="00FC0C6B" w:rsidRPr="00B1522E" w:rsidRDefault="00FC0C6B" w:rsidP="00DD38D3">
            <w:pPr>
              <w:jc w:val="center"/>
              <w:rPr>
                <w:rFonts w:cstheme="minorHAnsi"/>
              </w:rPr>
            </w:pPr>
            <w:r w:rsidRPr="00B1522E">
              <w:rPr>
                <w:rFonts w:cstheme="minorHAnsi"/>
              </w:rPr>
              <w:t>.002</w:t>
            </w:r>
          </w:p>
        </w:tc>
      </w:tr>
    </w:tbl>
    <w:p w14:paraId="72FB339C" w14:textId="77777777" w:rsidR="004642E1" w:rsidRPr="00B1522E" w:rsidRDefault="004642E1" w:rsidP="004642E1">
      <w:pPr>
        <w:rPr>
          <w:rFonts w:cstheme="minorHAnsi"/>
        </w:rPr>
      </w:pPr>
    </w:p>
    <w:p w14:paraId="29F7E2C8" w14:textId="77777777" w:rsidR="004642E1" w:rsidRPr="00B1522E" w:rsidRDefault="004642E1" w:rsidP="00FA314F">
      <w:pPr>
        <w:spacing w:line="240" w:lineRule="auto"/>
        <w:rPr>
          <w:rFonts w:cstheme="minorHAnsi"/>
        </w:rPr>
      </w:pPr>
      <w:r w:rsidRPr="00B1522E">
        <w:rPr>
          <w:rFonts w:cstheme="minorHAnsi"/>
          <w:vertAlign w:val="superscript"/>
        </w:rPr>
        <w:t xml:space="preserve">a </w:t>
      </w:r>
      <w:r w:rsidRPr="00B1522E">
        <w:rPr>
          <w:rFonts w:cstheme="minorHAnsi"/>
        </w:rPr>
        <w:t>ANCOHET</w:t>
      </w:r>
    </w:p>
    <w:p w14:paraId="25C3D6EB" w14:textId="72AB5405" w:rsidR="004642E1" w:rsidRPr="00B1522E" w:rsidRDefault="004642E1" w:rsidP="00FA314F">
      <w:pPr>
        <w:spacing w:line="240" w:lineRule="auto"/>
        <w:rPr>
          <w:rFonts w:cstheme="minorHAnsi"/>
        </w:rPr>
      </w:pPr>
      <w:r w:rsidRPr="00B1522E">
        <w:rPr>
          <w:rFonts w:cstheme="minorHAnsi"/>
          <w:vertAlign w:val="superscript"/>
        </w:rPr>
        <w:t>b</w:t>
      </w:r>
      <w:r w:rsidRPr="00B1522E">
        <w:rPr>
          <w:rFonts w:cstheme="minorHAnsi"/>
        </w:rPr>
        <w:t xml:space="preserve"> Misperception scores were calculated by subtracting the median of personal unhealthy snacking behaviour of the group (school/gender</w:t>
      </w:r>
      <w:r w:rsidR="00444E92" w:rsidRPr="00B1522E">
        <w:rPr>
          <w:rFonts w:cstheme="minorHAnsi"/>
        </w:rPr>
        <w:t xml:space="preserve"> </w:t>
      </w:r>
      <w:r w:rsidRPr="00B1522E">
        <w:rPr>
          <w:rFonts w:cstheme="minorHAnsi"/>
        </w:rPr>
        <w:t>specific) from students’ individual normative perception (descriptive) of peers’ behaviour.</w:t>
      </w:r>
    </w:p>
    <w:p w14:paraId="6518BB0D" w14:textId="77777777" w:rsidR="004642E1" w:rsidRPr="00B1522E" w:rsidRDefault="004642E1" w:rsidP="00FA314F">
      <w:pPr>
        <w:spacing w:line="240" w:lineRule="auto"/>
        <w:rPr>
          <w:rFonts w:cstheme="minorHAnsi"/>
        </w:rPr>
      </w:pPr>
      <w:r w:rsidRPr="00B1522E">
        <w:rPr>
          <w:rFonts w:cstheme="minorHAnsi"/>
          <w:vertAlign w:val="superscript"/>
        </w:rPr>
        <w:t>c</w:t>
      </w:r>
      <w:r w:rsidRPr="00B1522E">
        <w:rPr>
          <w:rFonts w:cstheme="minorHAnsi"/>
        </w:rPr>
        <w:t>Misperception scores were calculated by subtracting the median of personal snacking attitude of the group (school/gender specific) from the students’ individual normative perception (injunctive) of peers’ snacking attitudes</w:t>
      </w:r>
    </w:p>
    <w:p w14:paraId="00CCDF15" w14:textId="77777777" w:rsidR="004642E1" w:rsidRPr="00B1522E" w:rsidRDefault="004642E1" w:rsidP="00FA314F">
      <w:pPr>
        <w:spacing w:line="240" w:lineRule="auto"/>
        <w:rPr>
          <w:rFonts w:cstheme="minorHAnsi"/>
        </w:rPr>
      </w:pPr>
      <w:r w:rsidRPr="00B1522E">
        <w:rPr>
          <w:rFonts w:cstheme="minorHAnsi"/>
        </w:rPr>
        <w:t xml:space="preserve">LL: Lower limit, UL: Upper limit </w:t>
      </w:r>
    </w:p>
    <w:p w14:paraId="4E96D7AF" w14:textId="77777777" w:rsidR="004642E1" w:rsidRPr="00B1522E" w:rsidRDefault="004642E1" w:rsidP="00FA314F">
      <w:pPr>
        <w:spacing w:line="240" w:lineRule="auto"/>
        <w:rPr>
          <w:rFonts w:cstheme="minorHAnsi"/>
        </w:rPr>
      </w:pPr>
      <w:r w:rsidRPr="00B1522E">
        <w:rPr>
          <w:rStyle w:val="Emphasis"/>
          <w:rFonts w:cstheme="minorHAnsi"/>
        </w:rPr>
        <w:t>η</w:t>
      </w:r>
      <w:r w:rsidRPr="00B1522E">
        <w:rPr>
          <w:rStyle w:val="Emphasis"/>
          <w:rFonts w:cstheme="minorHAnsi"/>
          <w:vertAlign w:val="superscript"/>
        </w:rPr>
        <w:t xml:space="preserve">2 </w:t>
      </w:r>
      <w:r w:rsidRPr="00B1522E">
        <w:rPr>
          <w:rStyle w:val="Emphasis"/>
          <w:rFonts w:cstheme="minorHAnsi"/>
        </w:rPr>
        <w:t xml:space="preserve">– Eta squared </w:t>
      </w:r>
    </w:p>
    <w:p w14:paraId="0BDD311E" w14:textId="77777777" w:rsidR="004642E1" w:rsidRPr="00B1522E" w:rsidRDefault="004642E1" w:rsidP="004642E1">
      <w:pPr>
        <w:spacing w:line="480" w:lineRule="auto"/>
        <w:jc w:val="center"/>
        <w:rPr>
          <w:rFonts w:cstheme="minorHAnsi"/>
        </w:rPr>
      </w:pPr>
    </w:p>
    <w:p w14:paraId="3FB1F0FD" w14:textId="77777777" w:rsidR="004642E1" w:rsidRPr="00B1522E" w:rsidRDefault="004642E1" w:rsidP="004642E1">
      <w:pPr>
        <w:spacing w:line="480" w:lineRule="auto"/>
        <w:jc w:val="both"/>
        <w:rPr>
          <w:rFonts w:cstheme="minorHAnsi"/>
        </w:rPr>
      </w:pPr>
    </w:p>
    <w:p w14:paraId="2876F061" w14:textId="77777777" w:rsidR="004642E1" w:rsidRPr="00B1522E" w:rsidRDefault="004642E1" w:rsidP="004642E1">
      <w:pPr>
        <w:spacing w:line="480" w:lineRule="auto"/>
        <w:jc w:val="both"/>
        <w:rPr>
          <w:rFonts w:cstheme="minorHAnsi"/>
        </w:rPr>
      </w:pPr>
    </w:p>
    <w:p w14:paraId="75F0843D" w14:textId="77777777" w:rsidR="004642E1" w:rsidRPr="00B1522E" w:rsidRDefault="004642E1" w:rsidP="004642E1">
      <w:pPr>
        <w:spacing w:line="480" w:lineRule="auto"/>
        <w:jc w:val="both"/>
        <w:rPr>
          <w:rFonts w:cstheme="minorHAnsi"/>
        </w:rPr>
      </w:pPr>
    </w:p>
    <w:p w14:paraId="270E118C" w14:textId="77777777" w:rsidR="004642E1" w:rsidRPr="00B1522E" w:rsidRDefault="004642E1" w:rsidP="004642E1">
      <w:pPr>
        <w:spacing w:line="480" w:lineRule="auto"/>
        <w:jc w:val="both"/>
        <w:rPr>
          <w:rFonts w:cstheme="minorHAnsi"/>
        </w:rPr>
      </w:pPr>
    </w:p>
    <w:p w14:paraId="61C3E539" w14:textId="77777777" w:rsidR="004642E1" w:rsidRPr="00B1522E" w:rsidRDefault="004642E1" w:rsidP="004642E1">
      <w:pPr>
        <w:spacing w:line="480" w:lineRule="auto"/>
        <w:jc w:val="both"/>
        <w:rPr>
          <w:rFonts w:cstheme="minorHAnsi"/>
        </w:rPr>
      </w:pPr>
    </w:p>
    <w:p w14:paraId="46CD74C3" w14:textId="77777777" w:rsidR="004E092E" w:rsidRPr="00B1522E" w:rsidRDefault="004E092E" w:rsidP="004642E1">
      <w:pPr>
        <w:spacing w:line="480" w:lineRule="auto"/>
        <w:jc w:val="both"/>
        <w:rPr>
          <w:rFonts w:cstheme="minorHAnsi"/>
        </w:rPr>
        <w:sectPr w:rsidR="004E092E" w:rsidRPr="00B1522E" w:rsidSect="00135EFC">
          <w:footerReference w:type="default" r:id="rId36"/>
          <w:pgSz w:w="16838" w:h="11906" w:orient="landscape"/>
          <w:pgMar w:top="1440" w:right="1440" w:bottom="1440" w:left="1440" w:header="708" w:footer="708" w:gutter="0"/>
          <w:cols w:space="708"/>
          <w:docGrid w:linePitch="360"/>
        </w:sectPr>
      </w:pPr>
    </w:p>
    <w:bookmarkStart w:id="252" w:name="_Toc84678971"/>
    <w:p w14:paraId="45970F0C" w14:textId="7707908F" w:rsidR="004642E1" w:rsidRPr="00B1522E" w:rsidRDefault="006D68EC" w:rsidP="00FA314F">
      <w:pPr>
        <w:spacing w:line="480" w:lineRule="auto"/>
      </w:pPr>
      <w:r w:rsidRPr="00B1522E">
        <w:lastRenderedPageBreak/>
        <w:fldChar w:fldCharType="begin"/>
      </w:r>
      <w:r w:rsidRPr="00B1522E">
        <w:instrText xml:space="preserve"> TC  "</w:instrText>
      </w:r>
      <w:bookmarkStart w:id="253" w:name="_Toc97310509"/>
      <w:r w:rsidRPr="00B1522E">
        <w:instrText>8.4.4 Intervention outcomes at 3-month follow-up (Time 3)</w:instrText>
      </w:r>
      <w:bookmarkEnd w:id="253"/>
      <w:r w:rsidRPr="00B1522E">
        <w:instrText xml:space="preserve"> " \f x\l 3 </w:instrText>
      </w:r>
      <w:r w:rsidRPr="00B1522E">
        <w:fldChar w:fldCharType="end"/>
      </w:r>
      <w:r w:rsidR="004642E1" w:rsidRPr="00B1522E">
        <w:t xml:space="preserve">8.4.4 </w:t>
      </w:r>
      <w:r w:rsidR="00EB29BE" w:rsidRPr="00B1522E">
        <w:t>O</w:t>
      </w:r>
      <w:r w:rsidR="004642E1" w:rsidRPr="00B1522E">
        <w:t>utcomes at 3-month follow-up (Time 3)</w:t>
      </w:r>
      <w:bookmarkEnd w:id="252"/>
    </w:p>
    <w:p w14:paraId="602BB0AB" w14:textId="0B92F8E3" w:rsidR="00EB29BE" w:rsidRPr="00B1522E" w:rsidRDefault="00EB29BE" w:rsidP="00FA314F">
      <w:pPr>
        <w:spacing w:line="480" w:lineRule="auto"/>
        <w:jc w:val="both"/>
      </w:pPr>
      <w:r w:rsidRPr="00B1522E">
        <w:t xml:space="preserve">Table </w:t>
      </w:r>
      <w:r w:rsidR="00903F70" w:rsidRPr="00B1522E">
        <w:t>1</w:t>
      </w:r>
      <w:r w:rsidR="00C702D1" w:rsidRPr="00B1522E">
        <w:t>8</w:t>
      </w:r>
      <w:r w:rsidRPr="00B1522E">
        <w:t xml:space="preserve"> presents the outcomes of individual ANCOVA/ANCOHET analyses for the seven outcome variables at Time 3, with the baseline value treated as the covariate. At Time 3, the analyses showed significant differences in personal unhealthy snacking consumption and personal attitudes towards unhealthy snacking between the conditions. Students who received SNA feedback consumed fewer unhealthy snacks (M = 17.66, SE = 1.16) compared to students in the control condition where snacking increased (M = 19.74, SE = 1.49), </w:t>
      </w:r>
      <w:r w:rsidRPr="00B1522E">
        <w:rPr>
          <w:i/>
          <w:iCs/>
        </w:rPr>
        <w:t>F</w:t>
      </w:r>
      <w:r w:rsidRPr="00B1522E">
        <w:t xml:space="preserve">(1, 232) = 6.133, </w:t>
      </w:r>
      <w:r w:rsidRPr="00B1522E">
        <w:rPr>
          <w:i/>
          <w:iCs/>
        </w:rPr>
        <w:t>p</w:t>
      </w:r>
      <w:r w:rsidRPr="00B1522E">
        <w:t xml:space="preserve"> = .014, </w:t>
      </w:r>
      <w:r w:rsidRPr="00B1522E">
        <w:rPr>
          <w:rStyle w:val="Emphasis"/>
        </w:rPr>
        <w:t>η</w:t>
      </w:r>
      <w:r w:rsidRPr="00B1522E">
        <w:rPr>
          <w:rStyle w:val="mi"/>
          <w:bdr w:val="none" w:sz="0" w:space="0" w:color="auto" w:frame="1"/>
          <w:shd w:val="clear" w:color="auto" w:fill="FFFFFF"/>
          <w:vertAlign w:val="superscript"/>
        </w:rPr>
        <w:t xml:space="preserve"> 2</w:t>
      </w:r>
      <w:r w:rsidRPr="00B1522E">
        <w:rPr>
          <w:rStyle w:val="mi"/>
          <w:bdr w:val="none" w:sz="0" w:space="0" w:color="auto" w:frame="1"/>
          <w:shd w:val="clear" w:color="auto" w:fill="FFFFFF"/>
        </w:rPr>
        <w:t xml:space="preserve"> =.007</w:t>
      </w:r>
      <w:r w:rsidRPr="00B1522E">
        <w:rPr>
          <w:i/>
          <w:iCs/>
        </w:rPr>
        <w:t xml:space="preserve"> </w:t>
      </w:r>
      <w:r w:rsidRPr="00B1522E">
        <w:t xml:space="preserve">(Table </w:t>
      </w:r>
      <w:r w:rsidR="00903F70" w:rsidRPr="00B1522E">
        <w:t>1</w:t>
      </w:r>
      <w:r w:rsidR="00595A99" w:rsidRPr="00B1522E">
        <w:t>8</w:t>
      </w:r>
      <w:r w:rsidRPr="00B1522E">
        <w:t>). Students who received SNA feedback had less positive attitudes towards unhealthy snacking (M = 5.10, SE = .1</w:t>
      </w:r>
      <w:r w:rsidR="00D74FC5" w:rsidRPr="00B1522E">
        <w:t>2</w:t>
      </w:r>
      <w:r w:rsidRPr="00B1522E">
        <w:t>) compared with students in the control condition, whose attitudes towards unhealthy snacking became more positive (M= 5.68, SE = .1</w:t>
      </w:r>
      <w:r w:rsidR="00D74FC5" w:rsidRPr="00B1522E">
        <w:t>6</w:t>
      </w:r>
      <w:r w:rsidRPr="00B1522E">
        <w:t xml:space="preserve">), </w:t>
      </w:r>
      <w:r w:rsidRPr="00B1522E">
        <w:rPr>
          <w:i/>
          <w:iCs/>
        </w:rPr>
        <w:t>F</w:t>
      </w:r>
      <w:r w:rsidRPr="00B1522E">
        <w:t xml:space="preserve">(1, 198) = 8.779, </w:t>
      </w:r>
      <w:r w:rsidRPr="00B1522E">
        <w:rPr>
          <w:i/>
          <w:iCs/>
        </w:rPr>
        <w:t>p</w:t>
      </w:r>
      <w:r w:rsidRPr="00B1522E">
        <w:t xml:space="preserve"> = .003, </w:t>
      </w:r>
      <w:r w:rsidRPr="00B1522E">
        <w:rPr>
          <w:rStyle w:val="Emphasis"/>
        </w:rPr>
        <w:t>η</w:t>
      </w:r>
      <w:r w:rsidRPr="00B1522E">
        <w:rPr>
          <w:rStyle w:val="mi"/>
          <w:bdr w:val="none" w:sz="0" w:space="0" w:color="auto" w:frame="1"/>
          <w:shd w:val="clear" w:color="auto" w:fill="FFFFFF"/>
          <w:vertAlign w:val="superscript"/>
        </w:rPr>
        <w:t xml:space="preserve"> 2</w:t>
      </w:r>
      <w:r w:rsidRPr="00B1522E">
        <w:rPr>
          <w:rStyle w:val="mi"/>
          <w:bdr w:val="none" w:sz="0" w:space="0" w:color="auto" w:frame="1"/>
          <w:shd w:val="clear" w:color="auto" w:fill="FFFFFF"/>
        </w:rPr>
        <w:t xml:space="preserve"> =.002</w:t>
      </w:r>
      <w:r w:rsidRPr="00B1522E">
        <w:t xml:space="preserve"> (Table </w:t>
      </w:r>
      <w:r w:rsidR="00903F70" w:rsidRPr="00B1522E">
        <w:t>1</w:t>
      </w:r>
      <w:r w:rsidR="00C702D1" w:rsidRPr="00B1522E">
        <w:t>8</w:t>
      </w:r>
      <w:r w:rsidRPr="00B1522E">
        <w:t>). There were no other significant e</w:t>
      </w:r>
      <w:r w:rsidRPr="00B1522E">
        <w:rPr>
          <w:shd w:val="clear" w:color="auto" w:fill="FFFFFF"/>
        </w:rPr>
        <w:t>ffects observed</w:t>
      </w:r>
      <w:r w:rsidRPr="00B1522E">
        <w:t xml:space="preserve"> at 3-month follow-up</w:t>
      </w:r>
      <w:r w:rsidRPr="00B1522E">
        <w:rPr>
          <w:shd w:val="clear" w:color="auto" w:fill="FFFFFF"/>
        </w:rPr>
        <w:t xml:space="preserve"> </w:t>
      </w:r>
      <w:r w:rsidRPr="00B1522E">
        <w:t>(Time 3).</w:t>
      </w:r>
    </w:p>
    <w:p w14:paraId="4C8A6808" w14:textId="77777777" w:rsidR="004642E1" w:rsidRPr="00B1522E" w:rsidRDefault="004642E1" w:rsidP="004642E1">
      <w:pPr>
        <w:pStyle w:val="ListParagraph"/>
        <w:spacing w:line="480" w:lineRule="auto"/>
        <w:ind w:left="0"/>
        <w:jc w:val="center"/>
        <w:rPr>
          <w:rFonts w:cstheme="minorHAnsi"/>
        </w:rPr>
      </w:pPr>
    </w:p>
    <w:p w14:paraId="74C5DF62" w14:textId="77777777" w:rsidR="004642E1" w:rsidRPr="00B1522E" w:rsidRDefault="004642E1" w:rsidP="004642E1">
      <w:pPr>
        <w:pStyle w:val="ListParagraph"/>
        <w:spacing w:line="480" w:lineRule="auto"/>
        <w:ind w:left="0"/>
        <w:jc w:val="center"/>
        <w:rPr>
          <w:rFonts w:cstheme="minorHAnsi"/>
        </w:rPr>
      </w:pPr>
    </w:p>
    <w:p w14:paraId="6617A2B1" w14:textId="77777777" w:rsidR="004642E1" w:rsidRPr="00B1522E" w:rsidRDefault="004642E1" w:rsidP="004642E1">
      <w:pPr>
        <w:pStyle w:val="ListParagraph"/>
        <w:spacing w:line="480" w:lineRule="auto"/>
        <w:ind w:left="0"/>
        <w:jc w:val="center"/>
        <w:rPr>
          <w:rFonts w:cstheme="minorHAnsi"/>
        </w:rPr>
      </w:pPr>
    </w:p>
    <w:p w14:paraId="33C95650" w14:textId="77777777" w:rsidR="004642E1" w:rsidRPr="00B1522E" w:rsidRDefault="004642E1" w:rsidP="004642E1">
      <w:pPr>
        <w:pStyle w:val="ListParagraph"/>
        <w:spacing w:line="480" w:lineRule="auto"/>
        <w:ind w:left="0"/>
        <w:jc w:val="center"/>
        <w:rPr>
          <w:rFonts w:cstheme="minorHAnsi"/>
        </w:rPr>
      </w:pPr>
    </w:p>
    <w:p w14:paraId="4E01181F" w14:textId="77777777" w:rsidR="004642E1" w:rsidRPr="00B1522E" w:rsidRDefault="004642E1" w:rsidP="004642E1">
      <w:pPr>
        <w:pStyle w:val="ListParagraph"/>
        <w:spacing w:line="480" w:lineRule="auto"/>
        <w:ind w:left="0"/>
        <w:jc w:val="center"/>
        <w:rPr>
          <w:rFonts w:cstheme="minorHAnsi"/>
        </w:rPr>
      </w:pPr>
    </w:p>
    <w:p w14:paraId="1B074E08" w14:textId="77777777" w:rsidR="004642E1" w:rsidRPr="00B1522E" w:rsidRDefault="004642E1" w:rsidP="004642E1">
      <w:pPr>
        <w:pStyle w:val="ListParagraph"/>
        <w:spacing w:line="480" w:lineRule="auto"/>
        <w:ind w:left="0"/>
        <w:jc w:val="center"/>
        <w:rPr>
          <w:rFonts w:cstheme="minorHAnsi"/>
        </w:rPr>
      </w:pPr>
    </w:p>
    <w:p w14:paraId="02494A8C" w14:textId="77777777" w:rsidR="004642E1" w:rsidRPr="00B1522E" w:rsidRDefault="004642E1" w:rsidP="004642E1">
      <w:pPr>
        <w:pStyle w:val="ListParagraph"/>
        <w:spacing w:line="480" w:lineRule="auto"/>
        <w:ind w:left="0"/>
        <w:jc w:val="center"/>
        <w:rPr>
          <w:rFonts w:cstheme="minorHAnsi"/>
        </w:rPr>
      </w:pPr>
    </w:p>
    <w:p w14:paraId="50BD94D5" w14:textId="77777777" w:rsidR="004642E1" w:rsidRPr="00B1522E" w:rsidRDefault="004642E1" w:rsidP="004642E1">
      <w:pPr>
        <w:pStyle w:val="ListParagraph"/>
        <w:spacing w:line="480" w:lineRule="auto"/>
        <w:ind w:left="0"/>
        <w:jc w:val="center"/>
        <w:rPr>
          <w:rFonts w:cstheme="minorHAnsi"/>
        </w:rPr>
      </w:pPr>
    </w:p>
    <w:p w14:paraId="14037D29" w14:textId="77777777" w:rsidR="004642E1" w:rsidRPr="00B1522E" w:rsidRDefault="004642E1" w:rsidP="004642E1">
      <w:pPr>
        <w:pStyle w:val="ListParagraph"/>
        <w:spacing w:line="480" w:lineRule="auto"/>
        <w:ind w:left="0"/>
        <w:jc w:val="center"/>
        <w:rPr>
          <w:rFonts w:cstheme="minorHAnsi"/>
        </w:rPr>
      </w:pPr>
    </w:p>
    <w:p w14:paraId="64E546D7" w14:textId="77777777" w:rsidR="004642E1" w:rsidRPr="00B1522E" w:rsidRDefault="004642E1" w:rsidP="004642E1">
      <w:pPr>
        <w:pStyle w:val="ListParagraph"/>
        <w:spacing w:line="480" w:lineRule="auto"/>
        <w:ind w:left="0"/>
        <w:jc w:val="center"/>
        <w:rPr>
          <w:rFonts w:cstheme="minorHAnsi"/>
        </w:rPr>
      </w:pPr>
    </w:p>
    <w:p w14:paraId="4ADB81BE" w14:textId="77777777" w:rsidR="004642E1" w:rsidRPr="00B1522E" w:rsidRDefault="004642E1" w:rsidP="004642E1">
      <w:pPr>
        <w:pStyle w:val="ListParagraph"/>
        <w:spacing w:line="480" w:lineRule="auto"/>
        <w:ind w:left="0"/>
        <w:jc w:val="center"/>
        <w:rPr>
          <w:rFonts w:cstheme="minorHAnsi"/>
        </w:rPr>
      </w:pPr>
    </w:p>
    <w:p w14:paraId="620D357B" w14:textId="77777777" w:rsidR="004642E1" w:rsidRPr="00B1522E" w:rsidRDefault="004642E1" w:rsidP="004642E1">
      <w:pPr>
        <w:pStyle w:val="ListParagraph"/>
        <w:spacing w:line="480" w:lineRule="auto"/>
        <w:ind w:left="0"/>
        <w:jc w:val="center"/>
        <w:rPr>
          <w:rFonts w:cstheme="minorHAnsi"/>
        </w:rPr>
      </w:pPr>
    </w:p>
    <w:p w14:paraId="42B19B15" w14:textId="77777777" w:rsidR="000D1EAF" w:rsidRPr="00B1522E" w:rsidRDefault="000D1EAF" w:rsidP="000E3F9F">
      <w:pPr>
        <w:spacing w:line="480" w:lineRule="auto"/>
        <w:rPr>
          <w:rFonts w:cstheme="minorHAnsi"/>
        </w:rPr>
        <w:sectPr w:rsidR="000D1EAF" w:rsidRPr="00B1522E" w:rsidSect="004E092E">
          <w:pgSz w:w="11906" w:h="16838"/>
          <w:pgMar w:top="1440" w:right="1440" w:bottom="1440" w:left="1440" w:header="708" w:footer="708" w:gutter="0"/>
          <w:cols w:space="708"/>
          <w:docGrid w:linePitch="360"/>
        </w:sectPr>
      </w:pPr>
    </w:p>
    <w:p w14:paraId="2DE32A96" w14:textId="232CBDF5" w:rsidR="004642E1" w:rsidRPr="00B1522E" w:rsidRDefault="004B7E33" w:rsidP="004642E1">
      <w:r w:rsidRPr="00B1522E">
        <w:rPr>
          <w:b/>
          <w:bCs/>
          <w:i/>
          <w:iCs/>
        </w:rPr>
        <w:lastRenderedPageBreak/>
        <w:fldChar w:fldCharType="begin"/>
      </w:r>
      <w:r w:rsidRPr="00B1522E">
        <w:rPr>
          <w:b/>
          <w:bCs/>
          <w:i/>
          <w:iCs/>
        </w:rPr>
        <w:instrText xml:space="preserve"> TC  "</w:instrText>
      </w:r>
      <w:r w:rsidRPr="00B1522E">
        <w:rPr>
          <w:i/>
          <w:iCs/>
        </w:rPr>
        <w:instrText xml:space="preserve"> </w:instrText>
      </w:r>
      <w:bookmarkStart w:id="254" w:name="_Toc97557141"/>
      <w:r w:rsidRPr="00B1522E">
        <w:instrText xml:space="preserve">Table </w:instrText>
      </w:r>
      <w:r w:rsidR="003A4E9D" w:rsidRPr="00B1522E">
        <w:instrText>1</w:instrText>
      </w:r>
      <w:r w:rsidR="00C24220" w:rsidRPr="00B1522E">
        <w:instrText>8</w:instrText>
      </w:r>
      <w:r w:rsidRPr="00B1522E">
        <w:instrText xml:space="preserve">. Shows results of the ANCOVA/ANCOHET with adjusted means, standard errors and confidence intervals for each of the outcome variables for the post-intervention data (Time </w:instrText>
      </w:r>
      <w:r w:rsidR="00EB4AC7" w:rsidRPr="00B1522E">
        <w:instrText>3</w:instrText>
      </w:r>
      <w:r w:rsidRPr="00B1522E">
        <w:instrText>).</w:instrText>
      </w:r>
      <w:bookmarkEnd w:id="254"/>
      <w:r w:rsidR="00F53D82" w:rsidRPr="00B1522E">
        <w:instrText>”</w:instrText>
      </w:r>
      <w:r w:rsidRPr="00B1522E">
        <w:rPr>
          <w:b/>
          <w:bCs/>
          <w:i/>
          <w:iCs/>
        </w:rPr>
        <w:instrText xml:space="preserve">\f z\l 2 </w:instrText>
      </w:r>
      <w:r w:rsidRPr="00B1522E">
        <w:rPr>
          <w:b/>
          <w:bCs/>
          <w:i/>
          <w:iCs/>
        </w:rPr>
        <w:fldChar w:fldCharType="end"/>
      </w:r>
      <w:r w:rsidR="004642E1" w:rsidRPr="00B1522E">
        <w:t xml:space="preserve">Table </w:t>
      </w:r>
      <w:r w:rsidR="003A4E9D" w:rsidRPr="00B1522E">
        <w:t>1</w:t>
      </w:r>
      <w:r w:rsidR="00C24220" w:rsidRPr="00B1522E">
        <w:t>8</w:t>
      </w:r>
      <w:r w:rsidR="006A3DB5" w:rsidRPr="00B1522E">
        <w:t xml:space="preserve">. </w:t>
      </w:r>
      <w:r w:rsidR="004642E1" w:rsidRPr="00B1522E">
        <w:t>Shows results of the ANCOVA/ANCOHET with adjusted means, standard errors and confidence intervals for each of the outcome variables for the 3-month follow-up data (Time 3).</w:t>
      </w:r>
    </w:p>
    <w:tbl>
      <w:tblPr>
        <w:tblStyle w:val="TableGrid"/>
        <w:tblW w:w="1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68"/>
        <w:gridCol w:w="1023"/>
        <w:gridCol w:w="1023"/>
        <w:gridCol w:w="1024"/>
        <w:gridCol w:w="615"/>
        <w:gridCol w:w="1086"/>
        <w:gridCol w:w="1087"/>
        <w:gridCol w:w="1087"/>
        <w:gridCol w:w="851"/>
        <w:gridCol w:w="850"/>
        <w:gridCol w:w="851"/>
        <w:gridCol w:w="850"/>
      </w:tblGrid>
      <w:tr w:rsidR="00E77769" w:rsidRPr="00B1522E" w14:paraId="6DE15E2D" w14:textId="77777777" w:rsidTr="00DD38D3">
        <w:trPr>
          <w:trHeight w:val="563"/>
        </w:trPr>
        <w:tc>
          <w:tcPr>
            <w:tcW w:w="2126" w:type="dxa"/>
            <w:tcBorders>
              <w:top w:val="single" w:sz="4" w:space="0" w:color="auto"/>
            </w:tcBorders>
          </w:tcPr>
          <w:p w14:paraId="4DC5277E" w14:textId="77777777" w:rsidR="00AC4454" w:rsidRPr="00B1522E" w:rsidRDefault="00AC4454" w:rsidP="00DD38D3">
            <w:pPr>
              <w:ind w:left="362"/>
              <w:jc w:val="center"/>
            </w:pPr>
          </w:p>
        </w:tc>
        <w:tc>
          <w:tcPr>
            <w:tcW w:w="3638" w:type="dxa"/>
            <w:gridSpan w:val="4"/>
            <w:tcBorders>
              <w:top w:val="single" w:sz="4" w:space="0" w:color="auto"/>
              <w:bottom w:val="single" w:sz="4" w:space="0" w:color="auto"/>
            </w:tcBorders>
            <w:vAlign w:val="center"/>
          </w:tcPr>
          <w:p w14:paraId="1F88E438" w14:textId="77777777" w:rsidR="00AC4454" w:rsidRPr="00B1522E" w:rsidRDefault="00AC4454" w:rsidP="00DD38D3">
            <w:pPr>
              <w:jc w:val="center"/>
            </w:pPr>
            <w:r w:rsidRPr="00B1522E">
              <w:t>SNA feedback</w:t>
            </w:r>
          </w:p>
        </w:tc>
        <w:tc>
          <w:tcPr>
            <w:tcW w:w="3875" w:type="dxa"/>
            <w:gridSpan w:val="4"/>
            <w:tcBorders>
              <w:top w:val="single" w:sz="4" w:space="0" w:color="auto"/>
              <w:bottom w:val="single" w:sz="4" w:space="0" w:color="auto"/>
            </w:tcBorders>
            <w:vAlign w:val="center"/>
          </w:tcPr>
          <w:p w14:paraId="61A7EAD8" w14:textId="77777777" w:rsidR="00AC4454" w:rsidRPr="00B1522E" w:rsidRDefault="00AC4454" w:rsidP="00DD38D3">
            <w:pPr>
              <w:jc w:val="center"/>
            </w:pPr>
            <w:r w:rsidRPr="00B1522E">
              <w:t>Control</w:t>
            </w:r>
          </w:p>
        </w:tc>
        <w:tc>
          <w:tcPr>
            <w:tcW w:w="3402" w:type="dxa"/>
            <w:gridSpan w:val="4"/>
            <w:tcBorders>
              <w:top w:val="single" w:sz="4" w:space="0" w:color="auto"/>
              <w:bottom w:val="single" w:sz="4" w:space="0" w:color="auto"/>
            </w:tcBorders>
            <w:vAlign w:val="center"/>
          </w:tcPr>
          <w:p w14:paraId="01E94AA5" w14:textId="77777777" w:rsidR="00AC4454" w:rsidRPr="00B1522E" w:rsidRDefault="00AC4454" w:rsidP="00DD38D3">
            <w:pPr>
              <w:jc w:val="center"/>
            </w:pPr>
            <w:r w:rsidRPr="00B1522E">
              <w:t>ANCOVA/ANCOHET</w:t>
            </w:r>
          </w:p>
        </w:tc>
      </w:tr>
      <w:tr w:rsidR="00E77769" w:rsidRPr="00B1522E" w14:paraId="0EF5332E" w14:textId="77777777" w:rsidTr="00DD38D3">
        <w:trPr>
          <w:trHeight w:val="1114"/>
        </w:trPr>
        <w:tc>
          <w:tcPr>
            <w:tcW w:w="2126" w:type="dxa"/>
            <w:tcBorders>
              <w:bottom w:val="single" w:sz="4" w:space="0" w:color="auto"/>
            </w:tcBorders>
          </w:tcPr>
          <w:p w14:paraId="79E6D411" w14:textId="77777777" w:rsidR="00AC4454" w:rsidRPr="00B1522E" w:rsidRDefault="00AC4454" w:rsidP="00DD38D3">
            <w:pPr>
              <w:rPr>
                <w:rFonts w:cstheme="minorHAnsi"/>
              </w:rPr>
            </w:pPr>
          </w:p>
        </w:tc>
        <w:tc>
          <w:tcPr>
            <w:tcW w:w="568" w:type="dxa"/>
            <w:tcBorders>
              <w:top w:val="single" w:sz="4" w:space="0" w:color="auto"/>
              <w:bottom w:val="single" w:sz="4" w:space="0" w:color="auto"/>
            </w:tcBorders>
            <w:vAlign w:val="center"/>
          </w:tcPr>
          <w:p w14:paraId="27627A5A" w14:textId="77777777" w:rsidR="00AC4454" w:rsidRPr="00B1522E" w:rsidRDefault="00AC4454" w:rsidP="00DD38D3">
            <w:pPr>
              <w:jc w:val="center"/>
              <w:rPr>
                <w:rFonts w:cstheme="minorHAnsi"/>
              </w:rPr>
            </w:pPr>
            <w:r w:rsidRPr="00B1522E">
              <w:rPr>
                <w:rFonts w:cstheme="minorHAnsi"/>
              </w:rPr>
              <w:t>N</w:t>
            </w:r>
          </w:p>
        </w:tc>
        <w:tc>
          <w:tcPr>
            <w:tcW w:w="1023" w:type="dxa"/>
            <w:tcBorders>
              <w:top w:val="single" w:sz="4" w:space="0" w:color="auto"/>
              <w:bottom w:val="single" w:sz="4" w:space="0" w:color="auto"/>
            </w:tcBorders>
            <w:vAlign w:val="center"/>
          </w:tcPr>
          <w:p w14:paraId="07FC9103" w14:textId="77777777" w:rsidR="00AC4454" w:rsidRPr="00B1522E" w:rsidRDefault="00AC4454" w:rsidP="00DD38D3">
            <w:pPr>
              <w:jc w:val="center"/>
              <w:rPr>
                <w:rFonts w:cstheme="minorHAnsi"/>
              </w:rPr>
            </w:pPr>
            <w:r w:rsidRPr="00B1522E">
              <w:rPr>
                <w:rFonts w:cstheme="minorHAnsi"/>
              </w:rPr>
              <w:t>Baseline mean</w:t>
            </w:r>
          </w:p>
        </w:tc>
        <w:tc>
          <w:tcPr>
            <w:tcW w:w="1023" w:type="dxa"/>
            <w:tcBorders>
              <w:top w:val="single" w:sz="4" w:space="0" w:color="auto"/>
              <w:bottom w:val="single" w:sz="4" w:space="0" w:color="auto"/>
            </w:tcBorders>
            <w:vAlign w:val="center"/>
          </w:tcPr>
          <w:p w14:paraId="7F53CA0C" w14:textId="77777777" w:rsidR="00AC4454" w:rsidRPr="00B1522E" w:rsidRDefault="00AC4454" w:rsidP="00DD38D3">
            <w:pPr>
              <w:jc w:val="center"/>
              <w:rPr>
                <w:rFonts w:cstheme="minorHAnsi"/>
              </w:rPr>
            </w:pPr>
            <w:r w:rsidRPr="00B1522E">
              <w:rPr>
                <w:rFonts w:cstheme="minorHAnsi"/>
              </w:rPr>
              <w:t>Follow-up adjusted mean</w:t>
            </w:r>
          </w:p>
        </w:tc>
        <w:tc>
          <w:tcPr>
            <w:tcW w:w="1024" w:type="dxa"/>
            <w:tcBorders>
              <w:top w:val="single" w:sz="4" w:space="0" w:color="auto"/>
              <w:bottom w:val="single" w:sz="4" w:space="0" w:color="auto"/>
            </w:tcBorders>
            <w:vAlign w:val="center"/>
          </w:tcPr>
          <w:p w14:paraId="4C7B23C6" w14:textId="77777777" w:rsidR="00AC4454" w:rsidRPr="00B1522E" w:rsidRDefault="00AC4454" w:rsidP="00DD38D3">
            <w:pPr>
              <w:jc w:val="center"/>
              <w:rPr>
                <w:rFonts w:cstheme="minorHAnsi"/>
              </w:rPr>
            </w:pPr>
            <w:r w:rsidRPr="00B1522E">
              <w:rPr>
                <w:rFonts w:cstheme="minorHAnsi"/>
              </w:rPr>
              <w:t>CI (95%)</w:t>
            </w:r>
          </w:p>
          <w:p w14:paraId="2B182EAF" w14:textId="77777777" w:rsidR="00AC4454" w:rsidRPr="00B1522E" w:rsidRDefault="00AC4454" w:rsidP="00DD38D3">
            <w:pPr>
              <w:jc w:val="center"/>
              <w:rPr>
                <w:rFonts w:cstheme="minorHAnsi"/>
              </w:rPr>
            </w:pPr>
            <w:r w:rsidRPr="00B1522E">
              <w:rPr>
                <w:rFonts w:cstheme="minorHAnsi"/>
              </w:rPr>
              <w:t>[LL-UL]</w:t>
            </w:r>
          </w:p>
        </w:tc>
        <w:tc>
          <w:tcPr>
            <w:tcW w:w="615" w:type="dxa"/>
            <w:tcBorders>
              <w:top w:val="single" w:sz="4" w:space="0" w:color="auto"/>
              <w:bottom w:val="single" w:sz="4" w:space="0" w:color="auto"/>
            </w:tcBorders>
            <w:vAlign w:val="center"/>
          </w:tcPr>
          <w:p w14:paraId="59C3BB8D" w14:textId="77777777" w:rsidR="00AC4454" w:rsidRPr="00B1522E" w:rsidRDefault="00AC4454" w:rsidP="00DD38D3">
            <w:pPr>
              <w:jc w:val="center"/>
              <w:rPr>
                <w:rFonts w:cstheme="minorHAnsi"/>
              </w:rPr>
            </w:pPr>
            <w:r w:rsidRPr="00B1522E">
              <w:rPr>
                <w:rFonts w:cstheme="minorHAnsi"/>
              </w:rPr>
              <w:t>N</w:t>
            </w:r>
          </w:p>
        </w:tc>
        <w:tc>
          <w:tcPr>
            <w:tcW w:w="1086" w:type="dxa"/>
            <w:tcBorders>
              <w:top w:val="single" w:sz="4" w:space="0" w:color="auto"/>
              <w:bottom w:val="single" w:sz="4" w:space="0" w:color="auto"/>
            </w:tcBorders>
            <w:vAlign w:val="center"/>
          </w:tcPr>
          <w:p w14:paraId="44FEF11B" w14:textId="77777777" w:rsidR="00AC4454" w:rsidRPr="00B1522E" w:rsidRDefault="00AC4454" w:rsidP="00DD38D3">
            <w:pPr>
              <w:jc w:val="center"/>
              <w:rPr>
                <w:rFonts w:cstheme="minorHAnsi"/>
              </w:rPr>
            </w:pPr>
            <w:r w:rsidRPr="00B1522E">
              <w:rPr>
                <w:rFonts w:cstheme="minorHAnsi"/>
              </w:rPr>
              <w:t>Baseline mean</w:t>
            </w:r>
          </w:p>
        </w:tc>
        <w:tc>
          <w:tcPr>
            <w:tcW w:w="1087" w:type="dxa"/>
            <w:tcBorders>
              <w:top w:val="single" w:sz="4" w:space="0" w:color="auto"/>
              <w:bottom w:val="single" w:sz="4" w:space="0" w:color="auto"/>
            </w:tcBorders>
            <w:vAlign w:val="center"/>
          </w:tcPr>
          <w:p w14:paraId="03746D55" w14:textId="77777777" w:rsidR="00AC4454" w:rsidRPr="00B1522E" w:rsidRDefault="00AC4454" w:rsidP="00DD38D3">
            <w:pPr>
              <w:jc w:val="center"/>
              <w:rPr>
                <w:rFonts w:cstheme="minorHAnsi"/>
              </w:rPr>
            </w:pPr>
            <w:r w:rsidRPr="00B1522E">
              <w:rPr>
                <w:rFonts w:cstheme="minorHAnsi"/>
              </w:rPr>
              <w:t>Follow-up adjusted mean</w:t>
            </w:r>
          </w:p>
        </w:tc>
        <w:tc>
          <w:tcPr>
            <w:tcW w:w="1087" w:type="dxa"/>
            <w:tcBorders>
              <w:top w:val="single" w:sz="4" w:space="0" w:color="auto"/>
              <w:bottom w:val="single" w:sz="4" w:space="0" w:color="auto"/>
            </w:tcBorders>
            <w:vAlign w:val="center"/>
          </w:tcPr>
          <w:p w14:paraId="24930529" w14:textId="77777777" w:rsidR="00AC4454" w:rsidRPr="00B1522E" w:rsidRDefault="00AC4454" w:rsidP="00DD38D3">
            <w:pPr>
              <w:jc w:val="center"/>
              <w:rPr>
                <w:rFonts w:cstheme="minorHAnsi"/>
              </w:rPr>
            </w:pPr>
            <w:r w:rsidRPr="00B1522E">
              <w:rPr>
                <w:rFonts w:cstheme="minorHAnsi"/>
              </w:rPr>
              <w:t>CI (95%)</w:t>
            </w:r>
          </w:p>
          <w:p w14:paraId="3739C0F9" w14:textId="77777777" w:rsidR="00AC4454" w:rsidRPr="00B1522E" w:rsidRDefault="00AC4454" w:rsidP="00DD38D3">
            <w:pPr>
              <w:jc w:val="center"/>
              <w:rPr>
                <w:rFonts w:cstheme="minorHAnsi"/>
              </w:rPr>
            </w:pPr>
            <w:r w:rsidRPr="00B1522E">
              <w:rPr>
                <w:rFonts w:cstheme="minorHAnsi"/>
              </w:rPr>
              <w:t>[LL-UL]</w:t>
            </w:r>
          </w:p>
        </w:tc>
        <w:tc>
          <w:tcPr>
            <w:tcW w:w="851" w:type="dxa"/>
            <w:tcBorders>
              <w:top w:val="single" w:sz="4" w:space="0" w:color="auto"/>
              <w:bottom w:val="single" w:sz="4" w:space="0" w:color="auto"/>
            </w:tcBorders>
            <w:vAlign w:val="center"/>
          </w:tcPr>
          <w:p w14:paraId="3DACEA72" w14:textId="77777777" w:rsidR="00AC4454" w:rsidRPr="00B1522E" w:rsidRDefault="00AC4454" w:rsidP="00DD38D3">
            <w:pPr>
              <w:jc w:val="center"/>
              <w:rPr>
                <w:rFonts w:cstheme="minorHAnsi"/>
              </w:rPr>
            </w:pPr>
            <w:r w:rsidRPr="00B1522E">
              <w:rPr>
                <w:rStyle w:val="Emphasis"/>
                <w:rFonts w:cstheme="minorHAnsi"/>
              </w:rPr>
              <w:t>F</w:t>
            </w:r>
          </w:p>
        </w:tc>
        <w:tc>
          <w:tcPr>
            <w:tcW w:w="850" w:type="dxa"/>
            <w:tcBorders>
              <w:top w:val="single" w:sz="4" w:space="0" w:color="auto"/>
              <w:bottom w:val="single" w:sz="4" w:space="0" w:color="auto"/>
            </w:tcBorders>
            <w:vAlign w:val="center"/>
          </w:tcPr>
          <w:p w14:paraId="2DAAF706" w14:textId="77777777" w:rsidR="00AC4454" w:rsidRPr="00B1522E" w:rsidRDefault="00AC4454" w:rsidP="00DD38D3">
            <w:pPr>
              <w:jc w:val="center"/>
              <w:rPr>
                <w:rFonts w:cstheme="minorHAnsi"/>
              </w:rPr>
            </w:pPr>
            <w:r w:rsidRPr="00B1522E">
              <w:rPr>
                <w:rStyle w:val="Emphasis"/>
                <w:rFonts w:cstheme="minorHAnsi"/>
              </w:rPr>
              <w:t>df</w:t>
            </w:r>
            <w:r w:rsidRPr="00B1522E">
              <w:rPr>
                <w:rFonts w:cstheme="minorHAnsi"/>
              </w:rPr>
              <w:t> </w:t>
            </w:r>
          </w:p>
          <w:p w14:paraId="12D37255" w14:textId="77777777" w:rsidR="00AC4454" w:rsidRPr="00B1522E" w:rsidRDefault="00AC4454" w:rsidP="00DD38D3">
            <w:pPr>
              <w:jc w:val="center"/>
              <w:rPr>
                <w:rFonts w:cstheme="minorHAnsi"/>
              </w:rPr>
            </w:pPr>
            <w:r w:rsidRPr="00B1522E">
              <w:rPr>
                <w:rFonts w:cstheme="minorHAnsi"/>
              </w:rPr>
              <w:t>(error)</w:t>
            </w:r>
          </w:p>
        </w:tc>
        <w:tc>
          <w:tcPr>
            <w:tcW w:w="851" w:type="dxa"/>
            <w:tcBorders>
              <w:top w:val="single" w:sz="4" w:space="0" w:color="auto"/>
              <w:bottom w:val="single" w:sz="4" w:space="0" w:color="auto"/>
            </w:tcBorders>
            <w:vAlign w:val="center"/>
          </w:tcPr>
          <w:p w14:paraId="54D5CF7D" w14:textId="77777777" w:rsidR="00AC4454" w:rsidRPr="00B1522E" w:rsidRDefault="00AC4454" w:rsidP="00DD38D3">
            <w:pPr>
              <w:jc w:val="center"/>
              <w:rPr>
                <w:rFonts w:cstheme="minorHAnsi"/>
              </w:rPr>
            </w:pPr>
            <w:r w:rsidRPr="00B1522E">
              <w:rPr>
                <w:rStyle w:val="Emphasis"/>
                <w:rFonts w:cstheme="minorHAnsi"/>
              </w:rPr>
              <w:t>p</w:t>
            </w:r>
          </w:p>
        </w:tc>
        <w:tc>
          <w:tcPr>
            <w:tcW w:w="850" w:type="dxa"/>
            <w:tcBorders>
              <w:top w:val="single" w:sz="4" w:space="0" w:color="auto"/>
              <w:bottom w:val="single" w:sz="4" w:space="0" w:color="auto"/>
            </w:tcBorders>
            <w:vAlign w:val="center"/>
          </w:tcPr>
          <w:p w14:paraId="2985D97C" w14:textId="77777777" w:rsidR="00AC4454" w:rsidRPr="00B1522E" w:rsidRDefault="00AC4454" w:rsidP="00DD38D3">
            <w:pPr>
              <w:jc w:val="center"/>
              <w:rPr>
                <w:rFonts w:cstheme="minorHAnsi"/>
              </w:rPr>
            </w:pPr>
            <w:r w:rsidRPr="00B1522E">
              <w:rPr>
                <w:rStyle w:val="Emphasis"/>
                <w:rFonts w:cstheme="minorHAnsi"/>
              </w:rPr>
              <w:t>η</w:t>
            </w:r>
            <w:r w:rsidRPr="00B1522E">
              <w:rPr>
                <w:rStyle w:val="Emphasis"/>
                <w:rFonts w:cstheme="minorHAnsi"/>
                <w:vertAlign w:val="superscript"/>
              </w:rPr>
              <w:t>2</w:t>
            </w:r>
          </w:p>
        </w:tc>
      </w:tr>
      <w:tr w:rsidR="00E77769" w:rsidRPr="00B1522E" w14:paraId="0659A5F1" w14:textId="77777777" w:rsidTr="00DD38D3">
        <w:trPr>
          <w:trHeight w:val="563"/>
        </w:trPr>
        <w:tc>
          <w:tcPr>
            <w:tcW w:w="2126" w:type="dxa"/>
            <w:tcBorders>
              <w:top w:val="single" w:sz="4" w:space="0" w:color="auto"/>
            </w:tcBorders>
          </w:tcPr>
          <w:p w14:paraId="6FB929F9" w14:textId="77777777" w:rsidR="00AC4454" w:rsidRPr="00B1522E" w:rsidRDefault="00AC4454" w:rsidP="00DD38D3">
            <w:pPr>
              <w:rPr>
                <w:rFonts w:cstheme="minorHAnsi"/>
              </w:rPr>
            </w:pPr>
            <w:r w:rsidRPr="00B1522E">
              <w:rPr>
                <w:rFonts w:cstheme="minorHAnsi"/>
              </w:rPr>
              <w:t>Measures</w:t>
            </w:r>
          </w:p>
        </w:tc>
        <w:tc>
          <w:tcPr>
            <w:tcW w:w="568" w:type="dxa"/>
            <w:tcBorders>
              <w:top w:val="single" w:sz="4" w:space="0" w:color="auto"/>
            </w:tcBorders>
          </w:tcPr>
          <w:p w14:paraId="2D8C337D" w14:textId="77777777" w:rsidR="00AC4454" w:rsidRPr="00B1522E" w:rsidRDefault="00AC4454" w:rsidP="00DD38D3">
            <w:pPr>
              <w:rPr>
                <w:rFonts w:cstheme="minorHAnsi"/>
              </w:rPr>
            </w:pPr>
          </w:p>
        </w:tc>
        <w:tc>
          <w:tcPr>
            <w:tcW w:w="1023" w:type="dxa"/>
            <w:tcBorders>
              <w:top w:val="single" w:sz="4" w:space="0" w:color="auto"/>
            </w:tcBorders>
          </w:tcPr>
          <w:p w14:paraId="76A009F7" w14:textId="77777777" w:rsidR="00AC4454" w:rsidRPr="00B1522E" w:rsidRDefault="00AC4454" w:rsidP="00DD38D3">
            <w:pPr>
              <w:rPr>
                <w:rFonts w:cstheme="minorHAnsi"/>
              </w:rPr>
            </w:pPr>
          </w:p>
        </w:tc>
        <w:tc>
          <w:tcPr>
            <w:tcW w:w="1023" w:type="dxa"/>
            <w:tcBorders>
              <w:top w:val="single" w:sz="4" w:space="0" w:color="auto"/>
            </w:tcBorders>
          </w:tcPr>
          <w:p w14:paraId="74AB3479" w14:textId="77777777" w:rsidR="00AC4454" w:rsidRPr="00B1522E" w:rsidRDefault="00AC4454" w:rsidP="00DD38D3">
            <w:pPr>
              <w:rPr>
                <w:rFonts w:cstheme="minorHAnsi"/>
              </w:rPr>
            </w:pPr>
          </w:p>
        </w:tc>
        <w:tc>
          <w:tcPr>
            <w:tcW w:w="1024" w:type="dxa"/>
            <w:tcBorders>
              <w:top w:val="single" w:sz="4" w:space="0" w:color="auto"/>
            </w:tcBorders>
          </w:tcPr>
          <w:p w14:paraId="67090DF3" w14:textId="77777777" w:rsidR="00AC4454" w:rsidRPr="00B1522E" w:rsidRDefault="00AC4454" w:rsidP="00DD38D3">
            <w:pPr>
              <w:rPr>
                <w:rFonts w:cstheme="minorHAnsi"/>
              </w:rPr>
            </w:pPr>
          </w:p>
        </w:tc>
        <w:tc>
          <w:tcPr>
            <w:tcW w:w="615" w:type="dxa"/>
            <w:tcBorders>
              <w:top w:val="single" w:sz="4" w:space="0" w:color="auto"/>
            </w:tcBorders>
          </w:tcPr>
          <w:p w14:paraId="61691731" w14:textId="77777777" w:rsidR="00AC4454" w:rsidRPr="00B1522E" w:rsidRDefault="00AC4454" w:rsidP="00DD38D3">
            <w:pPr>
              <w:rPr>
                <w:rFonts w:cstheme="minorHAnsi"/>
              </w:rPr>
            </w:pPr>
          </w:p>
        </w:tc>
        <w:tc>
          <w:tcPr>
            <w:tcW w:w="1086" w:type="dxa"/>
            <w:tcBorders>
              <w:top w:val="single" w:sz="4" w:space="0" w:color="auto"/>
            </w:tcBorders>
          </w:tcPr>
          <w:p w14:paraId="17AB8C91" w14:textId="77777777" w:rsidR="00AC4454" w:rsidRPr="00B1522E" w:rsidRDefault="00AC4454" w:rsidP="00DD38D3">
            <w:pPr>
              <w:rPr>
                <w:rFonts w:cstheme="minorHAnsi"/>
              </w:rPr>
            </w:pPr>
          </w:p>
        </w:tc>
        <w:tc>
          <w:tcPr>
            <w:tcW w:w="1087" w:type="dxa"/>
            <w:tcBorders>
              <w:top w:val="single" w:sz="4" w:space="0" w:color="auto"/>
            </w:tcBorders>
          </w:tcPr>
          <w:p w14:paraId="2B3C6162" w14:textId="77777777" w:rsidR="00AC4454" w:rsidRPr="00B1522E" w:rsidRDefault="00AC4454" w:rsidP="00DD38D3">
            <w:pPr>
              <w:rPr>
                <w:rFonts w:cstheme="minorHAnsi"/>
              </w:rPr>
            </w:pPr>
          </w:p>
        </w:tc>
        <w:tc>
          <w:tcPr>
            <w:tcW w:w="1087" w:type="dxa"/>
            <w:tcBorders>
              <w:top w:val="single" w:sz="4" w:space="0" w:color="auto"/>
            </w:tcBorders>
          </w:tcPr>
          <w:p w14:paraId="4670A3C0" w14:textId="77777777" w:rsidR="00AC4454" w:rsidRPr="00B1522E" w:rsidRDefault="00AC4454" w:rsidP="00DD38D3">
            <w:pPr>
              <w:rPr>
                <w:rFonts w:cstheme="minorHAnsi"/>
              </w:rPr>
            </w:pPr>
          </w:p>
        </w:tc>
        <w:tc>
          <w:tcPr>
            <w:tcW w:w="851" w:type="dxa"/>
            <w:tcBorders>
              <w:top w:val="single" w:sz="4" w:space="0" w:color="auto"/>
            </w:tcBorders>
          </w:tcPr>
          <w:p w14:paraId="6A46CA99" w14:textId="77777777" w:rsidR="00AC4454" w:rsidRPr="00B1522E" w:rsidRDefault="00AC4454" w:rsidP="00DD38D3">
            <w:pPr>
              <w:rPr>
                <w:rFonts w:cstheme="minorHAnsi"/>
              </w:rPr>
            </w:pPr>
          </w:p>
        </w:tc>
        <w:tc>
          <w:tcPr>
            <w:tcW w:w="850" w:type="dxa"/>
            <w:tcBorders>
              <w:top w:val="single" w:sz="4" w:space="0" w:color="auto"/>
            </w:tcBorders>
          </w:tcPr>
          <w:p w14:paraId="38D74538" w14:textId="77777777" w:rsidR="00AC4454" w:rsidRPr="00B1522E" w:rsidRDefault="00AC4454" w:rsidP="00DD38D3">
            <w:pPr>
              <w:rPr>
                <w:rFonts w:cstheme="minorHAnsi"/>
              </w:rPr>
            </w:pPr>
          </w:p>
        </w:tc>
        <w:tc>
          <w:tcPr>
            <w:tcW w:w="851" w:type="dxa"/>
            <w:tcBorders>
              <w:top w:val="single" w:sz="4" w:space="0" w:color="auto"/>
            </w:tcBorders>
          </w:tcPr>
          <w:p w14:paraId="358755ED" w14:textId="77777777" w:rsidR="00AC4454" w:rsidRPr="00B1522E" w:rsidRDefault="00AC4454" w:rsidP="00DD38D3">
            <w:pPr>
              <w:rPr>
                <w:rFonts w:cstheme="minorHAnsi"/>
              </w:rPr>
            </w:pPr>
          </w:p>
        </w:tc>
        <w:tc>
          <w:tcPr>
            <w:tcW w:w="850" w:type="dxa"/>
            <w:tcBorders>
              <w:top w:val="single" w:sz="4" w:space="0" w:color="auto"/>
            </w:tcBorders>
          </w:tcPr>
          <w:p w14:paraId="23F8441C" w14:textId="77777777" w:rsidR="00AC4454" w:rsidRPr="00B1522E" w:rsidRDefault="00AC4454" w:rsidP="00DD38D3">
            <w:pPr>
              <w:rPr>
                <w:rFonts w:cstheme="minorHAnsi"/>
              </w:rPr>
            </w:pPr>
          </w:p>
        </w:tc>
      </w:tr>
      <w:tr w:rsidR="00E77769" w:rsidRPr="00B1522E" w14:paraId="057B9ED7" w14:textId="77777777" w:rsidTr="00DD38D3">
        <w:trPr>
          <w:trHeight w:val="275"/>
        </w:trPr>
        <w:tc>
          <w:tcPr>
            <w:tcW w:w="2126" w:type="dxa"/>
          </w:tcPr>
          <w:p w14:paraId="383FB1C5" w14:textId="77777777" w:rsidR="00AC4454" w:rsidRPr="00B1522E" w:rsidRDefault="00AC4454" w:rsidP="00DD38D3">
            <w:pPr>
              <w:ind w:left="174" w:hanging="142"/>
              <w:rPr>
                <w:rFonts w:cstheme="minorHAnsi"/>
                <w:vertAlign w:val="superscript"/>
              </w:rPr>
            </w:pPr>
            <w:r w:rsidRPr="00B1522E">
              <w:rPr>
                <w:rFonts w:cstheme="minorHAnsi"/>
              </w:rPr>
              <w:t>Personal unhealthy snacking consumption</w:t>
            </w:r>
            <w:r w:rsidRPr="00B1522E">
              <w:rPr>
                <w:rFonts w:cstheme="minorHAnsi"/>
                <w:vertAlign w:val="superscript"/>
              </w:rPr>
              <w:t>a</w:t>
            </w:r>
          </w:p>
        </w:tc>
        <w:tc>
          <w:tcPr>
            <w:tcW w:w="568" w:type="dxa"/>
          </w:tcPr>
          <w:p w14:paraId="7E939446" w14:textId="77777777" w:rsidR="00AC4454" w:rsidRPr="00B1522E" w:rsidRDefault="00AC4454" w:rsidP="00DD38D3">
            <w:pPr>
              <w:jc w:val="center"/>
              <w:rPr>
                <w:rFonts w:cstheme="minorHAnsi"/>
              </w:rPr>
            </w:pPr>
            <w:r w:rsidRPr="00B1522E">
              <w:rPr>
                <w:rFonts w:cstheme="minorHAnsi"/>
              </w:rPr>
              <w:t>146</w:t>
            </w:r>
          </w:p>
        </w:tc>
        <w:tc>
          <w:tcPr>
            <w:tcW w:w="1023" w:type="dxa"/>
          </w:tcPr>
          <w:p w14:paraId="7EAC4D18" w14:textId="77777777" w:rsidR="00AC4454" w:rsidRPr="00B1522E" w:rsidRDefault="00AC4454" w:rsidP="00DD38D3">
            <w:pPr>
              <w:tabs>
                <w:tab w:val="decimal" w:pos="171"/>
                <w:tab w:val="left" w:pos="313"/>
              </w:tabs>
              <w:jc w:val="center"/>
              <w:rPr>
                <w:rFonts w:cstheme="minorHAnsi"/>
              </w:rPr>
            </w:pPr>
            <w:r w:rsidRPr="00B1522E">
              <w:rPr>
                <w:rFonts w:cstheme="minorHAnsi"/>
              </w:rPr>
              <w:t>22.05</w:t>
            </w:r>
          </w:p>
        </w:tc>
        <w:tc>
          <w:tcPr>
            <w:tcW w:w="1023" w:type="dxa"/>
          </w:tcPr>
          <w:p w14:paraId="331681BD" w14:textId="77777777" w:rsidR="00AC4454" w:rsidRPr="00B1522E" w:rsidRDefault="00AC4454" w:rsidP="00DD38D3">
            <w:pPr>
              <w:jc w:val="center"/>
              <w:rPr>
                <w:rFonts w:cstheme="minorHAnsi"/>
              </w:rPr>
            </w:pPr>
            <w:r w:rsidRPr="00B1522E">
              <w:rPr>
                <w:rFonts w:cstheme="minorHAnsi"/>
              </w:rPr>
              <w:t>17.66</w:t>
            </w:r>
          </w:p>
        </w:tc>
        <w:tc>
          <w:tcPr>
            <w:tcW w:w="1024" w:type="dxa"/>
          </w:tcPr>
          <w:p w14:paraId="017BF86B" w14:textId="77777777" w:rsidR="00AC4454" w:rsidRPr="00B1522E" w:rsidRDefault="00AC4454" w:rsidP="00DD38D3">
            <w:pPr>
              <w:jc w:val="center"/>
              <w:rPr>
                <w:rFonts w:cstheme="minorHAnsi"/>
              </w:rPr>
            </w:pPr>
            <w:r w:rsidRPr="00B1522E">
              <w:rPr>
                <w:rFonts w:cstheme="minorHAnsi"/>
              </w:rPr>
              <w:t>15.38-19.95</w:t>
            </w:r>
          </w:p>
        </w:tc>
        <w:tc>
          <w:tcPr>
            <w:tcW w:w="615" w:type="dxa"/>
          </w:tcPr>
          <w:p w14:paraId="0BF5E2A9" w14:textId="77777777" w:rsidR="00AC4454" w:rsidRPr="00B1522E" w:rsidRDefault="00AC4454" w:rsidP="00DD38D3">
            <w:pPr>
              <w:jc w:val="center"/>
              <w:rPr>
                <w:rFonts w:cstheme="minorHAnsi"/>
              </w:rPr>
            </w:pPr>
            <w:r w:rsidRPr="00B1522E">
              <w:rPr>
                <w:rFonts w:cstheme="minorHAnsi"/>
              </w:rPr>
              <w:t>90</w:t>
            </w:r>
          </w:p>
        </w:tc>
        <w:tc>
          <w:tcPr>
            <w:tcW w:w="1086" w:type="dxa"/>
          </w:tcPr>
          <w:p w14:paraId="7305334D" w14:textId="77777777" w:rsidR="00AC4454" w:rsidRPr="00B1522E" w:rsidRDefault="00AC4454" w:rsidP="00DD38D3">
            <w:pPr>
              <w:tabs>
                <w:tab w:val="decimal" w:pos="148"/>
                <w:tab w:val="left" w:pos="305"/>
              </w:tabs>
              <w:jc w:val="center"/>
              <w:rPr>
                <w:rFonts w:cstheme="minorHAnsi"/>
              </w:rPr>
            </w:pPr>
            <w:r w:rsidRPr="00B1522E">
              <w:rPr>
                <w:rFonts w:cstheme="minorHAnsi"/>
              </w:rPr>
              <w:t>17.41</w:t>
            </w:r>
          </w:p>
        </w:tc>
        <w:tc>
          <w:tcPr>
            <w:tcW w:w="1087" w:type="dxa"/>
          </w:tcPr>
          <w:p w14:paraId="298E085F" w14:textId="77777777" w:rsidR="00AC4454" w:rsidRPr="00B1522E" w:rsidRDefault="00AC4454" w:rsidP="00DD38D3">
            <w:pPr>
              <w:tabs>
                <w:tab w:val="decimal" w:pos="424"/>
              </w:tabs>
              <w:jc w:val="center"/>
              <w:rPr>
                <w:rFonts w:cstheme="minorHAnsi"/>
              </w:rPr>
            </w:pPr>
            <w:r w:rsidRPr="00B1522E">
              <w:rPr>
                <w:rFonts w:cstheme="minorHAnsi"/>
              </w:rPr>
              <w:t>19.74</w:t>
            </w:r>
          </w:p>
        </w:tc>
        <w:tc>
          <w:tcPr>
            <w:tcW w:w="1087" w:type="dxa"/>
          </w:tcPr>
          <w:p w14:paraId="48E3FC41" w14:textId="77777777" w:rsidR="00AC4454" w:rsidRPr="00B1522E" w:rsidRDefault="00AC4454" w:rsidP="00DD38D3">
            <w:pPr>
              <w:jc w:val="center"/>
              <w:rPr>
                <w:rFonts w:cstheme="minorHAnsi"/>
              </w:rPr>
            </w:pPr>
            <w:r w:rsidRPr="00B1522E">
              <w:rPr>
                <w:rFonts w:cstheme="minorHAnsi"/>
              </w:rPr>
              <w:t>16.81-22.66</w:t>
            </w:r>
          </w:p>
        </w:tc>
        <w:tc>
          <w:tcPr>
            <w:tcW w:w="851" w:type="dxa"/>
          </w:tcPr>
          <w:p w14:paraId="6D5117FC"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6.133</w:t>
            </w:r>
          </w:p>
        </w:tc>
        <w:tc>
          <w:tcPr>
            <w:tcW w:w="850" w:type="dxa"/>
          </w:tcPr>
          <w:p w14:paraId="5B121E99" w14:textId="77777777" w:rsidR="00AC4454" w:rsidRPr="00B1522E" w:rsidRDefault="00AC4454" w:rsidP="00DD38D3">
            <w:pPr>
              <w:jc w:val="center"/>
              <w:rPr>
                <w:rFonts w:cstheme="minorHAnsi"/>
              </w:rPr>
            </w:pPr>
            <w:r w:rsidRPr="00B1522E">
              <w:rPr>
                <w:rFonts w:cstheme="minorHAnsi"/>
              </w:rPr>
              <w:t>232</w:t>
            </w:r>
          </w:p>
        </w:tc>
        <w:tc>
          <w:tcPr>
            <w:tcW w:w="851" w:type="dxa"/>
          </w:tcPr>
          <w:p w14:paraId="612CBDC1" w14:textId="77777777" w:rsidR="00AC4454" w:rsidRPr="00B1522E" w:rsidRDefault="00AC4454" w:rsidP="00DD38D3">
            <w:pPr>
              <w:jc w:val="center"/>
              <w:rPr>
                <w:rFonts w:cstheme="minorHAnsi"/>
              </w:rPr>
            </w:pPr>
            <w:r w:rsidRPr="00B1522E">
              <w:rPr>
                <w:rFonts w:cstheme="minorHAnsi"/>
              </w:rPr>
              <w:t>.014</w:t>
            </w:r>
          </w:p>
        </w:tc>
        <w:tc>
          <w:tcPr>
            <w:tcW w:w="850" w:type="dxa"/>
          </w:tcPr>
          <w:p w14:paraId="0C787DB7" w14:textId="77777777" w:rsidR="00AC4454" w:rsidRPr="00B1522E" w:rsidRDefault="00AC4454" w:rsidP="00DD38D3">
            <w:pPr>
              <w:jc w:val="center"/>
              <w:rPr>
                <w:rFonts w:cstheme="minorHAnsi"/>
              </w:rPr>
            </w:pPr>
            <w:r w:rsidRPr="00B1522E">
              <w:rPr>
                <w:rFonts w:cstheme="minorHAnsi"/>
              </w:rPr>
              <w:t>.007</w:t>
            </w:r>
          </w:p>
        </w:tc>
      </w:tr>
      <w:tr w:rsidR="00E77769" w:rsidRPr="00B1522E" w14:paraId="587079C4" w14:textId="77777777" w:rsidTr="00DD38D3">
        <w:trPr>
          <w:trHeight w:val="275"/>
        </w:trPr>
        <w:tc>
          <w:tcPr>
            <w:tcW w:w="2126" w:type="dxa"/>
          </w:tcPr>
          <w:p w14:paraId="72894AE9" w14:textId="77777777" w:rsidR="00AC4454" w:rsidRPr="00B1522E" w:rsidRDefault="00AC4454" w:rsidP="00DD38D3">
            <w:pPr>
              <w:ind w:left="174" w:hanging="142"/>
              <w:rPr>
                <w:rFonts w:cstheme="minorHAnsi"/>
              </w:rPr>
            </w:pPr>
            <w:r w:rsidRPr="00B1522E">
              <w:rPr>
                <w:rFonts w:cstheme="minorHAnsi"/>
              </w:rPr>
              <w:t xml:space="preserve">Personal attitude towards unhealthy snacking </w:t>
            </w:r>
          </w:p>
        </w:tc>
        <w:tc>
          <w:tcPr>
            <w:tcW w:w="568" w:type="dxa"/>
          </w:tcPr>
          <w:p w14:paraId="180BBE50" w14:textId="77777777" w:rsidR="00AC4454" w:rsidRPr="00B1522E" w:rsidRDefault="00AC4454" w:rsidP="00DD38D3">
            <w:pPr>
              <w:jc w:val="center"/>
              <w:rPr>
                <w:rFonts w:cstheme="minorHAnsi"/>
              </w:rPr>
            </w:pPr>
            <w:r w:rsidRPr="00B1522E">
              <w:rPr>
                <w:rFonts w:cstheme="minorHAnsi"/>
              </w:rPr>
              <w:t>131</w:t>
            </w:r>
          </w:p>
        </w:tc>
        <w:tc>
          <w:tcPr>
            <w:tcW w:w="1023" w:type="dxa"/>
          </w:tcPr>
          <w:p w14:paraId="1590CBAC" w14:textId="77777777" w:rsidR="00AC4454" w:rsidRPr="00B1522E" w:rsidRDefault="00AC4454" w:rsidP="00DD38D3">
            <w:pPr>
              <w:tabs>
                <w:tab w:val="decimal" w:pos="171"/>
                <w:tab w:val="left" w:pos="313"/>
              </w:tabs>
              <w:jc w:val="center"/>
              <w:rPr>
                <w:rFonts w:cstheme="minorHAnsi"/>
              </w:rPr>
            </w:pPr>
            <w:r w:rsidRPr="00B1522E">
              <w:rPr>
                <w:rFonts w:cstheme="minorHAnsi"/>
              </w:rPr>
              <w:t>5.42</w:t>
            </w:r>
          </w:p>
        </w:tc>
        <w:tc>
          <w:tcPr>
            <w:tcW w:w="1023" w:type="dxa"/>
          </w:tcPr>
          <w:p w14:paraId="6EE23955" w14:textId="77777777" w:rsidR="00AC4454" w:rsidRPr="00B1522E" w:rsidRDefault="00AC4454" w:rsidP="00DD38D3">
            <w:pPr>
              <w:jc w:val="center"/>
              <w:rPr>
                <w:rFonts w:cstheme="minorHAnsi"/>
              </w:rPr>
            </w:pPr>
            <w:r w:rsidRPr="00B1522E">
              <w:rPr>
                <w:rFonts w:cstheme="minorHAnsi"/>
              </w:rPr>
              <w:t>5.10</w:t>
            </w:r>
          </w:p>
        </w:tc>
        <w:tc>
          <w:tcPr>
            <w:tcW w:w="1024" w:type="dxa"/>
          </w:tcPr>
          <w:p w14:paraId="77BE6664" w14:textId="77777777" w:rsidR="00AC4454" w:rsidRPr="00B1522E" w:rsidRDefault="00AC4454" w:rsidP="00DD38D3">
            <w:pPr>
              <w:jc w:val="center"/>
              <w:rPr>
                <w:rFonts w:cstheme="minorHAnsi"/>
              </w:rPr>
            </w:pPr>
            <w:r w:rsidRPr="00B1522E">
              <w:rPr>
                <w:rFonts w:cstheme="minorHAnsi"/>
              </w:rPr>
              <w:t>4.87-5.33</w:t>
            </w:r>
          </w:p>
        </w:tc>
        <w:tc>
          <w:tcPr>
            <w:tcW w:w="615" w:type="dxa"/>
          </w:tcPr>
          <w:p w14:paraId="5E6AF58D" w14:textId="77777777" w:rsidR="00AC4454" w:rsidRPr="00B1522E" w:rsidRDefault="00AC4454" w:rsidP="00DD38D3">
            <w:pPr>
              <w:jc w:val="center"/>
              <w:rPr>
                <w:rFonts w:cstheme="minorHAnsi"/>
              </w:rPr>
            </w:pPr>
            <w:r w:rsidRPr="00B1522E">
              <w:rPr>
                <w:rFonts w:cstheme="minorHAnsi"/>
              </w:rPr>
              <w:t>70</w:t>
            </w:r>
          </w:p>
        </w:tc>
        <w:tc>
          <w:tcPr>
            <w:tcW w:w="1086" w:type="dxa"/>
          </w:tcPr>
          <w:p w14:paraId="485AF95D" w14:textId="77777777" w:rsidR="00AC4454" w:rsidRPr="00B1522E" w:rsidRDefault="00AC4454" w:rsidP="00DD38D3">
            <w:pPr>
              <w:tabs>
                <w:tab w:val="decimal" w:pos="148"/>
                <w:tab w:val="left" w:pos="305"/>
              </w:tabs>
              <w:jc w:val="center"/>
              <w:rPr>
                <w:rFonts w:cstheme="minorHAnsi"/>
              </w:rPr>
            </w:pPr>
            <w:r w:rsidRPr="00B1522E">
              <w:rPr>
                <w:rFonts w:cstheme="minorHAnsi"/>
              </w:rPr>
              <w:t>5.17</w:t>
            </w:r>
          </w:p>
        </w:tc>
        <w:tc>
          <w:tcPr>
            <w:tcW w:w="1087" w:type="dxa"/>
          </w:tcPr>
          <w:p w14:paraId="651D4823" w14:textId="77777777" w:rsidR="00AC4454" w:rsidRPr="00B1522E" w:rsidRDefault="00AC4454" w:rsidP="00DD38D3">
            <w:pPr>
              <w:tabs>
                <w:tab w:val="decimal" w:pos="424"/>
              </w:tabs>
              <w:jc w:val="center"/>
              <w:rPr>
                <w:rFonts w:cstheme="minorHAnsi"/>
              </w:rPr>
            </w:pPr>
            <w:r w:rsidRPr="00B1522E">
              <w:rPr>
                <w:rFonts w:cstheme="minorHAnsi"/>
              </w:rPr>
              <w:t>5.68</w:t>
            </w:r>
          </w:p>
        </w:tc>
        <w:tc>
          <w:tcPr>
            <w:tcW w:w="1087" w:type="dxa"/>
          </w:tcPr>
          <w:p w14:paraId="2F656160" w14:textId="77777777" w:rsidR="00AC4454" w:rsidRPr="00B1522E" w:rsidRDefault="00AC4454" w:rsidP="00DD38D3">
            <w:pPr>
              <w:jc w:val="center"/>
              <w:rPr>
                <w:rFonts w:cstheme="minorHAnsi"/>
              </w:rPr>
            </w:pPr>
            <w:r w:rsidRPr="00B1522E">
              <w:rPr>
                <w:rFonts w:cstheme="minorHAnsi"/>
              </w:rPr>
              <w:t>5.37-</w:t>
            </w:r>
          </w:p>
          <w:p w14:paraId="5F55609D" w14:textId="77777777" w:rsidR="00AC4454" w:rsidRPr="00B1522E" w:rsidRDefault="00AC4454" w:rsidP="00DD38D3">
            <w:pPr>
              <w:jc w:val="center"/>
              <w:rPr>
                <w:rFonts w:cstheme="minorHAnsi"/>
              </w:rPr>
            </w:pPr>
            <w:r w:rsidRPr="00B1522E">
              <w:rPr>
                <w:rFonts w:cstheme="minorHAnsi"/>
              </w:rPr>
              <w:t>6.00</w:t>
            </w:r>
          </w:p>
        </w:tc>
        <w:tc>
          <w:tcPr>
            <w:tcW w:w="851" w:type="dxa"/>
          </w:tcPr>
          <w:p w14:paraId="69683E79"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8.779</w:t>
            </w:r>
          </w:p>
        </w:tc>
        <w:tc>
          <w:tcPr>
            <w:tcW w:w="850" w:type="dxa"/>
          </w:tcPr>
          <w:p w14:paraId="5F31A72F" w14:textId="77777777" w:rsidR="00AC4454" w:rsidRPr="00B1522E" w:rsidRDefault="00AC4454" w:rsidP="00DD38D3">
            <w:pPr>
              <w:jc w:val="center"/>
              <w:rPr>
                <w:rFonts w:cstheme="minorHAnsi"/>
              </w:rPr>
            </w:pPr>
            <w:r w:rsidRPr="00B1522E">
              <w:rPr>
                <w:rFonts w:cstheme="minorHAnsi"/>
              </w:rPr>
              <w:t>198</w:t>
            </w:r>
          </w:p>
        </w:tc>
        <w:tc>
          <w:tcPr>
            <w:tcW w:w="851" w:type="dxa"/>
          </w:tcPr>
          <w:p w14:paraId="0EE7A040" w14:textId="77777777" w:rsidR="00AC4454" w:rsidRPr="00B1522E" w:rsidRDefault="00AC4454" w:rsidP="00DD38D3">
            <w:pPr>
              <w:jc w:val="center"/>
              <w:rPr>
                <w:rFonts w:cstheme="minorHAnsi"/>
              </w:rPr>
            </w:pPr>
            <w:r w:rsidRPr="00B1522E">
              <w:rPr>
                <w:rFonts w:cstheme="minorHAnsi"/>
              </w:rPr>
              <w:t>.003</w:t>
            </w:r>
          </w:p>
        </w:tc>
        <w:tc>
          <w:tcPr>
            <w:tcW w:w="850" w:type="dxa"/>
          </w:tcPr>
          <w:p w14:paraId="66FB797C" w14:textId="77777777" w:rsidR="00AC4454" w:rsidRPr="00B1522E" w:rsidRDefault="00AC4454" w:rsidP="00DD38D3">
            <w:pPr>
              <w:jc w:val="center"/>
              <w:rPr>
                <w:rFonts w:cstheme="minorHAnsi"/>
              </w:rPr>
            </w:pPr>
            <w:r w:rsidRPr="00B1522E">
              <w:rPr>
                <w:rFonts w:cstheme="minorHAnsi"/>
              </w:rPr>
              <w:t>.002</w:t>
            </w:r>
          </w:p>
        </w:tc>
      </w:tr>
      <w:tr w:rsidR="00E77769" w:rsidRPr="00B1522E" w14:paraId="4E8EB255" w14:textId="77777777" w:rsidTr="00DD38D3">
        <w:trPr>
          <w:trHeight w:val="275"/>
        </w:trPr>
        <w:tc>
          <w:tcPr>
            <w:tcW w:w="2126" w:type="dxa"/>
          </w:tcPr>
          <w:p w14:paraId="6DFC275F" w14:textId="77777777" w:rsidR="00AC4454" w:rsidRPr="00B1522E" w:rsidRDefault="00AC4454" w:rsidP="00DD38D3">
            <w:pPr>
              <w:ind w:left="174" w:hanging="142"/>
              <w:rPr>
                <w:rFonts w:cstheme="minorHAnsi"/>
              </w:rPr>
            </w:pPr>
            <w:r w:rsidRPr="00B1522E">
              <w:rPr>
                <w:rFonts w:cstheme="minorHAnsi"/>
              </w:rPr>
              <w:t>Personal attitude towards fewer unhealthy snacks</w:t>
            </w:r>
          </w:p>
        </w:tc>
        <w:tc>
          <w:tcPr>
            <w:tcW w:w="568" w:type="dxa"/>
          </w:tcPr>
          <w:p w14:paraId="7D7F592D" w14:textId="77777777" w:rsidR="00AC4454" w:rsidRPr="00B1522E" w:rsidRDefault="00AC4454" w:rsidP="00DD38D3">
            <w:pPr>
              <w:jc w:val="center"/>
              <w:rPr>
                <w:rFonts w:cstheme="minorHAnsi"/>
              </w:rPr>
            </w:pPr>
            <w:r w:rsidRPr="00B1522E">
              <w:rPr>
                <w:rFonts w:cstheme="minorHAnsi"/>
              </w:rPr>
              <w:t>134</w:t>
            </w:r>
          </w:p>
        </w:tc>
        <w:tc>
          <w:tcPr>
            <w:tcW w:w="1023" w:type="dxa"/>
          </w:tcPr>
          <w:p w14:paraId="198D0252" w14:textId="77777777" w:rsidR="00AC4454" w:rsidRPr="00B1522E" w:rsidRDefault="00AC4454" w:rsidP="00DD38D3">
            <w:pPr>
              <w:tabs>
                <w:tab w:val="decimal" w:pos="171"/>
                <w:tab w:val="left" w:pos="313"/>
              </w:tabs>
              <w:jc w:val="center"/>
              <w:rPr>
                <w:rFonts w:cstheme="minorHAnsi"/>
              </w:rPr>
            </w:pPr>
            <w:r w:rsidRPr="00B1522E">
              <w:rPr>
                <w:rFonts w:cstheme="minorHAnsi"/>
              </w:rPr>
              <w:t>6.77</w:t>
            </w:r>
          </w:p>
        </w:tc>
        <w:tc>
          <w:tcPr>
            <w:tcW w:w="1023" w:type="dxa"/>
          </w:tcPr>
          <w:p w14:paraId="519EB7B7" w14:textId="77777777" w:rsidR="00AC4454" w:rsidRPr="00B1522E" w:rsidRDefault="00AC4454" w:rsidP="00DD38D3">
            <w:pPr>
              <w:jc w:val="center"/>
              <w:rPr>
                <w:rFonts w:cstheme="minorHAnsi"/>
              </w:rPr>
            </w:pPr>
            <w:r w:rsidRPr="00B1522E">
              <w:rPr>
                <w:rFonts w:cstheme="minorHAnsi"/>
              </w:rPr>
              <w:t>7.13</w:t>
            </w:r>
          </w:p>
        </w:tc>
        <w:tc>
          <w:tcPr>
            <w:tcW w:w="1024" w:type="dxa"/>
          </w:tcPr>
          <w:p w14:paraId="50FABC99" w14:textId="77777777" w:rsidR="00AC4454" w:rsidRPr="00B1522E" w:rsidRDefault="00AC4454" w:rsidP="00DD38D3">
            <w:pPr>
              <w:jc w:val="center"/>
              <w:rPr>
                <w:rFonts w:cstheme="minorHAnsi"/>
              </w:rPr>
            </w:pPr>
            <w:r w:rsidRPr="00B1522E">
              <w:rPr>
                <w:rFonts w:cstheme="minorHAnsi"/>
              </w:rPr>
              <w:t>6.83-7.42</w:t>
            </w:r>
          </w:p>
        </w:tc>
        <w:tc>
          <w:tcPr>
            <w:tcW w:w="615" w:type="dxa"/>
          </w:tcPr>
          <w:p w14:paraId="3E22209C" w14:textId="77777777" w:rsidR="00AC4454" w:rsidRPr="00B1522E" w:rsidRDefault="00AC4454" w:rsidP="00DD38D3">
            <w:pPr>
              <w:jc w:val="center"/>
              <w:rPr>
                <w:rFonts w:cstheme="minorHAnsi"/>
              </w:rPr>
            </w:pPr>
            <w:r w:rsidRPr="00B1522E">
              <w:rPr>
                <w:rFonts w:cstheme="minorHAnsi"/>
              </w:rPr>
              <w:t>68</w:t>
            </w:r>
          </w:p>
        </w:tc>
        <w:tc>
          <w:tcPr>
            <w:tcW w:w="1086" w:type="dxa"/>
          </w:tcPr>
          <w:p w14:paraId="3E49D125" w14:textId="77777777" w:rsidR="00AC4454" w:rsidRPr="00B1522E" w:rsidRDefault="00AC4454" w:rsidP="00DD38D3">
            <w:pPr>
              <w:tabs>
                <w:tab w:val="decimal" w:pos="148"/>
                <w:tab w:val="left" w:pos="305"/>
              </w:tabs>
              <w:jc w:val="center"/>
              <w:rPr>
                <w:rFonts w:cstheme="minorHAnsi"/>
              </w:rPr>
            </w:pPr>
            <w:r w:rsidRPr="00B1522E">
              <w:rPr>
                <w:rFonts w:cstheme="minorHAnsi"/>
              </w:rPr>
              <w:t>6.92</w:t>
            </w:r>
          </w:p>
        </w:tc>
        <w:tc>
          <w:tcPr>
            <w:tcW w:w="1087" w:type="dxa"/>
          </w:tcPr>
          <w:p w14:paraId="30E9556E" w14:textId="77777777" w:rsidR="00AC4454" w:rsidRPr="00B1522E" w:rsidRDefault="00AC4454" w:rsidP="00DD38D3">
            <w:pPr>
              <w:tabs>
                <w:tab w:val="decimal" w:pos="424"/>
              </w:tabs>
              <w:jc w:val="center"/>
              <w:rPr>
                <w:rFonts w:cstheme="minorHAnsi"/>
              </w:rPr>
            </w:pPr>
            <w:r w:rsidRPr="00B1522E">
              <w:rPr>
                <w:rFonts w:cstheme="minorHAnsi"/>
              </w:rPr>
              <w:t>7.18</w:t>
            </w:r>
          </w:p>
        </w:tc>
        <w:tc>
          <w:tcPr>
            <w:tcW w:w="1087" w:type="dxa"/>
          </w:tcPr>
          <w:p w14:paraId="027F2067" w14:textId="77777777" w:rsidR="00AC4454" w:rsidRPr="00B1522E" w:rsidRDefault="00AC4454" w:rsidP="00DD38D3">
            <w:pPr>
              <w:jc w:val="center"/>
              <w:rPr>
                <w:rFonts w:cstheme="minorHAnsi"/>
              </w:rPr>
            </w:pPr>
            <w:r w:rsidRPr="00B1522E">
              <w:rPr>
                <w:rFonts w:cstheme="minorHAnsi"/>
              </w:rPr>
              <w:t>6.77-</w:t>
            </w:r>
          </w:p>
          <w:p w14:paraId="620AAED0" w14:textId="77777777" w:rsidR="00AC4454" w:rsidRPr="00B1522E" w:rsidRDefault="00AC4454" w:rsidP="00DD38D3">
            <w:pPr>
              <w:jc w:val="center"/>
              <w:rPr>
                <w:rFonts w:cstheme="minorHAnsi"/>
              </w:rPr>
            </w:pPr>
            <w:r w:rsidRPr="00B1522E">
              <w:rPr>
                <w:rFonts w:cstheme="minorHAnsi"/>
              </w:rPr>
              <w:t>7.59</w:t>
            </w:r>
          </w:p>
        </w:tc>
        <w:tc>
          <w:tcPr>
            <w:tcW w:w="851" w:type="dxa"/>
          </w:tcPr>
          <w:p w14:paraId="4EE13F86"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.044</w:t>
            </w:r>
          </w:p>
        </w:tc>
        <w:tc>
          <w:tcPr>
            <w:tcW w:w="850" w:type="dxa"/>
          </w:tcPr>
          <w:p w14:paraId="324EDFFB" w14:textId="77777777" w:rsidR="00AC4454" w:rsidRPr="00B1522E" w:rsidRDefault="00AC4454" w:rsidP="00DD38D3">
            <w:pPr>
              <w:jc w:val="center"/>
              <w:rPr>
                <w:rFonts w:cstheme="minorHAnsi"/>
              </w:rPr>
            </w:pPr>
            <w:r w:rsidRPr="00B1522E">
              <w:rPr>
                <w:rFonts w:cstheme="minorHAnsi"/>
              </w:rPr>
              <w:t>199</w:t>
            </w:r>
          </w:p>
        </w:tc>
        <w:tc>
          <w:tcPr>
            <w:tcW w:w="851" w:type="dxa"/>
          </w:tcPr>
          <w:p w14:paraId="16F37408" w14:textId="77777777" w:rsidR="00AC4454" w:rsidRPr="00B1522E" w:rsidRDefault="00AC4454" w:rsidP="00DD38D3">
            <w:pPr>
              <w:jc w:val="center"/>
              <w:rPr>
                <w:rFonts w:cstheme="minorHAnsi"/>
              </w:rPr>
            </w:pPr>
            <w:r w:rsidRPr="00B1522E">
              <w:rPr>
                <w:rFonts w:cstheme="minorHAnsi"/>
              </w:rPr>
              <w:t>.834</w:t>
            </w:r>
          </w:p>
        </w:tc>
        <w:tc>
          <w:tcPr>
            <w:tcW w:w="850" w:type="dxa"/>
          </w:tcPr>
          <w:p w14:paraId="14B71433" w14:textId="77777777" w:rsidR="00AC4454" w:rsidRPr="00B1522E" w:rsidRDefault="00AC4454" w:rsidP="00DD38D3">
            <w:pPr>
              <w:jc w:val="center"/>
              <w:rPr>
                <w:rFonts w:cstheme="minorHAnsi"/>
              </w:rPr>
            </w:pPr>
            <w:r w:rsidRPr="00B1522E">
              <w:rPr>
                <w:rFonts w:cstheme="minorHAnsi"/>
              </w:rPr>
              <w:t>&lt;.001</w:t>
            </w:r>
          </w:p>
        </w:tc>
      </w:tr>
      <w:tr w:rsidR="00E77769" w:rsidRPr="00B1522E" w14:paraId="1DB78A23" w14:textId="77777777" w:rsidTr="00DD38D3">
        <w:trPr>
          <w:trHeight w:val="275"/>
        </w:trPr>
        <w:tc>
          <w:tcPr>
            <w:tcW w:w="2126" w:type="dxa"/>
          </w:tcPr>
          <w:p w14:paraId="535C3D7F" w14:textId="77777777" w:rsidR="00AC4454" w:rsidRPr="00B1522E" w:rsidRDefault="00AC4454" w:rsidP="00DD38D3">
            <w:pPr>
              <w:ind w:left="174" w:hanging="142"/>
              <w:rPr>
                <w:rFonts w:cstheme="minorHAnsi"/>
              </w:rPr>
            </w:pPr>
            <w:r w:rsidRPr="00B1522E">
              <w:rPr>
                <w:rFonts w:cstheme="minorHAnsi"/>
              </w:rPr>
              <w:t xml:space="preserve">Intention to reduce unhealthy snacking </w:t>
            </w:r>
          </w:p>
        </w:tc>
        <w:tc>
          <w:tcPr>
            <w:tcW w:w="568" w:type="dxa"/>
          </w:tcPr>
          <w:p w14:paraId="14B00A14" w14:textId="77777777" w:rsidR="00AC4454" w:rsidRPr="00B1522E" w:rsidRDefault="00AC4454" w:rsidP="00DD38D3">
            <w:pPr>
              <w:jc w:val="center"/>
              <w:rPr>
                <w:rFonts w:cstheme="minorHAnsi"/>
              </w:rPr>
            </w:pPr>
            <w:r w:rsidRPr="00B1522E">
              <w:rPr>
                <w:rFonts w:cstheme="minorHAnsi"/>
              </w:rPr>
              <w:t>140</w:t>
            </w:r>
          </w:p>
        </w:tc>
        <w:tc>
          <w:tcPr>
            <w:tcW w:w="1023" w:type="dxa"/>
          </w:tcPr>
          <w:p w14:paraId="407F6C0B" w14:textId="77777777" w:rsidR="00AC4454" w:rsidRPr="00B1522E" w:rsidRDefault="00AC4454" w:rsidP="00DD38D3">
            <w:pPr>
              <w:tabs>
                <w:tab w:val="decimal" w:pos="171"/>
                <w:tab w:val="left" w:pos="313"/>
              </w:tabs>
              <w:jc w:val="center"/>
              <w:rPr>
                <w:rFonts w:cstheme="minorHAnsi"/>
              </w:rPr>
            </w:pPr>
            <w:r w:rsidRPr="00B1522E">
              <w:rPr>
                <w:rFonts w:cstheme="minorHAnsi"/>
              </w:rPr>
              <w:t>17.76</w:t>
            </w:r>
          </w:p>
        </w:tc>
        <w:tc>
          <w:tcPr>
            <w:tcW w:w="1023" w:type="dxa"/>
          </w:tcPr>
          <w:p w14:paraId="7360C679" w14:textId="77777777" w:rsidR="00AC4454" w:rsidRPr="00B1522E" w:rsidRDefault="00AC4454" w:rsidP="00DD38D3">
            <w:pPr>
              <w:jc w:val="center"/>
              <w:rPr>
                <w:rFonts w:cstheme="minorHAnsi"/>
              </w:rPr>
            </w:pPr>
            <w:r w:rsidRPr="00B1522E">
              <w:rPr>
                <w:rFonts w:cstheme="minorHAnsi"/>
              </w:rPr>
              <w:t>18.01</w:t>
            </w:r>
          </w:p>
        </w:tc>
        <w:tc>
          <w:tcPr>
            <w:tcW w:w="1024" w:type="dxa"/>
          </w:tcPr>
          <w:p w14:paraId="62AB000C" w14:textId="77777777" w:rsidR="00AC4454" w:rsidRPr="00B1522E" w:rsidRDefault="00AC4454" w:rsidP="00DD38D3">
            <w:pPr>
              <w:jc w:val="center"/>
              <w:rPr>
                <w:rFonts w:cstheme="minorHAnsi"/>
              </w:rPr>
            </w:pPr>
            <w:r w:rsidRPr="00B1522E">
              <w:rPr>
                <w:rFonts w:cstheme="minorHAnsi"/>
              </w:rPr>
              <w:t>17.27-18.75</w:t>
            </w:r>
          </w:p>
        </w:tc>
        <w:tc>
          <w:tcPr>
            <w:tcW w:w="615" w:type="dxa"/>
          </w:tcPr>
          <w:p w14:paraId="552DC25F" w14:textId="77777777" w:rsidR="00AC4454" w:rsidRPr="00B1522E" w:rsidRDefault="00AC4454" w:rsidP="00DD38D3">
            <w:pPr>
              <w:jc w:val="center"/>
              <w:rPr>
                <w:rFonts w:cstheme="minorHAnsi"/>
              </w:rPr>
            </w:pPr>
            <w:r w:rsidRPr="00B1522E">
              <w:rPr>
                <w:rFonts w:cstheme="minorHAnsi"/>
              </w:rPr>
              <w:t>84</w:t>
            </w:r>
          </w:p>
        </w:tc>
        <w:tc>
          <w:tcPr>
            <w:tcW w:w="1086" w:type="dxa"/>
          </w:tcPr>
          <w:p w14:paraId="57869392" w14:textId="77777777" w:rsidR="00AC4454" w:rsidRPr="00B1522E" w:rsidRDefault="00AC4454" w:rsidP="00DD38D3">
            <w:pPr>
              <w:tabs>
                <w:tab w:val="decimal" w:pos="148"/>
                <w:tab w:val="left" w:pos="305"/>
              </w:tabs>
              <w:jc w:val="center"/>
              <w:rPr>
                <w:rFonts w:cstheme="minorHAnsi"/>
              </w:rPr>
            </w:pPr>
            <w:r w:rsidRPr="00B1522E">
              <w:rPr>
                <w:rFonts w:cstheme="minorHAnsi"/>
              </w:rPr>
              <w:t>18.38</w:t>
            </w:r>
          </w:p>
        </w:tc>
        <w:tc>
          <w:tcPr>
            <w:tcW w:w="1087" w:type="dxa"/>
          </w:tcPr>
          <w:p w14:paraId="60D838CE" w14:textId="77777777" w:rsidR="00AC4454" w:rsidRPr="00B1522E" w:rsidRDefault="00AC4454" w:rsidP="00DD38D3">
            <w:pPr>
              <w:tabs>
                <w:tab w:val="decimal" w:pos="424"/>
              </w:tabs>
              <w:jc w:val="center"/>
              <w:rPr>
                <w:rFonts w:cstheme="minorHAnsi"/>
              </w:rPr>
            </w:pPr>
            <w:r w:rsidRPr="00B1522E">
              <w:rPr>
                <w:rFonts w:cstheme="minorHAnsi"/>
              </w:rPr>
              <w:t>17.70</w:t>
            </w:r>
          </w:p>
        </w:tc>
        <w:tc>
          <w:tcPr>
            <w:tcW w:w="1087" w:type="dxa"/>
          </w:tcPr>
          <w:p w14:paraId="62081ED6" w14:textId="77777777" w:rsidR="00AC4454" w:rsidRPr="00B1522E" w:rsidRDefault="00AC4454" w:rsidP="00DD38D3">
            <w:pPr>
              <w:jc w:val="center"/>
              <w:rPr>
                <w:rFonts w:cstheme="minorHAnsi"/>
              </w:rPr>
            </w:pPr>
            <w:r w:rsidRPr="00B1522E">
              <w:rPr>
                <w:rFonts w:cstheme="minorHAnsi"/>
              </w:rPr>
              <w:t>16.74-18.66</w:t>
            </w:r>
          </w:p>
        </w:tc>
        <w:tc>
          <w:tcPr>
            <w:tcW w:w="851" w:type="dxa"/>
          </w:tcPr>
          <w:p w14:paraId="6C93D613"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.254</w:t>
            </w:r>
          </w:p>
        </w:tc>
        <w:tc>
          <w:tcPr>
            <w:tcW w:w="850" w:type="dxa"/>
          </w:tcPr>
          <w:p w14:paraId="7E888B0A" w14:textId="77777777" w:rsidR="00AC4454" w:rsidRPr="00B1522E" w:rsidRDefault="00AC4454" w:rsidP="00DD38D3">
            <w:pPr>
              <w:jc w:val="center"/>
              <w:rPr>
                <w:rFonts w:cstheme="minorHAnsi"/>
              </w:rPr>
            </w:pPr>
            <w:r w:rsidRPr="00B1522E">
              <w:rPr>
                <w:rFonts w:cstheme="minorHAnsi"/>
              </w:rPr>
              <w:t>221</w:t>
            </w:r>
          </w:p>
        </w:tc>
        <w:tc>
          <w:tcPr>
            <w:tcW w:w="851" w:type="dxa"/>
          </w:tcPr>
          <w:p w14:paraId="574AED73" w14:textId="77777777" w:rsidR="00AC4454" w:rsidRPr="00B1522E" w:rsidRDefault="00AC4454" w:rsidP="00DD38D3">
            <w:pPr>
              <w:jc w:val="center"/>
              <w:rPr>
                <w:rFonts w:cstheme="minorHAnsi"/>
              </w:rPr>
            </w:pPr>
            <w:r w:rsidRPr="00B1522E">
              <w:rPr>
                <w:rFonts w:cstheme="minorHAnsi"/>
              </w:rPr>
              <w:t>.615</w:t>
            </w:r>
          </w:p>
        </w:tc>
        <w:tc>
          <w:tcPr>
            <w:tcW w:w="850" w:type="dxa"/>
          </w:tcPr>
          <w:p w14:paraId="7084477D" w14:textId="77777777" w:rsidR="00AC4454" w:rsidRPr="00B1522E" w:rsidRDefault="00AC4454" w:rsidP="00DD38D3">
            <w:pPr>
              <w:jc w:val="center"/>
              <w:rPr>
                <w:rFonts w:cstheme="minorHAnsi"/>
              </w:rPr>
            </w:pPr>
            <w:r w:rsidRPr="00B1522E">
              <w:rPr>
                <w:rFonts w:cstheme="minorHAnsi"/>
              </w:rPr>
              <w:t>&lt;.001</w:t>
            </w:r>
          </w:p>
        </w:tc>
      </w:tr>
      <w:tr w:rsidR="00E77769" w:rsidRPr="00B1522E" w14:paraId="310B6637" w14:textId="77777777" w:rsidTr="00DD38D3">
        <w:trPr>
          <w:trHeight w:val="275"/>
        </w:trPr>
        <w:tc>
          <w:tcPr>
            <w:tcW w:w="2126" w:type="dxa"/>
          </w:tcPr>
          <w:p w14:paraId="253B20C8" w14:textId="77777777" w:rsidR="00AC4454" w:rsidRPr="00B1522E" w:rsidRDefault="00AC4454" w:rsidP="00DD38D3">
            <w:pPr>
              <w:ind w:left="174" w:hanging="142"/>
              <w:rPr>
                <w:rFonts w:cstheme="minorHAnsi"/>
                <w:vertAlign w:val="superscript"/>
              </w:rPr>
            </w:pPr>
            <w:r w:rsidRPr="00B1522E">
              <w:rPr>
                <w:rFonts w:cstheme="minorHAnsi"/>
              </w:rPr>
              <w:t>Misperceptions of peers’ unhealthy snacking behaviour</w:t>
            </w:r>
            <w:r w:rsidRPr="00B1522E">
              <w:rPr>
                <w:rFonts w:cstheme="minorHAnsi"/>
                <w:vertAlign w:val="superscript"/>
              </w:rPr>
              <w:t>b</w:t>
            </w:r>
          </w:p>
        </w:tc>
        <w:tc>
          <w:tcPr>
            <w:tcW w:w="568" w:type="dxa"/>
          </w:tcPr>
          <w:p w14:paraId="686557BE" w14:textId="77777777" w:rsidR="00AC4454" w:rsidRPr="00B1522E" w:rsidRDefault="00AC4454" w:rsidP="00DD38D3">
            <w:pPr>
              <w:jc w:val="center"/>
              <w:rPr>
                <w:rFonts w:cstheme="minorHAnsi"/>
              </w:rPr>
            </w:pPr>
            <w:r w:rsidRPr="00B1522E">
              <w:rPr>
                <w:rFonts w:cstheme="minorHAnsi"/>
              </w:rPr>
              <w:t>128</w:t>
            </w:r>
          </w:p>
        </w:tc>
        <w:tc>
          <w:tcPr>
            <w:tcW w:w="1023" w:type="dxa"/>
          </w:tcPr>
          <w:p w14:paraId="12E411FB" w14:textId="77777777" w:rsidR="00AC4454" w:rsidRPr="00B1522E" w:rsidRDefault="00AC4454" w:rsidP="00DD38D3">
            <w:pPr>
              <w:tabs>
                <w:tab w:val="decimal" w:pos="171"/>
                <w:tab w:val="left" w:pos="313"/>
              </w:tabs>
              <w:jc w:val="center"/>
              <w:rPr>
                <w:rFonts w:cstheme="minorHAnsi"/>
              </w:rPr>
            </w:pPr>
            <w:r w:rsidRPr="00B1522E">
              <w:rPr>
                <w:rFonts w:cstheme="minorHAnsi"/>
              </w:rPr>
              <w:t>23.50</w:t>
            </w:r>
          </w:p>
        </w:tc>
        <w:tc>
          <w:tcPr>
            <w:tcW w:w="1023" w:type="dxa"/>
          </w:tcPr>
          <w:p w14:paraId="52928A9F" w14:textId="77777777" w:rsidR="00AC4454" w:rsidRPr="00B1522E" w:rsidRDefault="00AC4454" w:rsidP="00DD38D3">
            <w:pPr>
              <w:jc w:val="center"/>
              <w:rPr>
                <w:rFonts w:cstheme="minorHAnsi"/>
              </w:rPr>
            </w:pPr>
            <w:r w:rsidRPr="00B1522E">
              <w:rPr>
                <w:rFonts w:cstheme="minorHAnsi"/>
              </w:rPr>
              <w:t>21.50</w:t>
            </w:r>
          </w:p>
        </w:tc>
        <w:tc>
          <w:tcPr>
            <w:tcW w:w="1024" w:type="dxa"/>
          </w:tcPr>
          <w:p w14:paraId="5ADCD7B1" w14:textId="77777777" w:rsidR="00AC4454" w:rsidRPr="00B1522E" w:rsidRDefault="00AC4454" w:rsidP="00DD38D3">
            <w:pPr>
              <w:jc w:val="center"/>
              <w:rPr>
                <w:rFonts w:cstheme="minorHAnsi"/>
              </w:rPr>
            </w:pPr>
            <w:r w:rsidRPr="00B1522E">
              <w:rPr>
                <w:rFonts w:cstheme="minorHAnsi"/>
              </w:rPr>
              <w:t>17.25-25.76</w:t>
            </w:r>
          </w:p>
        </w:tc>
        <w:tc>
          <w:tcPr>
            <w:tcW w:w="615" w:type="dxa"/>
          </w:tcPr>
          <w:p w14:paraId="654B8AA6" w14:textId="77777777" w:rsidR="00AC4454" w:rsidRPr="00B1522E" w:rsidRDefault="00AC4454" w:rsidP="00DD38D3">
            <w:pPr>
              <w:jc w:val="center"/>
              <w:rPr>
                <w:rFonts w:cstheme="minorHAnsi"/>
              </w:rPr>
            </w:pPr>
            <w:r w:rsidRPr="00B1522E">
              <w:rPr>
                <w:rFonts w:cstheme="minorHAnsi"/>
              </w:rPr>
              <w:t>85</w:t>
            </w:r>
          </w:p>
        </w:tc>
        <w:tc>
          <w:tcPr>
            <w:tcW w:w="1086" w:type="dxa"/>
          </w:tcPr>
          <w:p w14:paraId="1E12EAFB" w14:textId="77777777" w:rsidR="00AC4454" w:rsidRPr="00B1522E" w:rsidRDefault="00AC4454" w:rsidP="00DD38D3">
            <w:pPr>
              <w:tabs>
                <w:tab w:val="decimal" w:pos="148"/>
                <w:tab w:val="left" w:pos="305"/>
              </w:tabs>
              <w:jc w:val="center"/>
              <w:rPr>
                <w:rFonts w:cstheme="minorHAnsi"/>
              </w:rPr>
            </w:pPr>
            <w:r w:rsidRPr="00B1522E">
              <w:rPr>
                <w:rFonts w:cstheme="minorHAnsi"/>
              </w:rPr>
              <w:t>16.82</w:t>
            </w:r>
          </w:p>
        </w:tc>
        <w:tc>
          <w:tcPr>
            <w:tcW w:w="1087" w:type="dxa"/>
          </w:tcPr>
          <w:p w14:paraId="56CD6F81" w14:textId="77777777" w:rsidR="00AC4454" w:rsidRPr="00B1522E" w:rsidRDefault="00AC4454" w:rsidP="00DD38D3">
            <w:pPr>
              <w:tabs>
                <w:tab w:val="decimal" w:pos="424"/>
              </w:tabs>
              <w:jc w:val="center"/>
              <w:rPr>
                <w:rFonts w:cstheme="minorHAnsi"/>
              </w:rPr>
            </w:pPr>
            <w:r w:rsidRPr="00B1522E">
              <w:rPr>
                <w:rFonts w:cstheme="minorHAnsi"/>
              </w:rPr>
              <w:t>22.28</w:t>
            </w:r>
          </w:p>
        </w:tc>
        <w:tc>
          <w:tcPr>
            <w:tcW w:w="1087" w:type="dxa"/>
          </w:tcPr>
          <w:p w14:paraId="223B9D47" w14:textId="77777777" w:rsidR="00AC4454" w:rsidRPr="00B1522E" w:rsidRDefault="00AC4454" w:rsidP="00DD38D3">
            <w:pPr>
              <w:jc w:val="center"/>
              <w:rPr>
                <w:rFonts w:cstheme="minorHAnsi"/>
              </w:rPr>
            </w:pPr>
            <w:r w:rsidRPr="00B1522E">
              <w:rPr>
                <w:rFonts w:cstheme="minorHAnsi"/>
              </w:rPr>
              <w:t>17.06-27.50</w:t>
            </w:r>
          </w:p>
        </w:tc>
        <w:tc>
          <w:tcPr>
            <w:tcW w:w="851" w:type="dxa"/>
          </w:tcPr>
          <w:p w14:paraId="640D7878"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.051</w:t>
            </w:r>
          </w:p>
        </w:tc>
        <w:tc>
          <w:tcPr>
            <w:tcW w:w="850" w:type="dxa"/>
          </w:tcPr>
          <w:p w14:paraId="73D37EF7" w14:textId="77777777" w:rsidR="00AC4454" w:rsidRPr="00B1522E" w:rsidRDefault="00AC4454" w:rsidP="00DD38D3">
            <w:pPr>
              <w:jc w:val="center"/>
              <w:rPr>
                <w:rFonts w:cstheme="minorHAnsi"/>
              </w:rPr>
            </w:pPr>
            <w:r w:rsidRPr="00B1522E">
              <w:rPr>
                <w:rFonts w:cstheme="minorHAnsi"/>
              </w:rPr>
              <w:t>210</w:t>
            </w:r>
          </w:p>
        </w:tc>
        <w:tc>
          <w:tcPr>
            <w:tcW w:w="851" w:type="dxa"/>
          </w:tcPr>
          <w:p w14:paraId="13BAAEBD" w14:textId="77777777" w:rsidR="00AC4454" w:rsidRPr="00B1522E" w:rsidRDefault="00AC4454" w:rsidP="00DD38D3">
            <w:pPr>
              <w:jc w:val="center"/>
              <w:rPr>
                <w:rFonts w:cstheme="minorHAnsi"/>
              </w:rPr>
            </w:pPr>
            <w:r w:rsidRPr="00B1522E">
              <w:rPr>
                <w:rFonts w:cstheme="minorHAnsi"/>
              </w:rPr>
              <w:t>.821</w:t>
            </w:r>
          </w:p>
        </w:tc>
        <w:tc>
          <w:tcPr>
            <w:tcW w:w="850" w:type="dxa"/>
          </w:tcPr>
          <w:p w14:paraId="7BCE3670" w14:textId="77777777" w:rsidR="00AC4454" w:rsidRPr="00B1522E" w:rsidRDefault="00AC4454" w:rsidP="00DD38D3">
            <w:pPr>
              <w:jc w:val="center"/>
              <w:rPr>
                <w:rFonts w:cstheme="minorHAnsi"/>
              </w:rPr>
            </w:pPr>
            <w:r w:rsidRPr="00B1522E">
              <w:rPr>
                <w:rFonts w:cstheme="minorHAnsi"/>
              </w:rPr>
              <w:t>&lt;.001</w:t>
            </w:r>
          </w:p>
        </w:tc>
      </w:tr>
      <w:tr w:rsidR="00E77769" w:rsidRPr="00B1522E" w14:paraId="5BD55253" w14:textId="77777777" w:rsidTr="00DD38D3">
        <w:trPr>
          <w:trHeight w:val="275"/>
        </w:trPr>
        <w:tc>
          <w:tcPr>
            <w:tcW w:w="2126" w:type="dxa"/>
          </w:tcPr>
          <w:p w14:paraId="1D5D2BD1" w14:textId="77777777" w:rsidR="00AC4454" w:rsidRPr="00B1522E" w:rsidRDefault="00AC4454" w:rsidP="00DD38D3">
            <w:pPr>
              <w:ind w:left="174" w:hanging="142"/>
              <w:rPr>
                <w:rFonts w:cstheme="minorHAnsi"/>
                <w:vertAlign w:val="superscript"/>
              </w:rPr>
            </w:pPr>
            <w:r w:rsidRPr="00B1522E">
              <w:rPr>
                <w:rFonts w:cstheme="minorHAnsi"/>
              </w:rPr>
              <w:t>Misperceptions of peers’ attitude towards unhealthy snacking</w:t>
            </w:r>
            <w:r w:rsidRPr="00B1522E">
              <w:rPr>
                <w:rFonts w:cstheme="minorHAnsi"/>
                <w:vertAlign w:val="superscript"/>
              </w:rPr>
              <w:t>c</w:t>
            </w:r>
          </w:p>
        </w:tc>
        <w:tc>
          <w:tcPr>
            <w:tcW w:w="568" w:type="dxa"/>
          </w:tcPr>
          <w:p w14:paraId="1A66B09E" w14:textId="77777777" w:rsidR="00AC4454" w:rsidRPr="00B1522E" w:rsidRDefault="00AC4454" w:rsidP="00DD38D3">
            <w:pPr>
              <w:jc w:val="center"/>
              <w:rPr>
                <w:rFonts w:cstheme="minorHAnsi"/>
              </w:rPr>
            </w:pPr>
            <w:r w:rsidRPr="00B1522E">
              <w:rPr>
                <w:rFonts w:cstheme="minorHAnsi"/>
              </w:rPr>
              <w:t>129</w:t>
            </w:r>
          </w:p>
        </w:tc>
        <w:tc>
          <w:tcPr>
            <w:tcW w:w="1023" w:type="dxa"/>
          </w:tcPr>
          <w:p w14:paraId="70926002" w14:textId="77777777" w:rsidR="00AC4454" w:rsidRPr="00B1522E" w:rsidRDefault="00AC4454" w:rsidP="00DD38D3">
            <w:pPr>
              <w:tabs>
                <w:tab w:val="decimal" w:pos="171"/>
                <w:tab w:val="left" w:pos="313"/>
              </w:tabs>
              <w:jc w:val="center"/>
              <w:rPr>
                <w:rFonts w:cstheme="minorHAnsi"/>
              </w:rPr>
            </w:pPr>
            <w:r w:rsidRPr="00B1522E">
              <w:rPr>
                <w:rFonts w:cstheme="minorHAnsi"/>
              </w:rPr>
              <w:t>.79</w:t>
            </w:r>
          </w:p>
        </w:tc>
        <w:tc>
          <w:tcPr>
            <w:tcW w:w="1023" w:type="dxa"/>
          </w:tcPr>
          <w:p w14:paraId="3A7A18EC" w14:textId="77777777" w:rsidR="00AC4454" w:rsidRPr="00B1522E" w:rsidRDefault="00AC4454" w:rsidP="00DD38D3">
            <w:pPr>
              <w:jc w:val="center"/>
              <w:rPr>
                <w:rFonts w:cstheme="minorHAnsi"/>
              </w:rPr>
            </w:pPr>
            <w:r w:rsidRPr="00B1522E">
              <w:rPr>
                <w:rFonts w:cstheme="minorHAnsi"/>
              </w:rPr>
              <w:t>.72</w:t>
            </w:r>
          </w:p>
        </w:tc>
        <w:tc>
          <w:tcPr>
            <w:tcW w:w="1024" w:type="dxa"/>
          </w:tcPr>
          <w:p w14:paraId="791AFAA9" w14:textId="77777777" w:rsidR="00AC4454" w:rsidRPr="00B1522E" w:rsidRDefault="00AC4454" w:rsidP="00DD38D3">
            <w:pPr>
              <w:jc w:val="center"/>
              <w:rPr>
                <w:rFonts w:cstheme="minorHAnsi"/>
              </w:rPr>
            </w:pPr>
            <w:r w:rsidRPr="00B1522E">
              <w:rPr>
                <w:rFonts w:cstheme="minorHAnsi"/>
              </w:rPr>
              <w:t>.43-</w:t>
            </w:r>
          </w:p>
          <w:p w14:paraId="1B0F18F0" w14:textId="77777777" w:rsidR="00AC4454" w:rsidRPr="00B1522E" w:rsidRDefault="00AC4454" w:rsidP="00DD38D3">
            <w:pPr>
              <w:jc w:val="center"/>
              <w:rPr>
                <w:rFonts w:cstheme="minorHAnsi"/>
              </w:rPr>
            </w:pPr>
            <w:r w:rsidRPr="00B1522E">
              <w:rPr>
                <w:rFonts w:cstheme="minorHAnsi"/>
              </w:rPr>
              <w:t>1.02</w:t>
            </w:r>
          </w:p>
        </w:tc>
        <w:tc>
          <w:tcPr>
            <w:tcW w:w="615" w:type="dxa"/>
          </w:tcPr>
          <w:p w14:paraId="2D3C6643" w14:textId="77777777" w:rsidR="00AC4454" w:rsidRPr="00B1522E" w:rsidRDefault="00AC4454" w:rsidP="00DD38D3">
            <w:pPr>
              <w:jc w:val="center"/>
              <w:rPr>
                <w:rFonts w:cstheme="minorHAnsi"/>
              </w:rPr>
            </w:pPr>
            <w:r w:rsidRPr="00B1522E">
              <w:rPr>
                <w:rFonts w:cstheme="minorHAnsi"/>
              </w:rPr>
              <w:t>68</w:t>
            </w:r>
          </w:p>
        </w:tc>
        <w:tc>
          <w:tcPr>
            <w:tcW w:w="1086" w:type="dxa"/>
          </w:tcPr>
          <w:p w14:paraId="012BDF3A" w14:textId="77777777" w:rsidR="00AC4454" w:rsidRPr="00B1522E" w:rsidRDefault="00AC4454" w:rsidP="00DD38D3">
            <w:pPr>
              <w:tabs>
                <w:tab w:val="decimal" w:pos="148"/>
                <w:tab w:val="left" w:pos="305"/>
              </w:tabs>
              <w:jc w:val="center"/>
              <w:rPr>
                <w:rFonts w:cstheme="minorHAnsi"/>
              </w:rPr>
            </w:pPr>
            <w:r w:rsidRPr="00B1522E">
              <w:rPr>
                <w:rFonts w:cstheme="minorHAnsi"/>
              </w:rPr>
              <w:t>.84</w:t>
            </w:r>
          </w:p>
        </w:tc>
        <w:tc>
          <w:tcPr>
            <w:tcW w:w="1087" w:type="dxa"/>
          </w:tcPr>
          <w:p w14:paraId="0B1F611B" w14:textId="77777777" w:rsidR="00AC4454" w:rsidRPr="00B1522E" w:rsidRDefault="00AC4454" w:rsidP="00DD38D3">
            <w:pPr>
              <w:tabs>
                <w:tab w:val="decimal" w:pos="424"/>
              </w:tabs>
              <w:jc w:val="center"/>
              <w:rPr>
                <w:rFonts w:cstheme="minorHAnsi"/>
              </w:rPr>
            </w:pPr>
            <w:r w:rsidRPr="00B1522E">
              <w:rPr>
                <w:rFonts w:cstheme="minorHAnsi"/>
              </w:rPr>
              <w:t>.75</w:t>
            </w:r>
          </w:p>
        </w:tc>
        <w:tc>
          <w:tcPr>
            <w:tcW w:w="1087" w:type="dxa"/>
          </w:tcPr>
          <w:p w14:paraId="4DDD02A7" w14:textId="77777777" w:rsidR="00AC4454" w:rsidRPr="00B1522E" w:rsidRDefault="00AC4454" w:rsidP="00DD38D3">
            <w:pPr>
              <w:jc w:val="center"/>
              <w:rPr>
                <w:rFonts w:cstheme="minorHAnsi"/>
              </w:rPr>
            </w:pPr>
            <w:r w:rsidRPr="00B1522E">
              <w:rPr>
                <w:rFonts w:cstheme="minorHAnsi"/>
              </w:rPr>
              <w:t>.34-</w:t>
            </w:r>
          </w:p>
          <w:p w14:paraId="32BBAEB4" w14:textId="77777777" w:rsidR="00AC4454" w:rsidRPr="00B1522E" w:rsidRDefault="00AC4454" w:rsidP="00DD38D3">
            <w:pPr>
              <w:jc w:val="center"/>
              <w:rPr>
                <w:rFonts w:cstheme="minorHAnsi"/>
              </w:rPr>
            </w:pPr>
            <w:r w:rsidRPr="00B1522E">
              <w:rPr>
                <w:rFonts w:cstheme="minorHAnsi"/>
              </w:rPr>
              <w:t>1.16</w:t>
            </w:r>
          </w:p>
        </w:tc>
        <w:tc>
          <w:tcPr>
            <w:tcW w:w="851" w:type="dxa"/>
          </w:tcPr>
          <w:p w14:paraId="6529EC15"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.008</w:t>
            </w:r>
          </w:p>
        </w:tc>
        <w:tc>
          <w:tcPr>
            <w:tcW w:w="850" w:type="dxa"/>
          </w:tcPr>
          <w:p w14:paraId="1452C06B" w14:textId="77777777" w:rsidR="00AC4454" w:rsidRPr="00B1522E" w:rsidRDefault="00AC4454" w:rsidP="00DD38D3">
            <w:pPr>
              <w:jc w:val="center"/>
              <w:rPr>
                <w:rFonts w:cstheme="minorHAnsi"/>
              </w:rPr>
            </w:pPr>
            <w:r w:rsidRPr="00B1522E">
              <w:rPr>
                <w:rFonts w:cstheme="minorHAnsi"/>
              </w:rPr>
              <w:t>194</w:t>
            </w:r>
          </w:p>
        </w:tc>
        <w:tc>
          <w:tcPr>
            <w:tcW w:w="851" w:type="dxa"/>
          </w:tcPr>
          <w:p w14:paraId="45AC73BB" w14:textId="77777777" w:rsidR="00AC4454" w:rsidRPr="00B1522E" w:rsidRDefault="00AC4454" w:rsidP="00DD38D3">
            <w:pPr>
              <w:jc w:val="center"/>
              <w:rPr>
                <w:rFonts w:cstheme="minorHAnsi"/>
              </w:rPr>
            </w:pPr>
            <w:r w:rsidRPr="00B1522E">
              <w:rPr>
                <w:rFonts w:cstheme="minorHAnsi"/>
              </w:rPr>
              <w:t>.931</w:t>
            </w:r>
          </w:p>
        </w:tc>
        <w:tc>
          <w:tcPr>
            <w:tcW w:w="850" w:type="dxa"/>
          </w:tcPr>
          <w:p w14:paraId="03E0A2E1" w14:textId="77777777" w:rsidR="00AC4454" w:rsidRPr="00B1522E" w:rsidRDefault="00AC4454" w:rsidP="00DD38D3">
            <w:pPr>
              <w:jc w:val="center"/>
              <w:rPr>
                <w:rFonts w:cstheme="minorHAnsi"/>
              </w:rPr>
            </w:pPr>
            <w:r w:rsidRPr="00B1522E">
              <w:rPr>
                <w:rFonts w:cstheme="minorHAnsi"/>
              </w:rPr>
              <w:t>&lt;.001</w:t>
            </w:r>
          </w:p>
        </w:tc>
      </w:tr>
      <w:tr w:rsidR="00AC4454" w:rsidRPr="00B1522E" w14:paraId="4225D116" w14:textId="77777777" w:rsidTr="00DD38D3">
        <w:trPr>
          <w:trHeight w:val="952"/>
        </w:trPr>
        <w:tc>
          <w:tcPr>
            <w:tcW w:w="2126" w:type="dxa"/>
            <w:tcBorders>
              <w:bottom w:val="single" w:sz="4" w:space="0" w:color="auto"/>
            </w:tcBorders>
          </w:tcPr>
          <w:p w14:paraId="21C42A06" w14:textId="77777777" w:rsidR="00AC4454" w:rsidRPr="00B1522E" w:rsidRDefault="00AC4454" w:rsidP="00DD38D3">
            <w:pPr>
              <w:ind w:left="174" w:hanging="142"/>
              <w:rPr>
                <w:rFonts w:cstheme="minorHAnsi"/>
                <w:vertAlign w:val="superscript"/>
              </w:rPr>
            </w:pPr>
            <w:r w:rsidRPr="00B1522E">
              <w:rPr>
                <w:rFonts w:cstheme="minorHAnsi"/>
              </w:rPr>
              <w:t>Misperceptions</w:t>
            </w:r>
            <w:r w:rsidRPr="00B1522E">
              <w:rPr>
                <w:rFonts w:cstheme="minorHAnsi"/>
                <w:vertAlign w:val="superscript"/>
              </w:rPr>
              <w:t xml:space="preserve"> </w:t>
            </w:r>
            <w:r w:rsidRPr="00B1522E">
              <w:rPr>
                <w:rFonts w:cstheme="minorHAnsi"/>
              </w:rPr>
              <w:t>of peers’ attitude towards fewer unhealthy snacks</w:t>
            </w:r>
            <w:r w:rsidRPr="00B1522E">
              <w:rPr>
                <w:rFonts w:cstheme="minorHAnsi"/>
                <w:vertAlign w:val="superscript"/>
              </w:rPr>
              <w:t>ac</w:t>
            </w:r>
          </w:p>
        </w:tc>
        <w:tc>
          <w:tcPr>
            <w:tcW w:w="568" w:type="dxa"/>
            <w:tcBorders>
              <w:bottom w:val="single" w:sz="4" w:space="0" w:color="auto"/>
            </w:tcBorders>
          </w:tcPr>
          <w:p w14:paraId="7D8CE2EC" w14:textId="77777777" w:rsidR="00AC4454" w:rsidRPr="00B1522E" w:rsidRDefault="00AC4454" w:rsidP="00DD38D3">
            <w:pPr>
              <w:jc w:val="center"/>
              <w:rPr>
                <w:rFonts w:cstheme="minorHAnsi"/>
              </w:rPr>
            </w:pPr>
            <w:r w:rsidRPr="00B1522E">
              <w:rPr>
                <w:rFonts w:cstheme="minorHAnsi"/>
              </w:rPr>
              <w:t>128</w:t>
            </w:r>
          </w:p>
        </w:tc>
        <w:tc>
          <w:tcPr>
            <w:tcW w:w="1023" w:type="dxa"/>
            <w:tcBorders>
              <w:bottom w:val="single" w:sz="4" w:space="0" w:color="auto"/>
            </w:tcBorders>
          </w:tcPr>
          <w:p w14:paraId="20EA6129" w14:textId="77777777" w:rsidR="00AC4454" w:rsidRPr="00B1522E" w:rsidRDefault="00AC4454" w:rsidP="00DD38D3">
            <w:pPr>
              <w:tabs>
                <w:tab w:val="decimal" w:pos="171"/>
                <w:tab w:val="left" w:pos="313"/>
              </w:tabs>
              <w:jc w:val="center"/>
              <w:rPr>
                <w:rFonts w:cstheme="minorHAnsi"/>
              </w:rPr>
            </w:pPr>
            <w:r w:rsidRPr="00B1522E">
              <w:rPr>
                <w:rFonts w:cstheme="minorHAnsi"/>
              </w:rPr>
              <w:t>-.38</w:t>
            </w:r>
          </w:p>
        </w:tc>
        <w:tc>
          <w:tcPr>
            <w:tcW w:w="1023" w:type="dxa"/>
            <w:tcBorders>
              <w:bottom w:val="single" w:sz="4" w:space="0" w:color="auto"/>
            </w:tcBorders>
          </w:tcPr>
          <w:p w14:paraId="5A9E2B3F" w14:textId="77777777" w:rsidR="00AC4454" w:rsidRPr="00B1522E" w:rsidRDefault="00AC4454" w:rsidP="00DD38D3">
            <w:pPr>
              <w:jc w:val="center"/>
              <w:rPr>
                <w:rFonts w:cstheme="minorHAnsi"/>
              </w:rPr>
            </w:pPr>
            <w:r w:rsidRPr="00B1522E">
              <w:rPr>
                <w:rFonts w:cstheme="minorHAnsi"/>
              </w:rPr>
              <w:t>-.804</w:t>
            </w:r>
          </w:p>
        </w:tc>
        <w:tc>
          <w:tcPr>
            <w:tcW w:w="1024" w:type="dxa"/>
            <w:tcBorders>
              <w:bottom w:val="single" w:sz="4" w:space="0" w:color="auto"/>
            </w:tcBorders>
          </w:tcPr>
          <w:p w14:paraId="00EE096D" w14:textId="77777777" w:rsidR="00AC4454" w:rsidRPr="00B1522E" w:rsidRDefault="00AC4454" w:rsidP="00DD38D3">
            <w:pPr>
              <w:jc w:val="center"/>
              <w:rPr>
                <w:rFonts w:cstheme="minorHAnsi"/>
              </w:rPr>
            </w:pPr>
            <w:r w:rsidRPr="00B1522E">
              <w:rPr>
                <w:rFonts w:cstheme="minorHAnsi"/>
              </w:rPr>
              <w:t>-1.15-</w:t>
            </w:r>
          </w:p>
          <w:p w14:paraId="46EC3F8A" w14:textId="77777777" w:rsidR="00AC4454" w:rsidRPr="00B1522E" w:rsidRDefault="00AC4454" w:rsidP="00DD38D3">
            <w:pPr>
              <w:jc w:val="center"/>
              <w:rPr>
                <w:rFonts w:cstheme="minorHAnsi"/>
              </w:rPr>
            </w:pPr>
            <w:r w:rsidRPr="00B1522E">
              <w:rPr>
                <w:rFonts w:cstheme="minorHAnsi"/>
              </w:rPr>
              <w:t>-.46</w:t>
            </w:r>
          </w:p>
          <w:p w14:paraId="704E59A9" w14:textId="77777777" w:rsidR="00AC4454" w:rsidRPr="00B1522E" w:rsidRDefault="00AC4454" w:rsidP="00DD38D3">
            <w:pPr>
              <w:jc w:val="center"/>
              <w:rPr>
                <w:rFonts w:cstheme="minorHAnsi"/>
              </w:rPr>
            </w:pPr>
          </w:p>
          <w:p w14:paraId="08D2AD79" w14:textId="77777777" w:rsidR="00AC4454" w:rsidRPr="00B1522E" w:rsidRDefault="00AC4454" w:rsidP="00DD38D3">
            <w:pPr>
              <w:jc w:val="center"/>
              <w:rPr>
                <w:rFonts w:cstheme="minorHAnsi"/>
              </w:rPr>
            </w:pPr>
          </w:p>
        </w:tc>
        <w:tc>
          <w:tcPr>
            <w:tcW w:w="615" w:type="dxa"/>
            <w:tcBorders>
              <w:bottom w:val="single" w:sz="4" w:space="0" w:color="auto"/>
            </w:tcBorders>
          </w:tcPr>
          <w:p w14:paraId="15559EDA" w14:textId="77777777" w:rsidR="00AC4454" w:rsidRPr="00B1522E" w:rsidRDefault="00AC4454" w:rsidP="00DD38D3">
            <w:pPr>
              <w:jc w:val="center"/>
              <w:rPr>
                <w:rFonts w:cstheme="minorHAnsi"/>
              </w:rPr>
            </w:pPr>
            <w:r w:rsidRPr="00B1522E">
              <w:rPr>
                <w:rFonts w:cstheme="minorHAnsi"/>
              </w:rPr>
              <w:t>68</w:t>
            </w:r>
          </w:p>
        </w:tc>
        <w:tc>
          <w:tcPr>
            <w:tcW w:w="1086" w:type="dxa"/>
            <w:tcBorders>
              <w:bottom w:val="single" w:sz="4" w:space="0" w:color="auto"/>
            </w:tcBorders>
          </w:tcPr>
          <w:p w14:paraId="10BBC4E6" w14:textId="77777777" w:rsidR="00AC4454" w:rsidRPr="00B1522E" w:rsidRDefault="00AC4454" w:rsidP="00DD38D3">
            <w:pPr>
              <w:tabs>
                <w:tab w:val="decimal" w:pos="148"/>
                <w:tab w:val="left" w:pos="305"/>
              </w:tabs>
              <w:jc w:val="center"/>
              <w:rPr>
                <w:rFonts w:cstheme="minorHAnsi"/>
              </w:rPr>
            </w:pPr>
            <w:r w:rsidRPr="00B1522E">
              <w:rPr>
                <w:rFonts w:cstheme="minorHAnsi"/>
              </w:rPr>
              <w:t>-.65</w:t>
            </w:r>
          </w:p>
        </w:tc>
        <w:tc>
          <w:tcPr>
            <w:tcW w:w="1087" w:type="dxa"/>
            <w:tcBorders>
              <w:bottom w:val="single" w:sz="4" w:space="0" w:color="auto"/>
            </w:tcBorders>
          </w:tcPr>
          <w:p w14:paraId="0E7D6BC6" w14:textId="77777777" w:rsidR="00AC4454" w:rsidRPr="00B1522E" w:rsidRDefault="00AC4454" w:rsidP="00DD38D3">
            <w:pPr>
              <w:tabs>
                <w:tab w:val="decimal" w:pos="424"/>
              </w:tabs>
              <w:jc w:val="center"/>
              <w:rPr>
                <w:rFonts w:cstheme="minorHAnsi"/>
              </w:rPr>
            </w:pPr>
            <w:r w:rsidRPr="00B1522E">
              <w:rPr>
                <w:rFonts w:cstheme="minorHAnsi"/>
              </w:rPr>
              <w:t>-1.02</w:t>
            </w:r>
          </w:p>
        </w:tc>
        <w:tc>
          <w:tcPr>
            <w:tcW w:w="1087" w:type="dxa"/>
            <w:tcBorders>
              <w:bottom w:val="single" w:sz="4" w:space="0" w:color="auto"/>
            </w:tcBorders>
          </w:tcPr>
          <w:p w14:paraId="7C9C3197" w14:textId="77777777" w:rsidR="00AC4454" w:rsidRPr="00B1522E" w:rsidRDefault="00AC4454" w:rsidP="00DD38D3">
            <w:pPr>
              <w:jc w:val="center"/>
              <w:rPr>
                <w:rFonts w:cstheme="minorHAnsi"/>
              </w:rPr>
            </w:pPr>
            <w:r w:rsidRPr="00B1522E">
              <w:rPr>
                <w:rFonts w:cstheme="minorHAnsi"/>
              </w:rPr>
              <w:t>-1.50-</w:t>
            </w:r>
          </w:p>
          <w:p w14:paraId="0F276392" w14:textId="77777777" w:rsidR="00AC4454" w:rsidRPr="00B1522E" w:rsidRDefault="00AC4454" w:rsidP="00DD38D3">
            <w:pPr>
              <w:jc w:val="center"/>
              <w:rPr>
                <w:rFonts w:cstheme="minorHAnsi"/>
              </w:rPr>
            </w:pPr>
            <w:r w:rsidRPr="00B1522E">
              <w:rPr>
                <w:rFonts w:cstheme="minorHAnsi"/>
              </w:rPr>
              <w:t>-.54</w:t>
            </w:r>
          </w:p>
        </w:tc>
        <w:tc>
          <w:tcPr>
            <w:tcW w:w="851" w:type="dxa"/>
            <w:tcBorders>
              <w:bottom w:val="single" w:sz="4" w:space="0" w:color="auto"/>
            </w:tcBorders>
          </w:tcPr>
          <w:p w14:paraId="7523994C" w14:textId="77777777" w:rsidR="00AC4454" w:rsidRPr="00B1522E" w:rsidRDefault="00AC4454" w:rsidP="00DD38D3">
            <w:pPr>
              <w:tabs>
                <w:tab w:val="decimal" w:pos="230"/>
                <w:tab w:val="decimal" w:pos="458"/>
              </w:tabs>
              <w:ind w:left="34" w:hanging="34"/>
              <w:jc w:val="center"/>
              <w:rPr>
                <w:rFonts w:cstheme="minorHAnsi"/>
              </w:rPr>
            </w:pPr>
            <w:r w:rsidRPr="00B1522E">
              <w:rPr>
                <w:rFonts w:cstheme="minorHAnsi"/>
              </w:rPr>
              <w:t>.070</w:t>
            </w:r>
          </w:p>
        </w:tc>
        <w:tc>
          <w:tcPr>
            <w:tcW w:w="850" w:type="dxa"/>
            <w:tcBorders>
              <w:bottom w:val="single" w:sz="4" w:space="0" w:color="auto"/>
            </w:tcBorders>
          </w:tcPr>
          <w:p w14:paraId="71BD00D4" w14:textId="77777777" w:rsidR="00AC4454" w:rsidRPr="00B1522E" w:rsidRDefault="00AC4454" w:rsidP="00DD38D3">
            <w:pPr>
              <w:jc w:val="center"/>
              <w:rPr>
                <w:rFonts w:cstheme="minorHAnsi"/>
              </w:rPr>
            </w:pPr>
            <w:r w:rsidRPr="00B1522E">
              <w:rPr>
                <w:rFonts w:cstheme="minorHAnsi"/>
              </w:rPr>
              <w:t>192</w:t>
            </w:r>
          </w:p>
        </w:tc>
        <w:tc>
          <w:tcPr>
            <w:tcW w:w="851" w:type="dxa"/>
            <w:tcBorders>
              <w:bottom w:val="single" w:sz="4" w:space="0" w:color="auto"/>
            </w:tcBorders>
          </w:tcPr>
          <w:p w14:paraId="7AD5A78B" w14:textId="77777777" w:rsidR="00AC4454" w:rsidRPr="00B1522E" w:rsidRDefault="00AC4454" w:rsidP="00DD38D3">
            <w:pPr>
              <w:jc w:val="center"/>
              <w:rPr>
                <w:rFonts w:cstheme="minorHAnsi"/>
              </w:rPr>
            </w:pPr>
            <w:r w:rsidRPr="00B1522E">
              <w:rPr>
                <w:rFonts w:cstheme="minorHAnsi"/>
              </w:rPr>
              <w:t>.791</w:t>
            </w:r>
          </w:p>
        </w:tc>
        <w:tc>
          <w:tcPr>
            <w:tcW w:w="850" w:type="dxa"/>
            <w:tcBorders>
              <w:bottom w:val="single" w:sz="4" w:space="0" w:color="auto"/>
            </w:tcBorders>
          </w:tcPr>
          <w:p w14:paraId="71897A4D" w14:textId="77777777" w:rsidR="00AC4454" w:rsidRPr="00B1522E" w:rsidRDefault="00AC4454" w:rsidP="00DD38D3">
            <w:pPr>
              <w:jc w:val="center"/>
              <w:rPr>
                <w:rFonts w:cstheme="minorHAnsi"/>
              </w:rPr>
            </w:pPr>
            <w:r w:rsidRPr="00B1522E">
              <w:rPr>
                <w:rFonts w:cstheme="minorHAnsi"/>
              </w:rPr>
              <w:t>&lt;.001</w:t>
            </w:r>
          </w:p>
        </w:tc>
      </w:tr>
    </w:tbl>
    <w:p w14:paraId="018595FA" w14:textId="77777777" w:rsidR="004642E1" w:rsidRPr="00B1522E" w:rsidRDefault="004642E1" w:rsidP="00FA314F">
      <w:pPr>
        <w:spacing w:line="240" w:lineRule="auto"/>
        <w:rPr>
          <w:rFonts w:cstheme="minorHAnsi"/>
        </w:rPr>
      </w:pPr>
    </w:p>
    <w:p w14:paraId="7CD74E24" w14:textId="77777777" w:rsidR="004642E1" w:rsidRPr="00B1522E" w:rsidRDefault="004642E1" w:rsidP="00FA314F">
      <w:pPr>
        <w:spacing w:line="240" w:lineRule="auto"/>
        <w:rPr>
          <w:rFonts w:cstheme="minorHAnsi"/>
        </w:rPr>
      </w:pPr>
      <w:r w:rsidRPr="00B1522E">
        <w:rPr>
          <w:rFonts w:cstheme="minorHAnsi"/>
          <w:vertAlign w:val="superscript"/>
        </w:rPr>
        <w:t xml:space="preserve">a </w:t>
      </w:r>
      <w:r w:rsidRPr="00B1522E">
        <w:rPr>
          <w:rFonts w:cstheme="minorHAnsi"/>
        </w:rPr>
        <w:t>ANCOHET</w:t>
      </w:r>
    </w:p>
    <w:p w14:paraId="6ADDAF5E" w14:textId="77777777" w:rsidR="004642E1" w:rsidRPr="00B1522E" w:rsidRDefault="004642E1" w:rsidP="00FA314F">
      <w:pPr>
        <w:spacing w:line="240" w:lineRule="auto"/>
        <w:rPr>
          <w:rFonts w:cstheme="minorHAnsi"/>
        </w:rPr>
      </w:pPr>
      <w:r w:rsidRPr="00B1522E">
        <w:rPr>
          <w:rFonts w:cstheme="minorHAnsi"/>
          <w:vertAlign w:val="superscript"/>
        </w:rPr>
        <w:t>b</w:t>
      </w:r>
      <w:r w:rsidRPr="00B1522E">
        <w:rPr>
          <w:rFonts w:cstheme="minorHAnsi"/>
        </w:rPr>
        <w:t xml:space="preserve"> Misperception scores were calculated by subtracting the median of personal unhealthy snacking behaviour of the group (school/gender specific) from students’ individual normative perception (descriptive) of peers’ behaviour.</w:t>
      </w:r>
    </w:p>
    <w:p w14:paraId="559D8AEE" w14:textId="77777777" w:rsidR="004642E1" w:rsidRPr="00B1522E" w:rsidRDefault="004642E1" w:rsidP="00FA314F">
      <w:pPr>
        <w:spacing w:line="240" w:lineRule="auto"/>
        <w:rPr>
          <w:rFonts w:cstheme="minorHAnsi"/>
        </w:rPr>
      </w:pPr>
      <w:r w:rsidRPr="00B1522E">
        <w:rPr>
          <w:rFonts w:cstheme="minorHAnsi"/>
          <w:vertAlign w:val="superscript"/>
        </w:rPr>
        <w:t>c</w:t>
      </w:r>
      <w:r w:rsidRPr="00B1522E">
        <w:rPr>
          <w:rFonts w:cstheme="minorHAnsi"/>
        </w:rPr>
        <w:t>Misperception scores were calculated by subtracting the median of personal snacking attitude of the group (school/gender specific) from the students’ individual normative perception (injunctive) of peers’ snacking attitudes</w:t>
      </w:r>
    </w:p>
    <w:p w14:paraId="76CC8AD1" w14:textId="77777777" w:rsidR="00272695" w:rsidRPr="00B1522E" w:rsidRDefault="004642E1" w:rsidP="00FA314F">
      <w:pPr>
        <w:spacing w:line="240" w:lineRule="auto"/>
        <w:rPr>
          <w:rFonts w:cstheme="minorHAnsi"/>
        </w:rPr>
      </w:pPr>
      <w:r w:rsidRPr="00B1522E">
        <w:rPr>
          <w:rFonts w:cstheme="minorHAnsi"/>
        </w:rPr>
        <w:t xml:space="preserve">LL: Lower limit, UL: Upper limit </w:t>
      </w:r>
    </w:p>
    <w:p w14:paraId="2D22E6CD" w14:textId="3225FFA1" w:rsidR="004642E1" w:rsidRPr="00B1522E" w:rsidRDefault="004642E1" w:rsidP="00FA314F">
      <w:pPr>
        <w:spacing w:line="240" w:lineRule="auto"/>
        <w:rPr>
          <w:rFonts w:cstheme="minorHAnsi"/>
        </w:rPr>
      </w:pPr>
      <w:r w:rsidRPr="00B1522E">
        <w:rPr>
          <w:rStyle w:val="Emphasis"/>
          <w:rFonts w:cstheme="minorHAnsi"/>
        </w:rPr>
        <w:t>η</w:t>
      </w:r>
      <w:r w:rsidRPr="00B1522E">
        <w:rPr>
          <w:rStyle w:val="Emphasis"/>
          <w:rFonts w:cstheme="minorHAnsi"/>
          <w:vertAlign w:val="superscript"/>
        </w:rPr>
        <w:t xml:space="preserve">2 </w:t>
      </w:r>
      <w:r w:rsidRPr="00B1522E">
        <w:rPr>
          <w:rStyle w:val="Emphasis"/>
          <w:rFonts w:cstheme="minorHAnsi"/>
        </w:rPr>
        <w:t xml:space="preserve">– Eta squared </w:t>
      </w:r>
    </w:p>
    <w:p w14:paraId="2EFD11ED" w14:textId="77777777" w:rsidR="004642E1" w:rsidRPr="00B1522E" w:rsidRDefault="004642E1" w:rsidP="004642E1">
      <w:pPr>
        <w:pStyle w:val="ListParagraph"/>
        <w:spacing w:line="480" w:lineRule="auto"/>
        <w:ind w:left="0"/>
        <w:jc w:val="center"/>
        <w:rPr>
          <w:rFonts w:cstheme="minorHAnsi"/>
        </w:rPr>
      </w:pPr>
    </w:p>
    <w:p w14:paraId="3DA58791" w14:textId="77777777" w:rsidR="004642E1" w:rsidRPr="00B1522E" w:rsidRDefault="004642E1" w:rsidP="004642E1">
      <w:pPr>
        <w:spacing w:line="480" w:lineRule="auto"/>
        <w:rPr>
          <w:rFonts w:cstheme="minorHAnsi"/>
        </w:rPr>
      </w:pPr>
    </w:p>
    <w:p w14:paraId="124E90AF" w14:textId="77777777" w:rsidR="004642E1" w:rsidRPr="00B1522E" w:rsidRDefault="004642E1" w:rsidP="004642E1">
      <w:pPr>
        <w:spacing w:line="480" w:lineRule="auto"/>
        <w:rPr>
          <w:rFonts w:cstheme="minorHAnsi"/>
        </w:rPr>
      </w:pPr>
    </w:p>
    <w:p w14:paraId="6B11363B" w14:textId="329740AF" w:rsidR="004642E1" w:rsidRPr="00B1522E" w:rsidRDefault="004642E1" w:rsidP="004642E1">
      <w:pPr>
        <w:spacing w:line="480" w:lineRule="auto"/>
        <w:rPr>
          <w:rFonts w:cstheme="minorHAnsi"/>
        </w:rPr>
      </w:pPr>
    </w:p>
    <w:p w14:paraId="6F993B0F" w14:textId="55D5BAA4" w:rsidR="000D1EAF" w:rsidRPr="00B1522E" w:rsidRDefault="000D1EAF" w:rsidP="004642E1">
      <w:pPr>
        <w:spacing w:line="480" w:lineRule="auto"/>
        <w:rPr>
          <w:rFonts w:cstheme="minorHAnsi"/>
        </w:rPr>
      </w:pPr>
    </w:p>
    <w:p w14:paraId="03660D35" w14:textId="7EC17612" w:rsidR="000D1EAF" w:rsidRPr="00B1522E" w:rsidRDefault="000D1EAF" w:rsidP="004642E1">
      <w:pPr>
        <w:spacing w:line="480" w:lineRule="auto"/>
        <w:rPr>
          <w:rFonts w:cstheme="minorHAnsi"/>
        </w:rPr>
      </w:pPr>
    </w:p>
    <w:p w14:paraId="2D111C6D" w14:textId="77777777" w:rsidR="000D1EAF" w:rsidRPr="00B1522E" w:rsidRDefault="000D1EAF" w:rsidP="004642E1">
      <w:pPr>
        <w:spacing w:line="480" w:lineRule="auto"/>
        <w:rPr>
          <w:rFonts w:cstheme="minorHAnsi"/>
        </w:rPr>
        <w:sectPr w:rsidR="000D1EAF" w:rsidRPr="00B1522E" w:rsidSect="004C50F3">
          <w:pgSz w:w="16838" w:h="11906" w:orient="landscape"/>
          <w:pgMar w:top="1440" w:right="1440" w:bottom="993" w:left="1440" w:header="708" w:footer="708" w:gutter="0"/>
          <w:cols w:space="708"/>
          <w:docGrid w:linePitch="360"/>
        </w:sectPr>
      </w:pPr>
    </w:p>
    <w:bookmarkStart w:id="255" w:name="_Toc84678972"/>
    <w:p w14:paraId="66326647" w14:textId="71165E81" w:rsidR="00AC1FEF" w:rsidRPr="00B1522E" w:rsidRDefault="006D68EC" w:rsidP="00FA314F">
      <w:pPr>
        <w:spacing w:line="480" w:lineRule="auto"/>
      </w:pPr>
      <w:r w:rsidRPr="00B1522E">
        <w:lastRenderedPageBreak/>
        <w:fldChar w:fldCharType="begin"/>
      </w:r>
      <w:r w:rsidRPr="00B1522E">
        <w:instrText xml:space="preserve"> TC  "</w:instrText>
      </w:r>
      <w:bookmarkStart w:id="256" w:name="_Toc97310510"/>
      <w:r w:rsidRPr="00B1522E">
        <w:instrText>8.4.5 Correl</w:instrText>
      </w:r>
      <w:r w:rsidR="00D77329" w:rsidRPr="00B1522E">
        <w:instrText>ations between the independent, mediator and dependent variables</w:instrText>
      </w:r>
      <w:bookmarkEnd w:id="256"/>
      <w:r w:rsidRPr="00B1522E">
        <w:instrText xml:space="preserve"> " \f x\l 3 </w:instrText>
      </w:r>
      <w:r w:rsidRPr="00B1522E">
        <w:fldChar w:fldCharType="end"/>
      </w:r>
      <w:r w:rsidR="004642E1" w:rsidRPr="00B1522E">
        <w:t>8.4.5 Correlations between the independent, mediator and dependent variables</w:t>
      </w:r>
      <w:bookmarkEnd w:id="255"/>
    </w:p>
    <w:p w14:paraId="738EDDD3" w14:textId="78071047" w:rsidR="001B40A7" w:rsidRPr="00B1522E" w:rsidRDefault="00AC1FEF" w:rsidP="0003231C">
      <w:pPr>
        <w:spacing w:line="480" w:lineRule="auto"/>
        <w:jc w:val="both"/>
        <w:rPr>
          <w:b/>
          <w:bCs/>
          <w:i/>
          <w:iCs/>
        </w:rPr>
      </w:pPr>
      <w:r w:rsidRPr="00B1522E">
        <w:t xml:space="preserve">The relationship between the independent variable (intervention or control condition), mediator (changes in normative misperceptions at Time 2 and 3), and dependent variables (changes in personal unhealthy snacking at Time 3 and changes in personal attitude towards unhealthy snacking at Time 3) were explored using Pearson’s and </w:t>
      </w:r>
      <w:r w:rsidRPr="00B1522E">
        <w:rPr>
          <w:shd w:val="clear" w:color="auto" w:fill="FFFFFF"/>
        </w:rPr>
        <w:t>Point-Biserial</w:t>
      </w:r>
      <w:r w:rsidRPr="00B1522E">
        <w:t xml:space="preserve"> correlations. Table </w:t>
      </w:r>
      <w:r w:rsidR="00903F70" w:rsidRPr="00B1522E">
        <w:t>1</w:t>
      </w:r>
      <w:r w:rsidR="00C702D1" w:rsidRPr="00B1522E">
        <w:t>9</w:t>
      </w:r>
      <w:r w:rsidRPr="00B1522E">
        <w:t xml:space="preserve"> shows that no variables significantly correlated with changes in personal unhealthy snacking at Time 3 (dependent variable).</w:t>
      </w:r>
    </w:p>
    <w:p w14:paraId="325C5787" w14:textId="77777777" w:rsidR="001B40A7" w:rsidRPr="00B1522E" w:rsidRDefault="001B40A7" w:rsidP="004642E1">
      <w:pPr>
        <w:pStyle w:val="Caption"/>
        <w:keepNext/>
        <w:rPr>
          <w:b/>
          <w:bCs/>
          <w:i w:val="0"/>
          <w:iCs w:val="0"/>
          <w:color w:val="auto"/>
          <w:sz w:val="22"/>
          <w:szCs w:val="22"/>
        </w:rPr>
      </w:pPr>
    </w:p>
    <w:p w14:paraId="7B400CCD" w14:textId="77777777" w:rsidR="001B40A7" w:rsidRPr="00B1522E" w:rsidRDefault="001B40A7" w:rsidP="004642E1">
      <w:pPr>
        <w:pStyle w:val="Caption"/>
        <w:keepNext/>
        <w:rPr>
          <w:b/>
          <w:bCs/>
          <w:i w:val="0"/>
          <w:iCs w:val="0"/>
          <w:color w:val="auto"/>
          <w:sz w:val="22"/>
          <w:szCs w:val="22"/>
        </w:rPr>
      </w:pPr>
    </w:p>
    <w:p w14:paraId="78EB691D" w14:textId="77777777" w:rsidR="001B40A7" w:rsidRPr="00B1522E" w:rsidRDefault="001B40A7" w:rsidP="004642E1">
      <w:pPr>
        <w:pStyle w:val="Caption"/>
        <w:keepNext/>
        <w:rPr>
          <w:b/>
          <w:bCs/>
          <w:i w:val="0"/>
          <w:iCs w:val="0"/>
          <w:color w:val="auto"/>
          <w:sz w:val="22"/>
          <w:szCs w:val="22"/>
        </w:rPr>
      </w:pPr>
    </w:p>
    <w:p w14:paraId="14CFD0CA" w14:textId="77777777" w:rsidR="001B40A7" w:rsidRPr="00B1522E" w:rsidRDefault="001B40A7" w:rsidP="004642E1">
      <w:pPr>
        <w:pStyle w:val="Caption"/>
        <w:keepNext/>
        <w:rPr>
          <w:b/>
          <w:bCs/>
          <w:i w:val="0"/>
          <w:iCs w:val="0"/>
          <w:color w:val="auto"/>
          <w:sz w:val="22"/>
          <w:szCs w:val="22"/>
        </w:rPr>
      </w:pPr>
    </w:p>
    <w:p w14:paraId="523C8496" w14:textId="77777777" w:rsidR="001B40A7" w:rsidRPr="00B1522E" w:rsidRDefault="001B40A7" w:rsidP="004642E1">
      <w:pPr>
        <w:pStyle w:val="Caption"/>
        <w:keepNext/>
        <w:rPr>
          <w:b/>
          <w:bCs/>
          <w:i w:val="0"/>
          <w:iCs w:val="0"/>
          <w:color w:val="auto"/>
          <w:sz w:val="22"/>
          <w:szCs w:val="22"/>
        </w:rPr>
      </w:pPr>
    </w:p>
    <w:p w14:paraId="73D9CE75" w14:textId="77777777" w:rsidR="001B40A7" w:rsidRPr="00B1522E" w:rsidRDefault="001B40A7" w:rsidP="004642E1">
      <w:pPr>
        <w:pStyle w:val="Caption"/>
        <w:keepNext/>
        <w:rPr>
          <w:b/>
          <w:bCs/>
          <w:i w:val="0"/>
          <w:iCs w:val="0"/>
          <w:color w:val="auto"/>
          <w:sz w:val="22"/>
          <w:szCs w:val="22"/>
        </w:rPr>
      </w:pPr>
    </w:p>
    <w:p w14:paraId="70BC2C31" w14:textId="2B6C7CEC" w:rsidR="001B40A7" w:rsidRPr="00B1522E" w:rsidRDefault="001B40A7" w:rsidP="004642E1">
      <w:pPr>
        <w:pStyle w:val="Caption"/>
        <w:keepNext/>
        <w:rPr>
          <w:b/>
          <w:bCs/>
          <w:i w:val="0"/>
          <w:iCs w:val="0"/>
          <w:color w:val="auto"/>
          <w:sz w:val="22"/>
          <w:szCs w:val="22"/>
        </w:rPr>
      </w:pPr>
    </w:p>
    <w:p w14:paraId="7C013E8D" w14:textId="56C998BD" w:rsidR="001B40A7" w:rsidRPr="00B1522E" w:rsidRDefault="001B40A7" w:rsidP="001B40A7"/>
    <w:p w14:paraId="0EF56BB2" w14:textId="783147C1" w:rsidR="001B40A7" w:rsidRPr="00B1522E" w:rsidRDefault="001B40A7" w:rsidP="001B40A7"/>
    <w:p w14:paraId="159AAAE1" w14:textId="699A45A3" w:rsidR="001B40A7" w:rsidRPr="00B1522E" w:rsidRDefault="001B40A7" w:rsidP="001B40A7"/>
    <w:p w14:paraId="5E6E7E7E" w14:textId="4FF7806A" w:rsidR="001B40A7" w:rsidRPr="00B1522E" w:rsidRDefault="001B40A7" w:rsidP="001B40A7"/>
    <w:p w14:paraId="650637C6" w14:textId="3A969BE5" w:rsidR="001B40A7" w:rsidRPr="00B1522E" w:rsidRDefault="001B40A7" w:rsidP="001B40A7"/>
    <w:p w14:paraId="3EE7686C" w14:textId="4E9DD4F8" w:rsidR="001B40A7" w:rsidRPr="00B1522E" w:rsidRDefault="001B40A7" w:rsidP="001B40A7"/>
    <w:p w14:paraId="180010DA" w14:textId="55933E1B" w:rsidR="001B40A7" w:rsidRPr="00B1522E" w:rsidRDefault="001B40A7" w:rsidP="001B40A7"/>
    <w:p w14:paraId="0CC27385" w14:textId="1AD66366" w:rsidR="001B40A7" w:rsidRPr="00B1522E" w:rsidRDefault="001B40A7" w:rsidP="001B40A7"/>
    <w:p w14:paraId="2DB00EBB" w14:textId="5631EB22" w:rsidR="001B40A7" w:rsidRPr="00B1522E" w:rsidRDefault="001B40A7" w:rsidP="001B40A7"/>
    <w:p w14:paraId="541650F7" w14:textId="772CF6DC" w:rsidR="001B40A7" w:rsidRPr="00B1522E" w:rsidRDefault="001B40A7" w:rsidP="001B40A7"/>
    <w:p w14:paraId="13073BAD" w14:textId="77777777" w:rsidR="001B40A7" w:rsidRPr="00B1522E" w:rsidRDefault="001B40A7" w:rsidP="001B40A7"/>
    <w:p w14:paraId="155400AA" w14:textId="3BE80F81" w:rsidR="001B40A7" w:rsidRPr="00B1522E" w:rsidRDefault="001B40A7" w:rsidP="004642E1">
      <w:pPr>
        <w:pStyle w:val="Caption"/>
        <w:keepNext/>
        <w:rPr>
          <w:b/>
          <w:bCs/>
          <w:i w:val="0"/>
          <w:iCs w:val="0"/>
          <w:color w:val="auto"/>
          <w:sz w:val="22"/>
          <w:szCs w:val="22"/>
        </w:rPr>
      </w:pPr>
    </w:p>
    <w:p w14:paraId="50A789CD" w14:textId="465E5151" w:rsidR="0003231C" w:rsidRPr="00B1522E" w:rsidRDefault="0003231C" w:rsidP="0003231C"/>
    <w:p w14:paraId="2B627415" w14:textId="77777777" w:rsidR="0003231C" w:rsidRPr="00B1522E" w:rsidRDefault="0003231C" w:rsidP="0003231C"/>
    <w:p w14:paraId="37EF8DC2" w14:textId="56AFD3EF" w:rsidR="004642E1" w:rsidRPr="00B1522E" w:rsidRDefault="00EB4AC7" w:rsidP="004642E1">
      <w:pPr>
        <w:pStyle w:val="Caption"/>
        <w:keepNext/>
        <w:rPr>
          <w:rFonts w:cstheme="minorHAnsi"/>
          <w:i w:val="0"/>
          <w:iCs w:val="0"/>
          <w:color w:val="auto"/>
          <w:sz w:val="22"/>
          <w:szCs w:val="22"/>
        </w:rPr>
      </w:pPr>
      <w:r w:rsidRPr="00B1522E">
        <w:rPr>
          <w:b/>
          <w:bCs/>
          <w:i w:val="0"/>
          <w:iCs w:val="0"/>
          <w:color w:val="auto"/>
          <w:sz w:val="22"/>
          <w:szCs w:val="22"/>
        </w:rPr>
        <w:lastRenderedPageBreak/>
        <w:fldChar w:fldCharType="begin"/>
      </w:r>
      <w:r w:rsidRPr="00B1522E">
        <w:rPr>
          <w:b/>
          <w:bCs/>
          <w:i w:val="0"/>
          <w:iCs w:val="0"/>
          <w:color w:val="auto"/>
          <w:sz w:val="22"/>
          <w:szCs w:val="22"/>
        </w:rPr>
        <w:instrText xml:space="preserve"> TC  "</w:instrText>
      </w:r>
      <w:r w:rsidRPr="00B1522E">
        <w:rPr>
          <w:i w:val="0"/>
          <w:iCs w:val="0"/>
          <w:color w:val="auto"/>
          <w:sz w:val="24"/>
          <w:szCs w:val="24"/>
        </w:rPr>
        <w:instrText xml:space="preserve"> </w:instrText>
      </w:r>
      <w:bookmarkStart w:id="257" w:name="_Toc97557142"/>
      <w:r w:rsidRPr="00B1522E">
        <w:rPr>
          <w:rFonts w:cstheme="minorHAnsi"/>
          <w:i w:val="0"/>
          <w:iCs w:val="0"/>
          <w:color w:val="auto"/>
          <w:sz w:val="22"/>
          <w:szCs w:val="22"/>
        </w:rPr>
        <w:instrText xml:space="preserve">Table </w:instrText>
      </w:r>
      <w:r w:rsidR="00E2159F" w:rsidRPr="00B1522E">
        <w:rPr>
          <w:rFonts w:cstheme="minorHAnsi"/>
          <w:i w:val="0"/>
          <w:iCs w:val="0"/>
          <w:color w:val="auto"/>
          <w:sz w:val="22"/>
          <w:szCs w:val="22"/>
        </w:rPr>
        <w:instrText>1</w:instrText>
      </w:r>
      <w:r w:rsidR="00C24220" w:rsidRPr="00B1522E">
        <w:rPr>
          <w:rFonts w:cstheme="minorHAnsi"/>
          <w:i w:val="0"/>
          <w:iCs w:val="0"/>
          <w:color w:val="auto"/>
          <w:sz w:val="22"/>
          <w:szCs w:val="22"/>
        </w:rPr>
        <w:instrText>9</w:instrText>
      </w:r>
      <w:r w:rsidRPr="00B1522E">
        <w:rPr>
          <w:rFonts w:cstheme="minorHAnsi"/>
          <w:i w:val="0"/>
          <w:iCs w:val="0"/>
          <w:color w:val="auto"/>
          <w:sz w:val="22"/>
          <w:szCs w:val="22"/>
        </w:rPr>
        <w:instrText>. Correlation matrix of intervention condition, changes in normative misperceptions (time 2 and 3) and changes in personal unhealthy snacking at 3 months follow-up (Time 3)</w:instrText>
      </w:r>
      <w:bookmarkEnd w:id="257"/>
      <w:r w:rsidR="00F53D82" w:rsidRPr="00B1522E">
        <w:rPr>
          <w:rFonts w:cstheme="minorHAnsi"/>
          <w:i w:val="0"/>
          <w:iCs w:val="0"/>
          <w:color w:val="auto"/>
          <w:sz w:val="22"/>
          <w:szCs w:val="22"/>
        </w:rPr>
        <w:instrText>”</w:instrText>
      </w:r>
      <w:r w:rsidRPr="00B1522E">
        <w:rPr>
          <w:i w:val="0"/>
          <w:iCs w:val="0"/>
          <w:color w:val="auto"/>
        </w:rPr>
        <w:instrText>.</w:instrText>
      </w:r>
      <w:r w:rsidRPr="00B1522E">
        <w:rPr>
          <w:b/>
          <w:bCs/>
          <w:i w:val="0"/>
          <w:iCs w:val="0"/>
          <w:color w:val="auto"/>
          <w:sz w:val="22"/>
          <w:szCs w:val="22"/>
        </w:rPr>
        <w:instrText xml:space="preserve">\f z\l 2 </w:instrText>
      </w:r>
      <w:r w:rsidRPr="00B1522E">
        <w:rPr>
          <w:b/>
          <w:bCs/>
          <w:i w:val="0"/>
          <w:iCs w:val="0"/>
          <w:color w:val="auto"/>
          <w:sz w:val="22"/>
          <w:szCs w:val="22"/>
        </w:rPr>
        <w:fldChar w:fldCharType="end"/>
      </w:r>
      <w:r w:rsidR="004642E1" w:rsidRPr="00B1522E">
        <w:rPr>
          <w:rFonts w:cstheme="minorHAnsi"/>
          <w:i w:val="0"/>
          <w:iCs w:val="0"/>
          <w:color w:val="auto"/>
          <w:sz w:val="22"/>
          <w:szCs w:val="22"/>
        </w:rPr>
        <w:t xml:space="preserve">Table </w:t>
      </w:r>
      <w:r w:rsidR="00E2159F" w:rsidRPr="00B1522E">
        <w:rPr>
          <w:rFonts w:cstheme="minorHAnsi"/>
          <w:i w:val="0"/>
          <w:iCs w:val="0"/>
          <w:color w:val="auto"/>
          <w:sz w:val="22"/>
          <w:szCs w:val="22"/>
        </w:rPr>
        <w:t>1</w:t>
      </w:r>
      <w:r w:rsidR="00C24220" w:rsidRPr="00B1522E">
        <w:rPr>
          <w:rFonts w:cstheme="minorHAnsi"/>
          <w:i w:val="0"/>
          <w:iCs w:val="0"/>
          <w:color w:val="auto"/>
          <w:sz w:val="22"/>
          <w:szCs w:val="22"/>
        </w:rPr>
        <w:t>9</w:t>
      </w:r>
      <w:r w:rsidR="004642E1" w:rsidRPr="00B1522E">
        <w:rPr>
          <w:rFonts w:cstheme="minorHAnsi"/>
          <w:i w:val="0"/>
          <w:iCs w:val="0"/>
          <w:color w:val="auto"/>
          <w:sz w:val="22"/>
          <w:szCs w:val="22"/>
        </w:rPr>
        <w:t>. Correlation matrix of intervention condition, changes in normative misperceptions (time 2 and 3) and changes in personal unhealthy snacking at 3 months follow-up (Time 3).</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5"/>
        <w:gridCol w:w="807"/>
        <w:gridCol w:w="807"/>
        <w:gridCol w:w="807"/>
        <w:gridCol w:w="807"/>
        <w:gridCol w:w="807"/>
        <w:gridCol w:w="807"/>
        <w:gridCol w:w="808"/>
        <w:gridCol w:w="709"/>
      </w:tblGrid>
      <w:tr w:rsidR="00E77769" w:rsidRPr="00B1522E" w14:paraId="2DE02934" w14:textId="77777777" w:rsidTr="003B6735">
        <w:tc>
          <w:tcPr>
            <w:tcW w:w="2855" w:type="dxa"/>
            <w:tcBorders>
              <w:top w:val="single" w:sz="4" w:space="0" w:color="auto"/>
              <w:bottom w:val="single" w:sz="4" w:space="0" w:color="auto"/>
            </w:tcBorders>
          </w:tcPr>
          <w:p w14:paraId="7C1E17D3" w14:textId="77777777" w:rsidR="004642E1" w:rsidRPr="00B1522E" w:rsidRDefault="004642E1" w:rsidP="003B6735">
            <w:pPr>
              <w:rPr>
                <w:rFonts w:cstheme="minorHAnsi"/>
              </w:rPr>
            </w:pPr>
            <w:r w:rsidRPr="00B1522E">
              <w:rPr>
                <w:rFonts w:cstheme="minorHAnsi"/>
              </w:rPr>
              <w:t xml:space="preserve">Variables </w:t>
            </w:r>
          </w:p>
        </w:tc>
        <w:tc>
          <w:tcPr>
            <w:tcW w:w="807" w:type="dxa"/>
            <w:tcBorders>
              <w:top w:val="single" w:sz="4" w:space="0" w:color="auto"/>
              <w:bottom w:val="single" w:sz="4" w:space="0" w:color="auto"/>
            </w:tcBorders>
          </w:tcPr>
          <w:p w14:paraId="2984FD61" w14:textId="77777777" w:rsidR="004642E1" w:rsidRPr="00B1522E" w:rsidRDefault="004642E1" w:rsidP="003B6735">
            <w:pPr>
              <w:tabs>
                <w:tab w:val="decimal" w:pos="232"/>
              </w:tabs>
              <w:jc w:val="center"/>
              <w:rPr>
                <w:rFonts w:cstheme="minorHAnsi"/>
              </w:rPr>
            </w:pPr>
            <w:r w:rsidRPr="00B1522E">
              <w:rPr>
                <w:rFonts w:cstheme="minorHAnsi"/>
              </w:rPr>
              <w:t>1</w:t>
            </w:r>
          </w:p>
        </w:tc>
        <w:tc>
          <w:tcPr>
            <w:tcW w:w="807" w:type="dxa"/>
            <w:tcBorders>
              <w:top w:val="single" w:sz="4" w:space="0" w:color="auto"/>
              <w:bottom w:val="single" w:sz="4" w:space="0" w:color="auto"/>
            </w:tcBorders>
            <w:vAlign w:val="center"/>
          </w:tcPr>
          <w:p w14:paraId="6DF9324D" w14:textId="77777777" w:rsidR="004642E1" w:rsidRPr="00B1522E" w:rsidRDefault="004642E1" w:rsidP="003B6735">
            <w:pPr>
              <w:tabs>
                <w:tab w:val="left" w:pos="0"/>
              </w:tabs>
              <w:jc w:val="center"/>
              <w:rPr>
                <w:rFonts w:cstheme="minorHAnsi"/>
              </w:rPr>
            </w:pPr>
            <w:r w:rsidRPr="00B1522E">
              <w:rPr>
                <w:rFonts w:cstheme="minorHAnsi"/>
              </w:rPr>
              <w:t>2</w:t>
            </w:r>
          </w:p>
        </w:tc>
        <w:tc>
          <w:tcPr>
            <w:tcW w:w="807" w:type="dxa"/>
            <w:tcBorders>
              <w:top w:val="single" w:sz="4" w:space="0" w:color="auto"/>
              <w:bottom w:val="single" w:sz="4" w:space="0" w:color="auto"/>
            </w:tcBorders>
          </w:tcPr>
          <w:p w14:paraId="0C0B996E" w14:textId="77777777" w:rsidR="004642E1" w:rsidRPr="00B1522E" w:rsidRDefault="004642E1" w:rsidP="003B6735">
            <w:pPr>
              <w:tabs>
                <w:tab w:val="decimal" w:pos="197"/>
              </w:tabs>
              <w:jc w:val="center"/>
              <w:rPr>
                <w:rFonts w:cstheme="minorHAnsi"/>
              </w:rPr>
            </w:pPr>
            <w:r w:rsidRPr="00B1522E">
              <w:rPr>
                <w:rFonts w:cstheme="minorHAnsi"/>
              </w:rPr>
              <w:t>3</w:t>
            </w:r>
          </w:p>
        </w:tc>
        <w:tc>
          <w:tcPr>
            <w:tcW w:w="807" w:type="dxa"/>
            <w:tcBorders>
              <w:top w:val="single" w:sz="4" w:space="0" w:color="auto"/>
              <w:bottom w:val="single" w:sz="4" w:space="0" w:color="auto"/>
            </w:tcBorders>
          </w:tcPr>
          <w:p w14:paraId="3409C257" w14:textId="77777777" w:rsidR="004642E1" w:rsidRPr="00B1522E" w:rsidRDefault="004642E1" w:rsidP="003B6735">
            <w:pPr>
              <w:tabs>
                <w:tab w:val="decimal" w:pos="267"/>
              </w:tabs>
              <w:jc w:val="center"/>
              <w:rPr>
                <w:rFonts w:cstheme="minorHAnsi"/>
              </w:rPr>
            </w:pPr>
            <w:r w:rsidRPr="00B1522E">
              <w:rPr>
                <w:rFonts w:cstheme="minorHAnsi"/>
              </w:rPr>
              <w:t>4</w:t>
            </w:r>
          </w:p>
        </w:tc>
        <w:tc>
          <w:tcPr>
            <w:tcW w:w="807" w:type="dxa"/>
            <w:tcBorders>
              <w:top w:val="single" w:sz="4" w:space="0" w:color="auto"/>
              <w:bottom w:val="single" w:sz="4" w:space="0" w:color="auto"/>
            </w:tcBorders>
          </w:tcPr>
          <w:p w14:paraId="757151FA" w14:textId="77777777" w:rsidR="004642E1" w:rsidRPr="00B1522E" w:rsidRDefault="004642E1" w:rsidP="003B6735">
            <w:pPr>
              <w:tabs>
                <w:tab w:val="decimal" w:pos="220"/>
              </w:tabs>
              <w:jc w:val="center"/>
              <w:rPr>
                <w:rFonts w:cstheme="minorHAnsi"/>
              </w:rPr>
            </w:pPr>
            <w:r w:rsidRPr="00B1522E">
              <w:rPr>
                <w:rFonts w:cstheme="minorHAnsi"/>
              </w:rPr>
              <w:t>5</w:t>
            </w:r>
          </w:p>
        </w:tc>
        <w:tc>
          <w:tcPr>
            <w:tcW w:w="807" w:type="dxa"/>
            <w:tcBorders>
              <w:top w:val="single" w:sz="4" w:space="0" w:color="auto"/>
              <w:bottom w:val="single" w:sz="4" w:space="0" w:color="auto"/>
            </w:tcBorders>
          </w:tcPr>
          <w:p w14:paraId="1762E3E0" w14:textId="77777777" w:rsidR="004642E1" w:rsidRPr="00B1522E" w:rsidRDefault="004642E1" w:rsidP="003B6735">
            <w:pPr>
              <w:tabs>
                <w:tab w:val="decimal" w:pos="291"/>
              </w:tabs>
              <w:jc w:val="center"/>
              <w:rPr>
                <w:rFonts w:cstheme="minorHAnsi"/>
              </w:rPr>
            </w:pPr>
            <w:r w:rsidRPr="00B1522E">
              <w:rPr>
                <w:rFonts w:cstheme="minorHAnsi"/>
              </w:rPr>
              <w:t>6</w:t>
            </w:r>
          </w:p>
        </w:tc>
        <w:tc>
          <w:tcPr>
            <w:tcW w:w="808" w:type="dxa"/>
            <w:tcBorders>
              <w:top w:val="single" w:sz="4" w:space="0" w:color="auto"/>
              <w:bottom w:val="single" w:sz="4" w:space="0" w:color="auto"/>
            </w:tcBorders>
          </w:tcPr>
          <w:p w14:paraId="47CCCC2F" w14:textId="77777777" w:rsidR="004642E1" w:rsidRPr="00B1522E" w:rsidRDefault="004642E1" w:rsidP="003B6735">
            <w:pPr>
              <w:jc w:val="center"/>
              <w:rPr>
                <w:rFonts w:cstheme="minorHAnsi"/>
              </w:rPr>
            </w:pPr>
            <w:r w:rsidRPr="00B1522E">
              <w:rPr>
                <w:rFonts w:cstheme="minorHAnsi"/>
              </w:rPr>
              <w:t>7</w:t>
            </w:r>
          </w:p>
        </w:tc>
        <w:tc>
          <w:tcPr>
            <w:tcW w:w="709" w:type="dxa"/>
            <w:tcBorders>
              <w:top w:val="single" w:sz="4" w:space="0" w:color="auto"/>
              <w:bottom w:val="single" w:sz="4" w:space="0" w:color="auto"/>
            </w:tcBorders>
          </w:tcPr>
          <w:p w14:paraId="16C20FAD" w14:textId="77777777" w:rsidR="004642E1" w:rsidRPr="00B1522E" w:rsidRDefault="004642E1" w:rsidP="003B6735">
            <w:pPr>
              <w:jc w:val="center"/>
              <w:rPr>
                <w:rFonts w:cstheme="minorHAnsi"/>
              </w:rPr>
            </w:pPr>
            <w:r w:rsidRPr="00B1522E">
              <w:rPr>
                <w:rFonts w:cstheme="minorHAnsi"/>
              </w:rPr>
              <w:t>8</w:t>
            </w:r>
          </w:p>
        </w:tc>
      </w:tr>
      <w:tr w:rsidR="00E77769" w:rsidRPr="00B1522E" w14:paraId="2F8757FE" w14:textId="77777777" w:rsidTr="003B6735">
        <w:tc>
          <w:tcPr>
            <w:tcW w:w="2855" w:type="dxa"/>
            <w:tcBorders>
              <w:top w:val="single" w:sz="4" w:space="0" w:color="auto"/>
            </w:tcBorders>
          </w:tcPr>
          <w:p w14:paraId="0B998311" w14:textId="77777777" w:rsidR="004642E1" w:rsidRPr="00B1522E" w:rsidRDefault="004642E1" w:rsidP="003B6735">
            <w:pPr>
              <w:rPr>
                <w:rFonts w:cstheme="minorHAnsi"/>
              </w:rPr>
            </w:pPr>
            <w:r w:rsidRPr="00B1522E">
              <w:rPr>
                <w:rFonts w:cstheme="minorHAnsi"/>
              </w:rPr>
              <w:t>1. Intervention condition</w:t>
            </w:r>
            <w:r w:rsidRPr="00B1522E">
              <w:rPr>
                <w:rFonts w:cstheme="minorHAnsi"/>
                <w:vertAlign w:val="superscript"/>
              </w:rPr>
              <w:t>af</w:t>
            </w:r>
            <w:r w:rsidRPr="00B1522E">
              <w:rPr>
                <w:rFonts w:cstheme="minorHAnsi"/>
              </w:rPr>
              <w:t xml:space="preserve"> </w:t>
            </w:r>
          </w:p>
          <w:p w14:paraId="1B45C81E" w14:textId="77777777" w:rsidR="004642E1" w:rsidRPr="00B1522E" w:rsidRDefault="004642E1" w:rsidP="003B6735">
            <w:pPr>
              <w:rPr>
                <w:rFonts w:cstheme="minorHAnsi"/>
              </w:rPr>
            </w:pPr>
          </w:p>
        </w:tc>
        <w:tc>
          <w:tcPr>
            <w:tcW w:w="807" w:type="dxa"/>
            <w:tcBorders>
              <w:top w:val="single" w:sz="4" w:space="0" w:color="auto"/>
            </w:tcBorders>
            <w:vAlign w:val="center"/>
          </w:tcPr>
          <w:p w14:paraId="5F1AEF6D" w14:textId="77777777" w:rsidR="004642E1" w:rsidRPr="00B1522E" w:rsidRDefault="004642E1" w:rsidP="003B6735">
            <w:pPr>
              <w:tabs>
                <w:tab w:val="left" w:pos="178"/>
                <w:tab w:val="left" w:pos="232"/>
              </w:tabs>
              <w:jc w:val="center"/>
              <w:rPr>
                <w:rFonts w:cstheme="minorHAnsi"/>
              </w:rPr>
            </w:pPr>
            <w:r w:rsidRPr="00B1522E">
              <w:rPr>
                <w:rFonts w:cstheme="minorHAnsi"/>
              </w:rPr>
              <w:t>-</w:t>
            </w:r>
          </w:p>
        </w:tc>
        <w:tc>
          <w:tcPr>
            <w:tcW w:w="807" w:type="dxa"/>
            <w:tcBorders>
              <w:top w:val="single" w:sz="4" w:space="0" w:color="auto"/>
            </w:tcBorders>
            <w:vAlign w:val="center"/>
          </w:tcPr>
          <w:p w14:paraId="27602235" w14:textId="77777777" w:rsidR="004642E1" w:rsidRPr="00B1522E" w:rsidRDefault="004642E1" w:rsidP="003B6735">
            <w:pPr>
              <w:tabs>
                <w:tab w:val="left" w:pos="0"/>
              </w:tabs>
              <w:jc w:val="center"/>
              <w:rPr>
                <w:rFonts w:cstheme="minorHAnsi"/>
              </w:rPr>
            </w:pPr>
          </w:p>
        </w:tc>
        <w:tc>
          <w:tcPr>
            <w:tcW w:w="807" w:type="dxa"/>
            <w:tcBorders>
              <w:top w:val="single" w:sz="4" w:space="0" w:color="auto"/>
            </w:tcBorders>
            <w:vAlign w:val="center"/>
          </w:tcPr>
          <w:p w14:paraId="2E0D1D87" w14:textId="77777777" w:rsidR="004642E1" w:rsidRPr="00B1522E" w:rsidRDefault="004642E1" w:rsidP="003B6735">
            <w:pPr>
              <w:tabs>
                <w:tab w:val="decimal" w:pos="197"/>
              </w:tabs>
              <w:rPr>
                <w:rFonts w:cstheme="minorHAnsi"/>
              </w:rPr>
            </w:pPr>
          </w:p>
        </w:tc>
        <w:tc>
          <w:tcPr>
            <w:tcW w:w="807" w:type="dxa"/>
            <w:tcBorders>
              <w:top w:val="single" w:sz="4" w:space="0" w:color="auto"/>
            </w:tcBorders>
            <w:vAlign w:val="center"/>
          </w:tcPr>
          <w:p w14:paraId="48328874" w14:textId="77777777" w:rsidR="004642E1" w:rsidRPr="00B1522E" w:rsidRDefault="004642E1" w:rsidP="003B6735">
            <w:pPr>
              <w:tabs>
                <w:tab w:val="decimal" w:pos="267"/>
              </w:tabs>
              <w:rPr>
                <w:rFonts w:cstheme="minorHAnsi"/>
              </w:rPr>
            </w:pPr>
          </w:p>
        </w:tc>
        <w:tc>
          <w:tcPr>
            <w:tcW w:w="807" w:type="dxa"/>
            <w:tcBorders>
              <w:top w:val="single" w:sz="4" w:space="0" w:color="auto"/>
            </w:tcBorders>
            <w:vAlign w:val="center"/>
          </w:tcPr>
          <w:p w14:paraId="55A99DC2" w14:textId="77777777" w:rsidR="004642E1" w:rsidRPr="00B1522E" w:rsidRDefault="004642E1" w:rsidP="003B6735">
            <w:pPr>
              <w:tabs>
                <w:tab w:val="decimal" w:pos="220"/>
              </w:tabs>
              <w:rPr>
                <w:rFonts w:cstheme="minorHAnsi"/>
              </w:rPr>
            </w:pPr>
          </w:p>
        </w:tc>
        <w:tc>
          <w:tcPr>
            <w:tcW w:w="807" w:type="dxa"/>
            <w:tcBorders>
              <w:top w:val="single" w:sz="4" w:space="0" w:color="auto"/>
            </w:tcBorders>
            <w:vAlign w:val="center"/>
          </w:tcPr>
          <w:p w14:paraId="67161096" w14:textId="77777777" w:rsidR="004642E1" w:rsidRPr="00B1522E" w:rsidRDefault="004642E1" w:rsidP="003B6735">
            <w:pPr>
              <w:tabs>
                <w:tab w:val="decimal" w:pos="291"/>
              </w:tabs>
              <w:rPr>
                <w:rFonts w:cstheme="minorHAnsi"/>
              </w:rPr>
            </w:pPr>
          </w:p>
        </w:tc>
        <w:tc>
          <w:tcPr>
            <w:tcW w:w="808" w:type="dxa"/>
            <w:tcBorders>
              <w:top w:val="single" w:sz="4" w:space="0" w:color="auto"/>
            </w:tcBorders>
            <w:vAlign w:val="center"/>
          </w:tcPr>
          <w:p w14:paraId="54874706" w14:textId="77777777" w:rsidR="004642E1" w:rsidRPr="00B1522E" w:rsidRDefault="004642E1" w:rsidP="003B6735">
            <w:pPr>
              <w:rPr>
                <w:rFonts w:cstheme="minorHAnsi"/>
              </w:rPr>
            </w:pPr>
          </w:p>
        </w:tc>
        <w:tc>
          <w:tcPr>
            <w:tcW w:w="709" w:type="dxa"/>
            <w:tcBorders>
              <w:top w:val="single" w:sz="4" w:space="0" w:color="auto"/>
            </w:tcBorders>
            <w:vAlign w:val="center"/>
          </w:tcPr>
          <w:p w14:paraId="64BC86AC" w14:textId="77777777" w:rsidR="004642E1" w:rsidRPr="00B1522E" w:rsidRDefault="004642E1" w:rsidP="003B6735">
            <w:pPr>
              <w:jc w:val="center"/>
              <w:rPr>
                <w:rFonts w:cstheme="minorHAnsi"/>
              </w:rPr>
            </w:pPr>
          </w:p>
        </w:tc>
      </w:tr>
      <w:tr w:rsidR="00E77769" w:rsidRPr="00B1522E" w14:paraId="7E633EE2" w14:textId="77777777" w:rsidTr="003B6735">
        <w:tc>
          <w:tcPr>
            <w:tcW w:w="2855" w:type="dxa"/>
          </w:tcPr>
          <w:p w14:paraId="76476723" w14:textId="77777777" w:rsidR="004642E1" w:rsidRPr="00B1522E" w:rsidRDefault="004642E1" w:rsidP="00A507CA">
            <w:pPr>
              <w:ind w:left="340" w:hanging="340"/>
              <w:rPr>
                <w:rFonts w:cstheme="minorHAnsi"/>
                <w:b/>
                <w:bCs/>
              </w:rPr>
            </w:pPr>
            <w:r w:rsidRPr="00B1522E">
              <w:rPr>
                <w:rFonts w:cstheme="minorHAnsi"/>
              </w:rPr>
              <w:t>2. Changes in misperceptions of peers unhealthy snacking - Time 2</w:t>
            </w:r>
            <w:r w:rsidRPr="00B1522E">
              <w:rPr>
                <w:rFonts w:cstheme="minorHAnsi"/>
                <w:vertAlign w:val="superscript"/>
              </w:rPr>
              <w:t>bd</w:t>
            </w:r>
          </w:p>
        </w:tc>
        <w:tc>
          <w:tcPr>
            <w:tcW w:w="807" w:type="dxa"/>
            <w:vAlign w:val="center"/>
          </w:tcPr>
          <w:p w14:paraId="2C4CAEF0" w14:textId="77777777" w:rsidR="004642E1" w:rsidRPr="00B1522E" w:rsidRDefault="004642E1" w:rsidP="003B6735">
            <w:pPr>
              <w:tabs>
                <w:tab w:val="decimal" w:pos="7"/>
              </w:tabs>
              <w:ind w:right="-310"/>
              <w:rPr>
                <w:rFonts w:cstheme="minorHAnsi"/>
              </w:rPr>
            </w:pPr>
            <w:r w:rsidRPr="00B1522E">
              <w:rPr>
                <w:rFonts w:cstheme="minorHAnsi"/>
              </w:rPr>
              <w:t>.15*</w:t>
            </w:r>
          </w:p>
        </w:tc>
        <w:tc>
          <w:tcPr>
            <w:tcW w:w="807" w:type="dxa"/>
            <w:vAlign w:val="center"/>
          </w:tcPr>
          <w:p w14:paraId="14E00588" w14:textId="77777777" w:rsidR="004642E1" w:rsidRPr="00B1522E" w:rsidRDefault="004642E1" w:rsidP="003B6735">
            <w:pPr>
              <w:tabs>
                <w:tab w:val="left" w:pos="0"/>
              </w:tabs>
              <w:jc w:val="center"/>
              <w:rPr>
                <w:rFonts w:cstheme="minorHAnsi"/>
              </w:rPr>
            </w:pPr>
            <w:r w:rsidRPr="00B1522E">
              <w:rPr>
                <w:rFonts w:cstheme="minorHAnsi"/>
              </w:rPr>
              <w:t>-</w:t>
            </w:r>
          </w:p>
        </w:tc>
        <w:tc>
          <w:tcPr>
            <w:tcW w:w="807" w:type="dxa"/>
            <w:vAlign w:val="center"/>
          </w:tcPr>
          <w:p w14:paraId="7140EBCC" w14:textId="77777777" w:rsidR="004642E1" w:rsidRPr="00B1522E" w:rsidRDefault="004642E1" w:rsidP="003B6735">
            <w:pPr>
              <w:tabs>
                <w:tab w:val="decimal" w:pos="197"/>
              </w:tabs>
              <w:rPr>
                <w:rFonts w:cstheme="minorHAnsi"/>
              </w:rPr>
            </w:pPr>
          </w:p>
        </w:tc>
        <w:tc>
          <w:tcPr>
            <w:tcW w:w="807" w:type="dxa"/>
            <w:vAlign w:val="center"/>
          </w:tcPr>
          <w:p w14:paraId="62A2F68E" w14:textId="77777777" w:rsidR="004642E1" w:rsidRPr="00B1522E" w:rsidRDefault="004642E1" w:rsidP="003B6735">
            <w:pPr>
              <w:tabs>
                <w:tab w:val="decimal" w:pos="267"/>
              </w:tabs>
              <w:rPr>
                <w:rFonts w:cstheme="minorHAnsi"/>
              </w:rPr>
            </w:pPr>
          </w:p>
        </w:tc>
        <w:tc>
          <w:tcPr>
            <w:tcW w:w="807" w:type="dxa"/>
            <w:vAlign w:val="center"/>
          </w:tcPr>
          <w:p w14:paraId="20D992C2" w14:textId="77777777" w:rsidR="004642E1" w:rsidRPr="00B1522E" w:rsidRDefault="004642E1" w:rsidP="003B6735">
            <w:pPr>
              <w:tabs>
                <w:tab w:val="decimal" w:pos="220"/>
              </w:tabs>
              <w:rPr>
                <w:rFonts w:cstheme="minorHAnsi"/>
              </w:rPr>
            </w:pPr>
          </w:p>
        </w:tc>
        <w:tc>
          <w:tcPr>
            <w:tcW w:w="807" w:type="dxa"/>
            <w:vAlign w:val="center"/>
          </w:tcPr>
          <w:p w14:paraId="55DFE8E7" w14:textId="77777777" w:rsidR="004642E1" w:rsidRPr="00B1522E" w:rsidRDefault="004642E1" w:rsidP="003B6735">
            <w:pPr>
              <w:tabs>
                <w:tab w:val="decimal" w:pos="291"/>
              </w:tabs>
              <w:rPr>
                <w:rFonts w:cstheme="minorHAnsi"/>
              </w:rPr>
            </w:pPr>
          </w:p>
        </w:tc>
        <w:tc>
          <w:tcPr>
            <w:tcW w:w="808" w:type="dxa"/>
            <w:vAlign w:val="center"/>
          </w:tcPr>
          <w:p w14:paraId="09F6CA40" w14:textId="77777777" w:rsidR="004642E1" w:rsidRPr="00B1522E" w:rsidRDefault="004642E1" w:rsidP="003B6735">
            <w:pPr>
              <w:tabs>
                <w:tab w:val="decimal" w:pos="243"/>
              </w:tabs>
              <w:rPr>
                <w:rFonts w:cstheme="minorHAnsi"/>
              </w:rPr>
            </w:pPr>
          </w:p>
        </w:tc>
        <w:tc>
          <w:tcPr>
            <w:tcW w:w="709" w:type="dxa"/>
            <w:vAlign w:val="center"/>
          </w:tcPr>
          <w:p w14:paraId="5BB9B50B" w14:textId="77777777" w:rsidR="004642E1" w:rsidRPr="00B1522E" w:rsidRDefault="004642E1" w:rsidP="003B6735">
            <w:pPr>
              <w:jc w:val="center"/>
              <w:rPr>
                <w:rFonts w:cstheme="minorHAnsi"/>
              </w:rPr>
            </w:pPr>
          </w:p>
        </w:tc>
      </w:tr>
      <w:tr w:rsidR="00E77769" w:rsidRPr="00B1522E" w14:paraId="30233D5C" w14:textId="77777777" w:rsidTr="003B6735">
        <w:tc>
          <w:tcPr>
            <w:tcW w:w="2855" w:type="dxa"/>
          </w:tcPr>
          <w:p w14:paraId="407066C7" w14:textId="77777777" w:rsidR="004642E1" w:rsidRPr="00B1522E" w:rsidRDefault="004642E1" w:rsidP="00A507CA">
            <w:pPr>
              <w:ind w:left="340" w:hanging="340"/>
              <w:rPr>
                <w:rFonts w:cstheme="minorHAnsi"/>
              </w:rPr>
            </w:pPr>
            <w:r w:rsidRPr="00B1522E">
              <w:rPr>
                <w:rFonts w:cstheme="minorHAnsi"/>
              </w:rPr>
              <w:t>3. Changes in misperceptions of peers unhealthy snacking- Time 3</w:t>
            </w:r>
            <w:r w:rsidRPr="00B1522E">
              <w:rPr>
                <w:rFonts w:cstheme="minorHAnsi"/>
                <w:vertAlign w:val="superscript"/>
              </w:rPr>
              <w:t>cd</w:t>
            </w:r>
          </w:p>
        </w:tc>
        <w:tc>
          <w:tcPr>
            <w:tcW w:w="807" w:type="dxa"/>
            <w:vAlign w:val="center"/>
          </w:tcPr>
          <w:p w14:paraId="3323B1BE" w14:textId="77777777" w:rsidR="004642E1" w:rsidRPr="00B1522E" w:rsidRDefault="004642E1" w:rsidP="003B6735">
            <w:pPr>
              <w:tabs>
                <w:tab w:val="decimal" w:pos="7"/>
              </w:tabs>
              <w:ind w:right="-310"/>
              <w:rPr>
                <w:rFonts w:cstheme="minorHAnsi"/>
              </w:rPr>
            </w:pPr>
            <w:r w:rsidRPr="00B1522E">
              <w:rPr>
                <w:rFonts w:cstheme="minorHAnsi"/>
              </w:rPr>
              <w:t>.06</w:t>
            </w:r>
          </w:p>
        </w:tc>
        <w:tc>
          <w:tcPr>
            <w:tcW w:w="807" w:type="dxa"/>
            <w:vAlign w:val="center"/>
          </w:tcPr>
          <w:p w14:paraId="7B668A81" w14:textId="09F08B37" w:rsidR="004642E1" w:rsidRPr="00B1522E" w:rsidRDefault="004642E1" w:rsidP="003B6735">
            <w:pPr>
              <w:tabs>
                <w:tab w:val="left" w:pos="0"/>
              </w:tabs>
              <w:jc w:val="center"/>
              <w:rPr>
                <w:rFonts w:cstheme="minorHAnsi"/>
              </w:rPr>
            </w:pPr>
            <w:r w:rsidRPr="00B1522E">
              <w:rPr>
                <w:rFonts w:cstheme="minorHAnsi"/>
              </w:rPr>
              <w:t>.4</w:t>
            </w:r>
            <w:r w:rsidR="006F42BB" w:rsidRPr="00B1522E">
              <w:rPr>
                <w:rFonts w:cstheme="minorHAnsi"/>
              </w:rPr>
              <w:t>5*</w:t>
            </w:r>
            <w:r w:rsidRPr="00B1522E">
              <w:rPr>
                <w:rFonts w:cstheme="minorHAnsi"/>
              </w:rPr>
              <w:t>*</w:t>
            </w:r>
          </w:p>
        </w:tc>
        <w:tc>
          <w:tcPr>
            <w:tcW w:w="807" w:type="dxa"/>
            <w:vAlign w:val="center"/>
          </w:tcPr>
          <w:p w14:paraId="27DC77D1" w14:textId="77777777" w:rsidR="004642E1" w:rsidRPr="00B1522E" w:rsidRDefault="004642E1" w:rsidP="003B6735">
            <w:pPr>
              <w:tabs>
                <w:tab w:val="decimal" w:pos="197"/>
              </w:tabs>
              <w:jc w:val="center"/>
              <w:rPr>
                <w:rFonts w:cstheme="minorHAnsi"/>
              </w:rPr>
            </w:pPr>
            <w:r w:rsidRPr="00B1522E">
              <w:rPr>
                <w:rFonts w:cstheme="minorHAnsi"/>
              </w:rPr>
              <w:t>-</w:t>
            </w:r>
          </w:p>
        </w:tc>
        <w:tc>
          <w:tcPr>
            <w:tcW w:w="807" w:type="dxa"/>
            <w:vAlign w:val="center"/>
          </w:tcPr>
          <w:p w14:paraId="4FED57A1" w14:textId="77777777" w:rsidR="004642E1" w:rsidRPr="00B1522E" w:rsidRDefault="004642E1" w:rsidP="003B6735">
            <w:pPr>
              <w:tabs>
                <w:tab w:val="decimal" w:pos="267"/>
              </w:tabs>
              <w:rPr>
                <w:rFonts w:cstheme="minorHAnsi"/>
              </w:rPr>
            </w:pPr>
          </w:p>
        </w:tc>
        <w:tc>
          <w:tcPr>
            <w:tcW w:w="807" w:type="dxa"/>
            <w:vAlign w:val="center"/>
          </w:tcPr>
          <w:p w14:paraId="5F4798FF" w14:textId="77777777" w:rsidR="004642E1" w:rsidRPr="00B1522E" w:rsidRDefault="004642E1" w:rsidP="003B6735">
            <w:pPr>
              <w:tabs>
                <w:tab w:val="decimal" w:pos="220"/>
              </w:tabs>
              <w:rPr>
                <w:rFonts w:cstheme="minorHAnsi"/>
              </w:rPr>
            </w:pPr>
          </w:p>
        </w:tc>
        <w:tc>
          <w:tcPr>
            <w:tcW w:w="807" w:type="dxa"/>
            <w:vAlign w:val="center"/>
          </w:tcPr>
          <w:p w14:paraId="58C562D9" w14:textId="77777777" w:rsidR="004642E1" w:rsidRPr="00B1522E" w:rsidRDefault="004642E1" w:rsidP="003B6735">
            <w:pPr>
              <w:tabs>
                <w:tab w:val="decimal" w:pos="291"/>
              </w:tabs>
              <w:rPr>
                <w:rFonts w:cstheme="minorHAnsi"/>
              </w:rPr>
            </w:pPr>
          </w:p>
        </w:tc>
        <w:tc>
          <w:tcPr>
            <w:tcW w:w="808" w:type="dxa"/>
            <w:vAlign w:val="center"/>
          </w:tcPr>
          <w:p w14:paraId="276E1479" w14:textId="77777777" w:rsidR="004642E1" w:rsidRPr="00B1522E" w:rsidRDefault="004642E1" w:rsidP="003B6735">
            <w:pPr>
              <w:tabs>
                <w:tab w:val="decimal" w:pos="243"/>
              </w:tabs>
              <w:rPr>
                <w:rFonts w:cstheme="minorHAnsi"/>
              </w:rPr>
            </w:pPr>
          </w:p>
        </w:tc>
        <w:tc>
          <w:tcPr>
            <w:tcW w:w="709" w:type="dxa"/>
            <w:vAlign w:val="center"/>
          </w:tcPr>
          <w:p w14:paraId="4514202D" w14:textId="77777777" w:rsidR="004642E1" w:rsidRPr="00B1522E" w:rsidRDefault="004642E1" w:rsidP="003B6735">
            <w:pPr>
              <w:jc w:val="center"/>
              <w:rPr>
                <w:rFonts w:cstheme="minorHAnsi"/>
              </w:rPr>
            </w:pPr>
          </w:p>
        </w:tc>
      </w:tr>
      <w:tr w:rsidR="00E77769" w:rsidRPr="00B1522E" w14:paraId="1F02E8DB" w14:textId="77777777" w:rsidTr="003B6735">
        <w:tc>
          <w:tcPr>
            <w:tcW w:w="2855" w:type="dxa"/>
          </w:tcPr>
          <w:p w14:paraId="52F5B22F" w14:textId="77777777" w:rsidR="004642E1" w:rsidRPr="00B1522E" w:rsidRDefault="004642E1" w:rsidP="00A507CA">
            <w:pPr>
              <w:ind w:left="340" w:hanging="340"/>
              <w:rPr>
                <w:rFonts w:cstheme="minorHAnsi"/>
              </w:rPr>
            </w:pPr>
            <w:r w:rsidRPr="00B1522E">
              <w:rPr>
                <w:rFonts w:cstheme="minorHAnsi"/>
              </w:rPr>
              <w:t>4. Changes in misperceptions of peers’ attitude towards unhealthy snacking - Time 2</w:t>
            </w:r>
            <w:r w:rsidRPr="00B1522E">
              <w:rPr>
                <w:rFonts w:cstheme="minorHAnsi"/>
                <w:vertAlign w:val="superscript"/>
              </w:rPr>
              <w:t>be</w:t>
            </w:r>
          </w:p>
        </w:tc>
        <w:tc>
          <w:tcPr>
            <w:tcW w:w="807" w:type="dxa"/>
            <w:vAlign w:val="center"/>
          </w:tcPr>
          <w:p w14:paraId="36C1A505" w14:textId="77777777" w:rsidR="004642E1" w:rsidRPr="00B1522E" w:rsidRDefault="004642E1" w:rsidP="003B6735">
            <w:pPr>
              <w:tabs>
                <w:tab w:val="decimal" w:pos="7"/>
              </w:tabs>
              <w:ind w:right="-310"/>
              <w:rPr>
                <w:rFonts w:cstheme="minorHAnsi"/>
              </w:rPr>
            </w:pPr>
            <w:r w:rsidRPr="00B1522E">
              <w:rPr>
                <w:rFonts w:cstheme="minorHAnsi"/>
              </w:rPr>
              <w:t>.24**</w:t>
            </w:r>
          </w:p>
        </w:tc>
        <w:tc>
          <w:tcPr>
            <w:tcW w:w="807" w:type="dxa"/>
            <w:vAlign w:val="center"/>
          </w:tcPr>
          <w:p w14:paraId="3DE47287" w14:textId="77777777" w:rsidR="004642E1" w:rsidRPr="00B1522E" w:rsidRDefault="004642E1" w:rsidP="003B6735">
            <w:pPr>
              <w:tabs>
                <w:tab w:val="left" w:pos="0"/>
              </w:tabs>
              <w:jc w:val="center"/>
              <w:rPr>
                <w:rFonts w:cstheme="minorHAnsi"/>
              </w:rPr>
            </w:pPr>
            <w:r w:rsidRPr="00B1522E">
              <w:rPr>
                <w:rFonts w:cstheme="minorHAnsi"/>
              </w:rPr>
              <w:t>.03</w:t>
            </w:r>
          </w:p>
        </w:tc>
        <w:tc>
          <w:tcPr>
            <w:tcW w:w="807" w:type="dxa"/>
            <w:vAlign w:val="center"/>
          </w:tcPr>
          <w:p w14:paraId="000A8A5A" w14:textId="77777777" w:rsidR="004642E1" w:rsidRPr="00B1522E" w:rsidRDefault="004642E1" w:rsidP="003B6735">
            <w:pPr>
              <w:tabs>
                <w:tab w:val="decimal" w:pos="197"/>
              </w:tabs>
              <w:rPr>
                <w:rFonts w:cstheme="minorHAnsi"/>
              </w:rPr>
            </w:pPr>
            <w:r w:rsidRPr="00B1522E">
              <w:rPr>
                <w:rFonts w:cstheme="minorHAnsi"/>
              </w:rPr>
              <w:t>.13</w:t>
            </w:r>
          </w:p>
        </w:tc>
        <w:tc>
          <w:tcPr>
            <w:tcW w:w="807" w:type="dxa"/>
            <w:vAlign w:val="center"/>
          </w:tcPr>
          <w:p w14:paraId="2F6A41FD" w14:textId="77777777" w:rsidR="004642E1" w:rsidRPr="00B1522E" w:rsidRDefault="004642E1" w:rsidP="003B6735">
            <w:pPr>
              <w:tabs>
                <w:tab w:val="decimal" w:pos="267"/>
              </w:tabs>
              <w:jc w:val="center"/>
              <w:rPr>
                <w:rFonts w:cstheme="minorHAnsi"/>
              </w:rPr>
            </w:pPr>
            <w:r w:rsidRPr="00B1522E">
              <w:rPr>
                <w:rFonts w:cstheme="minorHAnsi"/>
              </w:rPr>
              <w:t>-</w:t>
            </w:r>
          </w:p>
        </w:tc>
        <w:tc>
          <w:tcPr>
            <w:tcW w:w="807" w:type="dxa"/>
            <w:vAlign w:val="center"/>
          </w:tcPr>
          <w:p w14:paraId="1A724F98" w14:textId="77777777" w:rsidR="004642E1" w:rsidRPr="00B1522E" w:rsidRDefault="004642E1" w:rsidP="003B6735">
            <w:pPr>
              <w:tabs>
                <w:tab w:val="decimal" w:pos="220"/>
              </w:tabs>
              <w:rPr>
                <w:rFonts w:cstheme="minorHAnsi"/>
              </w:rPr>
            </w:pPr>
          </w:p>
        </w:tc>
        <w:tc>
          <w:tcPr>
            <w:tcW w:w="807" w:type="dxa"/>
            <w:vAlign w:val="center"/>
          </w:tcPr>
          <w:p w14:paraId="2E6442AD" w14:textId="77777777" w:rsidR="004642E1" w:rsidRPr="00B1522E" w:rsidRDefault="004642E1" w:rsidP="003B6735">
            <w:pPr>
              <w:tabs>
                <w:tab w:val="decimal" w:pos="291"/>
              </w:tabs>
              <w:rPr>
                <w:rFonts w:cstheme="minorHAnsi"/>
              </w:rPr>
            </w:pPr>
          </w:p>
        </w:tc>
        <w:tc>
          <w:tcPr>
            <w:tcW w:w="808" w:type="dxa"/>
            <w:vAlign w:val="center"/>
          </w:tcPr>
          <w:p w14:paraId="575EB320" w14:textId="77777777" w:rsidR="004642E1" w:rsidRPr="00B1522E" w:rsidRDefault="004642E1" w:rsidP="003B6735">
            <w:pPr>
              <w:tabs>
                <w:tab w:val="decimal" w:pos="243"/>
              </w:tabs>
              <w:rPr>
                <w:rFonts w:cstheme="minorHAnsi"/>
              </w:rPr>
            </w:pPr>
          </w:p>
        </w:tc>
        <w:tc>
          <w:tcPr>
            <w:tcW w:w="709" w:type="dxa"/>
            <w:vAlign w:val="center"/>
          </w:tcPr>
          <w:p w14:paraId="670AA904" w14:textId="77777777" w:rsidR="004642E1" w:rsidRPr="00B1522E" w:rsidRDefault="004642E1" w:rsidP="003B6735">
            <w:pPr>
              <w:jc w:val="center"/>
              <w:rPr>
                <w:rFonts w:cstheme="minorHAnsi"/>
              </w:rPr>
            </w:pPr>
          </w:p>
        </w:tc>
      </w:tr>
      <w:tr w:rsidR="00E77769" w:rsidRPr="00B1522E" w14:paraId="28F908F5" w14:textId="77777777" w:rsidTr="003B6735">
        <w:tc>
          <w:tcPr>
            <w:tcW w:w="2855" w:type="dxa"/>
          </w:tcPr>
          <w:p w14:paraId="4DABCA56" w14:textId="77777777" w:rsidR="004642E1" w:rsidRPr="00B1522E" w:rsidRDefault="004642E1" w:rsidP="00A507CA">
            <w:pPr>
              <w:ind w:left="340" w:hanging="340"/>
              <w:rPr>
                <w:rFonts w:cstheme="minorHAnsi"/>
              </w:rPr>
            </w:pPr>
            <w:r w:rsidRPr="00B1522E">
              <w:rPr>
                <w:rFonts w:cstheme="minorHAnsi"/>
              </w:rPr>
              <w:t>5. Changes in misperceptions of peers’ attitude towards unhealthy snacking - Time 3</w:t>
            </w:r>
            <w:r w:rsidRPr="00B1522E">
              <w:rPr>
                <w:rFonts w:cstheme="minorHAnsi"/>
                <w:vertAlign w:val="superscript"/>
              </w:rPr>
              <w:t>ce</w:t>
            </w:r>
          </w:p>
        </w:tc>
        <w:tc>
          <w:tcPr>
            <w:tcW w:w="807" w:type="dxa"/>
            <w:vAlign w:val="center"/>
          </w:tcPr>
          <w:p w14:paraId="527E2899" w14:textId="77777777" w:rsidR="004642E1" w:rsidRPr="00B1522E" w:rsidRDefault="004642E1" w:rsidP="003B6735">
            <w:pPr>
              <w:tabs>
                <w:tab w:val="decimal" w:pos="7"/>
              </w:tabs>
              <w:ind w:right="-310"/>
              <w:rPr>
                <w:rFonts w:cstheme="minorHAnsi"/>
              </w:rPr>
            </w:pPr>
            <w:r w:rsidRPr="00B1522E">
              <w:rPr>
                <w:rFonts w:cstheme="minorHAnsi"/>
              </w:rPr>
              <w:t>-.00</w:t>
            </w:r>
          </w:p>
        </w:tc>
        <w:tc>
          <w:tcPr>
            <w:tcW w:w="807" w:type="dxa"/>
            <w:vAlign w:val="center"/>
          </w:tcPr>
          <w:p w14:paraId="4CE849E0" w14:textId="77777777" w:rsidR="004642E1" w:rsidRPr="00B1522E" w:rsidRDefault="004642E1" w:rsidP="003B6735">
            <w:pPr>
              <w:tabs>
                <w:tab w:val="left" w:pos="0"/>
              </w:tabs>
              <w:jc w:val="center"/>
              <w:rPr>
                <w:rFonts w:cstheme="minorHAnsi"/>
              </w:rPr>
            </w:pPr>
            <w:r w:rsidRPr="00B1522E">
              <w:rPr>
                <w:rFonts w:cstheme="minorHAnsi"/>
              </w:rPr>
              <w:t>-.18*</w:t>
            </w:r>
          </w:p>
        </w:tc>
        <w:tc>
          <w:tcPr>
            <w:tcW w:w="807" w:type="dxa"/>
            <w:vAlign w:val="center"/>
          </w:tcPr>
          <w:p w14:paraId="0666FD7B" w14:textId="77777777" w:rsidR="004642E1" w:rsidRPr="00B1522E" w:rsidRDefault="004642E1" w:rsidP="003B6735">
            <w:pPr>
              <w:tabs>
                <w:tab w:val="decimal" w:pos="197"/>
              </w:tabs>
              <w:rPr>
                <w:rFonts w:cstheme="minorHAnsi"/>
              </w:rPr>
            </w:pPr>
            <w:r w:rsidRPr="00B1522E">
              <w:rPr>
                <w:rFonts w:cstheme="minorHAnsi"/>
              </w:rPr>
              <w:t>-.02</w:t>
            </w:r>
          </w:p>
        </w:tc>
        <w:tc>
          <w:tcPr>
            <w:tcW w:w="807" w:type="dxa"/>
            <w:vAlign w:val="center"/>
          </w:tcPr>
          <w:p w14:paraId="381708C3" w14:textId="77777777" w:rsidR="004642E1" w:rsidRPr="00B1522E" w:rsidRDefault="004642E1" w:rsidP="003B6735">
            <w:pPr>
              <w:tabs>
                <w:tab w:val="decimal" w:pos="9"/>
              </w:tabs>
              <w:rPr>
                <w:rFonts w:cstheme="minorHAnsi"/>
              </w:rPr>
            </w:pPr>
            <w:r w:rsidRPr="00B1522E">
              <w:rPr>
                <w:rFonts w:cstheme="minorHAnsi"/>
              </w:rPr>
              <w:t>.42**</w:t>
            </w:r>
          </w:p>
        </w:tc>
        <w:tc>
          <w:tcPr>
            <w:tcW w:w="807" w:type="dxa"/>
            <w:vAlign w:val="center"/>
          </w:tcPr>
          <w:p w14:paraId="66B7F9B4" w14:textId="77777777" w:rsidR="004642E1" w:rsidRPr="00B1522E" w:rsidRDefault="004642E1" w:rsidP="003B6735">
            <w:pPr>
              <w:tabs>
                <w:tab w:val="decimal" w:pos="220"/>
              </w:tabs>
              <w:jc w:val="center"/>
              <w:rPr>
                <w:rFonts w:cstheme="minorHAnsi"/>
              </w:rPr>
            </w:pPr>
            <w:r w:rsidRPr="00B1522E">
              <w:rPr>
                <w:rFonts w:cstheme="minorHAnsi"/>
              </w:rPr>
              <w:t>-</w:t>
            </w:r>
          </w:p>
        </w:tc>
        <w:tc>
          <w:tcPr>
            <w:tcW w:w="807" w:type="dxa"/>
            <w:vAlign w:val="center"/>
          </w:tcPr>
          <w:p w14:paraId="3AF35891" w14:textId="77777777" w:rsidR="004642E1" w:rsidRPr="00B1522E" w:rsidRDefault="004642E1" w:rsidP="003B6735">
            <w:pPr>
              <w:tabs>
                <w:tab w:val="decimal" w:pos="291"/>
              </w:tabs>
              <w:rPr>
                <w:rFonts w:cstheme="minorHAnsi"/>
              </w:rPr>
            </w:pPr>
          </w:p>
        </w:tc>
        <w:tc>
          <w:tcPr>
            <w:tcW w:w="808" w:type="dxa"/>
            <w:vAlign w:val="center"/>
          </w:tcPr>
          <w:p w14:paraId="249974EA" w14:textId="77777777" w:rsidR="004642E1" w:rsidRPr="00B1522E" w:rsidRDefault="004642E1" w:rsidP="003B6735">
            <w:pPr>
              <w:tabs>
                <w:tab w:val="decimal" w:pos="243"/>
              </w:tabs>
              <w:rPr>
                <w:rFonts w:cstheme="minorHAnsi"/>
              </w:rPr>
            </w:pPr>
          </w:p>
        </w:tc>
        <w:tc>
          <w:tcPr>
            <w:tcW w:w="709" w:type="dxa"/>
            <w:vAlign w:val="center"/>
          </w:tcPr>
          <w:p w14:paraId="2E26FE5D" w14:textId="77777777" w:rsidR="004642E1" w:rsidRPr="00B1522E" w:rsidRDefault="004642E1" w:rsidP="003B6735">
            <w:pPr>
              <w:jc w:val="center"/>
              <w:rPr>
                <w:rFonts w:cstheme="minorHAnsi"/>
              </w:rPr>
            </w:pPr>
          </w:p>
        </w:tc>
      </w:tr>
      <w:tr w:rsidR="00E77769" w:rsidRPr="00B1522E" w14:paraId="2B9227BB" w14:textId="77777777" w:rsidTr="003B6735">
        <w:tc>
          <w:tcPr>
            <w:tcW w:w="2855" w:type="dxa"/>
          </w:tcPr>
          <w:p w14:paraId="74D96A4E" w14:textId="77777777" w:rsidR="004642E1" w:rsidRPr="00B1522E" w:rsidRDefault="004642E1" w:rsidP="00A507CA">
            <w:pPr>
              <w:ind w:left="340" w:hanging="340"/>
              <w:rPr>
                <w:rFonts w:cstheme="minorHAnsi"/>
              </w:rPr>
            </w:pPr>
            <w:r w:rsidRPr="00B1522E">
              <w:rPr>
                <w:rFonts w:cstheme="minorHAnsi"/>
              </w:rPr>
              <w:t>6. Changes in misperceptions of peers’ attitude towards fewer unhealthy snacks - Time 2</w:t>
            </w:r>
            <w:r w:rsidRPr="00B1522E">
              <w:rPr>
                <w:rFonts w:cstheme="minorHAnsi"/>
                <w:vertAlign w:val="superscript"/>
              </w:rPr>
              <w:t>be</w:t>
            </w:r>
          </w:p>
        </w:tc>
        <w:tc>
          <w:tcPr>
            <w:tcW w:w="807" w:type="dxa"/>
            <w:vAlign w:val="center"/>
          </w:tcPr>
          <w:p w14:paraId="53D0213B" w14:textId="77777777" w:rsidR="004642E1" w:rsidRPr="00B1522E" w:rsidRDefault="004642E1" w:rsidP="003B6735">
            <w:pPr>
              <w:tabs>
                <w:tab w:val="decimal" w:pos="7"/>
              </w:tabs>
              <w:ind w:right="-310"/>
              <w:rPr>
                <w:rFonts w:cstheme="minorHAnsi"/>
              </w:rPr>
            </w:pPr>
            <w:r w:rsidRPr="00B1522E">
              <w:rPr>
                <w:rFonts w:cstheme="minorHAnsi"/>
              </w:rPr>
              <w:t>-.03</w:t>
            </w:r>
          </w:p>
        </w:tc>
        <w:tc>
          <w:tcPr>
            <w:tcW w:w="807" w:type="dxa"/>
            <w:vAlign w:val="center"/>
          </w:tcPr>
          <w:p w14:paraId="7297A7AD" w14:textId="77777777" w:rsidR="004642E1" w:rsidRPr="00B1522E" w:rsidRDefault="004642E1" w:rsidP="003B6735">
            <w:pPr>
              <w:tabs>
                <w:tab w:val="left" w:pos="0"/>
              </w:tabs>
              <w:jc w:val="center"/>
              <w:rPr>
                <w:rFonts w:cstheme="minorHAnsi"/>
              </w:rPr>
            </w:pPr>
            <w:r w:rsidRPr="00B1522E">
              <w:rPr>
                <w:rFonts w:cstheme="minorHAnsi"/>
              </w:rPr>
              <w:t>.11</w:t>
            </w:r>
          </w:p>
        </w:tc>
        <w:tc>
          <w:tcPr>
            <w:tcW w:w="807" w:type="dxa"/>
            <w:vAlign w:val="center"/>
          </w:tcPr>
          <w:p w14:paraId="3F08907C" w14:textId="77777777" w:rsidR="004642E1" w:rsidRPr="00B1522E" w:rsidRDefault="004642E1" w:rsidP="003B6735">
            <w:pPr>
              <w:tabs>
                <w:tab w:val="decimal" w:pos="197"/>
              </w:tabs>
              <w:rPr>
                <w:rFonts w:cstheme="minorHAnsi"/>
              </w:rPr>
            </w:pPr>
            <w:r w:rsidRPr="00B1522E">
              <w:rPr>
                <w:rFonts w:cstheme="minorHAnsi"/>
              </w:rPr>
              <w:t>.13</w:t>
            </w:r>
          </w:p>
        </w:tc>
        <w:tc>
          <w:tcPr>
            <w:tcW w:w="807" w:type="dxa"/>
            <w:vAlign w:val="center"/>
          </w:tcPr>
          <w:p w14:paraId="469BA99B" w14:textId="77777777" w:rsidR="004642E1" w:rsidRPr="00B1522E" w:rsidRDefault="004642E1" w:rsidP="003B6735">
            <w:pPr>
              <w:tabs>
                <w:tab w:val="decimal" w:pos="9"/>
              </w:tabs>
              <w:rPr>
                <w:rFonts w:cstheme="minorHAnsi"/>
              </w:rPr>
            </w:pPr>
            <w:r w:rsidRPr="00B1522E">
              <w:rPr>
                <w:rFonts w:cstheme="minorHAnsi"/>
              </w:rPr>
              <w:t>.10</w:t>
            </w:r>
          </w:p>
        </w:tc>
        <w:tc>
          <w:tcPr>
            <w:tcW w:w="807" w:type="dxa"/>
            <w:vAlign w:val="center"/>
          </w:tcPr>
          <w:p w14:paraId="5CC680DD" w14:textId="77777777" w:rsidR="004642E1" w:rsidRPr="00B1522E" w:rsidRDefault="004642E1" w:rsidP="003B6735">
            <w:pPr>
              <w:tabs>
                <w:tab w:val="decimal" w:pos="220"/>
              </w:tabs>
              <w:rPr>
                <w:rFonts w:cstheme="minorHAnsi"/>
              </w:rPr>
            </w:pPr>
            <w:r w:rsidRPr="00B1522E">
              <w:rPr>
                <w:rFonts w:cstheme="minorHAnsi"/>
              </w:rPr>
              <w:t>.03</w:t>
            </w:r>
          </w:p>
        </w:tc>
        <w:tc>
          <w:tcPr>
            <w:tcW w:w="807" w:type="dxa"/>
            <w:vAlign w:val="center"/>
          </w:tcPr>
          <w:p w14:paraId="464A8B28" w14:textId="77777777" w:rsidR="004642E1" w:rsidRPr="00B1522E" w:rsidRDefault="004642E1" w:rsidP="003B6735">
            <w:pPr>
              <w:tabs>
                <w:tab w:val="decimal" w:pos="291"/>
              </w:tabs>
              <w:jc w:val="center"/>
              <w:rPr>
                <w:rFonts w:cstheme="minorHAnsi"/>
              </w:rPr>
            </w:pPr>
            <w:r w:rsidRPr="00B1522E">
              <w:rPr>
                <w:rFonts w:cstheme="minorHAnsi"/>
              </w:rPr>
              <w:t>-</w:t>
            </w:r>
          </w:p>
        </w:tc>
        <w:tc>
          <w:tcPr>
            <w:tcW w:w="808" w:type="dxa"/>
            <w:vAlign w:val="center"/>
          </w:tcPr>
          <w:p w14:paraId="34C95473" w14:textId="77777777" w:rsidR="004642E1" w:rsidRPr="00B1522E" w:rsidRDefault="004642E1" w:rsidP="003B6735">
            <w:pPr>
              <w:tabs>
                <w:tab w:val="decimal" w:pos="243"/>
              </w:tabs>
              <w:rPr>
                <w:rFonts w:cstheme="minorHAnsi"/>
              </w:rPr>
            </w:pPr>
          </w:p>
        </w:tc>
        <w:tc>
          <w:tcPr>
            <w:tcW w:w="709" w:type="dxa"/>
            <w:vAlign w:val="center"/>
          </w:tcPr>
          <w:p w14:paraId="2AB98E3B" w14:textId="77777777" w:rsidR="004642E1" w:rsidRPr="00B1522E" w:rsidRDefault="004642E1" w:rsidP="003B6735">
            <w:pPr>
              <w:jc w:val="center"/>
              <w:rPr>
                <w:rFonts w:cstheme="minorHAnsi"/>
              </w:rPr>
            </w:pPr>
          </w:p>
        </w:tc>
      </w:tr>
      <w:tr w:rsidR="00E77769" w:rsidRPr="00B1522E" w14:paraId="46D4F12A" w14:textId="77777777" w:rsidTr="003B6735">
        <w:tc>
          <w:tcPr>
            <w:tcW w:w="2855" w:type="dxa"/>
          </w:tcPr>
          <w:p w14:paraId="210AF08D" w14:textId="77777777" w:rsidR="004642E1" w:rsidRPr="00B1522E" w:rsidRDefault="004642E1" w:rsidP="00A507CA">
            <w:pPr>
              <w:ind w:left="340" w:hanging="340"/>
              <w:rPr>
                <w:rFonts w:cstheme="minorHAnsi"/>
              </w:rPr>
            </w:pPr>
            <w:r w:rsidRPr="00B1522E">
              <w:rPr>
                <w:rFonts w:cstheme="minorHAnsi"/>
              </w:rPr>
              <w:t>7. Changes in misperceptions of peers’ attitude towards fewer unhealthy snacks - Time 3</w:t>
            </w:r>
            <w:r w:rsidRPr="00B1522E">
              <w:rPr>
                <w:rFonts w:cstheme="minorHAnsi"/>
                <w:vertAlign w:val="superscript"/>
              </w:rPr>
              <w:t>ce</w:t>
            </w:r>
          </w:p>
        </w:tc>
        <w:tc>
          <w:tcPr>
            <w:tcW w:w="807" w:type="dxa"/>
            <w:vAlign w:val="center"/>
          </w:tcPr>
          <w:p w14:paraId="3BBB0CDE" w14:textId="77777777" w:rsidR="004642E1" w:rsidRPr="00B1522E" w:rsidRDefault="004642E1" w:rsidP="003B6735">
            <w:pPr>
              <w:tabs>
                <w:tab w:val="decimal" w:pos="7"/>
              </w:tabs>
              <w:ind w:right="-310"/>
              <w:rPr>
                <w:rFonts w:cstheme="minorHAnsi"/>
              </w:rPr>
            </w:pPr>
            <w:r w:rsidRPr="00B1522E">
              <w:rPr>
                <w:rFonts w:cstheme="minorHAnsi"/>
              </w:rPr>
              <w:t>-.03</w:t>
            </w:r>
          </w:p>
        </w:tc>
        <w:tc>
          <w:tcPr>
            <w:tcW w:w="807" w:type="dxa"/>
            <w:vAlign w:val="center"/>
          </w:tcPr>
          <w:p w14:paraId="11E96A9B" w14:textId="77777777" w:rsidR="004642E1" w:rsidRPr="00B1522E" w:rsidRDefault="004642E1" w:rsidP="003B6735">
            <w:pPr>
              <w:tabs>
                <w:tab w:val="left" w:pos="0"/>
              </w:tabs>
              <w:jc w:val="center"/>
              <w:rPr>
                <w:rFonts w:cstheme="minorHAnsi"/>
              </w:rPr>
            </w:pPr>
            <w:r w:rsidRPr="00B1522E">
              <w:rPr>
                <w:rFonts w:cstheme="minorHAnsi"/>
              </w:rPr>
              <w:t>.08</w:t>
            </w:r>
          </w:p>
        </w:tc>
        <w:tc>
          <w:tcPr>
            <w:tcW w:w="807" w:type="dxa"/>
            <w:vAlign w:val="center"/>
          </w:tcPr>
          <w:p w14:paraId="42AB7A80" w14:textId="77777777" w:rsidR="004642E1" w:rsidRPr="00B1522E" w:rsidRDefault="004642E1" w:rsidP="003B6735">
            <w:pPr>
              <w:tabs>
                <w:tab w:val="decimal" w:pos="197"/>
              </w:tabs>
              <w:rPr>
                <w:rFonts w:cstheme="minorHAnsi"/>
              </w:rPr>
            </w:pPr>
            <w:r w:rsidRPr="00B1522E">
              <w:rPr>
                <w:rFonts w:cstheme="minorHAnsi"/>
              </w:rPr>
              <w:t>.16*</w:t>
            </w:r>
          </w:p>
        </w:tc>
        <w:tc>
          <w:tcPr>
            <w:tcW w:w="807" w:type="dxa"/>
            <w:vAlign w:val="center"/>
          </w:tcPr>
          <w:p w14:paraId="47875133" w14:textId="77777777" w:rsidR="004642E1" w:rsidRPr="00B1522E" w:rsidRDefault="004642E1" w:rsidP="003B6735">
            <w:pPr>
              <w:tabs>
                <w:tab w:val="decimal" w:pos="9"/>
              </w:tabs>
              <w:rPr>
                <w:rFonts w:cstheme="minorHAnsi"/>
              </w:rPr>
            </w:pPr>
            <w:r w:rsidRPr="00B1522E">
              <w:rPr>
                <w:rFonts w:cstheme="minorHAnsi"/>
              </w:rPr>
              <w:t>.03</w:t>
            </w:r>
          </w:p>
        </w:tc>
        <w:tc>
          <w:tcPr>
            <w:tcW w:w="807" w:type="dxa"/>
            <w:vAlign w:val="center"/>
          </w:tcPr>
          <w:p w14:paraId="2D42DD0E" w14:textId="77777777" w:rsidR="004642E1" w:rsidRPr="00B1522E" w:rsidRDefault="004642E1" w:rsidP="003B6735">
            <w:pPr>
              <w:tabs>
                <w:tab w:val="decimal" w:pos="220"/>
              </w:tabs>
              <w:rPr>
                <w:rFonts w:cstheme="minorHAnsi"/>
              </w:rPr>
            </w:pPr>
          </w:p>
          <w:p w14:paraId="79273F85" w14:textId="77777777" w:rsidR="004642E1" w:rsidRPr="00B1522E" w:rsidRDefault="004642E1" w:rsidP="003B6735">
            <w:pPr>
              <w:tabs>
                <w:tab w:val="decimal" w:pos="220"/>
              </w:tabs>
              <w:rPr>
                <w:rFonts w:cstheme="minorHAnsi"/>
              </w:rPr>
            </w:pPr>
            <w:r w:rsidRPr="00B1522E">
              <w:rPr>
                <w:rFonts w:cstheme="minorHAnsi"/>
              </w:rPr>
              <w:t>.13</w:t>
            </w:r>
          </w:p>
          <w:p w14:paraId="71BCBE8F" w14:textId="77777777" w:rsidR="004642E1" w:rsidRPr="00B1522E" w:rsidRDefault="004642E1" w:rsidP="003B6735">
            <w:pPr>
              <w:tabs>
                <w:tab w:val="decimal" w:pos="220"/>
              </w:tabs>
              <w:rPr>
                <w:rFonts w:cstheme="minorHAnsi"/>
              </w:rPr>
            </w:pPr>
          </w:p>
        </w:tc>
        <w:tc>
          <w:tcPr>
            <w:tcW w:w="807" w:type="dxa"/>
            <w:vAlign w:val="center"/>
          </w:tcPr>
          <w:p w14:paraId="70E76DDB" w14:textId="77777777" w:rsidR="004642E1" w:rsidRPr="00B1522E" w:rsidRDefault="004642E1" w:rsidP="003B6735">
            <w:pPr>
              <w:tabs>
                <w:tab w:val="decimal" w:pos="92"/>
              </w:tabs>
              <w:rPr>
                <w:rFonts w:cstheme="minorHAnsi"/>
              </w:rPr>
            </w:pPr>
            <w:r w:rsidRPr="00B1522E">
              <w:rPr>
                <w:rFonts w:cstheme="minorHAnsi"/>
              </w:rPr>
              <w:t>.36**</w:t>
            </w:r>
          </w:p>
        </w:tc>
        <w:tc>
          <w:tcPr>
            <w:tcW w:w="808" w:type="dxa"/>
            <w:vAlign w:val="center"/>
          </w:tcPr>
          <w:p w14:paraId="796E58C6" w14:textId="77777777" w:rsidR="004642E1" w:rsidRPr="00B1522E" w:rsidRDefault="004642E1" w:rsidP="003B6735">
            <w:pPr>
              <w:tabs>
                <w:tab w:val="decimal" w:pos="243"/>
              </w:tabs>
              <w:jc w:val="center"/>
              <w:rPr>
                <w:rFonts w:cstheme="minorHAnsi"/>
              </w:rPr>
            </w:pPr>
            <w:r w:rsidRPr="00B1522E">
              <w:rPr>
                <w:rFonts w:cstheme="minorHAnsi"/>
              </w:rPr>
              <w:t>-</w:t>
            </w:r>
          </w:p>
        </w:tc>
        <w:tc>
          <w:tcPr>
            <w:tcW w:w="709" w:type="dxa"/>
            <w:vAlign w:val="center"/>
          </w:tcPr>
          <w:p w14:paraId="1950ABA1" w14:textId="77777777" w:rsidR="004642E1" w:rsidRPr="00B1522E" w:rsidRDefault="004642E1" w:rsidP="003B6735">
            <w:pPr>
              <w:jc w:val="center"/>
              <w:rPr>
                <w:rFonts w:cstheme="minorHAnsi"/>
              </w:rPr>
            </w:pPr>
          </w:p>
        </w:tc>
      </w:tr>
      <w:tr w:rsidR="00E77769" w:rsidRPr="00B1522E" w14:paraId="799A5BF1" w14:textId="77777777" w:rsidTr="003B6735">
        <w:tc>
          <w:tcPr>
            <w:tcW w:w="2855" w:type="dxa"/>
            <w:tcBorders>
              <w:bottom w:val="single" w:sz="4" w:space="0" w:color="auto"/>
            </w:tcBorders>
          </w:tcPr>
          <w:p w14:paraId="7234C281" w14:textId="77777777" w:rsidR="004642E1" w:rsidRPr="00B1522E" w:rsidRDefault="004642E1" w:rsidP="00A507CA">
            <w:pPr>
              <w:ind w:left="340" w:hanging="340"/>
              <w:rPr>
                <w:rFonts w:cstheme="minorHAnsi"/>
                <w:vertAlign w:val="superscript"/>
              </w:rPr>
            </w:pPr>
            <w:r w:rsidRPr="00B1522E">
              <w:rPr>
                <w:rFonts w:cstheme="minorHAnsi"/>
              </w:rPr>
              <w:t>8. Changes</w:t>
            </w:r>
            <w:r w:rsidRPr="00B1522E">
              <w:rPr>
                <w:rFonts w:cstheme="minorHAnsi"/>
                <w:vertAlign w:val="superscript"/>
              </w:rPr>
              <w:t xml:space="preserve"> </w:t>
            </w:r>
            <w:r w:rsidRPr="00B1522E">
              <w:rPr>
                <w:rFonts w:cstheme="minorHAnsi"/>
              </w:rPr>
              <w:t>in personal unhealthy snacking- Time 3</w:t>
            </w:r>
            <w:r w:rsidRPr="00B1522E">
              <w:rPr>
                <w:rFonts w:cstheme="minorHAnsi"/>
                <w:vertAlign w:val="superscript"/>
              </w:rPr>
              <w:t>c</w:t>
            </w:r>
          </w:p>
        </w:tc>
        <w:tc>
          <w:tcPr>
            <w:tcW w:w="807" w:type="dxa"/>
            <w:tcBorders>
              <w:bottom w:val="single" w:sz="4" w:space="0" w:color="auto"/>
            </w:tcBorders>
            <w:vAlign w:val="center"/>
          </w:tcPr>
          <w:p w14:paraId="6D16BE6E" w14:textId="77777777" w:rsidR="004642E1" w:rsidRPr="00B1522E" w:rsidRDefault="004642E1" w:rsidP="003B6735">
            <w:pPr>
              <w:tabs>
                <w:tab w:val="decimal" w:pos="7"/>
              </w:tabs>
              <w:ind w:right="-310"/>
              <w:rPr>
                <w:rFonts w:cstheme="minorHAnsi"/>
              </w:rPr>
            </w:pPr>
            <w:r w:rsidRPr="00B1522E">
              <w:rPr>
                <w:rFonts w:cstheme="minorHAnsi"/>
              </w:rPr>
              <w:t>.10</w:t>
            </w:r>
          </w:p>
        </w:tc>
        <w:tc>
          <w:tcPr>
            <w:tcW w:w="807" w:type="dxa"/>
            <w:tcBorders>
              <w:bottom w:val="single" w:sz="4" w:space="0" w:color="auto"/>
            </w:tcBorders>
            <w:vAlign w:val="center"/>
          </w:tcPr>
          <w:p w14:paraId="1C946DA3" w14:textId="77777777" w:rsidR="004642E1" w:rsidRPr="00B1522E" w:rsidRDefault="004642E1" w:rsidP="003B6735">
            <w:pPr>
              <w:tabs>
                <w:tab w:val="left" w:pos="0"/>
              </w:tabs>
              <w:jc w:val="center"/>
              <w:rPr>
                <w:rFonts w:cstheme="minorHAnsi"/>
              </w:rPr>
            </w:pPr>
            <w:r w:rsidRPr="00B1522E">
              <w:rPr>
                <w:rFonts w:cstheme="minorHAnsi"/>
              </w:rPr>
              <w:t>.14</w:t>
            </w:r>
          </w:p>
        </w:tc>
        <w:tc>
          <w:tcPr>
            <w:tcW w:w="807" w:type="dxa"/>
            <w:tcBorders>
              <w:bottom w:val="single" w:sz="4" w:space="0" w:color="auto"/>
            </w:tcBorders>
            <w:vAlign w:val="center"/>
          </w:tcPr>
          <w:p w14:paraId="053EBA72" w14:textId="77777777" w:rsidR="004642E1" w:rsidRPr="00B1522E" w:rsidRDefault="004642E1" w:rsidP="003B6735">
            <w:pPr>
              <w:tabs>
                <w:tab w:val="decimal" w:pos="197"/>
              </w:tabs>
              <w:rPr>
                <w:rFonts w:cstheme="minorHAnsi"/>
              </w:rPr>
            </w:pPr>
            <w:r w:rsidRPr="00B1522E">
              <w:rPr>
                <w:rFonts w:cstheme="minorHAnsi"/>
              </w:rPr>
              <w:t>.11</w:t>
            </w:r>
          </w:p>
        </w:tc>
        <w:tc>
          <w:tcPr>
            <w:tcW w:w="807" w:type="dxa"/>
            <w:tcBorders>
              <w:bottom w:val="single" w:sz="4" w:space="0" w:color="auto"/>
            </w:tcBorders>
            <w:vAlign w:val="center"/>
          </w:tcPr>
          <w:p w14:paraId="52834BAE" w14:textId="77777777" w:rsidR="004642E1" w:rsidRPr="00B1522E" w:rsidRDefault="004642E1" w:rsidP="003B6735">
            <w:pPr>
              <w:tabs>
                <w:tab w:val="decimal" w:pos="9"/>
              </w:tabs>
              <w:rPr>
                <w:rFonts w:cstheme="minorHAnsi"/>
              </w:rPr>
            </w:pPr>
            <w:r w:rsidRPr="00B1522E">
              <w:rPr>
                <w:rFonts w:cstheme="minorHAnsi"/>
              </w:rPr>
              <w:t>.13</w:t>
            </w:r>
          </w:p>
        </w:tc>
        <w:tc>
          <w:tcPr>
            <w:tcW w:w="807" w:type="dxa"/>
            <w:tcBorders>
              <w:bottom w:val="single" w:sz="4" w:space="0" w:color="auto"/>
            </w:tcBorders>
            <w:vAlign w:val="center"/>
          </w:tcPr>
          <w:p w14:paraId="11FB28C2" w14:textId="77777777" w:rsidR="004642E1" w:rsidRPr="00B1522E" w:rsidRDefault="004642E1" w:rsidP="003B6735">
            <w:pPr>
              <w:tabs>
                <w:tab w:val="decimal" w:pos="220"/>
              </w:tabs>
              <w:rPr>
                <w:rFonts w:cstheme="minorHAnsi"/>
              </w:rPr>
            </w:pPr>
            <w:r w:rsidRPr="00B1522E">
              <w:rPr>
                <w:rFonts w:cstheme="minorHAnsi"/>
              </w:rPr>
              <w:t>.03</w:t>
            </w:r>
          </w:p>
        </w:tc>
        <w:tc>
          <w:tcPr>
            <w:tcW w:w="807" w:type="dxa"/>
            <w:tcBorders>
              <w:bottom w:val="single" w:sz="4" w:space="0" w:color="auto"/>
            </w:tcBorders>
            <w:vAlign w:val="center"/>
          </w:tcPr>
          <w:p w14:paraId="6B574615" w14:textId="77777777" w:rsidR="004642E1" w:rsidRPr="00B1522E" w:rsidRDefault="004642E1" w:rsidP="003B6735">
            <w:pPr>
              <w:tabs>
                <w:tab w:val="decimal" w:pos="92"/>
              </w:tabs>
              <w:rPr>
                <w:rFonts w:cstheme="minorHAnsi"/>
              </w:rPr>
            </w:pPr>
            <w:r w:rsidRPr="00B1522E">
              <w:rPr>
                <w:rFonts w:cstheme="minorHAnsi"/>
              </w:rPr>
              <w:t>.09</w:t>
            </w:r>
          </w:p>
        </w:tc>
        <w:tc>
          <w:tcPr>
            <w:tcW w:w="808" w:type="dxa"/>
            <w:tcBorders>
              <w:bottom w:val="single" w:sz="4" w:space="0" w:color="auto"/>
            </w:tcBorders>
            <w:vAlign w:val="center"/>
          </w:tcPr>
          <w:p w14:paraId="0E2888E5" w14:textId="77777777" w:rsidR="004642E1" w:rsidRPr="00B1522E" w:rsidRDefault="004642E1" w:rsidP="003B6735">
            <w:pPr>
              <w:tabs>
                <w:tab w:val="decimal" w:pos="243"/>
              </w:tabs>
              <w:rPr>
                <w:rFonts w:cstheme="minorHAnsi"/>
              </w:rPr>
            </w:pPr>
            <w:r w:rsidRPr="00B1522E">
              <w:rPr>
                <w:rFonts w:cstheme="minorHAnsi"/>
              </w:rPr>
              <w:t>.08</w:t>
            </w:r>
          </w:p>
        </w:tc>
        <w:tc>
          <w:tcPr>
            <w:tcW w:w="709" w:type="dxa"/>
            <w:tcBorders>
              <w:bottom w:val="single" w:sz="4" w:space="0" w:color="auto"/>
            </w:tcBorders>
            <w:vAlign w:val="center"/>
          </w:tcPr>
          <w:p w14:paraId="44187702" w14:textId="77777777" w:rsidR="004642E1" w:rsidRPr="00B1522E" w:rsidRDefault="004642E1" w:rsidP="003B6735">
            <w:pPr>
              <w:jc w:val="center"/>
              <w:rPr>
                <w:rFonts w:cstheme="minorHAnsi"/>
              </w:rPr>
            </w:pPr>
            <w:r w:rsidRPr="00B1522E">
              <w:rPr>
                <w:rFonts w:cstheme="minorHAnsi"/>
              </w:rPr>
              <w:t>-</w:t>
            </w:r>
          </w:p>
        </w:tc>
      </w:tr>
    </w:tbl>
    <w:p w14:paraId="31C6330C" w14:textId="77777777" w:rsidR="004642E1" w:rsidRPr="00B1522E" w:rsidRDefault="004642E1" w:rsidP="00E42161">
      <w:pPr>
        <w:spacing w:line="240" w:lineRule="auto"/>
        <w:rPr>
          <w:rFonts w:cstheme="minorHAnsi"/>
        </w:rPr>
      </w:pPr>
      <w:r w:rsidRPr="00B1522E">
        <w:rPr>
          <w:rFonts w:cstheme="minorHAnsi"/>
          <w:vertAlign w:val="superscript"/>
        </w:rPr>
        <w:t xml:space="preserve">a </w:t>
      </w:r>
      <w:r w:rsidRPr="00B1522E">
        <w:rPr>
          <w:rFonts w:cstheme="minorHAnsi"/>
        </w:rPr>
        <w:t>Dummy coded (SNA intervention = 1, control = 2)</w:t>
      </w:r>
    </w:p>
    <w:p w14:paraId="1BA12F00" w14:textId="77777777" w:rsidR="004642E1" w:rsidRPr="00B1522E" w:rsidRDefault="004642E1" w:rsidP="00E42161">
      <w:pPr>
        <w:spacing w:line="240" w:lineRule="auto"/>
        <w:rPr>
          <w:rFonts w:cstheme="minorHAnsi"/>
        </w:rPr>
      </w:pPr>
      <w:r w:rsidRPr="00B1522E">
        <w:rPr>
          <w:rFonts w:cstheme="minorHAnsi"/>
          <w:vertAlign w:val="superscript"/>
        </w:rPr>
        <w:t xml:space="preserve">b </w:t>
      </w:r>
      <w:r w:rsidRPr="00B1522E">
        <w:rPr>
          <w:rFonts w:cstheme="minorHAnsi"/>
        </w:rPr>
        <w:t>Change scores were calculated by subtracting the outcome variable at baseline (Time 1) from the same outcome variable post-intervention (Time 2) (Time 2 – Time 1).</w:t>
      </w:r>
    </w:p>
    <w:p w14:paraId="1194CC19" w14:textId="6087007B" w:rsidR="004642E1" w:rsidRPr="00B1522E" w:rsidRDefault="004642E1" w:rsidP="00E42161">
      <w:pPr>
        <w:spacing w:line="240" w:lineRule="auto"/>
        <w:rPr>
          <w:rFonts w:cstheme="minorHAnsi"/>
        </w:rPr>
      </w:pPr>
      <w:r w:rsidRPr="00B1522E">
        <w:rPr>
          <w:rFonts w:cstheme="minorHAnsi"/>
          <w:vertAlign w:val="superscript"/>
        </w:rPr>
        <w:t xml:space="preserve">c </w:t>
      </w:r>
      <w:r w:rsidRPr="00B1522E">
        <w:rPr>
          <w:rFonts w:cstheme="minorHAnsi"/>
        </w:rPr>
        <w:t xml:space="preserve">Change scores were calculated by subtracting the outcome variable at baseline (Time 1) from the same outcome variable at 3-month follow-up (Time 3) (Time 3 – Time 1). </w:t>
      </w:r>
    </w:p>
    <w:p w14:paraId="362A4959" w14:textId="77777777" w:rsidR="00595A99" w:rsidRPr="00B1522E" w:rsidRDefault="00595A99" w:rsidP="00E42161">
      <w:pPr>
        <w:spacing w:line="240" w:lineRule="auto"/>
        <w:rPr>
          <w:rFonts w:cstheme="minorHAnsi"/>
        </w:rPr>
      </w:pPr>
    </w:p>
    <w:p w14:paraId="14669E4C" w14:textId="77777777" w:rsidR="004642E1" w:rsidRPr="00B1522E" w:rsidRDefault="004642E1" w:rsidP="00E42161">
      <w:pPr>
        <w:spacing w:line="240" w:lineRule="auto"/>
        <w:rPr>
          <w:rFonts w:cstheme="minorHAnsi"/>
          <w:b/>
          <w:bCs/>
        </w:rPr>
      </w:pPr>
      <w:r w:rsidRPr="00B1522E">
        <w:rPr>
          <w:rFonts w:cstheme="minorHAnsi"/>
          <w:vertAlign w:val="superscript"/>
        </w:rPr>
        <w:t xml:space="preserve">d </w:t>
      </w:r>
      <w:r w:rsidRPr="00B1522E">
        <w:rPr>
          <w:rFonts w:cstheme="minorHAnsi"/>
        </w:rPr>
        <w:t>Misperception scores were calculated by subtracting the median of personal unhealthy snacking behaviour of the group (school/gender specific) from students’ individual normative perception (descriptive) of peers’ behaviour.</w:t>
      </w:r>
    </w:p>
    <w:p w14:paraId="3FD37A77" w14:textId="77777777" w:rsidR="004642E1" w:rsidRPr="00B1522E" w:rsidRDefault="004642E1" w:rsidP="00E42161">
      <w:pPr>
        <w:spacing w:line="240" w:lineRule="auto"/>
        <w:rPr>
          <w:rFonts w:cstheme="minorHAnsi"/>
        </w:rPr>
      </w:pPr>
      <w:r w:rsidRPr="00B1522E">
        <w:rPr>
          <w:rFonts w:cstheme="minorHAnsi"/>
          <w:vertAlign w:val="superscript"/>
        </w:rPr>
        <w:t xml:space="preserve">e </w:t>
      </w:r>
      <w:r w:rsidRPr="00B1522E">
        <w:rPr>
          <w:rFonts w:cstheme="minorHAnsi"/>
        </w:rPr>
        <w:t>Misperception scores were calculated by subtracting the median of personal snacking attitude of the group (school/gender specific) from the students’ individual normative perception (injunctive) of peers’ snacking attitudes.</w:t>
      </w:r>
    </w:p>
    <w:p w14:paraId="2F0DEB31" w14:textId="77777777" w:rsidR="004642E1" w:rsidRPr="00B1522E" w:rsidRDefault="004642E1" w:rsidP="00E42161">
      <w:pPr>
        <w:spacing w:line="240" w:lineRule="auto"/>
        <w:rPr>
          <w:rFonts w:cstheme="minorHAnsi"/>
        </w:rPr>
      </w:pPr>
      <w:r w:rsidRPr="00B1522E">
        <w:rPr>
          <w:rFonts w:cstheme="minorHAnsi"/>
          <w:vertAlign w:val="superscript"/>
        </w:rPr>
        <w:t xml:space="preserve">f </w:t>
      </w:r>
      <w:r w:rsidRPr="00B1522E">
        <w:rPr>
          <w:rFonts w:cs="Segoe UI"/>
          <w:shd w:val="clear" w:color="auto" w:fill="FFFFFF"/>
        </w:rPr>
        <w:t>Point-Biserial</w:t>
      </w:r>
      <w:r w:rsidRPr="00B1522E">
        <w:rPr>
          <w:rFonts w:cstheme="minorHAnsi"/>
        </w:rPr>
        <w:t xml:space="preserve"> correlations were conducted when exploring the relationship between the dichotomous and scale variables.</w:t>
      </w:r>
    </w:p>
    <w:p w14:paraId="440486F9" w14:textId="77777777" w:rsidR="004642E1" w:rsidRPr="00B1522E" w:rsidRDefault="004642E1" w:rsidP="00E42161">
      <w:pPr>
        <w:spacing w:line="240" w:lineRule="auto"/>
        <w:rPr>
          <w:rFonts w:cstheme="minorHAnsi"/>
        </w:rPr>
      </w:pPr>
      <w:r w:rsidRPr="00B1522E">
        <w:rPr>
          <w:rFonts w:cstheme="minorHAnsi"/>
        </w:rPr>
        <w:t>*</w:t>
      </w:r>
      <w:r w:rsidRPr="00B1522E">
        <w:rPr>
          <w:rFonts w:cstheme="minorHAnsi"/>
          <w:i/>
          <w:iCs/>
        </w:rPr>
        <w:t>p</w:t>
      </w:r>
      <w:r w:rsidRPr="00B1522E">
        <w:rPr>
          <w:rFonts w:cstheme="minorHAnsi"/>
        </w:rPr>
        <w:t xml:space="preserve"> &lt; .05, **</w:t>
      </w:r>
      <w:r w:rsidRPr="00B1522E">
        <w:rPr>
          <w:rFonts w:cstheme="minorHAnsi"/>
          <w:i/>
          <w:iCs/>
        </w:rPr>
        <w:t>p</w:t>
      </w:r>
      <w:r w:rsidRPr="00B1522E">
        <w:rPr>
          <w:rFonts w:cstheme="minorHAnsi"/>
        </w:rPr>
        <w:t xml:space="preserve"> &lt;.001</w:t>
      </w:r>
    </w:p>
    <w:p w14:paraId="7CBAE5EE" w14:textId="77777777" w:rsidR="004642E1" w:rsidRPr="00B1522E" w:rsidRDefault="004642E1" w:rsidP="004642E1">
      <w:pPr>
        <w:rPr>
          <w:rFonts w:cstheme="minorHAnsi"/>
        </w:rPr>
      </w:pPr>
      <w:r w:rsidRPr="00B1522E">
        <w:rPr>
          <w:rFonts w:cstheme="minorHAnsi"/>
        </w:rPr>
        <w:t xml:space="preserve"> </w:t>
      </w:r>
    </w:p>
    <w:p w14:paraId="2913D5BF" w14:textId="77777777" w:rsidR="004642E1" w:rsidRPr="00B1522E" w:rsidRDefault="004642E1" w:rsidP="004642E1">
      <w:pPr>
        <w:spacing w:line="480" w:lineRule="auto"/>
        <w:jc w:val="both"/>
        <w:rPr>
          <w:rFonts w:cstheme="minorHAnsi"/>
        </w:rPr>
      </w:pPr>
    </w:p>
    <w:p w14:paraId="25CD2337" w14:textId="49B3230E" w:rsidR="0012462F" w:rsidRPr="00B1522E" w:rsidRDefault="0012462F" w:rsidP="001B40A7">
      <w:pPr>
        <w:spacing w:line="480" w:lineRule="auto"/>
        <w:ind w:firstLine="720"/>
        <w:jc w:val="both"/>
        <w:rPr>
          <w:rFonts w:cstheme="minorHAnsi"/>
        </w:rPr>
      </w:pPr>
      <w:r w:rsidRPr="00B1522E">
        <w:rPr>
          <w:rFonts w:cstheme="minorHAnsi"/>
        </w:rPr>
        <w:t xml:space="preserve">Table </w:t>
      </w:r>
      <w:r w:rsidR="00C702D1" w:rsidRPr="00B1522E">
        <w:rPr>
          <w:rFonts w:cstheme="minorHAnsi"/>
        </w:rPr>
        <w:t>20</w:t>
      </w:r>
      <w:r w:rsidRPr="00B1522E">
        <w:rPr>
          <w:rFonts w:cstheme="minorHAnsi"/>
        </w:rPr>
        <w:t xml:space="preserve"> shows that all variables significantly correlated with changes in personal attitude towards unhealthy snacking at Time 3 (dependent variable) with the exception of changes in misperceptions of peers’ unhealthy snacking behaviour at Time 2 and Time 3.</w:t>
      </w:r>
    </w:p>
    <w:p w14:paraId="27BE960E" w14:textId="5F3B5661" w:rsidR="004642E1" w:rsidRPr="00B1522E" w:rsidRDefault="00EB4AC7" w:rsidP="004642E1">
      <w:pPr>
        <w:pStyle w:val="Caption"/>
        <w:keepNext/>
        <w:rPr>
          <w:i w:val="0"/>
          <w:iCs w:val="0"/>
          <w:color w:val="auto"/>
          <w:sz w:val="22"/>
          <w:szCs w:val="22"/>
        </w:rPr>
      </w:pPr>
      <w:r w:rsidRPr="00B1522E">
        <w:rPr>
          <w:b/>
          <w:bCs/>
          <w:i w:val="0"/>
          <w:iCs w:val="0"/>
          <w:color w:val="auto"/>
          <w:sz w:val="22"/>
          <w:szCs w:val="22"/>
        </w:rPr>
        <w:fldChar w:fldCharType="begin"/>
      </w:r>
      <w:r w:rsidRPr="00B1522E">
        <w:rPr>
          <w:b/>
          <w:bCs/>
          <w:i w:val="0"/>
          <w:iCs w:val="0"/>
          <w:color w:val="auto"/>
          <w:sz w:val="22"/>
          <w:szCs w:val="22"/>
        </w:rPr>
        <w:instrText xml:space="preserve"> TC  "</w:instrText>
      </w:r>
      <w:r w:rsidRPr="00B1522E">
        <w:rPr>
          <w:i w:val="0"/>
          <w:iCs w:val="0"/>
          <w:color w:val="auto"/>
          <w:sz w:val="22"/>
          <w:szCs w:val="22"/>
        </w:rPr>
        <w:instrText xml:space="preserve"> </w:instrText>
      </w:r>
      <w:bookmarkStart w:id="258" w:name="_Toc97557143"/>
      <w:r w:rsidRPr="00B1522E">
        <w:rPr>
          <w:i w:val="0"/>
          <w:iCs w:val="0"/>
          <w:color w:val="auto"/>
          <w:sz w:val="22"/>
          <w:szCs w:val="22"/>
        </w:rPr>
        <w:instrText xml:space="preserve">Table </w:instrText>
      </w:r>
      <w:r w:rsidR="00C24220" w:rsidRPr="00B1522E">
        <w:rPr>
          <w:i w:val="0"/>
          <w:iCs w:val="0"/>
          <w:color w:val="auto"/>
          <w:sz w:val="22"/>
          <w:szCs w:val="22"/>
        </w:rPr>
        <w:instrText>20</w:instrText>
      </w:r>
      <w:r w:rsidR="00E2159F" w:rsidRPr="00B1522E">
        <w:rPr>
          <w:i w:val="0"/>
          <w:iCs w:val="0"/>
          <w:color w:val="auto"/>
          <w:sz w:val="22"/>
          <w:szCs w:val="22"/>
        </w:rPr>
        <w:instrText>.</w:instrText>
      </w:r>
      <w:r w:rsidRPr="00B1522E">
        <w:rPr>
          <w:i w:val="0"/>
          <w:iCs w:val="0"/>
          <w:color w:val="auto"/>
          <w:sz w:val="22"/>
          <w:szCs w:val="22"/>
        </w:rPr>
        <w:instrText xml:space="preserve"> Correlation matrix of </w:instrText>
      </w:r>
      <w:r w:rsidRPr="00B1522E">
        <w:rPr>
          <w:rFonts w:cstheme="minorHAnsi"/>
          <w:i w:val="0"/>
          <w:iCs w:val="0"/>
          <w:color w:val="auto"/>
          <w:sz w:val="22"/>
          <w:szCs w:val="22"/>
        </w:rPr>
        <w:instrText>intervention condition, changes in normative misperceptions (time 2 and 3) and</w:instrText>
      </w:r>
      <w:r w:rsidRPr="00B1522E">
        <w:rPr>
          <w:i w:val="0"/>
          <w:iCs w:val="0"/>
          <w:color w:val="auto"/>
          <w:sz w:val="22"/>
          <w:szCs w:val="22"/>
        </w:rPr>
        <w:instrText xml:space="preserve"> changes in personal attitude towards unhealthy snacking at 3 months </w:instrText>
      </w:r>
      <w:r w:rsidRPr="00B1522E">
        <w:rPr>
          <w:rFonts w:cstheme="minorHAnsi"/>
          <w:i w:val="0"/>
          <w:iCs w:val="0"/>
          <w:color w:val="auto"/>
          <w:sz w:val="22"/>
          <w:szCs w:val="22"/>
        </w:rPr>
        <w:instrText>follow-up</w:instrText>
      </w:r>
      <w:r w:rsidRPr="00B1522E">
        <w:rPr>
          <w:i w:val="0"/>
          <w:iCs w:val="0"/>
          <w:color w:val="auto"/>
          <w:sz w:val="22"/>
          <w:szCs w:val="22"/>
        </w:rPr>
        <w:instrText xml:space="preserve"> (Time 3)</w:instrText>
      </w:r>
      <w:r w:rsidRPr="00B1522E">
        <w:rPr>
          <w:i w:val="0"/>
          <w:iCs w:val="0"/>
          <w:color w:val="auto"/>
        </w:rPr>
        <w:instrText>.</w:instrText>
      </w:r>
      <w:bookmarkEnd w:id="258"/>
      <w:r w:rsidR="00F53D82" w:rsidRPr="00B1522E">
        <w:rPr>
          <w:i w:val="0"/>
          <w:iCs w:val="0"/>
          <w:color w:val="auto"/>
        </w:rPr>
        <w:instrText>”</w:instrText>
      </w:r>
      <w:r w:rsidRPr="00B1522E">
        <w:rPr>
          <w:b/>
          <w:bCs/>
          <w:i w:val="0"/>
          <w:iCs w:val="0"/>
          <w:color w:val="auto"/>
          <w:sz w:val="22"/>
          <w:szCs w:val="22"/>
        </w:rPr>
        <w:instrText xml:space="preserve">\f z\l 2 </w:instrText>
      </w:r>
      <w:r w:rsidRPr="00B1522E">
        <w:rPr>
          <w:b/>
          <w:bCs/>
          <w:i w:val="0"/>
          <w:iCs w:val="0"/>
          <w:color w:val="auto"/>
          <w:sz w:val="22"/>
          <w:szCs w:val="22"/>
        </w:rPr>
        <w:fldChar w:fldCharType="end"/>
      </w:r>
      <w:r w:rsidR="004642E1" w:rsidRPr="00B1522E">
        <w:rPr>
          <w:i w:val="0"/>
          <w:iCs w:val="0"/>
          <w:color w:val="auto"/>
          <w:sz w:val="22"/>
          <w:szCs w:val="22"/>
        </w:rPr>
        <w:t xml:space="preserve">Table </w:t>
      </w:r>
      <w:r w:rsidR="00C24220" w:rsidRPr="00B1522E">
        <w:rPr>
          <w:i w:val="0"/>
          <w:iCs w:val="0"/>
          <w:color w:val="auto"/>
          <w:sz w:val="22"/>
          <w:szCs w:val="22"/>
        </w:rPr>
        <w:t>20</w:t>
      </w:r>
      <w:r w:rsidR="00E2159F" w:rsidRPr="00B1522E">
        <w:rPr>
          <w:i w:val="0"/>
          <w:iCs w:val="0"/>
          <w:color w:val="auto"/>
          <w:sz w:val="22"/>
          <w:szCs w:val="22"/>
        </w:rPr>
        <w:t xml:space="preserve">. </w:t>
      </w:r>
      <w:r w:rsidR="004642E1" w:rsidRPr="00B1522E">
        <w:rPr>
          <w:i w:val="0"/>
          <w:iCs w:val="0"/>
          <w:color w:val="auto"/>
          <w:sz w:val="22"/>
          <w:szCs w:val="22"/>
        </w:rPr>
        <w:t xml:space="preserve"> Correlation matrix of </w:t>
      </w:r>
      <w:r w:rsidR="004642E1" w:rsidRPr="00B1522E">
        <w:rPr>
          <w:rFonts w:cstheme="minorHAnsi"/>
          <w:i w:val="0"/>
          <w:iCs w:val="0"/>
          <w:color w:val="auto"/>
          <w:sz w:val="22"/>
          <w:szCs w:val="22"/>
        </w:rPr>
        <w:t>intervention condition, changes in normative misperceptions (time 2 and 3) and</w:t>
      </w:r>
      <w:r w:rsidR="004642E1" w:rsidRPr="00B1522E">
        <w:rPr>
          <w:i w:val="0"/>
          <w:iCs w:val="0"/>
          <w:color w:val="auto"/>
          <w:sz w:val="22"/>
          <w:szCs w:val="22"/>
        </w:rPr>
        <w:t xml:space="preserve"> changes in personal attitude towards unhealthy snacking at 3 months </w:t>
      </w:r>
      <w:r w:rsidR="004642E1" w:rsidRPr="00B1522E">
        <w:rPr>
          <w:rFonts w:cstheme="minorHAnsi"/>
          <w:i w:val="0"/>
          <w:iCs w:val="0"/>
          <w:color w:val="auto"/>
          <w:sz w:val="22"/>
          <w:szCs w:val="22"/>
        </w:rPr>
        <w:t>follow-up</w:t>
      </w:r>
      <w:r w:rsidR="004642E1" w:rsidRPr="00B1522E">
        <w:rPr>
          <w:i w:val="0"/>
          <w:iCs w:val="0"/>
          <w:color w:val="auto"/>
          <w:sz w:val="22"/>
          <w:szCs w:val="22"/>
        </w:rPr>
        <w:t xml:space="preserve"> (Time 3).</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749"/>
        <w:gridCol w:w="749"/>
        <w:gridCol w:w="749"/>
        <w:gridCol w:w="749"/>
        <w:gridCol w:w="749"/>
        <w:gridCol w:w="749"/>
        <w:gridCol w:w="750"/>
        <w:gridCol w:w="709"/>
      </w:tblGrid>
      <w:tr w:rsidR="00E77769" w:rsidRPr="00B1522E" w14:paraId="228919F1" w14:textId="77777777" w:rsidTr="003B6735">
        <w:trPr>
          <w:trHeight w:val="114"/>
        </w:trPr>
        <w:tc>
          <w:tcPr>
            <w:tcW w:w="3261" w:type="dxa"/>
            <w:tcBorders>
              <w:top w:val="single" w:sz="4" w:space="0" w:color="auto"/>
              <w:bottom w:val="single" w:sz="4" w:space="0" w:color="auto"/>
            </w:tcBorders>
          </w:tcPr>
          <w:p w14:paraId="558F5427" w14:textId="77777777" w:rsidR="004642E1" w:rsidRPr="00B1522E" w:rsidRDefault="004642E1" w:rsidP="003B6735">
            <w:r w:rsidRPr="00B1522E">
              <w:t xml:space="preserve">Variables </w:t>
            </w:r>
          </w:p>
        </w:tc>
        <w:tc>
          <w:tcPr>
            <w:tcW w:w="749" w:type="dxa"/>
            <w:tcBorders>
              <w:top w:val="single" w:sz="4" w:space="0" w:color="auto"/>
              <w:bottom w:val="single" w:sz="4" w:space="0" w:color="auto"/>
            </w:tcBorders>
          </w:tcPr>
          <w:p w14:paraId="769C376D" w14:textId="77777777" w:rsidR="004642E1" w:rsidRPr="00B1522E" w:rsidRDefault="004642E1" w:rsidP="003B6735">
            <w:pPr>
              <w:jc w:val="center"/>
            </w:pPr>
            <w:r w:rsidRPr="00B1522E">
              <w:t>1</w:t>
            </w:r>
          </w:p>
        </w:tc>
        <w:tc>
          <w:tcPr>
            <w:tcW w:w="749" w:type="dxa"/>
            <w:tcBorders>
              <w:top w:val="single" w:sz="4" w:space="0" w:color="auto"/>
              <w:bottom w:val="single" w:sz="4" w:space="0" w:color="auto"/>
            </w:tcBorders>
            <w:vAlign w:val="center"/>
          </w:tcPr>
          <w:p w14:paraId="620759F1" w14:textId="77777777" w:rsidR="004642E1" w:rsidRPr="00B1522E" w:rsidRDefault="004642E1" w:rsidP="003B6735">
            <w:pPr>
              <w:tabs>
                <w:tab w:val="decimal" w:pos="221"/>
              </w:tabs>
            </w:pPr>
            <w:r w:rsidRPr="00B1522E">
              <w:t>2</w:t>
            </w:r>
          </w:p>
        </w:tc>
        <w:tc>
          <w:tcPr>
            <w:tcW w:w="749" w:type="dxa"/>
            <w:tcBorders>
              <w:top w:val="single" w:sz="4" w:space="0" w:color="auto"/>
              <w:bottom w:val="single" w:sz="4" w:space="0" w:color="auto"/>
            </w:tcBorders>
          </w:tcPr>
          <w:p w14:paraId="4F124A71" w14:textId="77777777" w:rsidR="004642E1" w:rsidRPr="00B1522E" w:rsidRDefault="004642E1" w:rsidP="003B6735">
            <w:pPr>
              <w:tabs>
                <w:tab w:val="left" w:pos="248"/>
              </w:tabs>
              <w:jc w:val="center"/>
            </w:pPr>
            <w:r w:rsidRPr="00B1522E">
              <w:t>3</w:t>
            </w:r>
          </w:p>
        </w:tc>
        <w:tc>
          <w:tcPr>
            <w:tcW w:w="749" w:type="dxa"/>
            <w:tcBorders>
              <w:top w:val="single" w:sz="4" w:space="0" w:color="auto"/>
              <w:bottom w:val="single" w:sz="4" w:space="0" w:color="auto"/>
            </w:tcBorders>
          </w:tcPr>
          <w:p w14:paraId="0BBEAD5E" w14:textId="77777777" w:rsidR="004642E1" w:rsidRPr="00B1522E" w:rsidRDefault="004642E1" w:rsidP="003B6735">
            <w:pPr>
              <w:tabs>
                <w:tab w:val="decimal" w:pos="214"/>
              </w:tabs>
              <w:jc w:val="center"/>
            </w:pPr>
            <w:r w:rsidRPr="00B1522E">
              <w:t>4</w:t>
            </w:r>
          </w:p>
        </w:tc>
        <w:tc>
          <w:tcPr>
            <w:tcW w:w="749" w:type="dxa"/>
            <w:tcBorders>
              <w:top w:val="single" w:sz="4" w:space="0" w:color="auto"/>
              <w:bottom w:val="single" w:sz="4" w:space="0" w:color="auto"/>
            </w:tcBorders>
          </w:tcPr>
          <w:p w14:paraId="2D0D9A3C" w14:textId="77777777" w:rsidR="004642E1" w:rsidRPr="00B1522E" w:rsidRDefault="004642E1" w:rsidP="003B6735">
            <w:pPr>
              <w:tabs>
                <w:tab w:val="left" w:pos="209"/>
              </w:tabs>
              <w:jc w:val="center"/>
            </w:pPr>
            <w:r w:rsidRPr="00B1522E">
              <w:t>5</w:t>
            </w:r>
          </w:p>
        </w:tc>
        <w:tc>
          <w:tcPr>
            <w:tcW w:w="749" w:type="dxa"/>
            <w:tcBorders>
              <w:top w:val="single" w:sz="4" w:space="0" w:color="auto"/>
              <w:bottom w:val="single" w:sz="4" w:space="0" w:color="auto"/>
            </w:tcBorders>
          </w:tcPr>
          <w:p w14:paraId="7DE2B447" w14:textId="77777777" w:rsidR="004642E1" w:rsidRPr="00B1522E" w:rsidRDefault="004642E1" w:rsidP="003B6735">
            <w:pPr>
              <w:tabs>
                <w:tab w:val="decimal" w:pos="174"/>
              </w:tabs>
              <w:jc w:val="center"/>
            </w:pPr>
            <w:r w:rsidRPr="00B1522E">
              <w:t>6</w:t>
            </w:r>
          </w:p>
        </w:tc>
        <w:tc>
          <w:tcPr>
            <w:tcW w:w="750" w:type="dxa"/>
            <w:tcBorders>
              <w:top w:val="single" w:sz="4" w:space="0" w:color="auto"/>
              <w:bottom w:val="single" w:sz="4" w:space="0" w:color="auto"/>
            </w:tcBorders>
          </w:tcPr>
          <w:p w14:paraId="7D2B08BE" w14:textId="77777777" w:rsidR="004642E1" w:rsidRPr="00B1522E" w:rsidRDefault="004642E1" w:rsidP="003B6735">
            <w:pPr>
              <w:tabs>
                <w:tab w:val="decimal" w:pos="232"/>
              </w:tabs>
              <w:jc w:val="center"/>
            </w:pPr>
            <w:r w:rsidRPr="00B1522E">
              <w:t>7</w:t>
            </w:r>
          </w:p>
        </w:tc>
        <w:tc>
          <w:tcPr>
            <w:tcW w:w="709" w:type="dxa"/>
            <w:tcBorders>
              <w:top w:val="single" w:sz="4" w:space="0" w:color="auto"/>
              <w:bottom w:val="single" w:sz="4" w:space="0" w:color="auto"/>
            </w:tcBorders>
          </w:tcPr>
          <w:p w14:paraId="76FB5216" w14:textId="77777777" w:rsidR="004642E1" w:rsidRPr="00B1522E" w:rsidRDefault="004642E1" w:rsidP="003B6735">
            <w:pPr>
              <w:jc w:val="center"/>
            </w:pPr>
            <w:r w:rsidRPr="00B1522E">
              <w:t>8</w:t>
            </w:r>
          </w:p>
        </w:tc>
      </w:tr>
      <w:tr w:rsidR="00E77769" w:rsidRPr="00B1522E" w14:paraId="713531F5" w14:textId="77777777" w:rsidTr="003B6735">
        <w:trPr>
          <w:trHeight w:val="402"/>
        </w:trPr>
        <w:tc>
          <w:tcPr>
            <w:tcW w:w="3261" w:type="dxa"/>
            <w:tcBorders>
              <w:top w:val="single" w:sz="4" w:space="0" w:color="auto"/>
            </w:tcBorders>
          </w:tcPr>
          <w:p w14:paraId="00B50773" w14:textId="77777777" w:rsidR="004642E1" w:rsidRPr="00B1522E" w:rsidRDefault="004642E1" w:rsidP="00326180">
            <w:pPr>
              <w:ind w:left="340" w:hanging="340"/>
              <w:rPr>
                <w:vertAlign w:val="superscript"/>
              </w:rPr>
            </w:pPr>
            <w:r w:rsidRPr="00B1522E">
              <w:t>1. Intervention condition</w:t>
            </w:r>
            <w:r w:rsidRPr="00B1522E">
              <w:rPr>
                <w:vertAlign w:val="superscript"/>
              </w:rPr>
              <w:t>af</w:t>
            </w:r>
          </w:p>
        </w:tc>
        <w:tc>
          <w:tcPr>
            <w:tcW w:w="749" w:type="dxa"/>
            <w:tcBorders>
              <w:top w:val="single" w:sz="4" w:space="0" w:color="auto"/>
            </w:tcBorders>
            <w:vAlign w:val="center"/>
          </w:tcPr>
          <w:p w14:paraId="3BEB7289" w14:textId="77777777" w:rsidR="004642E1" w:rsidRPr="00B1522E" w:rsidRDefault="004642E1" w:rsidP="003B6735">
            <w:pPr>
              <w:tabs>
                <w:tab w:val="left" w:pos="38"/>
                <w:tab w:val="left" w:pos="180"/>
                <w:tab w:val="left" w:pos="535"/>
              </w:tabs>
              <w:jc w:val="center"/>
            </w:pPr>
            <w:r w:rsidRPr="00B1522E">
              <w:t>-</w:t>
            </w:r>
          </w:p>
        </w:tc>
        <w:tc>
          <w:tcPr>
            <w:tcW w:w="749" w:type="dxa"/>
            <w:tcBorders>
              <w:top w:val="single" w:sz="4" w:space="0" w:color="auto"/>
            </w:tcBorders>
            <w:vAlign w:val="center"/>
          </w:tcPr>
          <w:p w14:paraId="5295CE9B" w14:textId="77777777" w:rsidR="004642E1" w:rsidRPr="00B1522E" w:rsidRDefault="004642E1" w:rsidP="003B6735">
            <w:pPr>
              <w:tabs>
                <w:tab w:val="decimal" w:pos="221"/>
              </w:tabs>
            </w:pPr>
          </w:p>
        </w:tc>
        <w:tc>
          <w:tcPr>
            <w:tcW w:w="749" w:type="dxa"/>
            <w:tcBorders>
              <w:top w:val="single" w:sz="4" w:space="0" w:color="auto"/>
            </w:tcBorders>
            <w:vAlign w:val="center"/>
          </w:tcPr>
          <w:p w14:paraId="5823F7A2" w14:textId="77777777" w:rsidR="004642E1" w:rsidRPr="00B1522E" w:rsidRDefault="004642E1" w:rsidP="003B6735">
            <w:pPr>
              <w:tabs>
                <w:tab w:val="decimal" w:pos="124"/>
                <w:tab w:val="left" w:pos="248"/>
              </w:tabs>
              <w:jc w:val="center"/>
            </w:pPr>
          </w:p>
        </w:tc>
        <w:tc>
          <w:tcPr>
            <w:tcW w:w="749" w:type="dxa"/>
            <w:tcBorders>
              <w:top w:val="single" w:sz="4" w:space="0" w:color="auto"/>
            </w:tcBorders>
            <w:vAlign w:val="center"/>
          </w:tcPr>
          <w:p w14:paraId="76DFEE32" w14:textId="77777777" w:rsidR="004642E1" w:rsidRPr="00B1522E" w:rsidRDefault="004642E1" w:rsidP="003B6735">
            <w:pPr>
              <w:tabs>
                <w:tab w:val="decimal" w:pos="214"/>
              </w:tabs>
              <w:jc w:val="center"/>
            </w:pPr>
          </w:p>
        </w:tc>
        <w:tc>
          <w:tcPr>
            <w:tcW w:w="749" w:type="dxa"/>
            <w:tcBorders>
              <w:top w:val="single" w:sz="4" w:space="0" w:color="auto"/>
            </w:tcBorders>
            <w:vAlign w:val="center"/>
          </w:tcPr>
          <w:p w14:paraId="07C1E708" w14:textId="77777777" w:rsidR="004642E1" w:rsidRPr="00B1522E" w:rsidRDefault="004642E1" w:rsidP="003B6735">
            <w:pPr>
              <w:tabs>
                <w:tab w:val="left" w:pos="209"/>
                <w:tab w:val="decimal" w:pos="313"/>
              </w:tabs>
              <w:jc w:val="center"/>
            </w:pPr>
          </w:p>
        </w:tc>
        <w:tc>
          <w:tcPr>
            <w:tcW w:w="749" w:type="dxa"/>
            <w:tcBorders>
              <w:top w:val="single" w:sz="4" w:space="0" w:color="auto"/>
            </w:tcBorders>
            <w:vAlign w:val="center"/>
          </w:tcPr>
          <w:p w14:paraId="34C8E2EB" w14:textId="77777777" w:rsidR="004642E1" w:rsidRPr="00B1522E" w:rsidRDefault="004642E1" w:rsidP="003B6735">
            <w:pPr>
              <w:tabs>
                <w:tab w:val="decimal" w:pos="174"/>
              </w:tabs>
              <w:jc w:val="center"/>
            </w:pPr>
          </w:p>
        </w:tc>
        <w:tc>
          <w:tcPr>
            <w:tcW w:w="750" w:type="dxa"/>
            <w:tcBorders>
              <w:top w:val="single" w:sz="4" w:space="0" w:color="auto"/>
            </w:tcBorders>
            <w:vAlign w:val="center"/>
          </w:tcPr>
          <w:p w14:paraId="19B61004" w14:textId="77777777" w:rsidR="004642E1" w:rsidRPr="00B1522E" w:rsidRDefault="004642E1" w:rsidP="003B6735">
            <w:pPr>
              <w:tabs>
                <w:tab w:val="decimal" w:pos="232"/>
              </w:tabs>
              <w:jc w:val="center"/>
            </w:pPr>
          </w:p>
        </w:tc>
        <w:tc>
          <w:tcPr>
            <w:tcW w:w="709" w:type="dxa"/>
            <w:tcBorders>
              <w:top w:val="single" w:sz="4" w:space="0" w:color="auto"/>
            </w:tcBorders>
            <w:vAlign w:val="center"/>
          </w:tcPr>
          <w:p w14:paraId="7891173B" w14:textId="77777777" w:rsidR="004642E1" w:rsidRPr="00B1522E" w:rsidRDefault="004642E1" w:rsidP="003B6735">
            <w:pPr>
              <w:jc w:val="center"/>
            </w:pPr>
          </w:p>
        </w:tc>
      </w:tr>
      <w:tr w:rsidR="00E77769" w:rsidRPr="00B1522E" w14:paraId="5F942662" w14:textId="77777777" w:rsidTr="003B6735">
        <w:tc>
          <w:tcPr>
            <w:tcW w:w="3261" w:type="dxa"/>
          </w:tcPr>
          <w:p w14:paraId="20CA8A34" w14:textId="77777777" w:rsidR="004642E1" w:rsidRPr="00B1522E" w:rsidRDefault="004642E1" w:rsidP="00326180">
            <w:pPr>
              <w:ind w:left="340" w:hanging="340"/>
              <w:rPr>
                <w:vertAlign w:val="superscript"/>
              </w:rPr>
            </w:pPr>
            <w:r w:rsidRPr="00B1522E">
              <w:t>2. Changes in misperceptions of peers unhealthy snacking - Time 2</w:t>
            </w:r>
            <w:r w:rsidRPr="00B1522E">
              <w:rPr>
                <w:vertAlign w:val="superscript"/>
              </w:rPr>
              <w:t>bd</w:t>
            </w:r>
          </w:p>
        </w:tc>
        <w:tc>
          <w:tcPr>
            <w:tcW w:w="749" w:type="dxa"/>
            <w:vAlign w:val="center"/>
          </w:tcPr>
          <w:p w14:paraId="1524ACA8" w14:textId="77777777" w:rsidR="004642E1" w:rsidRPr="00B1522E" w:rsidRDefault="004642E1" w:rsidP="003B6735">
            <w:pPr>
              <w:tabs>
                <w:tab w:val="decimal" w:pos="38"/>
              </w:tabs>
            </w:pPr>
            <w:r w:rsidRPr="00B1522E">
              <w:t>.15*</w:t>
            </w:r>
          </w:p>
        </w:tc>
        <w:tc>
          <w:tcPr>
            <w:tcW w:w="749" w:type="dxa"/>
            <w:vAlign w:val="center"/>
          </w:tcPr>
          <w:p w14:paraId="3B00729D" w14:textId="77777777" w:rsidR="004642E1" w:rsidRPr="00B1522E" w:rsidRDefault="004642E1" w:rsidP="003B6735">
            <w:pPr>
              <w:tabs>
                <w:tab w:val="decimal" w:pos="221"/>
              </w:tabs>
            </w:pPr>
            <w:r w:rsidRPr="00B1522E">
              <w:t>-</w:t>
            </w:r>
          </w:p>
        </w:tc>
        <w:tc>
          <w:tcPr>
            <w:tcW w:w="749" w:type="dxa"/>
            <w:vAlign w:val="center"/>
          </w:tcPr>
          <w:p w14:paraId="1B39B2C0" w14:textId="77777777" w:rsidR="004642E1" w:rsidRPr="00B1522E" w:rsidRDefault="004642E1" w:rsidP="003B6735">
            <w:pPr>
              <w:tabs>
                <w:tab w:val="decimal" w:pos="124"/>
                <w:tab w:val="left" w:pos="248"/>
              </w:tabs>
              <w:jc w:val="center"/>
            </w:pPr>
          </w:p>
        </w:tc>
        <w:tc>
          <w:tcPr>
            <w:tcW w:w="749" w:type="dxa"/>
            <w:vAlign w:val="center"/>
          </w:tcPr>
          <w:p w14:paraId="0F8B2EB1" w14:textId="77777777" w:rsidR="004642E1" w:rsidRPr="00B1522E" w:rsidRDefault="004642E1" w:rsidP="003B6735">
            <w:pPr>
              <w:tabs>
                <w:tab w:val="decimal" w:pos="214"/>
              </w:tabs>
              <w:jc w:val="center"/>
            </w:pPr>
          </w:p>
        </w:tc>
        <w:tc>
          <w:tcPr>
            <w:tcW w:w="749" w:type="dxa"/>
            <w:vAlign w:val="center"/>
          </w:tcPr>
          <w:p w14:paraId="698B05F4" w14:textId="77777777" w:rsidR="004642E1" w:rsidRPr="00B1522E" w:rsidRDefault="004642E1" w:rsidP="003B6735">
            <w:pPr>
              <w:tabs>
                <w:tab w:val="left" w:pos="209"/>
                <w:tab w:val="decimal" w:pos="313"/>
              </w:tabs>
              <w:jc w:val="center"/>
            </w:pPr>
          </w:p>
        </w:tc>
        <w:tc>
          <w:tcPr>
            <w:tcW w:w="749" w:type="dxa"/>
            <w:vAlign w:val="center"/>
          </w:tcPr>
          <w:p w14:paraId="157050B0" w14:textId="77777777" w:rsidR="004642E1" w:rsidRPr="00B1522E" w:rsidRDefault="004642E1" w:rsidP="003B6735">
            <w:pPr>
              <w:tabs>
                <w:tab w:val="decimal" w:pos="174"/>
              </w:tabs>
              <w:jc w:val="center"/>
            </w:pPr>
          </w:p>
        </w:tc>
        <w:tc>
          <w:tcPr>
            <w:tcW w:w="750" w:type="dxa"/>
            <w:vAlign w:val="center"/>
          </w:tcPr>
          <w:p w14:paraId="10D42AC2" w14:textId="77777777" w:rsidR="004642E1" w:rsidRPr="00B1522E" w:rsidRDefault="004642E1" w:rsidP="003B6735">
            <w:pPr>
              <w:tabs>
                <w:tab w:val="decimal" w:pos="232"/>
              </w:tabs>
              <w:jc w:val="center"/>
            </w:pPr>
          </w:p>
        </w:tc>
        <w:tc>
          <w:tcPr>
            <w:tcW w:w="709" w:type="dxa"/>
            <w:vAlign w:val="center"/>
          </w:tcPr>
          <w:p w14:paraId="36791E82" w14:textId="77777777" w:rsidR="004642E1" w:rsidRPr="00B1522E" w:rsidRDefault="004642E1" w:rsidP="003B6735">
            <w:pPr>
              <w:jc w:val="center"/>
            </w:pPr>
          </w:p>
        </w:tc>
      </w:tr>
      <w:tr w:rsidR="00E77769" w:rsidRPr="00B1522E" w14:paraId="70E95EE9" w14:textId="77777777" w:rsidTr="003B6735">
        <w:tc>
          <w:tcPr>
            <w:tcW w:w="3261" w:type="dxa"/>
          </w:tcPr>
          <w:p w14:paraId="5191708A" w14:textId="77777777" w:rsidR="004642E1" w:rsidRPr="00B1522E" w:rsidRDefault="004642E1" w:rsidP="00326180">
            <w:pPr>
              <w:ind w:left="340" w:hanging="340"/>
              <w:rPr>
                <w:vertAlign w:val="superscript"/>
              </w:rPr>
            </w:pPr>
            <w:r w:rsidRPr="00B1522E">
              <w:t>3. Changes in misperceptions of peers unhealthy snacking - Time 3</w:t>
            </w:r>
            <w:r w:rsidRPr="00B1522E">
              <w:rPr>
                <w:vertAlign w:val="superscript"/>
              </w:rPr>
              <w:t>cd</w:t>
            </w:r>
          </w:p>
        </w:tc>
        <w:tc>
          <w:tcPr>
            <w:tcW w:w="749" w:type="dxa"/>
            <w:vAlign w:val="center"/>
          </w:tcPr>
          <w:p w14:paraId="53975066" w14:textId="77777777" w:rsidR="004642E1" w:rsidRPr="00B1522E" w:rsidRDefault="004642E1" w:rsidP="003B6735">
            <w:pPr>
              <w:tabs>
                <w:tab w:val="decimal" w:pos="38"/>
              </w:tabs>
            </w:pPr>
            <w:r w:rsidRPr="00B1522E">
              <w:t>.06</w:t>
            </w:r>
          </w:p>
        </w:tc>
        <w:tc>
          <w:tcPr>
            <w:tcW w:w="749" w:type="dxa"/>
            <w:vAlign w:val="center"/>
          </w:tcPr>
          <w:p w14:paraId="6EF432F7" w14:textId="77777777" w:rsidR="004642E1" w:rsidRPr="00B1522E" w:rsidRDefault="004642E1" w:rsidP="003B6735">
            <w:pPr>
              <w:tabs>
                <w:tab w:val="decimal" w:pos="0"/>
              </w:tabs>
            </w:pPr>
            <w:r w:rsidRPr="00B1522E">
              <w:t>.45**</w:t>
            </w:r>
          </w:p>
        </w:tc>
        <w:tc>
          <w:tcPr>
            <w:tcW w:w="749" w:type="dxa"/>
            <w:vAlign w:val="center"/>
          </w:tcPr>
          <w:p w14:paraId="29542CBC" w14:textId="77777777" w:rsidR="004642E1" w:rsidRPr="00B1522E" w:rsidRDefault="004642E1" w:rsidP="003B6735">
            <w:pPr>
              <w:tabs>
                <w:tab w:val="decimal" w:pos="124"/>
                <w:tab w:val="left" w:pos="248"/>
              </w:tabs>
              <w:jc w:val="center"/>
            </w:pPr>
            <w:r w:rsidRPr="00B1522E">
              <w:t>-</w:t>
            </w:r>
          </w:p>
        </w:tc>
        <w:tc>
          <w:tcPr>
            <w:tcW w:w="749" w:type="dxa"/>
            <w:vAlign w:val="center"/>
          </w:tcPr>
          <w:p w14:paraId="1D44FDA5" w14:textId="77777777" w:rsidR="004642E1" w:rsidRPr="00B1522E" w:rsidRDefault="004642E1" w:rsidP="003B6735">
            <w:pPr>
              <w:tabs>
                <w:tab w:val="decimal" w:pos="214"/>
              </w:tabs>
              <w:jc w:val="center"/>
            </w:pPr>
          </w:p>
        </w:tc>
        <w:tc>
          <w:tcPr>
            <w:tcW w:w="749" w:type="dxa"/>
            <w:vAlign w:val="center"/>
          </w:tcPr>
          <w:p w14:paraId="7AC35225" w14:textId="77777777" w:rsidR="004642E1" w:rsidRPr="00B1522E" w:rsidRDefault="004642E1" w:rsidP="003B6735">
            <w:pPr>
              <w:tabs>
                <w:tab w:val="left" w:pos="209"/>
                <w:tab w:val="decimal" w:pos="313"/>
              </w:tabs>
              <w:jc w:val="center"/>
            </w:pPr>
          </w:p>
        </w:tc>
        <w:tc>
          <w:tcPr>
            <w:tcW w:w="749" w:type="dxa"/>
            <w:vAlign w:val="center"/>
          </w:tcPr>
          <w:p w14:paraId="32333FEA" w14:textId="77777777" w:rsidR="004642E1" w:rsidRPr="00B1522E" w:rsidRDefault="004642E1" w:rsidP="003B6735">
            <w:pPr>
              <w:tabs>
                <w:tab w:val="decimal" w:pos="174"/>
              </w:tabs>
              <w:jc w:val="center"/>
            </w:pPr>
          </w:p>
        </w:tc>
        <w:tc>
          <w:tcPr>
            <w:tcW w:w="750" w:type="dxa"/>
            <w:vAlign w:val="center"/>
          </w:tcPr>
          <w:p w14:paraId="7327D231" w14:textId="77777777" w:rsidR="004642E1" w:rsidRPr="00B1522E" w:rsidRDefault="004642E1" w:rsidP="003B6735">
            <w:pPr>
              <w:tabs>
                <w:tab w:val="decimal" w:pos="232"/>
              </w:tabs>
              <w:jc w:val="center"/>
            </w:pPr>
          </w:p>
        </w:tc>
        <w:tc>
          <w:tcPr>
            <w:tcW w:w="709" w:type="dxa"/>
            <w:vAlign w:val="center"/>
          </w:tcPr>
          <w:p w14:paraId="59B78800" w14:textId="77777777" w:rsidR="004642E1" w:rsidRPr="00B1522E" w:rsidRDefault="004642E1" w:rsidP="003B6735">
            <w:pPr>
              <w:jc w:val="center"/>
            </w:pPr>
          </w:p>
        </w:tc>
      </w:tr>
      <w:tr w:rsidR="00E77769" w:rsidRPr="00B1522E" w14:paraId="790312FF" w14:textId="77777777" w:rsidTr="003B6735">
        <w:tc>
          <w:tcPr>
            <w:tcW w:w="3261" w:type="dxa"/>
          </w:tcPr>
          <w:p w14:paraId="43EAF499" w14:textId="77777777" w:rsidR="004642E1" w:rsidRPr="00B1522E" w:rsidRDefault="004642E1" w:rsidP="00326180">
            <w:pPr>
              <w:ind w:left="340" w:hanging="340"/>
              <w:rPr>
                <w:vertAlign w:val="superscript"/>
              </w:rPr>
            </w:pPr>
            <w:r w:rsidRPr="00B1522E">
              <w:t>4. Changes in misperceptions of peers’ attitude towards unhealthy snacking - Time 2</w:t>
            </w:r>
            <w:r w:rsidRPr="00B1522E">
              <w:rPr>
                <w:vertAlign w:val="superscript"/>
              </w:rPr>
              <w:t>be</w:t>
            </w:r>
          </w:p>
        </w:tc>
        <w:tc>
          <w:tcPr>
            <w:tcW w:w="749" w:type="dxa"/>
            <w:vAlign w:val="center"/>
          </w:tcPr>
          <w:p w14:paraId="27B67769" w14:textId="77777777" w:rsidR="004642E1" w:rsidRPr="00B1522E" w:rsidRDefault="004642E1" w:rsidP="003B6735">
            <w:pPr>
              <w:tabs>
                <w:tab w:val="decimal" w:pos="38"/>
              </w:tabs>
            </w:pPr>
            <w:r w:rsidRPr="00B1522E">
              <w:t>.24**</w:t>
            </w:r>
          </w:p>
        </w:tc>
        <w:tc>
          <w:tcPr>
            <w:tcW w:w="749" w:type="dxa"/>
            <w:vAlign w:val="center"/>
          </w:tcPr>
          <w:p w14:paraId="1E0FCB37" w14:textId="77777777" w:rsidR="004642E1" w:rsidRPr="00B1522E" w:rsidRDefault="004642E1" w:rsidP="003B6735">
            <w:pPr>
              <w:tabs>
                <w:tab w:val="decimal" w:pos="0"/>
              </w:tabs>
            </w:pPr>
            <w:r w:rsidRPr="00B1522E">
              <w:t>.03</w:t>
            </w:r>
          </w:p>
        </w:tc>
        <w:tc>
          <w:tcPr>
            <w:tcW w:w="749" w:type="dxa"/>
            <w:vAlign w:val="center"/>
          </w:tcPr>
          <w:p w14:paraId="5EF3CF2D" w14:textId="77777777" w:rsidR="004642E1" w:rsidRPr="00B1522E" w:rsidRDefault="004642E1" w:rsidP="003B6735">
            <w:pPr>
              <w:tabs>
                <w:tab w:val="left" w:pos="94"/>
                <w:tab w:val="decimal" w:pos="124"/>
              </w:tabs>
              <w:jc w:val="center"/>
            </w:pPr>
            <w:r w:rsidRPr="00B1522E">
              <w:t>.13</w:t>
            </w:r>
          </w:p>
        </w:tc>
        <w:tc>
          <w:tcPr>
            <w:tcW w:w="749" w:type="dxa"/>
            <w:vAlign w:val="center"/>
          </w:tcPr>
          <w:p w14:paraId="4A5FD527" w14:textId="77777777" w:rsidR="004642E1" w:rsidRPr="00B1522E" w:rsidRDefault="004642E1" w:rsidP="003B6735">
            <w:pPr>
              <w:tabs>
                <w:tab w:val="decimal" w:pos="214"/>
              </w:tabs>
              <w:jc w:val="center"/>
            </w:pPr>
            <w:r w:rsidRPr="00B1522E">
              <w:t>-</w:t>
            </w:r>
          </w:p>
        </w:tc>
        <w:tc>
          <w:tcPr>
            <w:tcW w:w="749" w:type="dxa"/>
            <w:vAlign w:val="center"/>
          </w:tcPr>
          <w:p w14:paraId="598110E8" w14:textId="77777777" w:rsidR="004642E1" w:rsidRPr="00B1522E" w:rsidRDefault="004642E1" w:rsidP="003B6735">
            <w:pPr>
              <w:tabs>
                <w:tab w:val="left" w:pos="209"/>
                <w:tab w:val="decimal" w:pos="313"/>
              </w:tabs>
              <w:jc w:val="center"/>
            </w:pPr>
          </w:p>
        </w:tc>
        <w:tc>
          <w:tcPr>
            <w:tcW w:w="749" w:type="dxa"/>
            <w:vAlign w:val="center"/>
          </w:tcPr>
          <w:p w14:paraId="47728905" w14:textId="77777777" w:rsidR="004642E1" w:rsidRPr="00B1522E" w:rsidRDefault="004642E1" w:rsidP="003B6735">
            <w:pPr>
              <w:tabs>
                <w:tab w:val="decimal" w:pos="174"/>
              </w:tabs>
              <w:jc w:val="center"/>
            </w:pPr>
          </w:p>
        </w:tc>
        <w:tc>
          <w:tcPr>
            <w:tcW w:w="750" w:type="dxa"/>
            <w:vAlign w:val="center"/>
          </w:tcPr>
          <w:p w14:paraId="0FFF5E82" w14:textId="77777777" w:rsidR="004642E1" w:rsidRPr="00B1522E" w:rsidRDefault="004642E1" w:rsidP="003B6735">
            <w:pPr>
              <w:tabs>
                <w:tab w:val="decimal" w:pos="232"/>
              </w:tabs>
              <w:jc w:val="center"/>
            </w:pPr>
          </w:p>
        </w:tc>
        <w:tc>
          <w:tcPr>
            <w:tcW w:w="709" w:type="dxa"/>
            <w:vAlign w:val="center"/>
          </w:tcPr>
          <w:p w14:paraId="52D964F6" w14:textId="77777777" w:rsidR="004642E1" w:rsidRPr="00B1522E" w:rsidRDefault="004642E1" w:rsidP="003B6735">
            <w:pPr>
              <w:jc w:val="center"/>
            </w:pPr>
          </w:p>
        </w:tc>
      </w:tr>
      <w:tr w:rsidR="00E77769" w:rsidRPr="00B1522E" w14:paraId="0A9426D0" w14:textId="77777777" w:rsidTr="003B6735">
        <w:tc>
          <w:tcPr>
            <w:tcW w:w="3261" w:type="dxa"/>
          </w:tcPr>
          <w:p w14:paraId="05FCB47B" w14:textId="77777777" w:rsidR="004642E1" w:rsidRPr="00B1522E" w:rsidRDefault="004642E1" w:rsidP="00326180">
            <w:pPr>
              <w:ind w:left="340" w:hanging="340"/>
              <w:rPr>
                <w:vertAlign w:val="superscript"/>
              </w:rPr>
            </w:pPr>
            <w:r w:rsidRPr="00B1522E">
              <w:t>5. Changes in misperceptions of peers’ attitude towards unhealthy snacking - Time 3</w:t>
            </w:r>
            <w:r w:rsidRPr="00B1522E">
              <w:rPr>
                <w:vertAlign w:val="superscript"/>
              </w:rPr>
              <w:t>ce</w:t>
            </w:r>
          </w:p>
        </w:tc>
        <w:tc>
          <w:tcPr>
            <w:tcW w:w="749" w:type="dxa"/>
            <w:vAlign w:val="center"/>
          </w:tcPr>
          <w:p w14:paraId="4AA47F44" w14:textId="77777777" w:rsidR="004642E1" w:rsidRPr="00B1522E" w:rsidRDefault="004642E1" w:rsidP="003B6735">
            <w:pPr>
              <w:tabs>
                <w:tab w:val="decimal" w:pos="38"/>
              </w:tabs>
            </w:pPr>
            <w:r w:rsidRPr="00B1522E">
              <w:t>-.00</w:t>
            </w:r>
          </w:p>
        </w:tc>
        <w:tc>
          <w:tcPr>
            <w:tcW w:w="749" w:type="dxa"/>
            <w:vAlign w:val="center"/>
          </w:tcPr>
          <w:p w14:paraId="23B33077" w14:textId="28797749" w:rsidR="004642E1" w:rsidRPr="00B1522E" w:rsidRDefault="004642E1" w:rsidP="003B6735">
            <w:pPr>
              <w:tabs>
                <w:tab w:val="decimal" w:pos="0"/>
              </w:tabs>
            </w:pPr>
            <w:r w:rsidRPr="00B1522E">
              <w:t>-.1</w:t>
            </w:r>
            <w:r w:rsidR="00391C19" w:rsidRPr="00B1522E">
              <w:t>8</w:t>
            </w:r>
            <w:r w:rsidRPr="00B1522E">
              <w:t>*</w:t>
            </w:r>
          </w:p>
        </w:tc>
        <w:tc>
          <w:tcPr>
            <w:tcW w:w="749" w:type="dxa"/>
            <w:vAlign w:val="center"/>
          </w:tcPr>
          <w:p w14:paraId="2C571A20" w14:textId="77777777" w:rsidR="004642E1" w:rsidRPr="00B1522E" w:rsidRDefault="004642E1" w:rsidP="003B6735">
            <w:pPr>
              <w:tabs>
                <w:tab w:val="left" w:pos="94"/>
                <w:tab w:val="decimal" w:pos="124"/>
              </w:tabs>
              <w:jc w:val="center"/>
            </w:pPr>
            <w:r w:rsidRPr="00B1522E">
              <w:t>-.02</w:t>
            </w:r>
          </w:p>
        </w:tc>
        <w:tc>
          <w:tcPr>
            <w:tcW w:w="749" w:type="dxa"/>
            <w:vAlign w:val="center"/>
          </w:tcPr>
          <w:p w14:paraId="24920FC0" w14:textId="77777777" w:rsidR="004642E1" w:rsidRPr="00B1522E" w:rsidRDefault="004642E1" w:rsidP="003B6735">
            <w:pPr>
              <w:tabs>
                <w:tab w:val="decimal" w:pos="50"/>
              </w:tabs>
            </w:pPr>
            <w:r w:rsidRPr="00B1522E">
              <w:t>.42**</w:t>
            </w:r>
          </w:p>
        </w:tc>
        <w:tc>
          <w:tcPr>
            <w:tcW w:w="749" w:type="dxa"/>
            <w:vAlign w:val="center"/>
          </w:tcPr>
          <w:p w14:paraId="1272EF3A" w14:textId="77777777" w:rsidR="004642E1" w:rsidRPr="00B1522E" w:rsidRDefault="004642E1" w:rsidP="003B6735">
            <w:pPr>
              <w:tabs>
                <w:tab w:val="left" w:pos="209"/>
                <w:tab w:val="decimal" w:pos="313"/>
              </w:tabs>
              <w:jc w:val="center"/>
            </w:pPr>
            <w:r w:rsidRPr="00B1522E">
              <w:t>-</w:t>
            </w:r>
          </w:p>
        </w:tc>
        <w:tc>
          <w:tcPr>
            <w:tcW w:w="749" w:type="dxa"/>
            <w:vAlign w:val="center"/>
          </w:tcPr>
          <w:p w14:paraId="5E503991" w14:textId="77777777" w:rsidR="004642E1" w:rsidRPr="00B1522E" w:rsidRDefault="004642E1" w:rsidP="003B6735">
            <w:pPr>
              <w:tabs>
                <w:tab w:val="decimal" w:pos="174"/>
              </w:tabs>
              <w:jc w:val="center"/>
            </w:pPr>
          </w:p>
        </w:tc>
        <w:tc>
          <w:tcPr>
            <w:tcW w:w="750" w:type="dxa"/>
            <w:vAlign w:val="center"/>
          </w:tcPr>
          <w:p w14:paraId="46BD640A" w14:textId="77777777" w:rsidR="004642E1" w:rsidRPr="00B1522E" w:rsidRDefault="004642E1" w:rsidP="003B6735">
            <w:pPr>
              <w:tabs>
                <w:tab w:val="decimal" w:pos="232"/>
              </w:tabs>
              <w:jc w:val="center"/>
            </w:pPr>
          </w:p>
        </w:tc>
        <w:tc>
          <w:tcPr>
            <w:tcW w:w="709" w:type="dxa"/>
            <w:vAlign w:val="center"/>
          </w:tcPr>
          <w:p w14:paraId="6AB3B0D7" w14:textId="77777777" w:rsidR="004642E1" w:rsidRPr="00B1522E" w:rsidRDefault="004642E1" w:rsidP="003B6735">
            <w:pPr>
              <w:jc w:val="center"/>
            </w:pPr>
          </w:p>
        </w:tc>
      </w:tr>
      <w:tr w:rsidR="00E77769" w:rsidRPr="00B1522E" w14:paraId="7F406068" w14:textId="77777777" w:rsidTr="003B6735">
        <w:tc>
          <w:tcPr>
            <w:tcW w:w="3261" w:type="dxa"/>
          </w:tcPr>
          <w:p w14:paraId="70A1B2F4" w14:textId="77777777" w:rsidR="004642E1" w:rsidRPr="00B1522E" w:rsidRDefault="004642E1" w:rsidP="00326180">
            <w:pPr>
              <w:ind w:left="340" w:hanging="340"/>
              <w:rPr>
                <w:vertAlign w:val="superscript"/>
              </w:rPr>
            </w:pPr>
            <w:r w:rsidRPr="00B1522E">
              <w:t>6. Changes in misperceptions of peers’ attitude towards fewer unhealthy snacks - Time 2</w:t>
            </w:r>
            <w:r w:rsidRPr="00B1522E">
              <w:rPr>
                <w:vertAlign w:val="superscript"/>
              </w:rPr>
              <w:t>be</w:t>
            </w:r>
          </w:p>
        </w:tc>
        <w:tc>
          <w:tcPr>
            <w:tcW w:w="749" w:type="dxa"/>
            <w:vAlign w:val="center"/>
          </w:tcPr>
          <w:p w14:paraId="065B4017" w14:textId="77777777" w:rsidR="004642E1" w:rsidRPr="00B1522E" w:rsidRDefault="004642E1" w:rsidP="003B6735">
            <w:pPr>
              <w:tabs>
                <w:tab w:val="decimal" w:pos="38"/>
              </w:tabs>
            </w:pPr>
            <w:r w:rsidRPr="00B1522E">
              <w:t>-.03</w:t>
            </w:r>
          </w:p>
        </w:tc>
        <w:tc>
          <w:tcPr>
            <w:tcW w:w="749" w:type="dxa"/>
            <w:vAlign w:val="center"/>
          </w:tcPr>
          <w:p w14:paraId="75B67929" w14:textId="77777777" w:rsidR="004642E1" w:rsidRPr="00B1522E" w:rsidRDefault="004642E1" w:rsidP="003B6735">
            <w:pPr>
              <w:tabs>
                <w:tab w:val="decimal" w:pos="0"/>
              </w:tabs>
            </w:pPr>
            <w:r w:rsidRPr="00B1522E">
              <w:t>.11</w:t>
            </w:r>
          </w:p>
        </w:tc>
        <w:tc>
          <w:tcPr>
            <w:tcW w:w="749" w:type="dxa"/>
            <w:vAlign w:val="center"/>
          </w:tcPr>
          <w:p w14:paraId="74530CAF" w14:textId="77777777" w:rsidR="004642E1" w:rsidRPr="00B1522E" w:rsidRDefault="004642E1" w:rsidP="003B6735">
            <w:pPr>
              <w:tabs>
                <w:tab w:val="left" w:pos="94"/>
                <w:tab w:val="decimal" w:pos="124"/>
              </w:tabs>
              <w:jc w:val="center"/>
            </w:pPr>
            <w:r w:rsidRPr="00B1522E">
              <w:t>.13</w:t>
            </w:r>
          </w:p>
        </w:tc>
        <w:tc>
          <w:tcPr>
            <w:tcW w:w="749" w:type="dxa"/>
            <w:vAlign w:val="center"/>
          </w:tcPr>
          <w:p w14:paraId="311A79E8" w14:textId="77777777" w:rsidR="004642E1" w:rsidRPr="00B1522E" w:rsidRDefault="004642E1" w:rsidP="003B6735">
            <w:pPr>
              <w:tabs>
                <w:tab w:val="decimal" w:pos="50"/>
              </w:tabs>
            </w:pPr>
            <w:r w:rsidRPr="00B1522E">
              <w:t>.10</w:t>
            </w:r>
          </w:p>
        </w:tc>
        <w:tc>
          <w:tcPr>
            <w:tcW w:w="749" w:type="dxa"/>
            <w:vAlign w:val="center"/>
          </w:tcPr>
          <w:p w14:paraId="5FC37526" w14:textId="77777777" w:rsidR="004642E1" w:rsidRPr="00B1522E" w:rsidRDefault="004642E1" w:rsidP="003B6735">
            <w:pPr>
              <w:tabs>
                <w:tab w:val="left" w:pos="209"/>
                <w:tab w:val="decimal" w:pos="313"/>
              </w:tabs>
            </w:pPr>
            <w:r w:rsidRPr="00B1522E">
              <w:t>.03</w:t>
            </w:r>
          </w:p>
        </w:tc>
        <w:tc>
          <w:tcPr>
            <w:tcW w:w="749" w:type="dxa"/>
            <w:vAlign w:val="center"/>
          </w:tcPr>
          <w:p w14:paraId="687211A9" w14:textId="77777777" w:rsidR="004642E1" w:rsidRPr="00B1522E" w:rsidRDefault="004642E1" w:rsidP="003B6735">
            <w:pPr>
              <w:tabs>
                <w:tab w:val="decimal" w:pos="174"/>
              </w:tabs>
              <w:jc w:val="center"/>
            </w:pPr>
            <w:r w:rsidRPr="00B1522E">
              <w:t>-</w:t>
            </w:r>
          </w:p>
        </w:tc>
        <w:tc>
          <w:tcPr>
            <w:tcW w:w="750" w:type="dxa"/>
            <w:vAlign w:val="center"/>
          </w:tcPr>
          <w:p w14:paraId="7B1C7EF2" w14:textId="77777777" w:rsidR="004642E1" w:rsidRPr="00B1522E" w:rsidRDefault="004642E1" w:rsidP="003B6735">
            <w:pPr>
              <w:tabs>
                <w:tab w:val="decimal" w:pos="232"/>
              </w:tabs>
              <w:jc w:val="center"/>
            </w:pPr>
          </w:p>
        </w:tc>
        <w:tc>
          <w:tcPr>
            <w:tcW w:w="709" w:type="dxa"/>
            <w:vAlign w:val="center"/>
          </w:tcPr>
          <w:p w14:paraId="0F3F021A" w14:textId="77777777" w:rsidR="004642E1" w:rsidRPr="00B1522E" w:rsidRDefault="004642E1" w:rsidP="003B6735">
            <w:pPr>
              <w:jc w:val="center"/>
            </w:pPr>
          </w:p>
        </w:tc>
      </w:tr>
      <w:tr w:rsidR="00E77769" w:rsidRPr="00B1522E" w14:paraId="4DAFB256" w14:textId="77777777" w:rsidTr="003B6735">
        <w:tc>
          <w:tcPr>
            <w:tcW w:w="3261" w:type="dxa"/>
          </w:tcPr>
          <w:p w14:paraId="63BF6220" w14:textId="77777777" w:rsidR="004642E1" w:rsidRPr="00B1522E" w:rsidRDefault="004642E1" w:rsidP="00326180">
            <w:pPr>
              <w:ind w:left="340" w:hanging="340"/>
              <w:rPr>
                <w:vertAlign w:val="superscript"/>
              </w:rPr>
            </w:pPr>
            <w:r w:rsidRPr="00B1522E">
              <w:t>7. Changes in misperceptions of peers’ attitude towards fewer unhealthy snacks - Time 3</w:t>
            </w:r>
            <w:r w:rsidRPr="00B1522E">
              <w:rPr>
                <w:vertAlign w:val="superscript"/>
              </w:rPr>
              <w:t>ce</w:t>
            </w:r>
          </w:p>
        </w:tc>
        <w:tc>
          <w:tcPr>
            <w:tcW w:w="749" w:type="dxa"/>
            <w:vAlign w:val="center"/>
          </w:tcPr>
          <w:p w14:paraId="402458A4" w14:textId="77777777" w:rsidR="004642E1" w:rsidRPr="00B1522E" w:rsidRDefault="004642E1" w:rsidP="003B6735">
            <w:pPr>
              <w:tabs>
                <w:tab w:val="decimal" w:pos="38"/>
              </w:tabs>
            </w:pPr>
            <w:r w:rsidRPr="00B1522E">
              <w:t>-.03</w:t>
            </w:r>
          </w:p>
        </w:tc>
        <w:tc>
          <w:tcPr>
            <w:tcW w:w="749" w:type="dxa"/>
            <w:vAlign w:val="center"/>
          </w:tcPr>
          <w:p w14:paraId="4D695E73" w14:textId="77777777" w:rsidR="004642E1" w:rsidRPr="00B1522E" w:rsidRDefault="004642E1" w:rsidP="003B6735">
            <w:pPr>
              <w:tabs>
                <w:tab w:val="decimal" w:pos="0"/>
              </w:tabs>
            </w:pPr>
            <w:r w:rsidRPr="00B1522E">
              <w:t>.08</w:t>
            </w:r>
          </w:p>
        </w:tc>
        <w:tc>
          <w:tcPr>
            <w:tcW w:w="749" w:type="dxa"/>
            <w:vAlign w:val="center"/>
          </w:tcPr>
          <w:p w14:paraId="5E593792" w14:textId="77777777" w:rsidR="004642E1" w:rsidRPr="00B1522E" w:rsidRDefault="004642E1" w:rsidP="003B6735">
            <w:pPr>
              <w:tabs>
                <w:tab w:val="left" w:pos="94"/>
                <w:tab w:val="decimal" w:pos="124"/>
              </w:tabs>
              <w:jc w:val="center"/>
            </w:pPr>
            <w:r w:rsidRPr="00B1522E">
              <w:t>.16*</w:t>
            </w:r>
          </w:p>
        </w:tc>
        <w:tc>
          <w:tcPr>
            <w:tcW w:w="749" w:type="dxa"/>
            <w:vAlign w:val="center"/>
          </w:tcPr>
          <w:p w14:paraId="1FB5B50E" w14:textId="77777777" w:rsidR="004642E1" w:rsidRPr="00B1522E" w:rsidRDefault="004642E1" w:rsidP="003B6735">
            <w:pPr>
              <w:tabs>
                <w:tab w:val="decimal" w:pos="50"/>
              </w:tabs>
            </w:pPr>
            <w:r w:rsidRPr="00B1522E">
              <w:t>.03</w:t>
            </w:r>
          </w:p>
        </w:tc>
        <w:tc>
          <w:tcPr>
            <w:tcW w:w="749" w:type="dxa"/>
            <w:vAlign w:val="center"/>
          </w:tcPr>
          <w:p w14:paraId="18EFABD6" w14:textId="77777777" w:rsidR="004642E1" w:rsidRPr="00B1522E" w:rsidRDefault="004642E1" w:rsidP="003B6735">
            <w:pPr>
              <w:tabs>
                <w:tab w:val="left" w:pos="209"/>
                <w:tab w:val="decimal" w:pos="313"/>
              </w:tabs>
            </w:pPr>
            <w:r w:rsidRPr="00B1522E">
              <w:t>.13</w:t>
            </w:r>
          </w:p>
        </w:tc>
        <w:tc>
          <w:tcPr>
            <w:tcW w:w="749" w:type="dxa"/>
            <w:vAlign w:val="center"/>
          </w:tcPr>
          <w:p w14:paraId="3D9FEABD" w14:textId="77777777" w:rsidR="004642E1" w:rsidRPr="00B1522E" w:rsidRDefault="004642E1" w:rsidP="003B6735">
            <w:pPr>
              <w:tabs>
                <w:tab w:val="decimal" w:pos="174"/>
              </w:tabs>
              <w:jc w:val="center"/>
            </w:pPr>
            <w:r w:rsidRPr="00B1522E">
              <w:t>.36**</w:t>
            </w:r>
          </w:p>
        </w:tc>
        <w:tc>
          <w:tcPr>
            <w:tcW w:w="750" w:type="dxa"/>
            <w:vAlign w:val="center"/>
          </w:tcPr>
          <w:p w14:paraId="3AFD1EC4" w14:textId="77777777" w:rsidR="004642E1" w:rsidRPr="00B1522E" w:rsidRDefault="004642E1" w:rsidP="003B6735">
            <w:pPr>
              <w:tabs>
                <w:tab w:val="decimal" w:pos="232"/>
              </w:tabs>
              <w:jc w:val="center"/>
            </w:pPr>
            <w:r w:rsidRPr="00B1522E">
              <w:t>-</w:t>
            </w:r>
          </w:p>
        </w:tc>
        <w:tc>
          <w:tcPr>
            <w:tcW w:w="709" w:type="dxa"/>
            <w:vAlign w:val="center"/>
          </w:tcPr>
          <w:p w14:paraId="1B921155" w14:textId="77777777" w:rsidR="004642E1" w:rsidRPr="00B1522E" w:rsidRDefault="004642E1" w:rsidP="003B6735">
            <w:pPr>
              <w:jc w:val="center"/>
            </w:pPr>
          </w:p>
        </w:tc>
      </w:tr>
      <w:tr w:rsidR="00E77769" w:rsidRPr="00B1522E" w14:paraId="4A85E015" w14:textId="77777777" w:rsidTr="003B6735">
        <w:tc>
          <w:tcPr>
            <w:tcW w:w="3261" w:type="dxa"/>
            <w:tcBorders>
              <w:bottom w:val="single" w:sz="4" w:space="0" w:color="auto"/>
            </w:tcBorders>
          </w:tcPr>
          <w:p w14:paraId="68595984" w14:textId="77777777" w:rsidR="004642E1" w:rsidRPr="00B1522E" w:rsidRDefault="004642E1" w:rsidP="00326180">
            <w:pPr>
              <w:ind w:left="340" w:hanging="340"/>
              <w:rPr>
                <w:vertAlign w:val="superscript"/>
              </w:rPr>
            </w:pPr>
            <w:r w:rsidRPr="00B1522E">
              <w:t>8. Changes in personal attitude towards unhealthy snacking - Time 3</w:t>
            </w:r>
            <w:r w:rsidRPr="00B1522E">
              <w:rPr>
                <w:vertAlign w:val="superscript"/>
              </w:rPr>
              <w:t>c</w:t>
            </w:r>
          </w:p>
        </w:tc>
        <w:tc>
          <w:tcPr>
            <w:tcW w:w="749" w:type="dxa"/>
            <w:tcBorders>
              <w:bottom w:val="single" w:sz="4" w:space="0" w:color="auto"/>
            </w:tcBorders>
            <w:vAlign w:val="center"/>
          </w:tcPr>
          <w:p w14:paraId="46CC19B5" w14:textId="77777777" w:rsidR="004642E1" w:rsidRPr="00B1522E" w:rsidRDefault="004642E1" w:rsidP="003B6735">
            <w:pPr>
              <w:tabs>
                <w:tab w:val="decimal" w:pos="38"/>
              </w:tabs>
            </w:pPr>
            <w:r w:rsidRPr="00B1522E">
              <w:t>.22**</w:t>
            </w:r>
          </w:p>
        </w:tc>
        <w:tc>
          <w:tcPr>
            <w:tcW w:w="749" w:type="dxa"/>
            <w:tcBorders>
              <w:bottom w:val="single" w:sz="4" w:space="0" w:color="auto"/>
            </w:tcBorders>
            <w:vAlign w:val="center"/>
          </w:tcPr>
          <w:p w14:paraId="1F031F28" w14:textId="77777777" w:rsidR="004642E1" w:rsidRPr="00B1522E" w:rsidRDefault="004642E1" w:rsidP="003B6735">
            <w:pPr>
              <w:tabs>
                <w:tab w:val="decimal" w:pos="0"/>
              </w:tabs>
            </w:pPr>
            <w:r w:rsidRPr="00B1522E">
              <w:t>.04</w:t>
            </w:r>
          </w:p>
        </w:tc>
        <w:tc>
          <w:tcPr>
            <w:tcW w:w="749" w:type="dxa"/>
            <w:tcBorders>
              <w:bottom w:val="single" w:sz="4" w:space="0" w:color="auto"/>
            </w:tcBorders>
            <w:vAlign w:val="center"/>
          </w:tcPr>
          <w:p w14:paraId="55CEF24F" w14:textId="77777777" w:rsidR="004642E1" w:rsidRPr="00B1522E" w:rsidRDefault="004642E1" w:rsidP="003B6735">
            <w:pPr>
              <w:tabs>
                <w:tab w:val="left" w:pos="94"/>
                <w:tab w:val="decimal" w:pos="124"/>
              </w:tabs>
              <w:jc w:val="center"/>
            </w:pPr>
            <w:r w:rsidRPr="00B1522E">
              <w:t>.07</w:t>
            </w:r>
          </w:p>
        </w:tc>
        <w:tc>
          <w:tcPr>
            <w:tcW w:w="749" w:type="dxa"/>
            <w:tcBorders>
              <w:bottom w:val="single" w:sz="4" w:space="0" w:color="auto"/>
            </w:tcBorders>
            <w:vAlign w:val="center"/>
          </w:tcPr>
          <w:p w14:paraId="7F32A40D" w14:textId="77777777" w:rsidR="004642E1" w:rsidRPr="00B1522E" w:rsidRDefault="004642E1" w:rsidP="003B6735">
            <w:pPr>
              <w:tabs>
                <w:tab w:val="decimal" w:pos="50"/>
              </w:tabs>
            </w:pPr>
            <w:r w:rsidRPr="00B1522E">
              <w:t>.28**</w:t>
            </w:r>
          </w:p>
        </w:tc>
        <w:tc>
          <w:tcPr>
            <w:tcW w:w="749" w:type="dxa"/>
            <w:tcBorders>
              <w:bottom w:val="single" w:sz="4" w:space="0" w:color="auto"/>
            </w:tcBorders>
            <w:vAlign w:val="center"/>
          </w:tcPr>
          <w:p w14:paraId="54CC8161" w14:textId="77777777" w:rsidR="004642E1" w:rsidRPr="00B1522E" w:rsidRDefault="004642E1" w:rsidP="003B6735">
            <w:pPr>
              <w:tabs>
                <w:tab w:val="left" w:pos="209"/>
                <w:tab w:val="decimal" w:pos="313"/>
              </w:tabs>
            </w:pPr>
            <w:r w:rsidRPr="00B1522E">
              <w:t>.31**</w:t>
            </w:r>
          </w:p>
        </w:tc>
        <w:tc>
          <w:tcPr>
            <w:tcW w:w="749" w:type="dxa"/>
            <w:tcBorders>
              <w:bottom w:val="single" w:sz="4" w:space="0" w:color="auto"/>
            </w:tcBorders>
            <w:vAlign w:val="center"/>
          </w:tcPr>
          <w:p w14:paraId="448C4D6A" w14:textId="77777777" w:rsidR="004642E1" w:rsidRPr="00B1522E" w:rsidRDefault="004642E1" w:rsidP="003B6735">
            <w:pPr>
              <w:tabs>
                <w:tab w:val="decimal" w:pos="174"/>
              </w:tabs>
              <w:jc w:val="center"/>
            </w:pPr>
            <w:r w:rsidRPr="00B1522E">
              <w:t>.19**</w:t>
            </w:r>
          </w:p>
        </w:tc>
        <w:tc>
          <w:tcPr>
            <w:tcW w:w="750" w:type="dxa"/>
            <w:tcBorders>
              <w:bottom w:val="single" w:sz="4" w:space="0" w:color="auto"/>
            </w:tcBorders>
            <w:vAlign w:val="center"/>
          </w:tcPr>
          <w:p w14:paraId="5582B9EB" w14:textId="77777777" w:rsidR="004642E1" w:rsidRPr="00B1522E" w:rsidRDefault="004642E1" w:rsidP="003B6735">
            <w:pPr>
              <w:tabs>
                <w:tab w:val="decimal" w:pos="232"/>
              </w:tabs>
              <w:jc w:val="center"/>
            </w:pPr>
            <w:r w:rsidRPr="00B1522E">
              <w:t>.15*</w:t>
            </w:r>
          </w:p>
        </w:tc>
        <w:tc>
          <w:tcPr>
            <w:tcW w:w="709" w:type="dxa"/>
            <w:tcBorders>
              <w:bottom w:val="single" w:sz="4" w:space="0" w:color="auto"/>
            </w:tcBorders>
            <w:vAlign w:val="center"/>
          </w:tcPr>
          <w:p w14:paraId="1323411E" w14:textId="77777777" w:rsidR="004642E1" w:rsidRPr="00B1522E" w:rsidRDefault="004642E1" w:rsidP="003B6735">
            <w:pPr>
              <w:jc w:val="center"/>
            </w:pPr>
            <w:r w:rsidRPr="00B1522E">
              <w:t>-</w:t>
            </w:r>
          </w:p>
        </w:tc>
      </w:tr>
    </w:tbl>
    <w:p w14:paraId="0CF26AB6" w14:textId="77777777" w:rsidR="004642E1" w:rsidRPr="00B1522E" w:rsidRDefault="004642E1" w:rsidP="00E212F0">
      <w:pPr>
        <w:spacing w:line="240" w:lineRule="auto"/>
        <w:rPr>
          <w:rFonts w:cstheme="minorHAnsi"/>
        </w:rPr>
      </w:pPr>
      <w:r w:rsidRPr="00B1522E">
        <w:rPr>
          <w:rFonts w:cstheme="minorHAnsi"/>
          <w:vertAlign w:val="superscript"/>
        </w:rPr>
        <w:t xml:space="preserve">a </w:t>
      </w:r>
      <w:r w:rsidRPr="00B1522E">
        <w:rPr>
          <w:rFonts w:cstheme="minorHAnsi"/>
        </w:rPr>
        <w:t>Dummy coded (SNA intervention = 1, Control = 2)</w:t>
      </w:r>
    </w:p>
    <w:p w14:paraId="4AF47CDE" w14:textId="77777777" w:rsidR="004642E1" w:rsidRPr="00B1522E" w:rsidRDefault="004642E1" w:rsidP="00E212F0">
      <w:pPr>
        <w:spacing w:line="240" w:lineRule="auto"/>
        <w:rPr>
          <w:rFonts w:cstheme="minorHAnsi"/>
        </w:rPr>
      </w:pPr>
      <w:r w:rsidRPr="00B1522E">
        <w:rPr>
          <w:rFonts w:cstheme="minorHAnsi"/>
          <w:vertAlign w:val="superscript"/>
        </w:rPr>
        <w:t xml:space="preserve">b </w:t>
      </w:r>
      <w:r w:rsidRPr="00B1522E">
        <w:rPr>
          <w:rFonts w:cstheme="minorHAnsi"/>
        </w:rPr>
        <w:t>Change scores were calculated by subtracting the outcome variable at baseline (Time 1) from the same outcome variable post-intervention (Time 2) (Time 2 – Time 1).</w:t>
      </w:r>
    </w:p>
    <w:p w14:paraId="206725B2" w14:textId="77777777" w:rsidR="004642E1" w:rsidRPr="00B1522E" w:rsidRDefault="004642E1" w:rsidP="00E212F0">
      <w:pPr>
        <w:spacing w:line="240" w:lineRule="auto"/>
        <w:rPr>
          <w:rFonts w:cstheme="minorHAnsi"/>
        </w:rPr>
      </w:pPr>
      <w:r w:rsidRPr="00B1522E">
        <w:rPr>
          <w:rFonts w:cstheme="minorHAnsi"/>
          <w:vertAlign w:val="superscript"/>
        </w:rPr>
        <w:t xml:space="preserve">c </w:t>
      </w:r>
      <w:r w:rsidRPr="00B1522E">
        <w:rPr>
          <w:rFonts w:cstheme="minorHAnsi"/>
        </w:rPr>
        <w:t>Change scores were calculated by subtracting the outcome variable at baseline (Time 1) from the same outcome variable at 3-month follow-up (Time 3) (Time 3 – Time 1).</w:t>
      </w:r>
    </w:p>
    <w:p w14:paraId="301DD75C" w14:textId="77777777" w:rsidR="004642E1" w:rsidRPr="00B1522E" w:rsidRDefault="004642E1" w:rsidP="00E212F0">
      <w:pPr>
        <w:spacing w:line="240" w:lineRule="auto"/>
        <w:rPr>
          <w:rFonts w:cstheme="minorHAnsi"/>
          <w:b/>
          <w:bCs/>
        </w:rPr>
      </w:pPr>
      <w:r w:rsidRPr="00B1522E">
        <w:rPr>
          <w:rFonts w:cstheme="minorHAnsi"/>
          <w:vertAlign w:val="superscript"/>
        </w:rPr>
        <w:t xml:space="preserve">d </w:t>
      </w:r>
      <w:r w:rsidRPr="00B1522E">
        <w:rPr>
          <w:rFonts w:cstheme="minorHAnsi"/>
        </w:rPr>
        <w:t>Misperception scores were calculated by subtracting the median of personal unhealthy snacking behaviour of the group (school/gender specific) from students’ individual normative perception (descriptive) of peers’ behaviour.</w:t>
      </w:r>
    </w:p>
    <w:p w14:paraId="03DBB905" w14:textId="77777777" w:rsidR="004642E1" w:rsidRPr="00B1522E" w:rsidRDefault="004642E1" w:rsidP="00E212F0">
      <w:pPr>
        <w:spacing w:line="240" w:lineRule="auto"/>
        <w:rPr>
          <w:rFonts w:cstheme="minorHAnsi"/>
        </w:rPr>
      </w:pPr>
      <w:r w:rsidRPr="00B1522E">
        <w:rPr>
          <w:rFonts w:cstheme="minorHAnsi"/>
          <w:vertAlign w:val="superscript"/>
        </w:rPr>
        <w:t xml:space="preserve">e </w:t>
      </w:r>
      <w:r w:rsidRPr="00B1522E">
        <w:rPr>
          <w:rFonts w:cstheme="minorHAnsi"/>
        </w:rPr>
        <w:t>Misperception scores were calculated by subtracting the median of personal snacking attitude of the group (school/gender specific) from the students’ individual normative perception (injunctive) of peers’ snacking attitudes</w:t>
      </w:r>
    </w:p>
    <w:p w14:paraId="1F55AB11" w14:textId="77777777" w:rsidR="004642E1" w:rsidRPr="00B1522E" w:rsidRDefault="004642E1" w:rsidP="00E212F0">
      <w:pPr>
        <w:spacing w:line="240" w:lineRule="auto"/>
        <w:rPr>
          <w:rFonts w:cstheme="minorHAnsi"/>
        </w:rPr>
      </w:pPr>
      <w:r w:rsidRPr="00B1522E">
        <w:rPr>
          <w:rFonts w:cstheme="minorHAnsi"/>
          <w:vertAlign w:val="superscript"/>
        </w:rPr>
        <w:t xml:space="preserve">f </w:t>
      </w:r>
      <w:r w:rsidRPr="00B1522E">
        <w:rPr>
          <w:rFonts w:cs="Segoe UI"/>
          <w:shd w:val="clear" w:color="auto" w:fill="FFFFFF"/>
        </w:rPr>
        <w:t>Point-Biserial</w:t>
      </w:r>
      <w:r w:rsidRPr="00B1522E">
        <w:rPr>
          <w:rFonts w:cstheme="minorHAnsi"/>
        </w:rPr>
        <w:t xml:space="preserve"> correlation were conducted when investigating the association between the dichotomous and scale variables. </w:t>
      </w:r>
    </w:p>
    <w:p w14:paraId="34907222" w14:textId="77777777" w:rsidR="004642E1" w:rsidRPr="00B1522E" w:rsidRDefault="004642E1" w:rsidP="00E212F0">
      <w:pPr>
        <w:spacing w:line="240" w:lineRule="auto"/>
        <w:rPr>
          <w:rFonts w:cstheme="minorHAnsi"/>
        </w:rPr>
      </w:pPr>
      <w:r w:rsidRPr="00B1522E">
        <w:rPr>
          <w:rFonts w:cstheme="minorHAnsi"/>
        </w:rPr>
        <w:lastRenderedPageBreak/>
        <w:t>*</w:t>
      </w:r>
      <w:r w:rsidRPr="00B1522E">
        <w:rPr>
          <w:rFonts w:cstheme="minorHAnsi"/>
          <w:i/>
          <w:iCs/>
        </w:rPr>
        <w:t>p</w:t>
      </w:r>
      <w:r w:rsidRPr="00B1522E">
        <w:rPr>
          <w:rFonts w:cstheme="minorHAnsi"/>
        </w:rPr>
        <w:t xml:space="preserve"> &lt; .05, **</w:t>
      </w:r>
      <w:r w:rsidRPr="00B1522E">
        <w:rPr>
          <w:rFonts w:cstheme="minorHAnsi"/>
          <w:i/>
          <w:iCs/>
        </w:rPr>
        <w:t>p</w:t>
      </w:r>
      <w:r w:rsidRPr="00B1522E">
        <w:rPr>
          <w:rFonts w:cstheme="minorHAnsi"/>
        </w:rPr>
        <w:t xml:space="preserve"> &lt;.001</w:t>
      </w:r>
    </w:p>
    <w:p w14:paraId="24775CB8" w14:textId="77777777" w:rsidR="004642E1" w:rsidRPr="00B1522E" w:rsidRDefault="004642E1" w:rsidP="004642E1">
      <w:pPr>
        <w:rPr>
          <w:rFonts w:cstheme="minorHAnsi"/>
        </w:rPr>
      </w:pPr>
    </w:p>
    <w:bookmarkStart w:id="259" w:name="_Toc84678973"/>
    <w:p w14:paraId="6B758292" w14:textId="77777777" w:rsidR="00E212F0" w:rsidRPr="00B1522E" w:rsidRDefault="00D77329" w:rsidP="00827679">
      <w:pPr>
        <w:spacing w:line="480" w:lineRule="auto"/>
        <w:jc w:val="both"/>
        <w:rPr>
          <w:rFonts w:cstheme="minorHAnsi"/>
        </w:rPr>
      </w:pPr>
      <w:r w:rsidRPr="00B1522E">
        <w:fldChar w:fldCharType="begin"/>
      </w:r>
      <w:r w:rsidRPr="00B1522E">
        <w:instrText xml:space="preserve"> TC  "</w:instrText>
      </w:r>
      <w:bookmarkStart w:id="260" w:name="_Toc97310511"/>
      <w:r w:rsidRPr="00B1522E">
        <w:instrText xml:space="preserve">8.4.6 </w:instrText>
      </w:r>
      <w:r w:rsidR="00A527C4" w:rsidRPr="00B1522E">
        <w:rPr>
          <w:rFonts w:cstheme="minorHAnsi"/>
        </w:rPr>
        <w:instrText>Mediation analyses</w:instrText>
      </w:r>
      <w:bookmarkEnd w:id="260"/>
      <w:r w:rsidRPr="00B1522E">
        <w:instrText xml:space="preserve"> " \f x\l 3 </w:instrText>
      </w:r>
      <w:r w:rsidRPr="00B1522E">
        <w:fldChar w:fldCharType="end"/>
      </w:r>
      <w:r w:rsidR="004642E1" w:rsidRPr="00B1522E">
        <w:t xml:space="preserve">8.4.6 </w:t>
      </w:r>
      <w:bookmarkEnd w:id="259"/>
      <w:r w:rsidR="00A527C4" w:rsidRPr="00B1522E">
        <w:rPr>
          <w:rFonts w:cstheme="minorHAnsi"/>
        </w:rPr>
        <w:t xml:space="preserve">Mediation analyses </w:t>
      </w:r>
    </w:p>
    <w:p w14:paraId="71D0FB52" w14:textId="65308514" w:rsidR="00827679" w:rsidRPr="00B1522E" w:rsidRDefault="00827679" w:rsidP="00827679">
      <w:pPr>
        <w:spacing w:line="480" w:lineRule="auto"/>
        <w:jc w:val="both"/>
      </w:pPr>
      <w:r w:rsidRPr="00B1522E">
        <w:t xml:space="preserve">A series of mediation analyses were conducted to examine whether changes in students’ personal unhealthy snacking consumption, or changes in students’ personal attitudes towards unhealthy snacking, at Time 3 were mediated by changes in students’ normative misperceptions of peers’ snacking-related behaviour and attitudes (at Time 2 or Time 3). The analyses were conducted using the PROCESS macro (Hayes, 2013) using model 4 with 5000 bias-corrected bootstrapped resamples. Table </w:t>
      </w:r>
      <w:r w:rsidR="00307E6F" w:rsidRPr="00B1522E">
        <w:t>2</w:t>
      </w:r>
      <w:r w:rsidR="00D14239" w:rsidRPr="00B1522E">
        <w:t>1</w:t>
      </w:r>
      <w:r w:rsidRPr="00B1522E">
        <w:t xml:space="preserve"> presents the results of the mediation analyses for the indirect effect of condition (SNA intervention verses control) on changes in personal behaviour and attitudes via changes in normative misperceptions. The results indicate that changes in normative misperceptions of peers’ snacking-related behaviour and attitudes (at Time 2 or Time 3) did not mediate the relationship between condition and changes in personal unhealthy snacking at Time 3. </w:t>
      </w:r>
    </w:p>
    <w:p w14:paraId="50E42D49" w14:textId="77777777" w:rsidR="004642E1" w:rsidRPr="00B1522E" w:rsidRDefault="004642E1" w:rsidP="004642E1">
      <w:pPr>
        <w:spacing w:line="480" w:lineRule="auto"/>
        <w:jc w:val="center"/>
        <w:rPr>
          <w:rFonts w:cstheme="minorHAnsi"/>
        </w:rPr>
      </w:pPr>
    </w:p>
    <w:p w14:paraId="3A8154BB" w14:textId="77777777" w:rsidR="00E42161" w:rsidRPr="00B1522E" w:rsidRDefault="00E42161" w:rsidP="004642E1">
      <w:pPr>
        <w:rPr>
          <w:b/>
          <w:bCs/>
          <w:i/>
          <w:iCs/>
        </w:rPr>
      </w:pPr>
    </w:p>
    <w:p w14:paraId="1E67CEBA" w14:textId="77777777" w:rsidR="00E42161" w:rsidRPr="00B1522E" w:rsidRDefault="00E42161" w:rsidP="004642E1">
      <w:pPr>
        <w:rPr>
          <w:b/>
          <w:bCs/>
          <w:i/>
          <w:iCs/>
        </w:rPr>
      </w:pPr>
    </w:p>
    <w:p w14:paraId="37289582" w14:textId="77777777" w:rsidR="00E42161" w:rsidRPr="00B1522E" w:rsidRDefault="00E42161" w:rsidP="004642E1">
      <w:pPr>
        <w:rPr>
          <w:b/>
          <w:bCs/>
          <w:i/>
          <w:iCs/>
        </w:rPr>
      </w:pPr>
    </w:p>
    <w:p w14:paraId="334CF036" w14:textId="77777777" w:rsidR="00E42161" w:rsidRPr="00B1522E" w:rsidRDefault="00E42161" w:rsidP="004642E1">
      <w:pPr>
        <w:rPr>
          <w:b/>
          <w:bCs/>
          <w:i/>
          <w:iCs/>
        </w:rPr>
      </w:pPr>
    </w:p>
    <w:p w14:paraId="2E30042F" w14:textId="77777777" w:rsidR="00E42161" w:rsidRPr="00B1522E" w:rsidRDefault="00E42161" w:rsidP="004642E1">
      <w:pPr>
        <w:rPr>
          <w:b/>
          <w:bCs/>
          <w:i/>
          <w:iCs/>
        </w:rPr>
      </w:pPr>
    </w:p>
    <w:p w14:paraId="144B4453" w14:textId="77777777" w:rsidR="00E42161" w:rsidRPr="00B1522E" w:rsidRDefault="00E42161" w:rsidP="004642E1">
      <w:pPr>
        <w:rPr>
          <w:b/>
          <w:bCs/>
          <w:i/>
          <w:iCs/>
        </w:rPr>
      </w:pPr>
    </w:p>
    <w:p w14:paraId="6E17FDE1" w14:textId="77777777" w:rsidR="00E42161" w:rsidRPr="00B1522E" w:rsidRDefault="00E42161" w:rsidP="004642E1">
      <w:pPr>
        <w:rPr>
          <w:b/>
          <w:bCs/>
          <w:i/>
          <w:iCs/>
        </w:rPr>
      </w:pPr>
    </w:p>
    <w:p w14:paraId="53AFF232" w14:textId="77777777" w:rsidR="00E42161" w:rsidRPr="00B1522E" w:rsidRDefault="00E42161" w:rsidP="004642E1">
      <w:pPr>
        <w:rPr>
          <w:b/>
          <w:bCs/>
          <w:i/>
          <w:iCs/>
        </w:rPr>
      </w:pPr>
    </w:p>
    <w:p w14:paraId="21F373A5" w14:textId="77777777" w:rsidR="00E42161" w:rsidRPr="00B1522E" w:rsidRDefault="00E42161" w:rsidP="004642E1">
      <w:pPr>
        <w:rPr>
          <w:b/>
          <w:bCs/>
          <w:i/>
          <w:iCs/>
        </w:rPr>
      </w:pPr>
    </w:p>
    <w:p w14:paraId="3B36ED45" w14:textId="77777777" w:rsidR="00E42161" w:rsidRPr="00B1522E" w:rsidRDefault="00E42161" w:rsidP="004642E1">
      <w:pPr>
        <w:rPr>
          <w:b/>
          <w:bCs/>
          <w:i/>
          <w:iCs/>
        </w:rPr>
      </w:pPr>
    </w:p>
    <w:p w14:paraId="422E36F2" w14:textId="77777777" w:rsidR="00E42161" w:rsidRPr="00B1522E" w:rsidRDefault="00E42161" w:rsidP="004642E1">
      <w:pPr>
        <w:rPr>
          <w:b/>
          <w:bCs/>
          <w:i/>
          <w:iCs/>
        </w:rPr>
      </w:pPr>
    </w:p>
    <w:p w14:paraId="227EA36B" w14:textId="77777777" w:rsidR="00E42161" w:rsidRPr="00B1522E" w:rsidRDefault="00E42161" w:rsidP="004642E1">
      <w:pPr>
        <w:rPr>
          <w:b/>
          <w:bCs/>
          <w:i/>
          <w:iCs/>
        </w:rPr>
      </w:pPr>
    </w:p>
    <w:p w14:paraId="6DBDF1E3" w14:textId="77777777" w:rsidR="00E42161" w:rsidRPr="00B1522E" w:rsidRDefault="00E42161" w:rsidP="004642E1">
      <w:pPr>
        <w:rPr>
          <w:b/>
          <w:bCs/>
          <w:i/>
          <w:iCs/>
        </w:rPr>
      </w:pPr>
    </w:p>
    <w:p w14:paraId="5CAA1EB6" w14:textId="4F6EF936" w:rsidR="004642E1" w:rsidRPr="00B1522E" w:rsidRDefault="00EB4AC7" w:rsidP="004642E1">
      <w:pPr>
        <w:rPr>
          <w:rFonts w:cstheme="minorHAnsi"/>
        </w:rPr>
      </w:pPr>
      <w:r w:rsidRPr="00B1522E">
        <w:rPr>
          <w:b/>
          <w:bCs/>
          <w:i/>
          <w:iCs/>
        </w:rPr>
        <w:lastRenderedPageBreak/>
        <w:fldChar w:fldCharType="begin"/>
      </w:r>
      <w:r w:rsidRPr="00B1522E">
        <w:rPr>
          <w:b/>
          <w:bCs/>
          <w:i/>
          <w:iCs/>
        </w:rPr>
        <w:instrText xml:space="preserve"> TC  "</w:instrText>
      </w:r>
      <w:bookmarkStart w:id="261" w:name="_Toc97557144"/>
      <w:r w:rsidRPr="00B1522E">
        <w:rPr>
          <w:rFonts w:cstheme="minorHAnsi"/>
        </w:rPr>
        <w:instrText xml:space="preserve">Table </w:instrText>
      </w:r>
      <w:r w:rsidR="00E2159F" w:rsidRPr="00B1522E">
        <w:rPr>
          <w:rFonts w:cstheme="minorHAnsi"/>
        </w:rPr>
        <w:instrText>2</w:instrText>
      </w:r>
      <w:r w:rsidR="00C24220" w:rsidRPr="00B1522E">
        <w:rPr>
          <w:rFonts w:cstheme="minorHAnsi"/>
        </w:rPr>
        <w:instrText>1</w:instrText>
      </w:r>
      <w:r w:rsidRPr="00B1522E">
        <w:rPr>
          <w:rFonts w:cstheme="minorHAnsi"/>
        </w:rPr>
        <w:instrText xml:space="preserve">. </w:instrText>
      </w:r>
      <w:r w:rsidRPr="00B1522E">
        <w:instrText>Mediation analyses for the indirect effect of intervention condition on changes in personal unhealthy snacking behaviour and unhealthy snacking attitudes at 3-month follow-up, via changes in normative misperceptions</w:instrText>
      </w:r>
      <w:bookmarkEnd w:id="261"/>
      <w:r w:rsidR="00F53D82" w:rsidRPr="00B1522E">
        <w:instrText>”</w:instrText>
      </w:r>
      <w:r w:rsidRPr="00B1522E">
        <w:instrText>.</w:instrText>
      </w:r>
      <w:r w:rsidRPr="00B1522E">
        <w:rPr>
          <w:b/>
          <w:bCs/>
          <w:i/>
          <w:iCs/>
        </w:rPr>
        <w:instrText xml:space="preserve">\f z\l 2 </w:instrText>
      </w:r>
      <w:r w:rsidRPr="00B1522E">
        <w:rPr>
          <w:b/>
          <w:bCs/>
          <w:i/>
          <w:iCs/>
        </w:rPr>
        <w:fldChar w:fldCharType="end"/>
      </w:r>
      <w:r w:rsidR="004642E1" w:rsidRPr="00B1522E">
        <w:rPr>
          <w:rFonts w:cstheme="minorHAnsi"/>
        </w:rPr>
        <w:t xml:space="preserve">Table </w:t>
      </w:r>
      <w:r w:rsidR="00E2159F" w:rsidRPr="00B1522E">
        <w:rPr>
          <w:rFonts w:cstheme="minorHAnsi"/>
        </w:rPr>
        <w:t>2</w:t>
      </w:r>
      <w:r w:rsidR="00C24220" w:rsidRPr="00B1522E">
        <w:rPr>
          <w:rFonts w:cstheme="minorHAnsi"/>
        </w:rPr>
        <w:t>1</w:t>
      </w:r>
      <w:r w:rsidR="004642E1" w:rsidRPr="00B1522E">
        <w:rPr>
          <w:rFonts w:cstheme="minorHAnsi"/>
        </w:rPr>
        <w:t xml:space="preserve">. </w:t>
      </w:r>
      <w:r w:rsidR="004642E1" w:rsidRPr="00B1522E">
        <w:t>Mediation analyses for the indirect effect of condition on changes in personal unhealthy snacking behaviour and unhealthy snacking attitudes at 3-month follow-up, via changes in normative misperceptions.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1273"/>
        <w:gridCol w:w="886"/>
        <w:gridCol w:w="868"/>
        <w:gridCol w:w="1268"/>
        <w:gridCol w:w="848"/>
        <w:gridCol w:w="797"/>
      </w:tblGrid>
      <w:tr w:rsidR="00E77769" w:rsidRPr="00B1522E" w14:paraId="180D89F9" w14:textId="77777777" w:rsidTr="00DD38D3">
        <w:trPr>
          <w:trHeight w:val="763"/>
        </w:trPr>
        <w:tc>
          <w:tcPr>
            <w:tcW w:w="3086" w:type="dxa"/>
            <w:tcBorders>
              <w:top w:val="single" w:sz="4" w:space="0" w:color="auto"/>
            </w:tcBorders>
          </w:tcPr>
          <w:p w14:paraId="36EB506B" w14:textId="77777777" w:rsidR="000C3FD3" w:rsidRPr="00B1522E" w:rsidRDefault="000C3FD3" w:rsidP="000C3FD3">
            <w:pPr>
              <w:rPr>
                <w:rFonts w:eastAsia="MS Mincho" w:cstheme="minorHAnsi"/>
              </w:rPr>
            </w:pPr>
            <w:bookmarkStart w:id="262" w:name="_Hlk85716456"/>
          </w:p>
        </w:tc>
        <w:tc>
          <w:tcPr>
            <w:tcW w:w="3027" w:type="dxa"/>
            <w:gridSpan w:val="3"/>
            <w:tcBorders>
              <w:top w:val="single" w:sz="4" w:space="0" w:color="auto"/>
              <w:bottom w:val="single" w:sz="4" w:space="0" w:color="auto"/>
            </w:tcBorders>
          </w:tcPr>
          <w:p w14:paraId="7C78D8A2" w14:textId="77777777" w:rsidR="000C3FD3" w:rsidRPr="00B1522E" w:rsidRDefault="000C3FD3" w:rsidP="000C3FD3">
            <w:pPr>
              <w:jc w:val="center"/>
              <w:rPr>
                <w:rFonts w:eastAsia="MS Mincho" w:cstheme="minorHAnsi"/>
              </w:rPr>
            </w:pPr>
            <w:r w:rsidRPr="00B1522E">
              <w:rPr>
                <w:rFonts w:eastAsia="MS Mincho" w:cstheme="minorHAnsi"/>
              </w:rPr>
              <w:t>Changes in personal unhealthy snacking at Time 3</w:t>
            </w:r>
            <w:r w:rsidRPr="00B1522E">
              <w:rPr>
                <w:rFonts w:eastAsia="MS Mincho" w:cstheme="minorHAnsi"/>
                <w:vertAlign w:val="superscript"/>
              </w:rPr>
              <w:t>d</w:t>
            </w:r>
          </w:p>
        </w:tc>
        <w:tc>
          <w:tcPr>
            <w:tcW w:w="2913" w:type="dxa"/>
            <w:gridSpan w:val="3"/>
            <w:tcBorders>
              <w:top w:val="single" w:sz="4" w:space="0" w:color="auto"/>
              <w:bottom w:val="single" w:sz="4" w:space="0" w:color="auto"/>
            </w:tcBorders>
          </w:tcPr>
          <w:p w14:paraId="431BAECB" w14:textId="77777777" w:rsidR="000C3FD3" w:rsidRPr="00B1522E" w:rsidRDefault="000C3FD3" w:rsidP="000C3FD3">
            <w:pPr>
              <w:jc w:val="center"/>
              <w:rPr>
                <w:rFonts w:eastAsia="MS Mincho" w:cstheme="minorHAnsi"/>
                <w:vertAlign w:val="superscript"/>
              </w:rPr>
            </w:pPr>
            <w:r w:rsidRPr="00B1522E">
              <w:rPr>
                <w:rFonts w:eastAsia="MS Mincho" w:cstheme="minorHAnsi"/>
              </w:rPr>
              <w:t>Changes in personal attitude towards unhealthy snacking at Time 3</w:t>
            </w:r>
            <w:r w:rsidRPr="00B1522E">
              <w:rPr>
                <w:rFonts w:eastAsia="MS Mincho" w:cstheme="minorHAnsi"/>
                <w:vertAlign w:val="superscript"/>
              </w:rPr>
              <w:t>d</w:t>
            </w:r>
          </w:p>
        </w:tc>
      </w:tr>
      <w:bookmarkEnd w:id="262"/>
      <w:tr w:rsidR="00E77769" w:rsidRPr="00B1522E" w14:paraId="060C17B4" w14:textId="77777777" w:rsidTr="00DD38D3">
        <w:trPr>
          <w:trHeight w:val="259"/>
        </w:trPr>
        <w:tc>
          <w:tcPr>
            <w:tcW w:w="3086" w:type="dxa"/>
          </w:tcPr>
          <w:p w14:paraId="5A72E255" w14:textId="77777777" w:rsidR="000C3FD3" w:rsidRPr="00B1522E" w:rsidRDefault="000C3FD3" w:rsidP="000C3FD3">
            <w:pPr>
              <w:rPr>
                <w:rFonts w:eastAsia="MS Mincho" w:cstheme="minorHAnsi"/>
              </w:rPr>
            </w:pPr>
          </w:p>
        </w:tc>
        <w:tc>
          <w:tcPr>
            <w:tcW w:w="1273" w:type="dxa"/>
            <w:tcBorders>
              <w:top w:val="single" w:sz="4" w:space="0" w:color="auto"/>
            </w:tcBorders>
          </w:tcPr>
          <w:p w14:paraId="0461BEA9" w14:textId="77777777" w:rsidR="000C3FD3" w:rsidRPr="00B1522E" w:rsidRDefault="000C3FD3" w:rsidP="000C3FD3">
            <w:pPr>
              <w:rPr>
                <w:rFonts w:eastAsia="MS Mincho" w:cstheme="minorHAnsi"/>
              </w:rPr>
            </w:pPr>
          </w:p>
        </w:tc>
        <w:tc>
          <w:tcPr>
            <w:tcW w:w="1754" w:type="dxa"/>
            <w:gridSpan w:val="2"/>
            <w:tcBorders>
              <w:top w:val="single" w:sz="4" w:space="0" w:color="auto"/>
              <w:bottom w:val="single" w:sz="4" w:space="0" w:color="auto"/>
            </w:tcBorders>
            <w:vAlign w:val="center"/>
          </w:tcPr>
          <w:p w14:paraId="34DBFC76" w14:textId="77777777" w:rsidR="000C3FD3" w:rsidRPr="00B1522E" w:rsidRDefault="000C3FD3" w:rsidP="000C3FD3">
            <w:pPr>
              <w:ind w:left="-244" w:firstLine="244"/>
              <w:jc w:val="center"/>
              <w:rPr>
                <w:rFonts w:eastAsia="MS Mincho" w:cstheme="minorHAnsi"/>
                <w:vertAlign w:val="subscript"/>
              </w:rPr>
            </w:pPr>
            <w:r w:rsidRPr="00B1522E">
              <w:rPr>
                <w:rFonts w:eastAsia="MS Mincho" w:cstheme="minorHAnsi"/>
              </w:rPr>
              <w:t>95% CI*</w:t>
            </w:r>
            <w:r w:rsidRPr="00B1522E">
              <w:rPr>
                <w:rFonts w:eastAsia="MS Mincho" w:cstheme="minorHAnsi"/>
                <w:vertAlign w:val="subscript"/>
              </w:rPr>
              <w:t>e</w:t>
            </w:r>
          </w:p>
        </w:tc>
        <w:tc>
          <w:tcPr>
            <w:tcW w:w="1268" w:type="dxa"/>
            <w:tcBorders>
              <w:top w:val="single" w:sz="4" w:space="0" w:color="auto"/>
            </w:tcBorders>
          </w:tcPr>
          <w:p w14:paraId="76711501" w14:textId="77777777" w:rsidR="000C3FD3" w:rsidRPr="00B1522E" w:rsidRDefault="000C3FD3" w:rsidP="000C3FD3">
            <w:pPr>
              <w:rPr>
                <w:rFonts w:eastAsia="MS Mincho" w:cstheme="minorHAnsi"/>
              </w:rPr>
            </w:pPr>
          </w:p>
        </w:tc>
        <w:tc>
          <w:tcPr>
            <w:tcW w:w="1645" w:type="dxa"/>
            <w:gridSpan w:val="2"/>
            <w:tcBorders>
              <w:top w:val="single" w:sz="4" w:space="0" w:color="auto"/>
              <w:bottom w:val="single" w:sz="4" w:space="0" w:color="auto"/>
            </w:tcBorders>
          </w:tcPr>
          <w:p w14:paraId="6B3FB4E8" w14:textId="77777777" w:rsidR="000C3FD3" w:rsidRPr="00B1522E" w:rsidRDefault="000C3FD3" w:rsidP="000C3FD3">
            <w:pPr>
              <w:jc w:val="center"/>
              <w:rPr>
                <w:rFonts w:eastAsia="MS Mincho" w:cstheme="minorHAnsi"/>
                <w:vertAlign w:val="subscript"/>
              </w:rPr>
            </w:pPr>
            <w:r w:rsidRPr="00B1522E">
              <w:rPr>
                <w:rFonts w:eastAsia="MS Mincho" w:cstheme="minorHAnsi"/>
              </w:rPr>
              <w:t>95% CI*</w:t>
            </w:r>
            <w:r w:rsidRPr="00B1522E">
              <w:rPr>
                <w:rFonts w:eastAsia="MS Mincho" w:cstheme="minorHAnsi"/>
                <w:vertAlign w:val="subscript"/>
              </w:rPr>
              <w:t>e</w:t>
            </w:r>
          </w:p>
        </w:tc>
      </w:tr>
      <w:tr w:rsidR="00E77769" w:rsidRPr="00B1522E" w14:paraId="0EBB749F" w14:textId="77777777" w:rsidTr="00DD38D3">
        <w:trPr>
          <w:trHeight w:val="259"/>
        </w:trPr>
        <w:tc>
          <w:tcPr>
            <w:tcW w:w="3086" w:type="dxa"/>
            <w:tcBorders>
              <w:bottom w:val="single" w:sz="4" w:space="0" w:color="auto"/>
            </w:tcBorders>
          </w:tcPr>
          <w:p w14:paraId="18F60BC4" w14:textId="77777777" w:rsidR="000C3FD3" w:rsidRPr="00B1522E" w:rsidRDefault="000C3FD3" w:rsidP="000C3FD3">
            <w:pPr>
              <w:rPr>
                <w:rFonts w:eastAsia="MS Mincho" w:cstheme="minorHAnsi"/>
              </w:rPr>
            </w:pPr>
          </w:p>
        </w:tc>
        <w:tc>
          <w:tcPr>
            <w:tcW w:w="1273" w:type="dxa"/>
            <w:tcBorders>
              <w:bottom w:val="single" w:sz="4" w:space="0" w:color="auto"/>
            </w:tcBorders>
          </w:tcPr>
          <w:p w14:paraId="322E1A99" w14:textId="77777777" w:rsidR="000C3FD3" w:rsidRPr="00B1522E" w:rsidRDefault="000C3FD3" w:rsidP="000C3FD3">
            <w:pPr>
              <w:jc w:val="center"/>
              <w:rPr>
                <w:rFonts w:eastAsia="MS Mincho" w:cstheme="minorHAnsi"/>
              </w:rPr>
            </w:pPr>
            <w:r w:rsidRPr="00B1522E">
              <w:rPr>
                <w:rFonts w:eastAsia="MS Mincho" w:cstheme="minorHAnsi"/>
              </w:rPr>
              <w:t>Effect (SE)</w:t>
            </w:r>
          </w:p>
        </w:tc>
        <w:tc>
          <w:tcPr>
            <w:tcW w:w="886" w:type="dxa"/>
            <w:tcBorders>
              <w:bottom w:val="single" w:sz="4" w:space="0" w:color="auto"/>
            </w:tcBorders>
          </w:tcPr>
          <w:p w14:paraId="2DBF227F" w14:textId="77777777" w:rsidR="000C3FD3" w:rsidRPr="00B1522E" w:rsidRDefault="000C3FD3" w:rsidP="000C3FD3">
            <w:pPr>
              <w:jc w:val="center"/>
              <w:rPr>
                <w:rFonts w:eastAsia="MS Mincho" w:cstheme="minorHAnsi"/>
              </w:rPr>
            </w:pPr>
            <w:r w:rsidRPr="00B1522E">
              <w:rPr>
                <w:rFonts w:eastAsia="MS Mincho" w:cstheme="minorHAnsi"/>
              </w:rPr>
              <w:t>Boot-LL</w:t>
            </w:r>
          </w:p>
        </w:tc>
        <w:tc>
          <w:tcPr>
            <w:tcW w:w="868" w:type="dxa"/>
            <w:tcBorders>
              <w:bottom w:val="single" w:sz="4" w:space="0" w:color="auto"/>
            </w:tcBorders>
          </w:tcPr>
          <w:p w14:paraId="189B1D7C" w14:textId="77777777" w:rsidR="000C3FD3" w:rsidRPr="00B1522E" w:rsidRDefault="000C3FD3" w:rsidP="000C3FD3">
            <w:pPr>
              <w:jc w:val="center"/>
              <w:rPr>
                <w:rFonts w:eastAsia="MS Mincho" w:cstheme="minorHAnsi"/>
              </w:rPr>
            </w:pPr>
            <w:r w:rsidRPr="00B1522E">
              <w:rPr>
                <w:rFonts w:eastAsia="MS Mincho" w:cstheme="minorHAnsi"/>
              </w:rPr>
              <w:t>Boot-UL</w:t>
            </w:r>
          </w:p>
        </w:tc>
        <w:tc>
          <w:tcPr>
            <w:tcW w:w="1268" w:type="dxa"/>
            <w:tcBorders>
              <w:bottom w:val="single" w:sz="4" w:space="0" w:color="auto"/>
            </w:tcBorders>
          </w:tcPr>
          <w:p w14:paraId="11C6CC22" w14:textId="77777777" w:rsidR="000C3FD3" w:rsidRPr="00B1522E" w:rsidRDefault="000C3FD3" w:rsidP="000C3FD3">
            <w:pPr>
              <w:jc w:val="center"/>
              <w:rPr>
                <w:rFonts w:eastAsia="MS Mincho" w:cstheme="minorHAnsi"/>
              </w:rPr>
            </w:pPr>
            <w:r w:rsidRPr="00B1522E">
              <w:rPr>
                <w:rFonts w:eastAsia="MS Mincho" w:cstheme="minorHAnsi"/>
              </w:rPr>
              <w:t>Effect (SE)</w:t>
            </w:r>
          </w:p>
        </w:tc>
        <w:tc>
          <w:tcPr>
            <w:tcW w:w="848" w:type="dxa"/>
            <w:tcBorders>
              <w:top w:val="single" w:sz="4" w:space="0" w:color="auto"/>
              <w:bottom w:val="single" w:sz="4" w:space="0" w:color="auto"/>
            </w:tcBorders>
          </w:tcPr>
          <w:p w14:paraId="1291DCAB" w14:textId="77777777" w:rsidR="000C3FD3" w:rsidRPr="00B1522E" w:rsidRDefault="000C3FD3" w:rsidP="000C3FD3">
            <w:pPr>
              <w:jc w:val="center"/>
              <w:rPr>
                <w:rFonts w:eastAsia="MS Mincho" w:cstheme="minorHAnsi"/>
              </w:rPr>
            </w:pPr>
            <w:r w:rsidRPr="00B1522E">
              <w:rPr>
                <w:rFonts w:eastAsia="MS Mincho" w:cstheme="minorHAnsi"/>
              </w:rPr>
              <w:t>Boot-LL</w:t>
            </w:r>
          </w:p>
        </w:tc>
        <w:tc>
          <w:tcPr>
            <w:tcW w:w="797" w:type="dxa"/>
            <w:tcBorders>
              <w:top w:val="single" w:sz="4" w:space="0" w:color="auto"/>
              <w:bottom w:val="single" w:sz="4" w:space="0" w:color="auto"/>
            </w:tcBorders>
          </w:tcPr>
          <w:p w14:paraId="00CB34F6" w14:textId="77777777" w:rsidR="000C3FD3" w:rsidRPr="00B1522E" w:rsidRDefault="000C3FD3" w:rsidP="000C3FD3">
            <w:pPr>
              <w:jc w:val="center"/>
              <w:rPr>
                <w:rFonts w:eastAsia="MS Mincho" w:cstheme="minorHAnsi"/>
              </w:rPr>
            </w:pPr>
            <w:r w:rsidRPr="00B1522E">
              <w:rPr>
                <w:rFonts w:eastAsia="MS Mincho" w:cstheme="minorHAnsi"/>
              </w:rPr>
              <w:t>Boot-UL</w:t>
            </w:r>
          </w:p>
        </w:tc>
      </w:tr>
      <w:tr w:rsidR="00E77769" w:rsidRPr="00B1522E" w14:paraId="06913556" w14:textId="77777777" w:rsidTr="00DD38D3">
        <w:trPr>
          <w:trHeight w:val="259"/>
        </w:trPr>
        <w:tc>
          <w:tcPr>
            <w:tcW w:w="3086" w:type="dxa"/>
            <w:tcBorders>
              <w:top w:val="single" w:sz="4" w:space="0" w:color="auto"/>
            </w:tcBorders>
          </w:tcPr>
          <w:p w14:paraId="4875B488" w14:textId="77777777" w:rsidR="000C3FD3" w:rsidRPr="00B1522E" w:rsidRDefault="000C3FD3" w:rsidP="000C3FD3">
            <w:pPr>
              <w:rPr>
                <w:rFonts w:eastAsia="MS Mincho" w:cstheme="minorHAnsi"/>
              </w:rPr>
            </w:pPr>
            <w:r w:rsidRPr="00B1522E">
              <w:rPr>
                <w:rFonts w:eastAsia="MS Mincho" w:cstheme="minorHAnsi"/>
              </w:rPr>
              <w:t xml:space="preserve">Mediators </w:t>
            </w:r>
          </w:p>
        </w:tc>
        <w:tc>
          <w:tcPr>
            <w:tcW w:w="1273" w:type="dxa"/>
            <w:tcBorders>
              <w:top w:val="single" w:sz="4" w:space="0" w:color="auto"/>
            </w:tcBorders>
          </w:tcPr>
          <w:p w14:paraId="669B904C" w14:textId="77777777" w:rsidR="000C3FD3" w:rsidRPr="00B1522E" w:rsidRDefault="000C3FD3" w:rsidP="000C3FD3">
            <w:pPr>
              <w:rPr>
                <w:rFonts w:eastAsia="MS Mincho" w:cstheme="minorHAnsi"/>
              </w:rPr>
            </w:pPr>
          </w:p>
        </w:tc>
        <w:tc>
          <w:tcPr>
            <w:tcW w:w="886" w:type="dxa"/>
            <w:tcBorders>
              <w:top w:val="single" w:sz="4" w:space="0" w:color="auto"/>
            </w:tcBorders>
          </w:tcPr>
          <w:p w14:paraId="78FB8F52" w14:textId="77777777" w:rsidR="000C3FD3" w:rsidRPr="00B1522E" w:rsidRDefault="000C3FD3" w:rsidP="000C3FD3">
            <w:pPr>
              <w:rPr>
                <w:rFonts w:eastAsia="MS Mincho" w:cstheme="minorHAnsi"/>
              </w:rPr>
            </w:pPr>
          </w:p>
        </w:tc>
        <w:tc>
          <w:tcPr>
            <w:tcW w:w="868" w:type="dxa"/>
            <w:tcBorders>
              <w:top w:val="single" w:sz="4" w:space="0" w:color="auto"/>
            </w:tcBorders>
          </w:tcPr>
          <w:p w14:paraId="65B62337" w14:textId="77777777" w:rsidR="000C3FD3" w:rsidRPr="00B1522E" w:rsidRDefault="000C3FD3" w:rsidP="000C3FD3">
            <w:pPr>
              <w:rPr>
                <w:rFonts w:eastAsia="MS Mincho" w:cstheme="minorHAnsi"/>
              </w:rPr>
            </w:pPr>
          </w:p>
        </w:tc>
        <w:tc>
          <w:tcPr>
            <w:tcW w:w="1268" w:type="dxa"/>
            <w:tcBorders>
              <w:top w:val="single" w:sz="4" w:space="0" w:color="auto"/>
            </w:tcBorders>
          </w:tcPr>
          <w:p w14:paraId="1771DA83" w14:textId="77777777" w:rsidR="000C3FD3" w:rsidRPr="00B1522E" w:rsidRDefault="000C3FD3" w:rsidP="000C3FD3">
            <w:pPr>
              <w:rPr>
                <w:rFonts w:eastAsia="MS Mincho" w:cstheme="minorHAnsi"/>
              </w:rPr>
            </w:pPr>
          </w:p>
        </w:tc>
        <w:tc>
          <w:tcPr>
            <w:tcW w:w="848" w:type="dxa"/>
            <w:tcBorders>
              <w:top w:val="single" w:sz="4" w:space="0" w:color="auto"/>
            </w:tcBorders>
          </w:tcPr>
          <w:p w14:paraId="05D88BCA" w14:textId="77777777" w:rsidR="000C3FD3" w:rsidRPr="00B1522E" w:rsidRDefault="000C3FD3" w:rsidP="000C3FD3">
            <w:pPr>
              <w:rPr>
                <w:rFonts w:eastAsia="MS Mincho" w:cstheme="minorHAnsi"/>
              </w:rPr>
            </w:pPr>
          </w:p>
        </w:tc>
        <w:tc>
          <w:tcPr>
            <w:tcW w:w="797" w:type="dxa"/>
            <w:tcBorders>
              <w:top w:val="single" w:sz="4" w:space="0" w:color="auto"/>
            </w:tcBorders>
          </w:tcPr>
          <w:p w14:paraId="5F7780B3" w14:textId="77777777" w:rsidR="000C3FD3" w:rsidRPr="00B1522E" w:rsidRDefault="000C3FD3" w:rsidP="000C3FD3">
            <w:pPr>
              <w:rPr>
                <w:rFonts w:eastAsia="MS Mincho" w:cstheme="minorHAnsi"/>
              </w:rPr>
            </w:pPr>
          </w:p>
        </w:tc>
      </w:tr>
      <w:tr w:rsidR="00E77769" w:rsidRPr="00B1522E" w14:paraId="4962BB32" w14:textId="77777777" w:rsidTr="00DD38D3">
        <w:trPr>
          <w:trHeight w:val="251"/>
        </w:trPr>
        <w:tc>
          <w:tcPr>
            <w:tcW w:w="3086" w:type="dxa"/>
          </w:tcPr>
          <w:p w14:paraId="0BB7E3B6" w14:textId="77777777" w:rsidR="000C3FD3" w:rsidRPr="00B1522E" w:rsidRDefault="000C3FD3" w:rsidP="000C3FD3">
            <w:pPr>
              <w:rPr>
                <w:rFonts w:eastAsia="MS Mincho" w:cstheme="minorHAnsi"/>
              </w:rPr>
            </w:pPr>
          </w:p>
        </w:tc>
        <w:tc>
          <w:tcPr>
            <w:tcW w:w="1273" w:type="dxa"/>
          </w:tcPr>
          <w:p w14:paraId="28A76AD3" w14:textId="77777777" w:rsidR="000C3FD3" w:rsidRPr="00B1522E" w:rsidRDefault="000C3FD3" w:rsidP="000C3FD3">
            <w:pPr>
              <w:rPr>
                <w:rFonts w:eastAsia="MS Mincho" w:cstheme="minorHAnsi"/>
              </w:rPr>
            </w:pPr>
          </w:p>
        </w:tc>
        <w:tc>
          <w:tcPr>
            <w:tcW w:w="886" w:type="dxa"/>
          </w:tcPr>
          <w:p w14:paraId="39B9F2D9" w14:textId="77777777" w:rsidR="000C3FD3" w:rsidRPr="00B1522E" w:rsidRDefault="000C3FD3" w:rsidP="000C3FD3">
            <w:pPr>
              <w:rPr>
                <w:rFonts w:eastAsia="MS Mincho" w:cstheme="minorHAnsi"/>
              </w:rPr>
            </w:pPr>
          </w:p>
        </w:tc>
        <w:tc>
          <w:tcPr>
            <w:tcW w:w="868" w:type="dxa"/>
          </w:tcPr>
          <w:p w14:paraId="2DA652A3" w14:textId="77777777" w:rsidR="000C3FD3" w:rsidRPr="00B1522E" w:rsidRDefault="000C3FD3" w:rsidP="000C3FD3">
            <w:pPr>
              <w:rPr>
                <w:rFonts w:eastAsia="MS Mincho" w:cstheme="minorHAnsi"/>
              </w:rPr>
            </w:pPr>
          </w:p>
        </w:tc>
        <w:tc>
          <w:tcPr>
            <w:tcW w:w="1268" w:type="dxa"/>
          </w:tcPr>
          <w:p w14:paraId="60BD0EF4" w14:textId="77777777" w:rsidR="000C3FD3" w:rsidRPr="00B1522E" w:rsidRDefault="000C3FD3" w:rsidP="000C3FD3">
            <w:pPr>
              <w:rPr>
                <w:rFonts w:eastAsia="MS Mincho" w:cstheme="minorHAnsi"/>
              </w:rPr>
            </w:pPr>
          </w:p>
        </w:tc>
        <w:tc>
          <w:tcPr>
            <w:tcW w:w="848" w:type="dxa"/>
          </w:tcPr>
          <w:p w14:paraId="4FF39B61" w14:textId="77777777" w:rsidR="000C3FD3" w:rsidRPr="00B1522E" w:rsidRDefault="000C3FD3" w:rsidP="000C3FD3">
            <w:pPr>
              <w:rPr>
                <w:rFonts w:eastAsia="MS Mincho" w:cstheme="minorHAnsi"/>
              </w:rPr>
            </w:pPr>
          </w:p>
        </w:tc>
        <w:tc>
          <w:tcPr>
            <w:tcW w:w="797" w:type="dxa"/>
          </w:tcPr>
          <w:p w14:paraId="4F9CB1ED" w14:textId="77777777" w:rsidR="000C3FD3" w:rsidRPr="00B1522E" w:rsidRDefault="000C3FD3" w:rsidP="000C3FD3">
            <w:pPr>
              <w:rPr>
                <w:rFonts w:eastAsia="MS Mincho" w:cstheme="minorHAnsi"/>
              </w:rPr>
            </w:pPr>
          </w:p>
        </w:tc>
      </w:tr>
      <w:tr w:rsidR="00E77769" w:rsidRPr="00B1522E" w14:paraId="38FA623E" w14:textId="77777777" w:rsidTr="00DD38D3">
        <w:trPr>
          <w:trHeight w:val="259"/>
        </w:trPr>
        <w:tc>
          <w:tcPr>
            <w:tcW w:w="3086" w:type="dxa"/>
          </w:tcPr>
          <w:p w14:paraId="6BB44ECB" w14:textId="77777777" w:rsidR="000C3FD3" w:rsidRPr="00B1522E" w:rsidRDefault="000C3FD3" w:rsidP="00AF3DF6">
            <w:pPr>
              <w:ind w:left="340" w:hanging="340"/>
              <w:rPr>
                <w:rFonts w:eastAsia="MS Mincho" w:cstheme="minorHAnsi"/>
                <w:vertAlign w:val="superscript"/>
              </w:rPr>
            </w:pPr>
            <w:r w:rsidRPr="00B1522E">
              <w:rPr>
                <w:rFonts w:eastAsia="MS Mincho" w:cstheme="minorHAnsi"/>
              </w:rPr>
              <w:t>Changes in misperceptions</w:t>
            </w:r>
            <w:r w:rsidRPr="00B1522E">
              <w:rPr>
                <w:rFonts w:eastAsia="MS Mincho" w:cstheme="minorHAnsi"/>
                <w:vertAlign w:val="superscript"/>
              </w:rPr>
              <w:t>a</w:t>
            </w:r>
            <w:r w:rsidRPr="00B1522E">
              <w:rPr>
                <w:rFonts w:eastAsia="MS Mincho" w:cstheme="minorHAnsi"/>
              </w:rPr>
              <w:t xml:space="preserve"> of peers’ unhealthy snacking Time 2</w:t>
            </w:r>
            <w:r w:rsidRPr="00B1522E">
              <w:rPr>
                <w:rFonts w:eastAsia="MS Mincho" w:cstheme="minorHAnsi"/>
                <w:vertAlign w:val="superscript"/>
              </w:rPr>
              <w:t>c</w:t>
            </w:r>
          </w:p>
          <w:p w14:paraId="7F3FB595" w14:textId="77777777" w:rsidR="000C3FD3" w:rsidRPr="00B1522E" w:rsidRDefault="000C3FD3" w:rsidP="00AF3DF6">
            <w:pPr>
              <w:ind w:left="340" w:hanging="340"/>
              <w:rPr>
                <w:rFonts w:eastAsia="MS Mincho" w:cstheme="minorHAnsi"/>
                <w:vertAlign w:val="superscript"/>
              </w:rPr>
            </w:pPr>
          </w:p>
        </w:tc>
        <w:tc>
          <w:tcPr>
            <w:tcW w:w="1273" w:type="dxa"/>
            <w:vAlign w:val="center"/>
          </w:tcPr>
          <w:p w14:paraId="4A260E70" w14:textId="77777777" w:rsidR="000C3FD3" w:rsidRPr="00B1522E" w:rsidRDefault="000C3FD3" w:rsidP="000C3FD3">
            <w:pPr>
              <w:jc w:val="center"/>
              <w:rPr>
                <w:rFonts w:eastAsia="MS Mincho" w:cstheme="minorHAnsi"/>
              </w:rPr>
            </w:pPr>
            <w:r w:rsidRPr="00B1522E">
              <w:rPr>
                <w:rFonts w:eastAsia="MS Mincho" w:cstheme="minorHAnsi"/>
              </w:rPr>
              <w:t>.59(.66)</w:t>
            </w:r>
          </w:p>
        </w:tc>
        <w:tc>
          <w:tcPr>
            <w:tcW w:w="886" w:type="dxa"/>
            <w:vAlign w:val="center"/>
          </w:tcPr>
          <w:p w14:paraId="3104BB86" w14:textId="77777777" w:rsidR="000C3FD3" w:rsidRPr="00B1522E" w:rsidRDefault="000C3FD3" w:rsidP="000C3FD3">
            <w:pPr>
              <w:jc w:val="center"/>
              <w:rPr>
                <w:rFonts w:eastAsia="MS Mincho" w:cstheme="minorHAnsi"/>
              </w:rPr>
            </w:pPr>
            <w:r w:rsidRPr="00B1522E">
              <w:rPr>
                <w:rFonts w:eastAsia="MS Mincho" w:cstheme="minorHAnsi"/>
              </w:rPr>
              <w:t>-.37</w:t>
            </w:r>
          </w:p>
        </w:tc>
        <w:tc>
          <w:tcPr>
            <w:tcW w:w="868" w:type="dxa"/>
            <w:vAlign w:val="center"/>
          </w:tcPr>
          <w:p w14:paraId="1D9ADF8B" w14:textId="77777777" w:rsidR="000C3FD3" w:rsidRPr="00B1522E" w:rsidRDefault="000C3FD3" w:rsidP="000C3FD3">
            <w:pPr>
              <w:jc w:val="center"/>
              <w:rPr>
                <w:rFonts w:eastAsia="MS Mincho" w:cstheme="minorHAnsi"/>
              </w:rPr>
            </w:pPr>
            <w:r w:rsidRPr="00B1522E">
              <w:rPr>
                <w:rFonts w:eastAsia="MS Mincho" w:cstheme="minorHAnsi"/>
              </w:rPr>
              <w:t>2.25</w:t>
            </w:r>
          </w:p>
        </w:tc>
        <w:tc>
          <w:tcPr>
            <w:tcW w:w="1268" w:type="dxa"/>
            <w:vAlign w:val="center"/>
          </w:tcPr>
          <w:p w14:paraId="597EA57F" w14:textId="77777777" w:rsidR="000C3FD3" w:rsidRPr="00B1522E" w:rsidRDefault="000C3FD3" w:rsidP="000C3FD3">
            <w:pPr>
              <w:jc w:val="center"/>
              <w:rPr>
                <w:rFonts w:eastAsia="MS Mincho" w:cstheme="minorHAnsi"/>
              </w:rPr>
            </w:pPr>
            <w:r w:rsidRPr="00B1522E">
              <w:rPr>
                <w:rFonts w:eastAsia="MS Mincho" w:cstheme="minorHAnsi"/>
              </w:rPr>
              <w:t>.01(.02)</w:t>
            </w:r>
          </w:p>
        </w:tc>
        <w:tc>
          <w:tcPr>
            <w:tcW w:w="848" w:type="dxa"/>
            <w:vAlign w:val="center"/>
          </w:tcPr>
          <w:p w14:paraId="6A9FD658" w14:textId="77777777" w:rsidR="000C3FD3" w:rsidRPr="00B1522E" w:rsidRDefault="000C3FD3" w:rsidP="000C3FD3">
            <w:pPr>
              <w:jc w:val="center"/>
              <w:rPr>
                <w:rFonts w:eastAsia="MS Mincho" w:cstheme="minorHAnsi"/>
              </w:rPr>
            </w:pPr>
            <w:r w:rsidRPr="00B1522E">
              <w:rPr>
                <w:rFonts w:eastAsia="MS Mincho" w:cstheme="minorHAnsi"/>
              </w:rPr>
              <w:t>-.03</w:t>
            </w:r>
          </w:p>
        </w:tc>
        <w:tc>
          <w:tcPr>
            <w:tcW w:w="797" w:type="dxa"/>
            <w:vAlign w:val="center"/>
          </w:tcPr>
          <w:p w14:paraId="10EEECAD" w14:textId="77777777" w:rsidR="000C3FD3" w:rsidRPr="00B1522E" w:rsidRDefault="000C3FD3" w:rsidP="000C3FD3">
            <w:pPr>
              <w:jc w:val="center"/>
              <w:rPr>
                <w:rFonts w:eastAsia="MS Mincho" w:cstheme="minorHAnsi"/>
              </w:rPr>
            </w:pPr>
            <w:r w:rsidRPr="00B1522E">
              <w:rPr>
                <w:rFonts w:eastAsia="MS Mincho" w:cstheme="minorHAnsi"/>
              </w:rPr>
              <w:t>.07</w:t>
            </w:r>
          </w:p>
        </w:tc>
      </w:tr>
      <w:tr w:rsidR="00E77769" w:rsidRPr="00B1522E" w14:paraId="313A0DAB" w14:textId="77777777" w:rsidTr="00DD38D3">
        <w:trPr>
          <w:trHeight w:val="251"/>
        </w:trPr>
        <w:tc>
          <w:tcPr>
            <w:tcW w:w="3086" w:type="dxa"/>
          </w:tcPr>
          <w:p w14:paraId="7897C39B" w14:textId="77777777" w:rsidR="000C3FD3" w:rsidRPr="00B1522E" w:rsidRDefault="000C3FD3" w:rsidP="00AF3DF6">
            <w:pPr>
              <w:ind w:left="340" w:hanging="340"/>
              <w:rPr>
                <w:rFonts w:eastAsia="MS Mincho" w:cstheme="minorHAnsi"/>
                <w:vertAlign w:val="superscript"/>
              </w:rPr>
            </w:pPr>
            <w:r w:rsidRPr="00B1522E">
              <w:rPr>
                <w:rFonts w:eastAsia="MS Mincho" w:cstheme="minorHAnsi"/>
              </w:rPr>
              <w:t>Changes in misperceptions</w:t>
            </w:r>
            <w:r w:rsidRPr="00B1522E">
              <w:rPr>
                <w:rFonts w:eastAsia="MS Mincho" w:cstheme="minorHAnsi"/>
                <w:vertAlign w:val="superscript"/>
              </w:rPr>
              <w:t>a</w:t>
            </w:r>
            <w:r w:rsidRPr="00B1522E">
              <w:rPr>
                <w:rFonts w:eastAsia="MS Mincho" w:cstheme="minorHAnsi"/>
              </w:rPr>
              <w:t xml:space="preserve"> of peers’ unhealthy snacking Time 3</w:t>
            </w:r>
            <w:r w:rsidRPr="00B1522E">
              <w:rPr>
                <w:rFonts w:eastAsia="MS Mincho" w:cstheme="minorHAnsi"/>
                <w:vertAlign w:val="superscript"/>
              </w:rPr>
              <w:t>d</w:t>
            </w:r>
          </w:p>
          <w:p w14:paraId="7137FE67" w14:textId="77777777" w:rsidR="000C3FD3" w:rsidRPr="00B1522E" w:rsidRDefault="000C3FD3" w:rsidP="00AF3DF6">
            <w:pPr>
              <w:ind w:left="340" w:hanging="340"/>
              <w:rPr>
                <w:rFonts w:eastAsia="MS Mincho" w:cstheme="minorHAnsi"/>
                <w:vertAlign w:val="superscript"/>
              </w:rPr>
            </w:pPr>
          </w:p>
        </w:tc>
        <w:tc>
          <w:tcPr>
            <w:tcW w:w="1273" w:type="dxa"/>
            <w:vAlign w:val="center"/>
          </w:tcPr>
          <w:p w14:paraId="0C27A13E" w14:textId="77777777" w:rsidR="000C3FD3" w:rsidRPr="00B1522E" w:rsidRDefault="000C3FD3" w:rsidP="000C3FD3">
            <w:pPr>
              <w:jc w:val="center"/>
              <w:rPr>
                <w:rFonts w:eastAsia="MS Mincho" w:cstheme="minorHAnsi"/>
              </w:rPr>
            </w:pPr>
            <w:r w:rsidRPr="00B1522E">
              <w:rPr>
                <w:rFonts w:eastAsia="MS Mincho" w:cstheme="minorHAnsi"/>
              </w:rPr>
              <w:t>.21(.44)</w:t>
            </w:r>
          </w:p>
        </w:tc>
        <w:tc>
          <w:tcPr>
            <w:tcW w:w="886" w:type="dxa"/>
            <w:vAlign w:val="center"/>
          </w:tcPr>
          <w:p w14:paraId="676189AF" w14:textId="77777777" w:rsidR="000C3FD3" w:rsidRPr="00B1522E" w:rsidRDefault="000C3FD3" w:rsidP="000C3FD3">
            <w:pPr>
              <w:jc w:val="center"/>
              <w:rPr>
                <w:rFonts w:eastAsia="MS Mincho" w:cstheme="minorHAnsi"/>
              </w:rPr>
            </w:pPr>
            <w:r w:rsidRPr="00B1522E">
              <w:rPr>
                <w:rFonts w:eastAsia="MS Mincho" w:cstheme="minorHAnsi"/>
              </w:rPr>
              <w:t>-.38</w:t>
            </w:r>
          </w:p>
        </w:tc>
        <w:tc>
          <w:tcPr>
            <w:tcW w:w="868" w:type="dxa"/>
            <w:vAlign w:val="center"/>
          </w:tcPr>
          <w:p w14:paraId="23EBE753" w14:textId="77777777" w:rsidR="000C3FD3" w:rsidRPr="00B1522E" w:rsidRDefault="000C3FD3" w:rsidP="000C3FD3">
            <w:pPr>
              <w:jc w:val="center"/>
              <w:rPr>
                <w:rFonts w:eastAsia="MS Mincho" w:cstheme="minorHAnsi"/>
              </w:rPr>
            </w:pPr>
            <w:r w:rsidRPr="00B1522E">
              <w:rPr>
                <w:rFonts w:eastAsia="MS Mincho" w:cstheme="minorHAnsi"/>
              </w:rPr>
              <w:t>1.39</w:t>
            </w:r>
          </w:p>
        </w:tc>
        <w:tc>
          <w:tcPr>
            <w:tcW w:w="1268" w:type="dxa"/>
            <w:vAlign w:val="center"/>
          </w:tcPr>
          <w:p w14:paraId="2C163272" w14:textId="77777777" w:rsidR="000C3FD3" w:rsidRPr="00B1522E" w:rsidRDefault="000C3FD3" w:rsidP="000C3FD3">
            <w:pPr>
              <w:jc w:val="center"/>
              <w:rPr>
                <w:rFonts w:eastAsia="MS Mincho" w:cstheme="minorHAnsi"/>
              </w:rPr>
            </w:pPr>
            <w:r w:rsidRPr="00B1522E">
              <w:rPr>
                <w:rFonts w:eastAsia="MS Mincho" w:cstheme="minorHAnsi"/>
              </w:rPr>
              <w:t>.01(.03)</w:t>
            </w:r>
          </w:p>
        </w:tc>
        <w:tc>
          <w:tcPr>
            <w:tcW w:w="848" w:type="dxa"/>
            <w:vAlign w:val="center"/>
          </w:tcPr>
          <w:p w14:paraId="6A9A0A57" w14:textId="77777777" w:rsidR="000C3FD3" w:rsidRPr="00B1522E" w:rsidRDefault="000C3FD3" w:rsidP="000C3FD3">
            <w:pPr>
              <w:jc w:val="center"/>
              <w:rPr>
                <w:rFonts w:eastAsia="MS Mincho" w:cstheme="minorHAnsi"/>
              </w:rPr>
            </w:pPr>
            <w:r w:rsidRPr="00B1522E">
              <w:rPr>
                <w:rFonts w:eastAsia="MS Mincho" w:cstheme="minorHAnsi"/>
              </w:rPr>
              <w:t>-.03</w:t>
            </w:r>
          </w:p>
        </w:tc>
        <w:tc>
          <w:tcPr>
            <w:tcW w:w="797" w:type="dxa"/>
            <w:vAlign w:val="center"/>
          </w:tcPr>
          <w:p w14:paraId="328B9E06" w14:textId="77777777" w:rsidR="000C3FD3" w:rsidRPr="00B1522E" w:rsidRDefault="000C3FD3" w:rsidP="000C3FD3">
            <w:pPr>
              <w:jc w:val="center"/>
              <w:rPr>
                <w:rFonts w:eastAsia="MS Mincho" w:cstheme="minorHAnsi"/>
              </w:rPr>
            </w:pPr>
            <w:r w:rsidRPr="00B1522E">
              <w:rPr>
                <w:rFonts w:eastAsia="MS Mincho" w:cstheme="minorHAnsi"/>
              </w:rPr>
              <w:t>.08</w:t>
            </w:r>
          </w:p>
        </w:tc>
      </w:tr>
      <w:tr w:rsidR="00E77769" w:rsidRPr="00B1522E" w14:paraId="5384E4F6" w14:textId="77777777" w:rsidTr="00DD38D3">
        <w:trPr>
          <w:trHeight w:val="259"/>
        </w:trPr>
        <w:tc>
          <w:tcPr>
            <w:tcW w:w="3086" w:type="dxa"/>
          </w:tcPr>
          <w:p w14:paraId="1B2B2986" w14:textId="77777777" w:rsidR="000C3FD3" w:rsidRPr="00B1522E" w:rsidRDefault="000C3FD3" w:rsidP="00AF3DF6">
            <w:pPr>
              <w:ind w:left="340" w:hanging="340"/>
              <w:rPr>
                <w:rFonts w:eastAsia="MS Mincho" w:cstheme="minorHAnsi"/>
              </w:rPr>
            </w:pPr>
            <w:bookmarkStart w:id="263" w:name="_Hlk85716420"/>
            <w:r w:rsidRPr="00B1522E">
              <w:rPr>
                <w:rFonts w:eastAsia="MS Mincho" w:cstheme="minorHAnsi"/>
              </w:rPr>
              <w:t>Changes in misperceptions</w:t>
            </w:r>
            <w:r w:rsidRPr="00B1522E">
              <w:rPr>
                <w:rFonts w:eastAsia="MS Mincho" w:cstheme="minorHAnsi"/>
                <w:vertAlign w:val="superscript"/>
              </w:rPr>
              <w:t>b</w:t>
            </w:r>
            <w:r w:rsidRPr="00B1522E">
              <w:rPr>
                <w:rFonts w:eastAsia="MS Mincho" w:cstheme="minorHAnsi"/>
              </w:rPr>
              <w:t xml:space="preserve"> of peers’ attitude towards unhealthy snacking Time 2</w:t>
            </w:r>
            <w:bookmarkEnd w:id="263"/>
            <w:r w:rsidRPr="00B1522E">
              <w:rPr>
                <w:rFonts w:eastAsia="MS Mincho" w:cstheme="minorHAnsi"/>
                <w:vertAlign w:val="superscript"/>
              </w:rPr>
              <w:t>c</w:t>
            </w:r>
            <w:r w:rsidRPr="00B1522E">
              <w:rPr>
                <w:rFonts w:eastAsia="MS Mincho" w:cstheme="minorHAnsi"/>
              </w:rPr>
              <w:t xml:space="preserve"> </w:t>
            </w:r>
          </w:p>
          <w:p w14:paraId="61E4A955" w14:textId="77777777" w:rsidR="000C3FD3" w:rsidRPr="00B1522E" w:rsidRDefault="000C3FD3" w:rsidP="00AF3DF6">
            <w:pPr>
              <w:ind w:left="340" w:hanging="340"/>
              <w:rPr>
                <w:rFonts w:eastAsia="MS Mincho" w:cstheme="minorHAnsi"/>
              </w:rPr>
            </w:pPr>
          </w:p>
        </w:tc>
        <w:tc>
          <w:tcPr>
            <w:tcW w:w="1273" w:type="dxa"/>
            <w:vAlign w:val="center"/>
          </w:tcPr>
          <w:p w14:paraId="1C410FCD" w14:textId="77777777" w:rsidR="000C3FD3" w:rsidRPr="00B1522E" w:rsidRDefault="000C3FD3" w:rsidP="000C3FD3">
            <w:pPr>
              <w:jc w:val="center"/>
              <w:rPr>
                <w:rFonts w:eastAsia="MS Mincho" w:cstheme="minorHAnsi"/>
              </w:rPr>
            </w:pPr>
            <w:r w:rsidRPr="00B1522E">
              <w:rPr>
                <w:rFonts w:eastAsia="MS Mincho" w:cstheme="minorHAnsi"/>
              </w:rPr>
              <w:t>.75(.64)</w:t>
            </w:r>
          </w:p>
        </w:tc>
        <w:tc>
          <w:tcPr>
            <w:tcW w:w="886" w:type="dxa"/>
            <w:vAlign w:val="center"/>
          </w:tcPr>
          <w:p w14:paraId="0707F0DC" w14:textId="77777777" w:rsidR="000C3FD3" w:rsidRPr="00B1522E" w:rsidRDefault="000C3FD3" w:rsidP="000C3FD3">
            <w:pPr>
              <w:jc w:val="center"/>
              <w:rPr>
                <w:rFonts w:eastAsia="MS Mincho" w:cstheme="minorHAnsi"/>
              </w:rPr>
            </w:pPr>
            <w:r w:rsidRPr="00B1522E">
              <w:rPr>
                <w:rFonts w:eastAsia="MS Mincho" w:cstheme="minorHAnsi"/>
              </w:rPr>
              <w:t>-.27</w:t>
            </w:r>
          </w:p>
        </w:tc>
        <w:tc>
          <w:tcPr>
            <w:tcW w:w="868" w:type="dxa"/>
            <w:vAlign w:val="center"/>
          </w:tcPr>
          <w:p w14:paraId="56AFE30A" w14:textId="77777777" w:rsidR="000C3FD3" w:rsidRPr="00B1522E" w:rsidRDefault="000C3FD3" w:rsidP="000C3FD3">
            <w:pPr>
              <w:jc w:val="center"/>
              <w:rPr>
                <w:rFonts w:eastAsia="MS Mincho" w:cstheme="minorHAnsi"/>
              </w:rPr>
            </w:pPr>
            <w:r w:rsidRPr="00B1522E">
              <w:rPr>
                <w:rFonts w:eastAsia="MS Mincho" w:cstheme="minorHAnsi"/>
              </w:rPr>
              <w:t>2.26</w:t>
            </w:r>
          </w:p>
        </w:tc>
        <w:tc>
          <w:tcPr>
            <w:tcW w:w="1268" w:type="dxa"/>
            <w:vAlign w:val="center"/>
          </w:tcPr>
          <w:p w14:paraId="34A5DC89" w14:textId="77777777" w:rsidR="000C3FD3" w:rsidRPr="00B1522E" w:rsidRDefault="000C3FD3" w:rsidP="000C3FD3">
            <w:pPr>
              <w:jc w:val="center"/>
              <w:rPr>
                <w:rFonts w:eastAsia="MS Mincho" w:cstheme="minorHAnsi"/>
              </w:rPr>
            </w:pPr>
            <w:r w:rsidRPr="00B1522E">
              <w:rPr>
                <w:rFonts w:eastAsia="MS Mincho" w:cstheme="minorHAnsi"/>
              </w:rPr>
              <w:t>.18(.08)</w:t>
            </w:r>
          </w:p>
        </w:tc>
        <w:tc>
          <w:tcPr>
            <w:tcW w:w="848" w:type="dxa"/>
            <w:vAlign w:val="center"/>
          </w:tcPr>
          <w:p w14:paraId="5A0A4ECE" w14:textId="77777777" w:rsidR="000C3FD3" w:rsidRPr="00B1522E" w:rsidRDefault="000C3FD3" w:rsidP="000C3FD3">
            <w:pPr>
              <w:jc w:val="center"/>
              <w:rPr>
                <w:rFonts w:eastAsia="MS Mincho" w:cstheme="minorHAnsi"/>
              </w:rPr>
            </w:pPr>
            <w:r w:rsidRPr="00B1522E">
              <w:rPr>
                <w:rFonts w:eastAsia="MS Mincho" w:cstheme="minorHAnsi"/>
              </w:rPr>
              <w:t>.04</w:t>
            </w:r>
          </w:p>
        </w:tc>
        <w:tc>
          <w:tcPr>
            <w:tcW w:w="797" w:type="dxa"/>
            <w:vAlign w:val="center"/>
          </w:tcPr>
          <w:p w14:paraId="587E2946" w14:textId="77777777" w:rsidR="000C3FD3" w:rsidRPr="00B1522E" w:rsidRDefault="000C3FD3" w:rsidP="000C3FD3">
            <w:pPr>
              <w:jc w:val="center"/>
              <w:rPr>
                <w:rFonts w:eastAsia="MS Mincho" w:cstheme="minorHAnsi"/>
              </w:rPr>
            </w:pPr>
          </w:p>
          <w:p w14:paraId="7B02469B" w14:textId="77777777" w:rsidR="000C3FD3" w:rsidRPr="00B1522E" w:rsidRDefault="000C3FD3" w:rsidP="000C3FD3">
            <w:pPr>
              <w:jc w:val="center"/>
              <w:rPr>
                <w:rFonts w:eastAsia="MS Mincho" w:cstheme="minorHAnsi"/>
              </w:rPr>
            </w:pPr>
            <w:r w:rsidRPr="00B1522E">
              <w:rPr>
                <w:rFonts w:eastAsia="MS Mincho" w:cstheme="minorHAnsi"/>
              </w:rPr>
              <w:t>.36</w:t>
            </w:r>
          </w:p>
          <w:p w14:paraId="215BA2E5" w14:textId="77777777" w:rsidR="000C3FD3" w:rsidRPr="00B1522E" w:rsidRDefault="000C3FD3" w:rsidP="000C3FD3">
            <w:pPr>
              <w:jc w:val="center"/>
              <w:rPr>
                <w:rFonts w:eastAsia="MS Mincho" w:cstheme="minorHAnsi"/>
              </w:rPr>
            </w:pPr>
          </w:p>
        </w:tc>
      </w:tr>
      <w:tr w:rsidR="00E77769" w:rsidRPr="00B1522E" w14:paraId="42ECAE1B" w14:textId="77777777" w:rsidTr="00DD38D3">
        <w:trPr>
          <w:trHeight w:val="259"/>
        </w:trPr>
        <w:tc>
          <w:tcPr>
            <w:tcW w:w="3086" w:type="dxa"/>
          </w:tcPr>
          <w:p w14:paraId="2C508CEE" w14:textId="77777777" w:rsidR="000C3FD3" w:rsidRPr="00B1522E" w:rsidRDefault="000C3FD3" w:rsidP="00AF3DF6">
            <w:pPr>
              <w:ind w:left="340" w:hanging="340"/>
              <w:rPr>
                <w:rFonts w:eastAsia="MS Mincho" w:cstheme="minorHAnsi"/>
                <w:vertAlign w:val="superscript"/>
              </w:rPr>
            </w:pPr>
            <w:r w:rsidRPr="00B1522E">
              <w:rPr>
                <w:rFonts w:eastAsia="MS Mincho" w:cstheme="minorHAnsi"/>
              </w:rPr>
              <w:t>Changes in misperceptions</w:t>
            </w:r>
            <w:r w:rsidRPr="00B1522E">
              <w:rPr>
                <w:rFonts w:eastAsia="MS Mincho" w:cstheme="minorHAnsi"/>
                <w:vertAlign w:val="superscript"/>
              </w:rPr>
              <w:t>b</w:t>
            </w:r>
            <w:r w:rsidRPr="00B1522E">
              <w:rPr>
                <w:rFonts w:eastAsia="MS Mincho" w:cstheme="minorHAnsi"/>
              </w:rPr>
              <w:t xml:space="preserve"> of peers’ attitude towards unhealthy snacking Time 3</w:t>
            </w:r>
            <w:r w:rsidRPr="00B1522E">
              <w:rPr>
                <w:rFonts w:eastAsia="MS Mincho" w:cstheme="minorHAnsi"/>
                <w:vertAlign w:val="superscript"/>
              </w:rPr>
              <w:t>d</w:t>
            </w:r>
          </w:p>
          <w:p w14:paraId="293B5EF4" w14:textId="77777777" w:rsidR="000C3FD3" w:rsidRPr="00B1522E" w:rsidRDefault="000C3FD3" w:rsidP="00AF3DF6">
            <w:pPr>
              <w:ind w:left="340" w:hanging="340"/>
              <w:rPr>
                <w:rFonts w:eastAsia="MS Mincho" w:cstheme="minorHAnsi"/>
                <w:vertAlign w:val="superscript"/>
              </w:rPr>
            </w:pPr>
          </w:p>
        </w:tc>
        <w:tc>
          <w:tcPr>
            <w:tcW w:w="1273" w:type="dxa"/>
            <w:vAlign w:val="center"/>
          </w:tcPr>
          <w:p w14:paraId="65B67DF8" w14:textId="77777777" w:rsidR="000C3FD3" w:rsidRPr="00B1522E" w:rsidRDefault="000C3FD3" w:rsidP="000C3FD3">
            <w:pPr>
              <w:jc w:val="center"/>
              <w:rPr>
                <w:rFonts w:eastAsia="MS Mincho" w:cstheme="minorHAnsi"/>
              </w:rPr>
            </w:pPr>
            <w:r w:rsidRPr="00B1522E">
              <w:rPr>
                <w:rFonts w:eastAsia="MS Mincho" w:cstheme="minorHAnsi"/>
              </w:rPr>
              <w:t>-.02(.24)</w:t>
            </w:r>
          </w:p>
        </w:tc>
        <w:tc>
          <w:tcPr>
            <w:tcW w:w="886" w:type="dxa"/>
            <w:vAlign w:val="center"/>
          </w:tcPr>
          <w:p w14:paraId="250B904D" w14:textId="77777777" w:rsidR="000C3FD3" w:rsidRPr="00B1522E" w:rsidRDefault="000C3FD3" w:rsidP="000C3FD3">
            <w:pPr>
              <w:jc w:val="center"/>
              <w:rPr>
                <w:rFonts w:eastAsia="MS Mincho" w:cstheme="minorHAnsi"/>
              </w:rPr>
            </w:pPr>
            <w:r w:rsidRPr="00B1522E">
              <w:rPr>
                <w:rFonts w:eastAsia="MS Mincho" w:cstheme="minorHAnsi"/>
              </w:rPr>
              <w:t>-.48</w:t>
            </w:r>
          </w:p>
        </w:tc>
        <w:tc>
          <w:tcPr>
            <w:tcW w:w="868" w:type="dxa"/>
            <w:vAlign w:val="center"/>
          </w:tcPr>
          <w:p w14:paraId="47ABA174" w14:textId="77777777" w:rsidR="000C3FD3" w:rsidRPr="00B1522E" w:rsidRDefault="000C3FD3" w:rsidP="000C3FD3">
            <w:pPr>
              <w:jc w:val="center"/>
              <w:rPr>
                <w:rFonts w:eastAsia="MS Mincho" w:cstheme="minorHAnsi"/>
              </w:rPr>
            </w:pPr>
            <w:r w:rsidRPr="00B1522E">
              <w:rPr>
                <w:rFonts w:eastAsia="MS Mincho" w:cstheme="minorHAnsi"/>
              </w:rPr>
              <w:t>.54</w:t>
            </w:r>
          </w:p>
        </w:tc>
        <w:tc>
          <w:tcPr>
            <w:tcW w:w="1268" w:type="dxa"/>
            <w:vAlign w:val="center"/>
          </w:tcPr>
          <w:p w14:paraId="1E5DC3EC" w14:textId="77777777" w:rsidR="000C3FD3" w:rsidRPr="00B1522E" w:rsidRDefault="000C3FD3" w:rsidP="000C3FD3">
            <w:pPr>
              <w:jc w:val="center"/>
              <w:rPr>
                <w:rFonts w:eastAsia="MS Mincho" w:cstheme="minorHAnsi"/>
              </w:rPr>
            </w:pPr>
            <w:r w:rsidRPr="00B1522E">
              <w:rPr>
                <w:rFonts w:eastAsia="MS Mincho" w:cstheme="minorHAnsi"/>
              </w:rPr>
              <w:t>.02(.07)</w:t>
            </w:r>
          </w:p>
        </w:tc>
        <w:tc>
          <w:tcPr>
            <w:tcW w:w="848" w:type="dxa"/>
            <w:vAlign w:val="center"/>
          </w:tcPr>
          <w:p w14:paraId="0E31F3FA" w14:textId="77777777" w:rsidR="000C3FD3" w:rsidRPr="00B1522E" w:rsidRDefault="000C3FD3" w:rsidP="000C3FD3">
            <w:pPr>
              <w:jc w:val="center"/>
              <w:rPr>
                <w:rFonts w:eastAsia="MS Mincho" w:cstheme="minorHAnsi"/>
              </w:rPr>
            </w:pPr>
            <w:r w:rsidRPr="00B1522E">
              <w:rPr>
                <w:rFonts w:eastAsia="MS Mincho" w:cstheme="minorHAnsi"/>
              </w:rPr>
              <w:t>-.12</w:t>
            </w:r>
          </w:p>
        </w:tc>
        <w:tc>
          <w:tcPr>
            <w:tcW w:w="797" w:type="dxa"/>
            <w:vAlign w:val="center"/>
          </w:tcPr>
          <w:p w14:paraId="2D697CFC" w14:textId="77777777" w:rsidR="000C3FD3" w:rsidRPr="00B1522E" w:rsidRDefault="000C3FD3" w:rsidP="000C3FD3">
            <w:pPr>
              <w:jc w:val="center"/>
              <w:rPr>
                <w:rFonts w:eastAsia="MS Mincho" w:cstheme="minorHAnsi"/>
              </w:rPr>
            </w:pPr>
            <w:r w:rsidRPr="00B1522E">
              <w:rPr>
                <w:rFonts w:eastAsia="MS Mincho" w:cstheme="minorHAnsi"/>
              </w:rPr>
              <w:t>.17</w:t>
            </w:r>
          </w:p>
        </w:tc>
      </w:tr>
      <w:tr w:rsidR="00E77769" w:rsidRPr="00B1522E" w14:paraId="0FD823F8" w14:textId="77777777" w:rsidTr="00DD38D3">
        <w:trPr>
          <w:trHeight w:val="259"/>
        </w:trPr>
        <w:tc>
          <w:tcPr>
            <w:tcW w:w="3086" w:type="dxa"/>
          </w:tcPr>
          <w:p w14:paraId="0CE0247E" w14:textId="77777777" w:rsidR="000C3FD3" w:rsidRPr="00B1522E" w:rsidRDefault="000C3FD3" w:rsidP="00AF3DF6">
            <w:pPr>
              <w:ind w:left="340" w:hanging="340"/>
              <w:rPr>
                <w:rFonts w:eastAsia="MS Mincho" w:cstheme="minorHAnsi"/>
                <w:vertAlign w:val="superscript"/>
              </w:rPr>
            </w:pPr>
            <w:r w:rsidRPr="00B1522E">
              <w:rPr>
                <w:rFonts w:eastAsia="MS Mincho" w:cstheme="minorHAnsi"/>
              </w:rPr>
              <w:t>Changes in misperceptions</w:t>
            </w:r>
            <w:r w:rsidRPr="00B1522E">
              <w:rPr>
                <w:rFonts w:eastAsia="MS Mincho" w:cstheme="minorHAnsi"/>
                <w:vertAlign w:val="superscript"/>
              </w:rPr>
              <w:t>b</w:t>
            </w:r>
            <w:r w:rsidRPr="00B1522E">
              <w:rPr>
                <w:rFonts w:eastAsia="MS Mincho" w:cstheme="minorHAnsi"/>
              </w:rPr>
              <w:t xml:space="preserve"> of peers’ attitude towards fewer snacks Time 2</w:t>
            </w:r>
            <w:r w:rsidRPr="00B1522E">
              <w:rPr>
                <w:rFonts w:eastAsia="MS Mincho" w:cstheme="minorHAnsi"/>
                <w:vertAlign w:val="superscript"/>
              </w:rPr>
              <w:t>c</w:t>
            </w:r>
          </w:p>
          <w:p w14:paraId="0DE4B1B8" w14:textId="77777777" w:rsidR="000C3FD3" w:rsidRPr="00B1522E" w:rsidRDefault="000C3FD3" w:rsidP="00AF3DF6">
            <w:pPr>
              <w:ind w:left="340" w:hanging="340"/>
              <w:rPr>
                <w:rFonts w:eastAsia="MS Mincho" w:cstheme="minorHAnsi"/>
                <w:vertAlign w:val="superscript"/>
              </w:rPr>
            </w:pPr>
          </w:p>
        </w:tc>
        <w:tc>
          <w:tcPr>
            <w:tcW w:w="1273" w:type="dxa"/>
            <w:vAlign w:val="center"/>
          </w:tcPr>
          <w:p w14:paraId="19829F50" w14:textId="77777777" w:rsidR="000C3FD3" w:rsidRPr="00B1522E" w:rsidRDefault="000C3FD3" w:rsidP="000C3FD3">
            <w:pPr>
              <w:jc w:val="center"/>
              <w:rPr>
                <w:rFonts w:eastAsia="MS Mincho" w:cstheme="minorHAnsi"/>
              </w:rPr>
            </w:pPr>
            <w:r w:rsidRPr="00B1522E">
              <w:rPr>
                <w:rFonts w:eastAsia="MS Mincho" w:cstheme="minorHAnsi"/>
              </w:rPr>
              <w:t>-.14(.35)</w:t>
            </w:r>
          </w:p>
        </w:tc>
        <w:tc>
          <w:tcPr>
            <w:tcW w:w="886" w:type="dxa"/>
            <w:vAlign w:val="center"/>
          </w:tcPr>
          <w:p w14:paraId="43266DC5" w14:textId="77777777" w:rsidR="000C3FD3" w:rsidRPr="00B1522E" w:rsidRDefault="000C3FD3" w:rsidP="000C3FD3">
            <w:pPr>
              <w:jc w:val="center"/>
              <w:rPr>
                <w:rFonts w:eastAsia="MS Mincho" w:cstheme="minorHAnsi"/>
              </w:rPr>
            </w:pPr>
            <w:r w:rsidRPr="00B1522E">
              <w:rPr>
                <w:rFonts w:eastAsia="MS Mincho" w:cstheme="minorHAnsi"/>
              </w:rPr>
              <w:t>-.86</w:t>
            </w:r>
          </w:p>
        </w:tc>
        <w:tc>
          <w:tcPr>
            <w:tcW w:w="868" w:type="dxa"/>
            <w:vAlign w:val="center"/>
          </w:tcPr>
          <w:p w14:paraId="344DF0C4" w14:textId="77777777" w:rsidR="000C3FD3" w:rsidRPr="00B1522E" w:rsidRDefault="000C3FD3" w:rsidP="000C3FD3">
            <w:pPr>
              <w:jc w:val="center"/>
              <w:rPr>
                <w:rFonts w:eastAsia="MS Mincho" w:cstheme="minorHAnsi"/>
              </w:rPr>
            </w:pPr>
            <w:r w:rsidRPr="00B1522E">
              <w:rPr>
                <w:rFonts w:eastAsia="MS Mincho" w:cstheme="minorHAnsi"/>
              </w:rPr>
              <w:t>.66</w:t>
            </w:r>
          </w:p>
        </w:tc>
        <w:tc>
          <w:tcPr>
            <w:tcW w:w="1268" w:type="dxa"/>
            <w:vAlign w:val="center"/>
          </w:tcPr>
          <w:p w14:paraId="2D1A4CA5" w14:textId="77777777" w:rsidR="000C3FD3" w:rsidRPr="00B1522E" w:rsidRDefault="000C3FD3" w:rsidP="000C3FD3">
            <w:pPr>
              <w:jc w:val="center"/>
              <w:rPr>
                <w:rFonts w:eastAsia="MS Mincho" w:cstheme="minorHAnsi"/>
              </w:rPr>
            </w:pPr>
            <w:r w:rsidRPr="00B1522E">
              <w:rPr>
                <w:rFonts w:eastAsia="MS Mincho" w:cstheme="minorHAnsi"/>
              </w:rPr>
              <w:t>-.01(.05)</w:t>
            </w:r>
          </w:p>
        </w:tc>
        <w:tc>
          <w:tcPr>
            <w:tcW w:w="848" w:type="dxa"/>
            <w:vAlign w:val="center"/>
          </w:tcPr>
          <w:p w14:paraId="64FB2DAE" w14:textId="77777777" w:rsidR="000C3FD3" w:rsidRPr="00B1522E" w:rsidRDefault="000C3FD3" w:rsidP="000C3FD3">
            <w:pPr>
              <w:jc w:val="center"/>
              <w:rPr>
                <w:rFonts w:eastAsia="MS Mincho" w:cstheme="minorHAnsi"/>
              </w:rPr>
            </w:pPr>
            <w:r w:rsidRPr="00B1522E">
              <w:rPr>
                <w:rFonts w:eastAsia="MS Mincho" w:cstheme="minorHAnsi"/>
              </w:rPr>
              <w:t>-.13</w:t>
            </w:r>
          </w:p>
        </w:tc>
        <w:tc>
          <w:tcPr>
            <w:tcW w:w="797" w:type="dxa"/>
            <w:vAlign w:val="center"/>
          </w:tcPr>
          <w:p w14:paraId="131460F4" w14:textId="77777777" w:rsidR="000C3FD3" w:rsidRPr="00B1522E" w:rsidRDefault="000C3FD3" w:rsidP="000C3FD3">
            <w:pPr>
              <w:jc w:val="center"/>
              <w:rPr>
                <w:rFonts w:eastAsia="MS Mincho" w:cstheme="minorHAnsi"/>
              </w:rPr>
            </w:pPr>
            <w:r w:rsidRPr="00B1522E">
              <w:rPr>
                <w:rFonts w:eastAsia="MS Mincho" w:cstheme="minorHAnsi"/>
              </w:rPr>
              <w:t>.09</w:t>
            </w:r>
          </w:p>
        </w:tc>
      </w:tr>
      <w:tr w:rsidR="00E77769" w:rsidRPr="00B1522E" w14:paraId="0B8D429B" w14:textId="77777777" w:rsidTr="00DD38D3">
        <w:trPr>
          <w:trHeight w:val="259"/>
        </w:trPr>
        <w:tc>
          <w:tcPr>
            <w:tcW w:w="3086" w:type="dxa"/>
            <w:tcBorders>
              <w:bottom w:val="single" w:sz="4" w:space="0" w:color="auto"/>
            </w:tcBorders>
          </w:tcPr>
          <w:p w14:paraId="71E8A4D4" w14:textId="77777777" w:rsidR="000C3FD3" w:rsidRPr="00B1522E" w:rsidRDefault="000C3FD3" w:rsidP="00AF3DF6">
            <w:pPr>
              <w:ind w:left="340" w:hanging="340"/>
              <w:rPr>
                <w:rFonts w:eastAsia="MS Mincho" w:cstheme="minorHAnsi"/>
                <w:vertAlign w:val="superscript"/>
              </w:rPr>
            </w:pPr>
            <w:r w:rsidRPr="00B1522E">
              <w:rPr>
                <w:rFonts w:eastAsia="MS Mincho" w:cstheme="minorHAnsi"/>
              </w:rPr>
              <w:t>Changes in misperceptions</w:t>
            </w:r>
            <w:r w:rsidRPr="00B1522E">
              <w:rPr>
                <w:rFonts w:eastAsia="MS Mincho" w:cstheme="minorHAnsi"/>
                <w:vertAlign w:val="superscript"/>
              </w:rPr>
              <w:t>b</w:t>
            </w:r>
            <w:r w:rsidRPr="00B1522E">
              <w:rPr>
                <w:rFonts w:eastAsia="MS Mincho" w:cstheme="minorHAnsi"/>
              </w:rPr>
              <w:t xml:space="preserve"> of peers’ attitude towards fewer snacks Time 3</w:t>
            </w:r>
            <w:r w:rsidRPr="00B1522E">
              <w:rPr>
                <w:rFonts w:eastAsia="MS Mincho" w:cstheme="minorHAnsi"/>
                <w:vertAlign w:val="superscript"/>
              </w:rPr>
              <w:t>d</w:t>
            </w:r>
          </w:p>
        </w:tc>
        <w:tc>
          <w:tcPr>
            <w:tcW w:w="1273" w:type="dxa"/>
            <w:tcBorders>
              <w:bottom w:val="single" w:sz="4" w:space="0" w:color="auto"/>
            </w:tcBorders>
            <w:vAlign w:val="center"/>
          </w:tcPr>
          <w:p w14:paraId="05083AA7" w14:textId="77777777" w:rsidR="000C3FD3" w:rsidRPr="00B1522E" w:rsidRDefault="000C3FD3" w:rsidP="000C3FD3">
            <w:pPr>
              <w:jc w:val="center"/>
              <w:rPr>
                <w:rFonts w:eastAsia="MS Mincho" w:cstheme="minorHAnsi"/>
              </w:rPr>
            </w:pPr>
            <w:r w:rsidRPr="00B1522E">
              <w:rPr>
                <w:rFonts w:eastAsia="MS Mincho" w:cstheme="minorHAnsi"/>
              </w:rPr>
              <w:t>-.16(.31)</w:t>
            </w:r>
          </w:p>
        </w:tc>
        <w:tc>
          <w:tcPr>
            <w:tcW w:w="886" w:type="dxa"/>
            <w:tcBorders>
              <w:bottom w:val="single" w:sz="4" w:space="0" w:color="auto"/>
            </w:tcBorders>
            <w:vAlign w:val="center"/>
          </w:tcPr>
          <w:p w14:paraId="27BEBFDB" w14:textId="77777777" w:rsidR="000C3FD3" w:rsidRPr="00B1522E" w:rsidRDefault="000C3FD3" w:rsidP="000C3FD3">
            <w:pPr>
              <w:jc w:val="center"/>
              <w:rPr>
                <w:rFonts w:eastAsia="MS Mincho" w:cstheme="minorHAnsi"/>
              </w:rPr>
            </w:pPr>
            <w:r w:rsidRPr="00B1522E">
              <w:rPr>
                <w:rFonts w:eastAsia="MS Mincho" w:cstheme="minorHAnsi"/>
              </w:rPr>
              <w:t>-.90</w:t>
            </w:r>
          </w:p>
        </w:tc>
        <w:tc>
          <w:tcPr>
            <w:tcW w:w="868" w:type="dxa"/>
            <w:tcBorders>
              <w:bottom w:val="single" w:sz="4" w:space="0" w:color="auto"/>
            </w:tcBorders>
            <w:vAlign w:val="center"/>
          </w:tcPr>
          <w:p w14:paraId="5BD30E52" w14:textId="77777777" w:rsidR="000C3FD3" w:rsidRPr="00B1522E" w:rsidRDefault="000C3FD3" w:rsidP="000C3FD3">
            <w:pPr>
              <w:jc w:val="center"/>
              <w:rPr>
                <w:rFonts w:eastAsia="MS Mincho" w:cstheme="minorHAnsi"/>
              </w:rPr>
            </w:pPr>
            <w:r w:rsidRPr="00B1522E">
              <w:rPr>
                <w:rFonts w:eastAsia="MS Mincho" w:cstheme="minorHAnsi"/>
              </w:rPr>
              <w:t>.38</w:t>
            </w:r>
          </w:p>
        </w:tc>
        <w:tc>
          <w:tcPr>
            <w:tcW w:w="1268" w:type="dxa"/>
            <w:tcBorders>
              <w:bottom w:val="single" w:sz="4" w:space="0" w:color="auto"/>
            </w:tcBorders>
            <w:vAlign w:val="center"/>
          </w:tcPr>
          <w:p w14:paraId="4AD950DB" w14:textId="77777777" w:rsidR="000C3FD3" w:rsidRPr="00B1522E" w:rsidRDefault="000C3FD3" w:rsidP="000C3FD3">
            <w:pPr>
              <w:jc w:val="center"/>
              <w:rPr>
                <w:rFonts w:eastAsia="MS Mincho" w:cstheme="minorHAnsi"/>
              </w:rPr>
            </w:pPr>
            <w:r w:rsidRPr="00B1522E">
              <w:rPr>
                <w:rFonts w:eastAsia="MS Mincho" w:cstheme="minorHAnsi"/>
              </w:rPr>
              <w:t>-.02(.04)</w:t>
            </w:r>
          </w:p>
        </w:tc>
        <w:tc>
          <w:tcPr>
            <w:tcW w:w="848" w:type="dxa"/>
            <w:tcBorders>
              <w:bottom w:val="single" w:sz="4" w:space="0" w:color="auto"/>
            </w:tcBorders>
            <w:vAlign w:val="center"/>
          </w:tcPr>
          <w:p w14:paraId="0DFFBF13" w14:textId="77777777" w:rsidR="000C3FD3" w:rsidRPr="00B1522E" w:rsidRDefault="000C3FD3" w:rsidP="000C3FD3">
            <w:pPr>
              <w:jc w:val="center"/>
              <w:rPr>
                <w:rFonts w:eastAsia="MS Mincho" w:cstheme="minorHAnsi"/>
              </w:rPr>
            </w:pPr>
            <w:r w:rsidRPr="00B1522E">
              <w:rPr>
                <w:rFonts w:eastAsia="MS Mincho" w:cstheme="minorHAnsi"/>
              </w:rPr>
              <w:t>-.11</w:t>
            </w:r>
          </w:p>
        </w:tc>
        <w:tc>
          <w:tcPr>
            <w:tcW w:w="797" w:type="dxa"/>
            <w:tcBorders>
              <w:bottom w:val="single" w:sz="4" w:space="0" w:color="auto"/>
            </w:tcBorders>
            <w:vAlign w:val="center"/>
          </w:tcPr>
          <w:p w14:paraId="2751E364" w14:textId="77777777" w:rsidR="000C3FD3" w:rsidRPr="00B1522E" w:rsidRDefault="000C3FD3" w:rsidP="000C3FD3">
            <w:pPr>
              <w:jc w:val="center"/>
              <w:rPr>
                <w:rFonts w:eastAsia="MS Mincho" w:cstheme="minorHAnsi"/>
              </w:rPr>
            </w:pPr>
            <w:r w:rsidRPr="00B1522E">
              <w:rPr>
                <w:rFonts w:eastAsia="MS Mincho" w:cstheme="minorHAnsi"/>
              </w:rPr>
              <w:t>.06</w:t>
            </w:r>
          </w:p>
        </w:tc>
      </w:tr>
    </w:tbl>
    <w:p w14:paraId="56C8E834" w14:textId="77777777" w:rsidR="004642E1" w:rsidRPr="00B1522E" w:rsidRDefault="004642E1" w:rsidP="004642E1">
      <w:pPr>
        <w:rPr>
          <w:rFonts w:cstheme="minorHAnsi"/>
          <w:b/>
          <w:bCs/>
        </w:rPr>
      </w:pPr>
      <w:r w:rsidRPr="00B1522E">
        <w:rPr>
          <w:rFonts w:cstheme="minorHAnsi"/>
          <w:vertAlign w:val="superscript"/>
        </w:rPr>
        <w:t xml:space="preserve">a </w:t>
      </w:r>
      <w:r w:rsidRPr="00B1522E">
        <w:rPr>
          <w:rFonts w:cstheme="minorHAnsi"/>
        </w:rPr>
        <w:t>Misperception scores were calculated by subtracting the median of personal unhealthy snacking behaviour of the group (school/gender specific) from students’ individual normative perception (descriptive) of peers’ behaviour.</w:t>
      </w:r>
    </w:p>
    <w:p w14:paraId="7481047B" w14:textId="77777777" w:rsidR="004642E1" w:rsidRPr="00B1522E" w:rsidRDefault="004642E1" w:rsidP="004642E1">
      <w:pPr>
        <w:rPr>
          <w:rFonts w:cstheme="minorHAnsi"/>
        </w:rPr>
      </w:pPr>
      <w:r w:rsidRPr="00B1522E">
        <w:rPr>
          <w:rFonts w:cstheme="minorHAnsi"/>
          <w:vertAlign w:val="superscript"/>
        </w:rPr>
        <w:t xml:space="preserve">b </w:t>
      </w:r>
      <w:r w:rsidRPr="00B1522E">
        <w:rPr>
          <w:rFonts w:cstheme="minorHAnsi"/>
        </w:rPr>
        <w:t>Misperception scores were calculated by subtracting the median of personal snacking attitude of the group (school/gender specific) from the students’ individual normative perception (injunctive) of peers’ snacking attitudes</w:t>
      </w:r>
    </w:p>
    <w:p w14:paraId="1495CA9D" w14:textId="77777777" w:rsidR="004642E1" w:rsidRPr="00B1522E" w:rsidRDefault="004642E1" w:rsidP="004642E1">
      <w:pPr>
        <w:rPr>
          <w:rFonts w:cstheme="minorHAnsi"/>
        </w:rPr>
      </w:pPr>
      <w:r w:rsidRPr="00B1522E">
        <w:rPr>
          <w:rFonts w:cstheme="minorHAnsi"/>
          <w:vertAlign w:val="superscript"/>
        </w:rPr>
        <w:t>c</w:t>
      </w:r>
      <w:r w:rsidRPr="00B1522E">
        <w:rPr>
          <w:rFonts w:cstheme="minorHAnsi"/>
        </w:rPr>
        <w:t xml:space="preserve"> Change scores were calculated by subtracting the outcome variable at baseline (Time 1) from the same outcome variable at 2-week follow-up (Time 2) (Time 2 – Time 1).</w:t>
      </w:r>
    </w:p>
    <w:p w14:paraId="518A9A1D" w14:textId="77777777" w:rsidR="004642E1" w:rsidRPr="00B1522E" w:rsidRDefault="004642E1" w:rsidP="004642E1">
      <w:pPr>
        <w:rPr>
          <w:rFonts w:cstheme="minorHAnsi"/>
        </w:rPr>
      </w:pPr>
      <w:r w:rsidRPr="00B1522E">
        <w:rPr>
          <w:rFonts w:cstheme="minorHAnsi"/>
          <w:vertAlign w:val="superscript"/>
        </w:rPr>
        <w:t xml:space="preserve">d </w:t>
      </w:r>
      <w:r w:rsidRPr="00B1522E">
        <w:rPr>
          <w:rFonts w:cstheme="minorHAnsi"/>
        </w:rPr>
        <w:t>Change scores were calculated by subtracting the outcome variable at baseline (Time 1) from the same outcome variable at 3-month follow-up (Time 3) (Time 3 – Time 1).</w:t>
      </w:r>
    </w:p>
    <w:p w14:paraId="4D472366" w14:textId="5B32945C" w:rsidR="004642E1" w:rsidRPr="00B1522E" w:rsidRDefault="004642E1" w:rsidP="004642E1">
      <w:pPr>
        <w:rPr>
          <w:rFonts w:cstheme="minorHAnsi"/>
        </w:rPr>
      </w:pPr>
      <w:r w:rsidRPr="00B1522E">
        <w:rPr>
          <w:rFonts w:cstheme="minorHAnsi"/>
          <w:vertAlign w:val="superscript"/>
        </w:rPr>
        <w:t>e</w:t>
      </w:r>
      <w:r w:rsidRPr="00B1522E">
        <w:rPr>
          <w:rFonts w:cstheme="minorHAnsi"/>
        </w:rPr>
        <w:t>If the bootstrapped confidence interval does not include</w:t>
      </w:r>
      <w:r w:rsidR="004F7EC4" w:rsidRPr="00B1522E">
        <w:rPr>
          <w:rFonts w:cstheme="minorHAnsi"/>
        </w:rPr>
        <w:t xml:space="preserve"> </w:t>
      </w:r>
      <w:r w:rsidRPr="00B1522E">
        <w:rPr>
          <w:rFonts w:cstheme="minorHAnsi"/>
        </w:rPr>
        <w:t xml:space="preserve">zero, then the indirect path is significant. </w:t>
      </w:r>
    </w:p>
    <w:p w14:paraId="3D25EA3B" w14:textId="77777777" w:rsidR="004642E1" w:rsidRPr="00B1522E" w:rsidRDefault="004642E1" w:rsidP="004642E1">
      <w:pPr>
        <w:rPr>
          <w:rFonts w:cstheme="minorHAnsi"/>
        </w:rPr>
      </w:pPr>
      <w:r w:rsidRPr="00B1522E">
        <w:rPr>
          <w:rFonts w:cstheme="minorHAnsi"/>
        </w:rPr>
        <w:t xml:space="preserve">LL: Lower limit, UL: Upper limit </w:t>
      </w:r>
    </w:p>
    <w:p w14:paraId="72979BAB" w14:textId="77777777" w:rsidR="004642E1" w:rsidRPr="00B1522E" w:rsidRDefault="004642E1" w:rsidP="004642E1">
      <w:pPr>
        <w:spacing w:line="480" w:lineRule="auto"/>
        <w:jc w:val="center"/>
        <w:rPr>
          <w:rFonts w:cstheme="minorHAnsi"/>
        </w:rPr>
      </w:pPr>
    </w:p>
    <w:p w14:paraId="18D79809" w14:textId="521F777F" w:rsidR="00582A8C" w:rsidRPr="00B1522E" w:rsidRDefault="00582A8C" w:rsidP="00582A8C">
      <w:pPr>
        <w:spacing w:line="480" w:lineRule="auto"/>
        <w:jc w:val="both"/>
      </w:pPr>
      <w:r w:rsidRPr="00B1522E">
        <w:t>There was, however, a significant indirect effect of condition on changes in personal unhealthy snacking attitudes at Time 3 via changes in misperceptions about peers’ attitudes towards unhealthy snacking at Time 2 (effect = .1</w:t>
      </w:r>
      <w:r w:rsidR="00847395" w:rsidRPr="00B1522E">
        <w:t>8</w:t>
      </w:r>
      <w:r w:rsidRPr="00B1522E">
        <w:t xml:space="preserve">, 95% CI [.04, .36]) (Figure </w:t>
      </w:r>
      <w:r w:rsidR="00516801" w:rsidRPr="00B1522E">
        <w:t>4</w:t>
      </w:r>
      <w:r w:rsidRPr="00B1522E">
        <w:t xml:space="preserve">). This indicated that students who received normative feedback had a greater change compared to the control in normative perceptions about peers’ attitudes towards unhealthy snacking at Time 2, leading to a greater change in personal attitudes at Time 3 (Figure </w:t>
      </w:r>
      <w:r w:rsidR="00516801" w:rsidRPr="00B1522E">
        <w:t>4</w:t>
      </w:r>
      <w:r w:rsidRPr="00B1522E">
        <w:t>).</w:t>
      </w:r>
    </w:p>
    <w:p w14:paraId="3CE0B15A" w14:textId="54DCE55C" w:rsidR="004642E1" w:rsidRPr="00B1522E" w:rsidRDefault="00C36F37" w:rsidP="004642E1">
      <w:pPr>
        <w:spacing w:line="480" w:lineRule="auto"/>
        <w:jc w:val="both"/>
      </w:pPr>
      <w:r w:rsidRPr="00B1522E">
        <w:rPr>
          <w:noProof/>
        </w:rPr>
        <mc:AlternateContent>
          <mc:Choice Requires="wps">
            <w:drawing>
              <wp:anchor distT="0" distB="0" distL="114300" distR="114300" simplePos="0" relativeHeight="251587584" behindDoc="0" locked="0" layoutInCell="1" allowOverlap="1" wp14:anchorId="0A2616BB" wp14:editId="11883D80">
                <wp:simplePos x="0" y="0"/>
                <wp:positionH relativeFrom="column">
                  <wp:posOffset>2395220</wp:posOffset>
                </wp:positionH>
                <wp:positionV relativeFrom="paragraph">
                  <wp:posOffset>3002280</wp:posOffset>
                </wp:positionV>
                <wp:extent cx="1714500" cy="3136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13690"/>
                        </a:xfrm>
                        <a:prstGeom prst="rect">
                          <a:avLst/>
                        </a:prstGeom>
                        <a:solidFill>
                          <a:sysClr val="window" lastClr="FFFFFF"/>
                        </a:solidFill>
                        <a:ln w="6350">
                          <a:noFill/>
                        </a:ln>
                      </wps:spPr>
                      <wps:txbx>
                        <w:txbxContent>
                          <w:p w14:paraId="4423FEA3" w14:textId="77777777" w:rsidR="004642E1" w:rsidRDefault="004642E1" w:rsidP="004642E1">
                            <w:r>
                              <w:t>c = .73* (.48</w:t>
                            </w:r>
                            <w:r>
                              <w:rPr>
                                <w:vertAlign w:val="superscript"/>
                              </w:rPr>
                              <w:t>a</w:t>
                            </w:r>
                            <w:r>
                              <w:t>)</w:t>
                            </w:r>
                          </w:p>
                          <w:p w14:paraId="33EC83C4" w14:textId="77777777" w:rsidR="00D4214F" w:rsidRDefault="00D4214F"/>
                          <w:p w14:paraId="1387B3CC" w14:textId="77777777" w:rsidR="004642E1" w:rsidRDefault="004642E1" w:rsidP="004642E1">
                            <w:r>
                              <w:t>c = .73* (.48</w:t>
                            </w:r>
                            <w:r>
                              <w:rPr>
                                <w:vertAlign w:val="superscript"/>
                              </w:rPr>
                              <w:t>a</w:t>
                            </w:r>
                            <w:r>
                              <w:t>)</w:t>
                            </w:r>
                          </w:p>
                          <w:p w14:paraId="5809586C" w14:textId="77777777" w:rsidR="00D4214F" w:rsidRDefault="00D4214F"/>
                          <w:p w14:paraId="1AA28961" w14:textId="799213BA" w:rsidR="004642E1" w:rsidRDefault="004642E1" w:rsidP="004642E1">
                            <w:r>
                              <w:t>c = .73* (.48</w:t>
                            </w:r>
                            <w:r>
                              <w:rPr>
                                <w:vertAlign w:val="superscript"/>
                              </w:rPr>
                              <w:t>a</w:t>
                            </w:r>
                            <w:r>
                              <w:t>)</w:t>
                            </w:r>
                          </w:p>
                          <w:p w14:paraId="687D12B8" w14:textId="77777777" w:rsidR="00D4214F" w:rsidRDefault="00D4214F"/>
                          <w:p w14:paraId="143F2FDB" w14:textId="21441DCC" w:rsidR="004642E1" w:rsidRDefault="004642E1" w:rsidP="004642E1">
                            <w:r>
                              <w:t>c = .73* (.48</w:t>
                            </w:r>
                            <w:r>
                              <w:rPr>
                                <w:vertAlign w:val="superscript"/>
                              </w:rPr>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2616BB" id="Text Box 4" o:spid="_x0000_s1036" type="#_x0000_t202" style="position:absolute;left:0;text-align:left;margin-left:188.6pt;margin-top:236.4pt;width:135pt;height:24.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" fillcolor="window" stroked="f" strokeweight=".5pt">
                <v:textbox>
                  <w:txbxContent>
                    <w:p w14:paraId="4423FEA3" w14:textId="77777777" w:rsidR="004642E1" w:rsidRDefault="004642E1" w:rsidP="004642E1">
                      <w:r>
                        <w:t>c = .73* (.48</w:t>
                      </w:r>
                      <w:r>
                        <w:rPr>
                          <w:vertAlign w:val="superscript"/>
                        </w:rPr>
                        <w:t>a</w:t>
                      </w:r>
                      <w:r>
                        <w:t>)</w:t>
                      </w:r>
                    </w:p>
                    <w:p w14:paraId="33EC83C4" w14:textId="77777777" w:rsidR="00D4214F" w:rsidRDefault="00D4214F"/>
                    <w:p w14:paraId="1387B3CC" w14:textId="77777777" w:rsidR="004642E1" w:rsidRDefault="004642E1" w:rsidP="004642E1">
                      <w:r>
                        <w:t>c = .73* (.48</w:t>
                      </w:r>
                      <w:r>
                        <w:rPr>
                          <w:vertAlign w:val="superscript"/>
                        </w:rPr>
                        <w:t>a</w:t>
                      </w:r>
                      <w:r>
                        <w:t>)</w:t>
                      </w:r>
                    </w:p>
                    <w:p w14:paraId="5809586C" w14:textId="77777777" w:rsidR="00D4214F" w:rsidRDefault="00D4214F"/>
                    <w:p w14:paraId="1AA28961" w14:textId="799213BA" w:rsidR="004642E1" w:rsidRDefault="004642E1" w:rsidP="004642E1">
                      <w:r>
                        <w:t>c = .73* (.48</w:t>
                      </w:r>
                      <w:r>
                        <w:rPr>
                          <w:vertAlign w:val="superscript"/>
                        </w:rPr>
                        <w:t>a</w:t>
                      </w:r>
                      <w:r>
                        <w:t>)</w:t>
                      </w:r>
                    </w:p>
                    <w:p w14:paraId="687D12B8" w14:textId="77777777" w:rsidR="00D4214F" w:rsidRDefault="00D4214F"/>
                    <w:p w14:paraId="143F2FDB" w14:textId="21441DCC" w:rsidR="004642E1" w:rsidRDefault="004642E1" w:rsidP="004642E1">
                      <w:r>
                        <w:t>c = .73* (.48</w:t>
                      </w:r>
                      <w:r>
                        <w:rPr>
                          <w:vertAlign w:val="superscript"/>
                        </w:rPr>
                        <w:t>a</w:t>
                      </w:r>
                      <w:r>
                        <w:t>)</w:t>
                      </w:r>
                    </w:p>
                  </w:txbxContent>
                </v:textbox>
              </v:shape>
            </w:pict>
          </mc:Fallback>
        </mc:AlternateContent>
      </w:r>
    </w:p>
    <w:p w14:paraId="13009BF8" w14:textId="1D4E032F" w:rsidR="004642E1" w:rsidRPr="00B1522E" w:rsidRDefault="002410E6" w:rsidP="00AD77B4">
      <w:pPr>
        <w:jc w:val="both"/>
        <w:rPr>
          <w:rFonts w:cstheme="minorHAnsi"/>
        </w:rPr>
      </w:pPr>
      <w:r w:rsidRPr="00B1522E">
        <w:rPr>
          <w:b/>
          <w:bCs/>
          <w:i/>
          <w:iCs/>
        </w:rPr>
        <w:fldChar w:fldCharType="begin"/>
      </w:r>
      <w:r w:rsidRPr="00B1522E">
        <w:rPr>
          <w:b/>
          <w:bCs/>
        </w:rPr>
        <w:instrText xml:space="preserve"> TC  "</w:instrText>
      </w:r>
      <w:r w:rsidRPr="00B1522E">
        <w:rPr>
          <w:iCs/>
          <w:sz w:val="24"/>
          <w:szCs w:val="24"/>
        </w:rPr>
        <w:instrText xml:space="preserve"> </w:instrText>
      </w:r>
      <w:bookmarkStart w:id="264" w:name="_Toc97557151"/>
      <w:r w:rsidRPr="00B1522E">
        <w:rPr>
          <w:rFonts w:cstheme="minorHAnsi"/>
        </w:rPr>
        <w:instrText>F</w:instrText>
      </w:r>
      <w:r w:rsidRPr="00B1522E">
        <w:instrText xml:space="preserve">igure </w:instrText>
      </w:r>
      <w:r w:rsidR="00846EB9" w:rsidRPr="00B1522E">
        <w:instrText>4</w:instrText>
      </w:r>
      <w:r w:rsidRPr="00B1522E">
        <w:instrText>. Unstandardized and (in parentheses) standardized regression coefficients for the relationship between intervention condition and changes in personal attitude towards unhealthy snacking at Time 3, mediated by changes in normative misperceptions of peers’ attitude towards unhealthy snacking at Time 2.</w:instrText>
      </w:r>
      <w:bookmarkEnd w:id="264"/>
      <w:r w:rsidRPr="00B1522E">
        <w:rPr>
          <w:rFonts w:cstheme="minorHAnsi"/>
        </w:rPr>
        <w:instrText>”</w:instrText>
      </w:r>
      <w:r w:rsidRPr="00B1522E">
        <w:rPr>
          <w:b/>
          <w:bCs/>
        </w:rPr>
        <w:instrText xml:space="preserve">\f w\l 2 </w:instrText>
      </w:r>
      <w:r w:rsidRPr="00B1522E">
        <w:rPr>
          <w:b/>
          <w:bCs/>
          <w:i/>
          <w:iCs/>
        </w:rPr>
        <w:fldChar w:fldCharType="end"/>
      </w:r>
      <w:r w:rsidR="004642E1" w:rsidRPr="00B1522E">
        <w:rPr>
          <w:noProof/>
        </w:rPr>
        <mc:AlternateContent>
          <mc:Choice Requires="wps">
            <w:drawing>
              <wp:anchor distT="0" distB="0" distL="114300" distR="114300" simplePos="0" relativeHeight="251585536" behindDoc="0" locked="0" layoutInCell="1" allowOverlap="1" wp14:anchorId="04A2A766" wp14:editId="6EFCA02F">
                <wp:simplePos x="0" y="0"/>
                <wp:positionH relativeFrom="column">
                  <wp:posOffset>2394585</wp:posOffset>
                </wp:positionH>
                <wp:positionV relativeFrom="paragraph">
                  <wp:posOffset>2898140</wp:posOffset>
                </wp:positionV>
                <wp:extent cx="1714500" cy="3136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13690"/>
                        </a:xfrm>
                        <a:prstGeom prst="rect">
                          <a:avLst/>
                        </a:prstGeom>
                        <a:solidFill>
                          <a:schemeClr val="lt1"/>
                        </a:solidFill>
                        <a:ln w="6350">
                          <a:noFill/>
                        </a:ln>
                      </wps:spPr>
                      <wps:txbx>
                        <w:txbxContent>
                          <w:p w14:paraId="72CFA1CA" w14:textId="77777777" w:rsidR="004642E1" w:rsidRDefault="004642E1" w:rsidP="004642E1">
                            <w:r>
                              <w:t xml:space="preserve">c’ = </w:t>
                            </w:r>
                            <w:r>
                              <w:rPr>
                                <w:rFonts w:cstheme="minorHAnsi"/>
                              </w:rPr>
                              <w:t>.56* (.36</w:t>
                            </w:r>
                            <w:r>
                              <w:rPr>
                                <w:rFonts w:cstheme="minorHAnsi"/>
                                <w:vertAlign w:val="superscript"/>
                              </w:rPr>
                              <w:t>a</w:t>
                            </w:r>
                            <w:r>
                              <w:rPr>
                                <w:rFonts w:cstheme="minorHAnsi"/>
                              </w:rPr>
                              <w:t>)</w:t>
                            </w:r>
                          </w:p>
                          <w:p w14:paraId="227EBAB8" w14:textId="77777777" w:rsidR="00D4214F" w:rsidRDefault="00D4214F"/>
                          <w:p w14:paraId="72CDF3E4" w14:textId="77777777" w:rsidR="004642E1" w:rsidRDefault="004642E1" w:rsidP="004642E1">
                            <w:r>
                              <w:t xml:space="preserve">c’ = </w:t>
                            </w:r>
                            <w:r>
                              <w:rPr>
                                <w:rFonts w:cstheme="minorHAnsi"/>
                              </w:rPr>
                              <w:t>.56* (.36</w:t>
                            </w:r>
                            <w:r>
                              <w:rPr>
                                <w:rFonts w:cstheme="minorHAnsi"/>
                                <w:vertAlign w:val="superscript"/>
                              </w:rPr>
                              <w:t>a</w:t>
                            </w:r>
                            <w:r>
                              <w:rPr>
                                <w:rFonts w:cstheme="minorHAnsi"/>
                              </w:rPr>
                              <w:t>)</w:t>
                            </w:r>
                          </w:p>
                          <w:p w14:paraId="621263DE" w14:textId="77777777" w:rsidR="00D4214F" w:rsidRDefault="00D4214F"/>
                          <w:p w14:paraId="3F75CDB6" w14:textId="768E272B" w:rsidR="004642E1" w:rsidRDefault="004642E1" w:rsidP="004642E1">
                            <w:r>
                              <w:t xml:space="preserve">c’ = </w:t>
                            </w:r>
                            <w:r>
                              <w:rPr>
                                <w:rFonts w:cstheme="minorHAnsi"/>
                              </w:rPr>
                              <w:t>.56* (.36</w:t>
                            </w:r>
                            <w:r>
                              <w:rPr>
                                <w:rFonts w:cstheme="minorHAnsi"/>
                                <w:vertAlign w:val="superscript"/>
                              </w:rPr>
                              <w:t>a</w:t>
                            </w:r>
                            <w:r>
                              <w:rPr>
                                <w:rFonts w:cstheme="minorHAnsi"/>
                              </w:rPr>
                              <w:t>)</w:t>
                            </w:r>
                          </w:p>
                          <w:p w14:paraId="2561A373" w14:textId="77777777" w:rsidR="00D4214F" w:rsidRDefault="00D4214F"/>
                          <w:p w14:paraId="58C9C142" w14:textId="2DC82E92" w:rsidR="004642E1" w:rsidRDefault="004642E1" w:rsidP="004642E1">
                            <w:r>
                              <w:t xml:space="preserve">c’ = </w:t>
                            </w:r>
                            <w:r>
                              <w:rPr>
                                <w:rFonts w:cstheme="minorHAnsi"/>
                              </w:rPr>
                              <w:t>.56* (.36</w:t>
                            </w:r>
                            <w:r>
                              <w:rPr>
                                <w:rFonts w:cstheme="minorHAnsi"/>
                                <w:vertAlign w:val="superscript"/>
                              </w:rPr>
                              <w:t>a</w:t>
                            </w:r>
                            <w:r>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A2A766" id="Text Box 11" o:spid="_x0000_s1037" type="#_x0000_t202" style="position:absolute;left:0;text-align:left;margin-left:188.55pt;margin-top:228.2pt;width:135pt;height:24.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" fillcolor="white [3201]" stroked="f" strokeweight=".5pt">
                <v:textbox>
                  <w:txbxContent>
                    <w:p w14:paraId="72CFA1CA" w14:textId="77777777" w:rsidR="004642E1" w:rsidRDefault="004642E1" w:rsidP="004642E1">
                      <w:r>
                        <w:t xml:space="preserve">c’ = </w:t>
                      </w:r>
                      <w:r>
                        <w:rPr>
                          <w:rFonts w:cstheme="minorHAnsi"/>
                        </w:rPr>
                        <w:t>.56* (.36</w:t>
                      </w:r>
                      <w:r>
                        <w:rPr>
                          <w:rFonts w:cstheme="minorHAnsi"/>
                          <w:vertAlign w:val="superscript"/>
                        </w:rPr>
                        <w:t>a</w:t>
                      </w:r>
                      <w:r>
                        <w:rPr>
                          <w:rFonts w:cstheme="minorHAnsi"/>
                        </w:rPr>
                        <w:t>)</w:t>
                      </w:r>
                    </w:p>
                    <w:p w14:paraId="227EBAB8" w14:textId="77777777" w:rsidR="00D4214F" w:rsidRDefault="00D4214F"/>
                    <w:p w14:paraId="72CDF3E4" w14:textId="77777777" w:rsidR="004642E1" w:rsidRDefault="004642E1" w:rsidP="004642E1">
                      <w:r>
                        <w:t xml:space="preserve">c’ = </w:t>
                      </w:r>
                      <w:r>
                        <w:rPr>
                          <w:rFonts w:cstheme="minorHAnsi"/>
                        </w:rPr>
                        <w:t>.56* (.36</w:t>
                      </w:r>
                      <w:r>
                        <w:rPr>
                          <w:rFonts w:cstheme="minorHAnsi"/>
                          <w:vertAlign w:val="superscript"/>
                        </w:rPr>
                        <w:t>a</w:t>
                      </w:r>
                      <w:r>
                        <w:rPr>
                          <w:rFonts w:cstheme="minorHAnsi"/>
                        </w:rPr>
                        <w:t>)</w:t>
                      </w:r>
                    </w:p>
                    <w:p w14:paraId="621263DE" w14:textId="77777777" w:rsidR="00D4214F" w:rsidRDefault="00D4214F"/>
                    <w:p w14:paraId="3F75CDB6" w14:textId="768E272B" w:rsidR="004642E1" w:rsidRDefault="004642E1" w:rsidP="004642E1">
                      <w:r>
                        <w:t xml:space="preserve">c’ = </w:t>
                      </w:r>
                      <w:r>
                        <w:rPr>
                          <w:rFonts w:cstheme="minorHAnsi"/>
                        </w:rPr>
                        <w:t>.56* (.36</w:t>
                      </w:r>
                      <w:r>
                        <w:rPr>
                          <w:rFonts w:cstheme="minorHAnsi"/>
                          <w:vertAlign w:val="superscript"/>
                        </w:rPr>
                        <w:t>a</w:t>
                      </w:r>
                      <w:r>
                        <w:rPr>
                          <w:rFonts w:cstheme="minorHAnsi"/>
                        </w:rPr>
                        <w:t>)</w:t>
                      </w:r>
                    </w:p>
                    <w:p w14:paraId="2561A373" w14:textId="77777777" w:rsidR="00D4214F" w:rsidRDefault="00D4214F"/>
                    <w:p w14:paraId="58C9C142" w14:textId="2DC82E92" w:rsidR="004642E1" w:rsidRDefault="004642E1" w:rsidP="004642E1">
                      <w:r>
                        <w:t xml:space="preserve">c’ = </w:t>
                      </w:r>
                      <w:r>
                        <w:rPr>
                          <w:rFonts w:cstheme="minorHAnsi"/>
                        </w:rPr>
                        <w:t>.56* (.36</w:t>
                      </w:r>
                      <w:r>
                        <w:rPr>
                          <w:rFonts w:cstheme="minorHAnsi"/>
                          <w:vertAlign w:val="superscript"/>
                        </w:rPr>
                        <w:t>a</w:t>
                      </w:r>
                      <w:r>
                        <w:rPr>
                          <w:rFonts w:cstheme="minorHAnsi"/>
                        </w:rPr>
                        <w:t>)</w:t>
                      </w:r>
                    </w:p>
                  </w:txbxContent>
                </v:textbox>
              </v:shape>
            </w:pict>
          </mc:Fallback>
        </mc:AlternateContent>
      </w:r>
      <w:r w:rsidR="004642E1" w:rsidRPr="00B1522E">
        <w:rPr>
          <w:noProof/>
        </w:rPr>
        <mc:AlternateContent>
          <mc:Choice Requires="wps">
            <w:drawing>
              <wp:anchor distT="0" distB="0" distL="114300" distR="114300" simplePos="0" relativeHeight="251583488" behindDoc="0" locked="0" layoutInCell="1" allowOverlap="1" wp14:anchorId="6C9A2AC0" wp14:editId="7166F55E">
                <wp:simplePos x="0" y="0"/>
                <wp:positionH relativeFrom="column">
                  <wp:posOffset>4519930</wp:posOffset>
                </wp:positionH>
                <wp:positionV relativeFrom="paragraph">
                  <wp:posOffset>913765</wp:posOffset>
                </wp:positionV>
                <wp:extent cx="1002665" cy="3092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2665" cy="309245"/>
                        </a:xfrm>
                        <a:prstGeom prst="rect">
                          <a:avLst/>
                        </a:prstGeom>
                        <a:solidFill>
                          <a:schemeClr val="lt1"/>
                        </a:solidFill>
                        <a:ln w="6350">
                          <a:noFill/>
                        </a:ln>
                      </wps:spPr>
                      <wps:txbx>
                        <w:txbxContent>
                          <w:p w14:paraId="50DDE817" w14:textId="77777777" w:rsidR="004642E1" w:rsidRDefault="004642E1" w:rsidP="004642E1">
                            <w:r>
                              <w:t xml:space="preserve"> b = </w:t>
                            </w:r>
                            <w:r>
                              <w:rPr>
                                <w:rFonts w:cstheme="minorHAnsi"/>
                              </w:rPr>
                              <w:t>.17* (.23)</w:t>
                            </w:r>
                          </w:p>
                          <w:p w14:paraId="6C1D892D" w14:textId="77777777" w:rsidR="00D4214F" w:rsidRDefault="00D4214F"/>
                          <w:p w14:paraId="442486D9" w14:textId="77777777" w:rsidR="004642E1" w:rsidRDefault="004642E1" w:rsidP="004642E1">
                            <w:r>
                              <w:t xml:space="preserve"> b = </w:t>
                            </w:r>
                            <w:r>
                              <w:rPr>
                                <w:rFonts w:cstheme="minorHAnsi"/>
                              </w:rPr>
                              <w:t>.17* (.23)</w:t>
                            </w:r>
                          </w:p>
                          <w:p w14:paraId="48560447" w14:textId="77777777" w:rsidR="00D4214F" w:rsidRDefault="00D4214F"/>
                          <w:p w14:paraId="7BB79B1F" w14:textId="26EF02A4" w:rsidR="004642E1" w:rsidRDefault="004642E1" w:rsidP="004642E1">
                            <w:r>
                              <w:t xml:space="preserve"> b = </w:t>
                            </w:r>
                            <w:r>
                              <w:rPr>
                                <w:rFonts w:cstheme="minorHAnsi"/>
                              </w:rPr>
                              <w:t>.17* (.23)</w:t>
                            </w:r>
                          </w:p>
                          <w:p w14:paraId="4DC6DD9C" w14:textId="77777777" w:rsidR="00D4214F" w:rsidRDefault="00D4214F"/>
                          <w:p w14:paraId="7EC94E69" w14:textId="6130927F" w:rsidR="004642E1" w:rsidRDefault="004642E1" w:rsidP="004642E1">
                            <w:r>
                              <w:t xml:space="preserve"> b = </w:t>
                            </w:r>
                            <w:r>
                              <w:rPr>
                                <w:rFonts w:cstheme="minorHAnsi"/>
                              </w:rPr>
                              <w:t>.17*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A2AC0" id="Text Box 14" o:spid="_x0000_s1038" type="#_x0000_t202" style="position:absolute;left:0;text-align:left;margin-left:355.9pt;margin-top:71.95pt;width:78.95pt;height:2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" fillcolor="white [3201]" stroked="f" strokeweight=".5pt">
                <v:textbox>
                  <w:txbxContent>
                    <w:p w14:paraId="50DDE817" w14:textId="77777777" w:rsidR="004642E1" w:rsidRDefault="004642E1" w:rsidP="004642E1">
                      <w:r>
                        <w:t xml:space="preserve"> b = </w:t>
                      </w:r>
                      <w:r>
                        <w:rPr>
                          <w:rFonts w:cstheme="minorHAnsi"/>
                        </w:rPr>
                        <w:t>.17* (.23)</w:t>
                      </w:r>
                    </w:p>
                    <w:p w14:paraId="6C1D892D" w14:textId="77777777" w:rsidR="00D4214F" w:rsidRDefault="00D4214F"/>
                    <w:p w14:paraId="442486D9" w14:textId="77777777" w:rsidR="004642E1" w:rsidRDefault="004642E1" w:rsidP="004642E1">
                      <w:r>
                        <w:t xml:space="preserve"> b = </w:t>
                      </w:r>
                      <w:r>
                        <w:rPr>
                          <w:rFonts w:cstheme="minorHAnsi"/>
                        </w:rPr>
                        <w:t>.17* (.23)</w:t>
                      </w:r>
                    </w:p>
                    <w:p w14:paraId="48560447" w14:textId="77777777" w:rsidR="00D4214F" w:rsidRDefault="00D4214F"/>
                    <w:p w14:paraId="7BB79B1F" w14:textId="26EF02A4" w:rsidR="004642E1" w:rsidRDefault="004642E1" w:rsidP="004642E1">
                      <w:r>
                        <w:t xml:space="preserve"> b = </w:t>
                      </w:r>
                      <w:r>
                        <w:rPr>
                          <w:rFonts w:cstheme="minorHAnsi"/>
                        </w:rPr>
                        <w:t>.17* (.23)</w:t>
                      </w:r>
                    </w:p>
                    <w:p w14:paraId="4DC6DD9C" w14:textId="77777777" w:rsidR="00D4214F" w:rsidRDefault="00D4214F"/>
                    <w:p w14:paraId="7EC94E69" w14:textId="6130927F" w:rsidR="004642E1" w:rsidRDefault="004642E1" w:rsidP="004642E1">
                      <w:r>
                        <w:t xml:space="preserve"> b = </w:t>
                      </w:r>
                      <w:r>
                        <w:rPr>
                          <w:rFonts w:cstheme="minorHAnsi"/>
                        </w:rPr>
                        <w:t>.17* (.23)</w:t>
                      </w:r>
                    </w:p>
                  </w:txbxContent>
                </v:textbox>
              </v:shape>
            </w:pict>
          </mc:Fallback>
        </mc:AlternateContent>
      </w:r>
      <w:r w:rsidR="004642E1" w:rsidRPr="00B1522E">
        <w:rPr>
          <w:noProof/>
        </w:rPr>
        <mc:AlternateContent>
          <mc:Choice Requires="wps">
            <w:drawing>
              <wp:anchor distT="0" distB="0" distL="114300" distR="114300" simplePos="0" relativeHeight="251581440" behindDoc="0" locked="0" layoutInCell="1" allowOverlap="1" wp14:anchorId="15E00D77" wp14:editId="4F713A83">
                <wp:simplePos x="0" y="0"/>
                <wp:positionH relativeFrom="column">
                  <wp:posOffset>419735</wp:posOffset>
                </wp:positionH>
                <wp:positionV relativeFrom="paragraph">
                  <wp:posOffset>972820</wp:posOffset>
                </wp:positionV>
                <wp:extent cx="1054100" cy="34607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346075"/>
                        </a:xfrm>
                        <a:prstGeom prst="rect">
                          <a:avLst/>
                        </a:prstGeom>
                        <a:solidFill>
                          <a:schemeClr val="lt1"/>
                        </a:solidFill>
                        <a:ln w="6350">
                          <a:noFill/>
                        </a:ln>
                      </wps:spPr>
                      <wps:txbx>
                        <w:txbxContent>
                          <w:p w14:paraId="59D163F4" w14:textId="77777777"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50F47B7B" w14:textId="77777777" w:rsidR="004642E1" w:rsidRDefault="004642E1" w:rsidP="004642E1"/>
                          <w:p w14:paraId="4E31F07B" w14:textId="77777777" w:rsidR="00D4214F" w:rsidRDefault="00D4214F"/>
                          <w:p w14:paraId="6CE36D81" w14:textId="77777777"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6BECF15C" w14:textId="77777777" w:rsidR="004642E1" w:rsidRDefault="004642E1" w:rsidP="004642E1"/>
                          <w:p w14:paraId="7BF44E3B" w14:textId="77777777" w:rsidR="00D4214F" w:rsidRDefault="00D4214F"/>
                          <w:p w14:paraId="2D2F737A" w14:textId="666A185B"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106DD9E1" w14:textId="77777777" w:rsidR="004642E1" w:rsidRDefault="004642E1" w:rsidP="004642E1"/>
                          <w:p w14:paraId="614C35F2" w14:textId="77777777" w:rsidR="00D4214F" w:rsidRDefault="00D4214F"/>
                          <w:p w14:paraId="11DDB720" w14:textId="43BE815F"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01C6F323" w14:textId="77777777" w:rsidR="004642E1" w:rsidRDefault="004642E1" w:rsidP="00464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00D77" id="Text Box 15" o:spid="_x0000_s1039" type="#_x0000_t202" style="position:absolute;left:0;text-align:left;margin-left:33.05pt;margin-top:76.6pt;width:83pt;height:27.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" fillcolor="white [3201]" stroked="f" strokeweight=".5pt">
                <v:textbox>
                  <w:txbxContent>
                    <w:p w14:paraId="59D163F4" w14:textId="77777777"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50F47B7B" w14:textId="77777777" w:rsidR="004642E1" w:rsidRDefault="004642E1" w:rsidP="004642E1"/>
                    <w:p w14:paraId="4E31F07B" w14:textId="77777777" w:rsidR="00D4214F" w:rsidRDefault="00D4214F"/>
                    <w:p w14:paraId="6CE36D81" w14:textId="77777777"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6BECF15C" w14:textId="77777777" w:rsidR="004642E1" w:rsidRDefault="004642E1" w:rsidP="004642E1"/>
                    <w:p w14:paraId="7BF44E3B" w14:textId="77777777" w:rsidR="00D4214F" w:rsidRDefault="00D4214F"/>
                    <w:p w14:paraId="2D2F737A" w14:textId="666A185B"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106DD9E1" w14:textId="77777777" w:rsidR="004642E1" w:rsidRDefault="004642E1" w:rsidP="004642E1"/>
                    <w:p w14:paraId="614C35F2" w14:textId="77777777" w:rsidR="00D4214F" w:rsidRDefault="00D4214F"/>
                    <w:p w14:paraId="11DDB720" w14:textId="43BE815F" w:rsidR="004642E1" w:rsidRDefault="004642E1" w:rsidP="004642E1">
                      <w:pPr>
                        <w:tabs>
                          <w:tab w:val="left" w:pos="6043"/>
                        </w:tabs>
                        <w:rPr>
                          <w:rFonts w:cstheme="minorHAnsi"/>
                        </w:rPr>
                      </w:pPr>
                      <w:r>
                        <w:t>a = 1</w:t>
                      </w:r>
                      <w:r>
                        <w:rPr>
                          <w:rFonts w:cstheme="minorHAnsi"/>
                        </w:rPr>
                        <w:t>.08* (.50</w:t>
                      </w:r>
                      <w:r>
                        <w:rPr>
                          <w:rFonts w:cstheme="minorHAnsi"/>
                          <w:vertAlign w:val="superscript"/>
                        </w:rPr>
                        <w:t>a</w:t>
                      </w:r>
                      <w:r>
                        <w:rPr>
                          <w:rFonts w:cstheme="minorHAnsi"/>
                        </w:rPr>
                        <w:t>)</w:t>
                      </w:r>
                    </w:p>
                    <w:p w14:paraId="01C6F323" w14:textId="77777777" w:rsidR="004642E1" w:rsidRDefault="004642E1" w:rsidP="004642E1"/>
                  </w:txbxContent>
                </v:textbox>
              </v:shape>
            </w:pict>
          </mc:Fallback>
        </mc:AlternateContent>
      </w:r>
      <w:r w:rsidR="004642E1" w:rsidRPr="00B1522E">
        <w:rPr>
          <w:noProof/>
        </w:rPr>
        <mc:AlternateContent>
          <mc:Choice Requires="wps">
            <w:drawing>
              <wp:anchor distT="0" distB="0" distL="114300" distR="114300" simplePos="0" relativeHeight="251593728" behindDoc="0" locked="0" layoutInCell="1" allowOverlap="1" wp14:anchorId="45DE9AD7" wp14:editId="07E70F7D">
                <wp:simplePos x="0" y="0"/>
                <wp:positionH relativeFrom="column">
                  <wp:posOffset>4048760</wp:posOffset>
                </wp:positionH>
                <wp:positionV relativeFrom="paragraph">
                  <wp:posOffset>412750</wp:posOffset>
                </wp:positionV>
                <wp:extent cx="1149985" cy="1791970"/>
                <wp:effectExtent l="19050" t="19050" r="50165" b="368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9985" cy="179197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8D65748" id="_x0000_t32" coordsize="21600,21600" o:spt="32" o:oned="t" path="m,l21600,21600e" filled="f">
                <v:path arrowok="t" fillok="f" o:connecttype="none"/>
                <o:lock v:ext="edit" shapetype="t"/>
              </v:shapetype>
              <v:shape id="Straight Arrow Connector 16" o:spid="_x0000_s1026" type="#_x0000_t32" style="position:absolute;margin-left:318.8pt;margin-top:32.5pt;width:90.55pt;height:1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" strokecolor="black [3213]" strokeweight="3pt">
                <v:stroke endarrow="block" joinstyle="miter"/>
                <o:lock v:ext="edit" shapetype="f"/>
              </v:shape>
            </w:pict>
          </mc:Fallback>
        </mc:AlternateContent>
      </w:r>
      <w:r w:rsidR="004642E1" w:rsidRPr="00B1522E">
        <w:rPr>
          <w:noProof/>
        </w:rPr>
        <mc:AlternateContent>
          <mc:Choice Requires="wps">
            <w:drawing>
              <wp:anchor distT="4294967295" distB="4294967295" distL="114300" distR="114300" simplePos="0" relativeHeight="251579392" behindDoc="0" locked="0" layoutInCell="1" allowOverlap="1" wp14:anchorId="4649D8AB" wp14:editId="1A0A030C">
                <wp:simplePos x="0" y="0"/>
                <wp:positionH relativeFrom="column">
                  <wp:posOffset>2131060</wp:posOffset>
                </wp:positionH>
                <wp:positionV relativeFrom="paragraph">
                  <wp:posOffset>2529204</wp:posOffset>
                </wp:positionV>
                <wp:extent cx="1504315" cy="0"/>
                <wp:effectExtent l="0" t="95250" r="0" b="762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31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44998B" id="Straight Arrow Connector 17" o:spid="_x0000_s1026" type="#_x0000_t32" style="position:absolute;margin-left:167.8pt;margin-top:199.15pt;width:118.45pt;height:0;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" strokecolor="black [3213]" strokeweight="3pt">
                <v:stroke endarrow="block" joinstyle="miter"/>
                <o:lock v:ext="edit" shapetype="f"/>
              </v:shape>
            </w:pict>
          </mc:Fallback>
        </mc:AlternateContent>
      </w:r>
      <w:r w:rsidR="004642E1" w:rsidRPr="00B1522E">
        <w:rPr>
          <w:noProof/>
        </w:rPr>
        <mc:AlternateContent>
          <mc:Choice Requires="wps">
            <w:drawing>
              <wp:anchor distT="0" distB="0" distL="114300" distR="114300" simplePos="0" relativeHeight="251591680" behindDoc="0" locked="0" layoutInCell="1" allowOverlap="1" wp14:anchorId="0D239E8E" wp14:editId="2A867418">
                <wp:simplePos x="0" y="0"/>
                <wp:positionH relativeFrom="column">
                  <wp:posOffset>715010</wp:posOffset>
                </wp:positionH>
                <wp:positionV relativeFrom="paragraph">
                  <wp:posOffset>479425</wp:posOffset>
                </wp:positionV>
                <wp:extent cx="1202055" cy="1725295"/>
                <wp:effectExtent l="19050" t="38100" r="36195" b="82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2055" cy="17252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D4C04D" id="Straight Arrow Connector 18" o:spid="_x0000_s1026" type="#_x0000_t32" style="position:absolute;margin-left:56.3pt;margin-top:37.75pt;width:94.65pt;height:135.8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" strokecolor="black [3213]" strokeweight="3pt">
                <v:stroke endarrow="block" joinstyle="miter"/>
                <o:lock v:ext="edit" shapetype="f"/>
              </v:shape>
            </w:pict>
          </mc:Fallback>
        </mc:AlternateContent>
      </w:r>
      <w:r w:rsidR="004642E1" w:rsidRPr="00B1522E">
        <w:rPr>
          <w:noProof/>
        </w:rPr>
        <mc:AlternateContent>
          <mc:Choice Requires="wps">
            <w:drawing>
              <wp:anchor distT="0" distB="0" distL="114300" distR="114300" simplePos="0" relativeHeight="251589632" behindDoc="0" locked="0" layoutInCell="1" allowOverlap="1" wp14:anchorId="032093A4" wp14:editId="13CCA2AB">
                <wp:simplePos x="0" y="0"/>
                <wp:positionH relativeFrom="column">
                  <wp:posOffset>3633470</wp:posOffset>
                </wp:positionH>
                <wp:positionV relativeFrom="paragraph">
                  <wp:posOffset>2201545</wp:posOffset>
                </wp:positionV>
                <wp:extent cx="2064385" cy="663575"/>
                <wp:effectExtent l="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4385" cy="663575"/>
                        </a:xfrm>
                        <a:prstGeom prst="rect">
                          <a:avLst/>
                        </a:prstGeom>
                        <a:solidFill>
                          <a:schemeClr val="lt1"/>
                        </a:solidFill>
                        <a:ln w="6350">
                          <a:solidFill>
                            <a:prstClr val="black"/>
                          </a:solidFill>
                        </a:ln>
                      </wps:spPr>
                      <wps:txbx>
                        <w:txbxContent>
                          <w:p w14:paraId="6BE4BBEF" w14:textId="77777777" w:rsidR="004642E1" w:rsidRDefault="004642E1" w:rsidP="004642E1">
                            <w:pPr>
                              <w:jc w:val="center"/>
                            </w:pPr>
                            <w:r>
                              <w:t>Changes in personal attitude towards unhealthy snacking attitude, Time 3 (Y)</w:t>
                            </w:r>
                          </w:p>
                          <w:p w14:paraId="410AA188" w14:textId="77777777" w:rsidR="00D4214F" w:rsidRDefault="00D4214F"/>
                          <w:p w14:paraId="4FE3B2DA" w14:textId="77777777" w:rsidR="004642E1" w:rsidRDefault="004642E1" w:rsidP="004642E1">
                            <w:pPr>
                              <w:jc w:val="center"/>
                            </w:pPr>
                            <w:r>
                              <w:t>Changes in personal attitude towards unhealthy snacking attitude, Time 3 (Y)</w:t>
                            </w:r>
                          </w:p>
                          <w:p w14:paraId="6D5123DE" w14:textId="77777777" w:rsidR="00D4214F" w:rsidRDefault="00D4214F"/>
                          <w:p w14:paraId="30FD7E37" w14:textId="5CD9F136" w:rsidR="004642E1" w:rsidRDefault="004642E1" w:rsidP="004642E1">
                            <w:pPr>
                              <w:jc w:val="center"/>
                            </w:pPr>
                            <w:r>
                              <w:t>Changes in personal attitude towards unhealthy snacking attitude, Time 3 (Y)</w:t>
                            </w:r>
                          </w:p>
                          <w:p w14:paraId="07DFDFEC" w14:textId="77777777" w:rsidR="00D4214F" w:rsidRDefault="00D4214F"/>
                          <w:p w14:paraId="2D85A576" w14:textId="329E0F57" w:rsidR="004642E1" w:rsidRDefault="004642E1" w:rsidP="004642E1">
                            <w:pPr>
                              <w:jc w:val="center"/>
                            </w:pPr>
                            <w:r>
                              <w:t>Changes in personal attitude towards unhealthy snacking attitude, Time 3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93A4" id="Text Box 19" o:spid="_x0000_s1040" type="#_x0000_t202" style="position:absolute;left:0;text-align:left;margin-left:286.1pt;margin-top:173.35pt;width:162.55pt;height: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" fillcolor="white [3201]" strokeweight=".5pt">
                <v:path arrowok="t"/>
                <v:textbox>
                  <w:txbxContent>
                    <w:p w14:paraId="6BE4BBEF" w14:textId="77777777" w:rsidR="004642E1" w:rsidRDefault="004642E1" w:rsidP="004642E1">
                      <w:pPr>
                        <w:jc w:val="center"/>
                      </w:pPr>
                      <w:r>
                        <w:t>Changes in personal attitude towards unhealthy snacking attitude, Time 3 (Y)</w:t>
                      </w:r>
                    </w:p>
                    <w:p w14:paraId="410AA188" w14:textId="77777777" w:rsidR="00D4214F" w:rsidRDefault="00D4214F"/>
                    <w:p w14:paraId="4FE3B2DA" w14:textId="77777777" w:rsidR="004642E1" w:rsidRDefault="004642E1" w:rsidP="004642E1">
                      <w:pPr>
                        <w:jc w:val="center"/>
                      </w:pPr>
                      <w:r>
                        <w:t>Changes in personal attitude towards unhealthy snacking attitude, Time 3 (Y)</w:t>
                      </w:r>
                    </w:p>
                    <w:p w14:paraId="6D5123DE" w14:textId="77777777" w:rsidR="00D4214F" w:rsidRDefault="00D4214F"/>
                    <w:p w14:paraId="30FD7E37" w14:textId="5CD9F136" w:rsidR="004642E1" w:rsidRDefault="004642E1" w:rsidP="004642E1">
                      <w:pPr>
                        <w:jc w:val="center"/>
                      </w:pPr>
                      <w:r>
                        <w:t>Changes in personal attitude towards unhealthy snacking attitude, Time 3 (Y)</w:t>
                      </w:r>
                    </w:p>
                    <w:p w14:paraId="07DFDFEC" w14:textId="77777777" w:rsidR="00D4214F" w:rsidRDefault="00D4214F"/>
                    <w:p w14:paraId="2D85A576" w14:textId="329E0F57" w:rsidR="004642E1" w:rsidRDefault="004642E1" w:rsidP="004642E1">
                      <w:pPr>
                        <w:jc w:val="center"/>
                      </w:pPr>
                      <w:r>
                        <w:t>Changes in personal attitude towards unhealthy snacking attitude, Time 3 (Y)</w:t>
                      </w:r>
                    </w:p>
                  </w:txbxContent>
                </v:textbox>
              </v:shape>
            </w:pict>
          </mc:Fallback>
        </mc:AlternateContent>
      </w:r>
      <w:r w:rsidR="004642E1" w:rsidRPr="00B1522E">
        <w:rPr>
          <w:noProof/>
        </w:rPr>
        <mc:AlternateContent>
          <mc:Choice Requires="wps">
            <w:drawing>
              <wp:anchor distT="0" distB="0" distL="114300" distR="114300" simplePos="0" relativeHeight="251577344" behindDoc="0" locked="0" layoutInCell="1" allowOverlap="1" wp14:anchorId="2C89346B" wp14:editId="26ACC37D">
                <wp:simplePos x="0" y="0"/>
                <wp:positionH relativeFrom="column">
                  <wp:posOffset>36830</wp:posOffset>
                </wp:positionH>
                <wp:positionV relativeFrom="paragraph">
                  <wp:posOffset>2208530</wp:posOffset>
                </wp:positionV>
                <wp:extent cx="2094230" cy="663575"/>
                <wp:effectExtent l="0" t="0" r="127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663575"/>
                        </a:xfrm>
                        <a:prstGeom prst="rect">
                          <a:avLst/>
                        </a:prstGeom>
                        <a:solidFill>
                          <a:schemeClr val="lt1"/>
                        </a:solidFill>
                        <a:ln w="6350">
                          <a:solidFill>
                            <a:prstClr val="black"/>
                          </a:solidFill>
                        </a:ln>
                      </wps:spPr>
                      <wps:txbx>
                        <w:txbxContent>
                          <w:p w14:paraId="275A1A02" w14:textId="2A9C9ECE" w:rsidR="004642E1" w:rsidRDefault="00C067C3" w:rsidP="004642E1">
                            <w:pPr>
                              <w:spacing w:before="240" w:line="276" w:lineRule="auto"/>
                              <w:jc w:val="center"/>
                            </w:pPr>
                            <w:r>
                              <w:t>C</w:t>
                            </w:r>
                            <w:r w:rsidR="004642E1">
                              <w:t>ondition (X)</w:t>
                            </w:r>
                          </w:p>
                          <w:p w14:paraId="46A4975E" w14:textId="77777777" w:rsidR="00D4214F" w:rsidRDefault="00D4214F"/>
                          <w:p w14:paraId="334FC66B" w14:textId="77777777" w:rsidR="004642E1" w:rsidRDefault="004642E1" w:rsidP="004642E1">
                            <w:pPr>
                              <w:spacing w:before="240" w:line="276" w:lineRule="auto"/>
                              <w:jc w:val="center"/>
                            </w:pPr>
                            <w:r>
                              <w:t>Intervention condition (X)</w:t>
                            </w:r>
                          </w:p>
                          <w:p w14:paraId="167BC579" w14:textId="77777777" w:rsidR="00D4214F" w:rsidRDefault="00D4214F"/>
                          <w:p w14:paraId="7C7AE651" w14:textId="25537B31" w:rsidR="004642E1" w:rsidRDefault="004642E1" w:rsidP="004642E1">
                            <w:pPr>
                              <w:spacing w:before="240" w:line="276" w:lineRule="auto"/>
                              <w:jc w:val="center"/>
                            </w:pPr>
                            <w:r>
                              <w:t>Intervention condition (X)</w:t>
                            </w:r>
                          </w:p>
                          <w:p w14:paraId="11E2BD8B" w14:textId="77777777" w:rsidR="00D4214F" w:rsidRDefault="00D4214F"/>
                          <w:p w14:paraId="7DAB2EE7" w14:textId="428E4ABF" w:rsidR="004642E1" w:rsidRDefault="004642E1" w:rsidP="004642E1">
                            <w:pPr>
                              <w:spacing w:before="240" w:line="276" w:lineRule="auto"/>
                              <w:jc w:val="center"/>
                            </w:pPr>
                            <w:r>
                              <w:t>Intervention condition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346B" id="Text Box 20" o:spid="_x0000_s1041" type="#_x0000_t202" style="position:absolute;left:0;text-align:left;margin-left:2.9pt;margin-top:173.9pt;width:164.9pt;height:52.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" fillcolor="white [3201]" strokeweight=".5pt">
                <v:path arrowok="t"/>
                <v:textbox>
                  <w:txbxContent>
                    <w:p w14:paraId="275A1A02" w14:textId="2A9C9ECE" w:rsidR="004642E1" w:rsidRDefault="00C067C3" w:rsidP="004642E1">
                      <w:pPr>
                        <w:spacing w:before="240" w:line="276" w:lineRule="auto"/>
                        <w:jc w:val="center"/>
                      </w:pPr>
                      <w:r>
                        <w:t>C</w:t>
                      </w:r>
                      <w:r w:rsidR="004642E1">
                        <w:t>ondition (X)</w:t>
                      </w:r>
                    </w:p>
                    <w:p w14:paraId="46A4975E" w14:textId="77777777" w:rsidR="00D4214F" w:rsidRDefault="00D4214F"/>
                    <w:p w14:paraId="334FC66B" w14:textId="77777777" w:rsidR="004642E1" w:rsidRDefault="004642E1" w:rsidP="004642E1">
                      <w:pPr>
                        <w:spacing w:before="240" w:line="276" w:lineRule="auto"/>
                        <w:jc w:val="center"/>
                      </w:pPr>
                      <w:r>
                        <w:t>Intervention condition (X)</w:t>
                      </w:r>
                    </w:p>
                    <w:p w14:paraId="167BC579" w14:textId="77777777" w:rsidR="00D4214F" w:rsidRDefault="00D4214F"/>
                    <w:p w14:paraId="7C7AE651" w14:textId="25537B31" w:rsidR="004642E1" w:rsidRDefault="004642E1" w:rsidP="004642E1">
                      <w:pPr>
                        <w:spacing w:before="240" w:line="276" w:lineRule="auto"/>
                        <w:jc w:val="center"/>
                      </w:pPr>
                      <w:r>
                        <w:t>Intervention condition (X)</w:t>
                      </w:r>
                    </w:p>
                    <w:p w14:paraId="11E2BD8B" w14:textId="77777777" w:rsidR="00D4214F" w:rsidRDefault="00D4214F"/>
                    <w:p w14:paraId="7DAB2EE7" w14:textId="428E4ABF" w:rsidR="004642E1" w:rsidRDefault="004642E1" w:rsidP="004642E1">
                      <w:pPr>
                        <w:spacing w:before="240" w:line="276" w:lineRule="auto"/>
                        <w:jc w:val="center"/>
                      </w:pPr>
                      <w:r>
                        <w:t>Intervention condition (X)</w:t>
                      </w:r>
                    </w:p>
                  </w:txbxContent>
                </v:textbox>
              </v:shape>
            </w:pict>
          </mc:Fallback>
        </mc:AlternateContent>
      </w:r>
      <w:r w:rsidR="004642E1" w:rsidRPr="00B1522E">
        <w:rPr>
          <w:noProof/>
        </w:rPr>
        <mc:AlternateContent>
          <mc:Choice Requires="wps">
            <w:drawing>
              <wp:anchor distT="0" distB="0" distL="114300" distR="114300" simplePos="0" relativeHeight="251575296" behindDoc="0" locked="0" layoutInCell="1" allowOverlap="1" wp14:anchorId="4CD46B59" wp14:editId="6BC8C676">
                <wp:simplePos x="0" y="0"/>
                <wp:positionH relativeFrom="column">
                  <wp:posOffset>1951355</wp:posOffset>
                </wp:positionH>
                <wp:positionV relativeFrom="paragraph">
                  <wp:posOffset>121285</wp:posOffset>
                </wp:positionV>
                <wp:extent cx="2095500" cy="662305"/>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662305"/>
                        </a:xfrm>
                        <a:prstGeom prst="rect">
                          <a:avLst/>
                        </a:prstGeom>
                        <a:solidFill>
                          <a:schemeClr val="lt1"/>
                        </a:solidFill>
                        <a:ln w="6350">
                          <a:solidFill>
                            <a:prstClr val="black"/>
                          </a:solidFill>
                        </a:ln>
                      </wps:spPr>
                      <wps:txbx>
                        <w:txbxContent>
                          <w:p w14:paraId="309AC213" w14:textId="77777777" w:rsidR="004642E1" w:rsidRDefault="004642E1" w:rsidP="004642E1">
                            <w:pPr>
                              <w:jc w:val="center"/>
                            </w:pPr>
                            <w:r>
                              <w:t>Changes in misperception of peers’ attitude towards unhealthy snacking, Time 2 (M)</w:t>
                            </w:r>
                          </w:p>
                          <w:p w14:paraId="3C141703" w14:textId="77777777" w:rsidR="00D4214F" w:rsidRDefault="00D4214F"/>
                          <w:p w14:paraId="69C3AC33" w14:textId="77777777" w:rsidR="004642E1" w:rsidRDefault="004642E1" w:rsidP="004642E1">
                            <w:pPr>
                              <w:jc w:val="center"/>
                            </w:pPr>
                            <w:r>
                              <w:t>Changes in misperception of peers’ attitude towards unhealthy snacking, Time 2 (M)</w:t>
                            </w:r>
                          </w:p>
                          <w:p w14:paraId="12B1FFC4" w14:textId="77777777" w:rsidR="00D4214F" w:rsidRDefault="00D4214F"/>
                          <w:p w14:paraId="7119265B" w14:textId="51ADB082" w:rsidR="004642E1" w:rsidRDefault="004642E1" w:rsidP="004642E1">
                            <w:pPr>
                              <w:jc w:val="center"/>
                            </w:pPr>
                            <w:r>
                              <w:t>Changes in misperception of peers’ attitude towards unhealthy snacking, Time 2 (M)</w:t>
                            </w:r>
                          </w:p>
                          <w:p w14:paraId="6CE15C47" w14:textId="77777777" w:rsidR="00D4214F" w:rsidRDefault="00D4214F"/>
                          <w:p w14:paraId="68F5D49D" w14:textId="1C9E0D4D" w:rsidR="004642E1" w:rsidRDefault="004642E1" w:rsidP="004642E1">
                            <w:pPr>
                              <w:jc w:val="center"/>
                            </w:pPr>
                            <w:r>
                              <w:t>Changes in misperception of peers’ attitude towards unhealthy snacking, Time 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6B59" id="Text Box 21" o:spid="_x0000_s1042" type="#_x0000_t202" style="position:absolute;left:0;text-align:left;margin-left:153.65pt;margin-top:9.55pt;width:165pt;height:52.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" fillcolor="white [3201]" strokeweight=".5pt">
                <v:path arrowok="t"/>
                <v:textbox>
                  <w:txbxContent>
                    <w:p w14:paraId="309AC213" w14:textId="77777777" w:rsidR="004642E1" w:rsidRDefault="004642E1" w:rsidP="004642E1">
                      <w:pPr>
                        <w:jc w:val="center"/>
                      </w:pPr>
                      <w:r>
                        <w:t>Changes in misperception of peers’ attitude towards unhealthy snacking, Time 2 (M)</w:t>
                      </w:r>
                    </w:p>
                    <w:p w14:paraId="3C141703" w14:textId="77777777" w:rsidR="00D4214F" w:rsidRDefault="00D4214F"/>
                    <w:p w14:paraId="69C3AC33" w14:textId="77777777" w:rsidR="004642E1" w:rsidRDefault="004642E1" w:rsidP="004642E1">
                      <w:pPr>
                        <w:jc w:val="center"/>
                      </w:pPr>
                      <w:r>
                        <w:t>Changes in misperception of peers’ attitude towards unhealthy snacking, Time 2 (M)</w:t>
                      </w:r>
                    </w:p>
                    <w:p w14:paraId="12B1FFC4" w14:textId="77777777" w:rsidR="00D4214F" w:rsidRDefault="00D4214F"/>
                    <w:p w14:paraId="7119265B" w14:textId="51ADB082" w:rsidR="004642E1" w:rsidRDefault="004642E1" w:rsidP="004642E1">
                      <w:pPr>
                        <w:jc w:val="center"/>
                      </w:pPr>
                      <w:r>
                        <w:t>Changes in misperception of peers’ attitude towards unhealthy snacking, Time 2 (M)</w:t>
                      </w:r>
                    </w:p>
                    <w:p w14:paraId="6CE15C47" w14:textId="77777777" w:rsidR="00D4214F" w:rsidRDefault="00D4214F"/>
                    <w:p w14:paraId="68F5D49D" w14:textId="1C9E0D4D" w:rsidR="004642E1" w:rsidRDefault="004642E1" w:rsidP="004642E1">
                      <w:pPr>
                        <w:jc w:val="center"/>
                      </w:pPr>
                      <w:r>
                        <w:t>Changes in misperception of peers’ attitude towards unhealthy snacking, Time 2 (M)</w:t>
                      </w:r>
                    </w:p>
                  </w:txbxContent>
                </v:textbox>
              </v:shape>
            </w:pict>
          </mc:Fallback>
        </mc:AlternateContent>
      </w:r>
      <w:r w:rsidR="004642E1" w:rsidRPr="00B1522E">
        <w:rPr>
          <w:noProof/>
        </w:rPr>
        <mc:AlternateContent>
          <mc:Choice Requires="wps">
            <w:drawing>
              <wp:anchor distT="0" distB="0" distL="114300" distR="114300" simplePos="0" relativeHeight="251573248" behindDoc="0" locked="0" layoutInCell="1" allowOverlap="1" wp14:anchorId="54FBD46F" wp14:editId="5B030DA1">
                <wp:simplePos x="0" y="0"/>
                <wp:positionH relativeFrom="column">
                  <wp:posOffset>36830</wp:posOffset>
                </wp:positionH>
                <wp:positionV relativeFrom="paragraph">
                  <wp:posOffset>0</wp:posOffset>
                </wp:positionV>
                <wp:extent cx="5958205" cy="328168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205" cy="3281680"/>
                        </a:xfrm>
                        <a:prstGeom prst="rect">
                          <a:avLst/>
                        </a:prstGeom>
                        <a:solidFill>
                          <a:schemeClr val="lt1"/>
                        </a:solidFill>
                        <a:ln w="6350">
                          <a:noFill/>
                        </a:ln>
                      </wps:spPr>
                      <wps:txbx>
                        <w:txbxContent>
                          <w:p w14:paraId="08E8DC7C" w14:textId="77777777" w:rsidR="004642E1" w:rsidRDefault="004642E1" w:rsidP="004642E1"/>
                          <w:p w14:paraId="685F3100" w14:textId="77777777" w:rsidR="00D4214F" w:rsidRDefault="00D4214F"/>
                          <w:p w14:paraId="26E7B06F" w14:textId="77777777" w:rsidR="004642E1" w:rsidRDefault="004642E1" w:rsidP="004642E1"/>
                          <w:p w14:paraId="2168473A" w14:textId="77777777" w:rsidR="00D4214F" w:rsidRDefault="00D4214F"/>
                          <w:p w14:paraId="4D9A0EBF" w14:textId="388138B0" w:rsidR="004642E1" w:rsidRDefault="004642E1" w:rsidP="004642E1"/>
                          <w:p w14:paraId="2A34A2C9" w14:textId="77777777" w:rsidR="00D4214F" w:rsidRDefault="00D4214F"/>
                          <w:p w14:paraId="72B379F2" w14:textId="4055B3FD" w:rsidR="004642E1" w:rsidRDefault="004642E1" w:rsidP="00464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FBD46F" id="Text Box 22" o:spid="_x0000_s1043" type="#_x0000_t202" style="position:absolute;left:0;text-align:left;margin-left:2.9pt;margin-top:0;width:469.15pt;height:258.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" fillcolor="white [3201]" stroked="f" strokeweight=".5pt">
                <v:textbox>
                  <w:txbxContent>
                    <w:p w14:paraId="08E8DC7C" w14:textId="77777777" w:rsidR="004642E1" w:rsidRDefault="004642E1" w:rsidP="004642E1"/>
                    <w:p w14:paraId="685F3100" w14:textId="77777777" w:rsidR="00D4214F" w:rsidRDefault="00D4214F"/>
                    <w:p w14:paraId="26E7B06F" w14:textId="77777777" w:rsidR="004642E1" w:rsidRDefault="004642E1" w:rsidP="004642E1"/>
                    <w:p w14:paraId="2168473A" w14:textId="77777777" w:rsidR="00D4214F" w:rsidRDefault="00D4214F"/>
                    <w:p w14:paraId="4D9A0EBF" w14:textId="388138B0" w:rsidR="004642E1" w:rsidRDefault="004642E1" w:rsidP="004642E1"/>
                    <w:p w14:paraId="2A34A2C9" w14:textId="77777777" w:rsidR="00D4214F" w:rsidRDefault="00D4214F"/>
                    <w:p w14:paraId="72B379F2" w14:textId="4055B3FD" w:rsidR="004642E1" w:rsidRDefault="004642E1" w:rsidP="004642E1"/>
                  </w:txbxContent>
                </v:textbox>
                <w10:wrap type="square"/>
              </v:shape>
            </w:pict>
          </mc:Fallback>
        </mc:AlternateContent>
      </w:r>
      <w:r w:rsidR="004642E1" w:rsidRPr="00B1522E">
        <w:rPr>
          <w:rFonts w:cstheme="minorHAnsi"/>
        </w:rPr>
        <w:t>F</w:t>
      </w:r>
      <w:r w:rsidR="004642E1" w:rsidRPr="00B1522E">
        <w:t xml:space="preserve">igure </w:t>
      </w:r>
      <w:r w:rsidR="00846EB9" w:rsidRPr="00B1522E">
        <w:t>4</w:t>
      </w:r>
      <w:r w:rsidR="004642E1" w:rsidRPr="00B1522E">
        <w:t>. Unstandardized and (in parentheses) standardized regression coefficients for the relationship between condition</w:t>
      </w:r>
      <w:r w:rsidR="00C067C3" w:rsidRPr="00B1522E">
        <w:t>s</w:t>
      </w:r>
      <w:r w:rsidR="004642E1" w:rsidRPr="00B1522E">
        <w:t xml:space="preserve"> and changes in personal attitude towards unhealthy snacking at Time 3, mediated by changes in normative misperceptions of peers’ attitude towards unhealthy snacking at Time 2. </w:t>
      </w:r>
    </w:p>
    <w:p w14:paraId="196C3D82" w14:textId="77777777" w:rsidR="004642E1" w:rsidRPr="00B1522E" w:rsidRDefault="004642E1" w:rsidP="004642E1">
      <w:pPr>
        <w:rPr>
          <w:rFonts w:cstheme="minorHAnsi"/>
        </w:rPr>
      </w:pPr>
      <w:r w:rsidRPr="00B1522E">
        <w:rPr>
          <w:rFonts w:cstheme="minorHAnsi"/>
        </w:rPr>
        <w:t>*</w:t>
      </w:r>
      <w:r w:rsidRPr="00B1522E">
        <w:rPr>
          <w:rFonts w:cstheme="minorHAnsi"/>
          <w:i/>
          <w:iCs/>
        </w:rPr>
        <w:t>p</w:t>
      </w:r>
      <w:r w:rsidRPr="00B1522E">
        <w:rPr>
          <w:rFonts w:cstheme="minorHAnsi"/>
        </w:rPr>
        <w:t xml:space="preserve"> &lt; .05 </w:t>
      </w:r>
    </w:p>
    <w:p w14:paraId="6880517B" w14:textId="77777777" w:rsidR="004642E1" w:rsidRPr="00B1522E" w:rsidRDefault="004642E1" w:rsidP="004642E1">
      <w:pPr>
        <w:tabs>
          <w:tab w:val="left" w:pos="6043"/>
        </w:tabs>
        <w:rPr>
          <w:rFonts w:cstheme="minorHAnsi"/>
        </w:rPr>
      </w:pPr>
      <w:r w:rsidRPr="00B1522E">
        <w:rPr>
          <w:rFonts w:cstheme="minorHAnsi"/>
        </w:rPr>
        <w:t>c – total effect</w:t>
      </w:r>
    </w:p>
    <w:p w14:paraId="1DC2D0CD" w14:textId="77777777" w:rsidR="004642E1" w:rsidRPr="00B1522E" w:rsidRDefault="004642E1" w:rsidP="004642E1">
      <w:pPr>
        <w:tabs>
          <w:tab w:val="left" w:pos="6043"/>
        </w:tabs>
        <w:rPr>
          <w:rFonts w:cstheme="minorHAnsi"/>
        </w:rPr>
      </w:pPr>
      <w:r w:rsidRPr="00B1522E">
        <w:rPr>
          <w:rFonts w:cstheme="minorHAnsi"/>
        </w:rPr>
        <w:t>c’ – direct effect</w:t>
      </w:r>
    </w:p>
    <w:p w14:paraId="55D0F847" w14:textId="68AE4194" w:rsidR="004642E1" w:rsidRPr="00B1522E" w:rsidRDefault="004642E1" w:rsidP="004642E1">
      <w:pPr>
        <w:jc w:val="both"/>
        <w:rPr>
          <w:rFonts w:ascii="Calibri" w:hAnsi="Calibri"/>
        </w:rPr>
      </w:pPr>
      <w:r w:rsidRPr="00B1522E">
        <w:rPr>
          <w:rFonts w:ascii="Calibri" w:hAnsi="Calibri"/>
          <w:vertAlign w:val="superscript"/>
        </w:rPr>
        <w:t>a</w:t>
      </w:r>
      <w:r w:rsidRPr="00B1522E">
        <w:rPr>
          <w:rFonts w:ascii="Calibri" w:hAnsi="Calibri"/>
        </w:rPr>
        <w:t xml:space="preserve">PROCESS macro </w:t>
      </w:r>
      <w:r w:rsidRPr="00B1522E">
        <w:rPr>
          <w:rFonts w:ascii="Calibri" w:hAnsi="Calibri"/>
        </w:rPr>
        <w:fldChar w:fldCharType="begin" w:fldLock="1"/>
      </w:r>
      <w:r w:rsidR="00FD502B" w:rsidRPr="00B1522E">
        <w:rPr>
          <w:rFonts w:ascii="Calibri" w:hAnsi="Calibri"/>
        </w:rPr>
        <w:instrText>ADDIN CSL_CITATION {"citationItems":[{"id":"ITEM-1","itemData":{"ISSN":"1623962447","author":[{"dropping-particle":"","family":"Hayes","given":"Andrew F","non-dropping-particle":"","parse-names":false,"suffix":""},{"dropping-particle":"","family":"Preacher","given":"Kristopher J","non-dropping-particle":"","parse-names":false,"suffix":""}],"container-title":"Quantitative methods in education and the behavioral sciences: Issues, research, and teaching. Structural equation modeling: A second course.","editor":[{"dropping-particle":"","family":"G. R. Hancock &amp; R. O. Mueller","given":"","non-dropping-particle":"","parse-names":false,"suffix":""}],"id":"ITEM-1","issued":{"date-parts":[["2013"]]},"page":"219–266","publisher":"IAP Information Age Publishing","publisher-place":"Greenwich","title":"Conditional process modeling: Using structural equation modeling to examine contingent causal processes.","type":"chapter"},"uris":["http://www.mendeley.com/documents/?uuid=fc479416-597b-4252-9983-cb9d44897156"]}],"mendeley":{"formattedCitation":"(Hayes &amp; Preacher, 2013)","plainTextFormattedCitation":"(Hayes &amp; Preacher, 2013)","previouslyFormattedCitation":"(Hayes &amp; Preacher, 2013)"},"properties":{"noteIndex":0},"schema":"https://github.com/citation-style-language/schema/raw/master/csl-citation.json"}</w:instrText>
      </w:r>
      <w:r w:rsidRPr="00B1522E">
        <w:rPr>
          <w:rFonts w:ascii="Calibri" w:hAnsi="Calibri"/>
        </w:rPr>
        <w:fldChar w:fldCharType="separate"/>
      </w:r>
      <w:r w:rsidRPr="00B1522E">
        <w:rPr>
          <w:rFonts w:ascii="Calibri" w:hAnsi="Calibri"/>
          <w:noProof/>
        </w:rPr>
        <w:t>(Hayes &amp; Preacher, 2013)</w:t>
      </w:r>
      <w:r w:rsidRPr="00B1522E">
        <w:rPr>
          <w:rFonts w:ascii="Calibri" w:hAnsi="Calibri"/>
        </w:rPr>
        <w:fldChar w:fldCharType="end"/>
      </w:r>
      <w:r w:rsidRPr="00B1522E">
        <w:rPr>
          <w:rFonts w:ascii="Calibri" w:hAnsi="Calibri"/>
        </w:rPr>
        <w:t xml:space="preserve"> </w:t>
      </w:r>
      <w:r w:rsidRPr="00B1522E">
        <w:t xml:space="preserve">reports </w:t>
      </w:r>
      <w:r w:rsidRPr="00B1522E">
        <w:rPr>
          <w:rFonts w:ascii="Calibri" w:hAnsi="Calibri"/>
        </w:rPr>
        <w:t>s</w:t>
      </w:r>
      <w:r w:rsidRPr="00B1522E">
        <w:t>tandardized regression coefficient for dichotomous variable in partial</w:t>
      </w:r>
      <w:r w:rsidRPr="00B1522E">
        <w:rPr>
          <w:rFonts w:ascii="Calibri" w:hAnsi="Calibri"/>
        </w:rPr>
        <w:t xml:space="preserve"> format.</w:t>
      </w:r>
    </w:p>
    <w:p w14:paraId="4CD19149" w14:textId="77777777" w:rsidR="004642E1" w:rsidRPr="00B1522E" w:rsidRDefault="004642E1" w:rsidP="004642E1">
      <w:pPr>
        <w:spacing w:line="480" w:lineRule="auto"/>
        <w:jc w:val="center"/>
        <w:rPr>
          <w:rFonts w:cstheme="minorHAnsi"/>
          <w:shd w:val="clear" w:color="auto" w:fill="FFFFFF"/>
        </w:rPr>
      </w:pPr>
    </w:p>
    <w:bookmarkStart w:id="265" w:name="_Toc84678974"/>
    <w:p w14:paraId="23BC127C" w14:textId="4F1D1DBE" w:rsidR="00582A8C" w:rsidRPr="00B1522E" w:rsidRDefault="00A032C5" w:rsidP="00C36F37">
      <w:pPr>
        <w:spacing w:line="480" w:lineRule="auto"/>
        <w:rPr>
          <w:b/>
          <w:bCs/>
        </w:rPr>
      </w:pPr>
      <w:r w:rsidRPr="00B1522E">
        <w:lastRenderedPageBreak/>
        <w:fldChar w:fldCharType="begin"/>
      </w:r>
      <w:r w:rsidRPr="00B1522E">
        <w:instrText xml:space="preserve"> TC  "</w:instrText>
      </w:r>
      <w:bookmarkStart w:id="266" w:name="_Toc97310512"/>
      <w:r w:rsidRPr="00B1522E">
        <w:instrText>8.5 Discussion</w:instrText>
      </w:r>
      <w:bookmarkEnd w:id="266"/>
      <w:r w:rsidRPr="00B1522E">
        <w:instrText xml:space="preserve"> " \f x\l 2 </w:instrText>
      </w:r>
      <w:r w:rsidRPr="00B1522E">
        <w:fldChar w:fldCharType="end"/>
      </w:r>
      <w:r w:rsidR="004642E1" w:rsidRPr="00B1522E">
        <w:rPr>
          <w:b/>
          <w:bCs/>
        </w:rPr>
        <w:t>8.5 Discussion</w:t>
      </w:r>
      <w:bookmarkEnd w:id="265"/>
    </w:p>
    <w:p w14:paraId="1F405ED0" w14:textId="6A6C1A26" w:rsidR="00D54F64" w:rsidRPr="00B1522E" w:rsidRDefault="00D54F64" w:rsidP="00C36F37">
      <w:pPr>
        <w:spacing w:line="480" w:lineRule="auto"/>
        <w:jc w:val="both"/>
        <w:rPr>
          <w:shd w:val="clear" w:color="auto" w:fill="FFFFFF"/>
        </w:rPr>
      </w:pPr>
      <w:r w:rsidRPr="00B1522E">
        <w:t xml:space="preserve">This study aimed to evaluate the effectiveness of a school-based </w:t>
      </w:r>
      <w:r w:rsidRPr="00B1522E">
        <w:rPr>
          <w:shd w:val="clear" w:color="auto" w:fill="FFFFFF"/>
        </w:rPr>
        <w:t xml:space="preserve">SNA </w:t>
      </w:r>
      <w:r w:rsidRPr="00B1522E">
        <w:t>intervention</w:t>
      </w:r>
      <w:r w:rsidRPr="00B1522E">
        <w:rPr>
          <w:shd w:val="clear" w:color="auto" w:fill="FFFFFF"/>
        </w:rPr>
        <w:t xml:space="preserve"> targeting unhealthy snacking amongst students aged 11 to 12 years old living in two socially deprived areas of the UK. Evidence indicates that adolescents misperceive the unhealthy snacking consumption of their peers, and this is associated with increased personal unhealthy snacking consumption </w:t>
      </w:r>
      <w:r w:rsidR="00343218" w:rsidRPr="00B1522E">
        <w:rPr>
          <w:shd w:val="clear" w:color="auto" w:fill="FFFFFF"/>
        </w:rPr>
        <w:fldChar w:fldCharType="begin" w:fldLock="1"/>
      </w:r>
      <w:r w:rsidR="00993ABF" w:rsidRPr="00B1522E">
        <w:rPr>
          <w:shd w:val="clear" w:color="auto" w:fill="FFFFFF"/>
        </w:rPr>
        <w:instrText>ADDIN CSL_CITATION {"citationItems":[{"id":"ITEM-1","itemData":{"ISSN":"0195-6663","author":[{"dropping-particle":"","family":"Calvert","given":"Sian","non-dropping-particle":"","parse-names":false,"suffix":""},{"dropping-particle":"","family":"Dempsey","given":"Robert C","non-dropping-particle":"","parse-names":false,"suffix":""},{"dropping-particle":"","family":"Povey","given":"Rachel","non-dropping-particle":"","parse-names":false,"suffix":""}],"container-title":"Appetite","id":"ITEM-1","issued":{"date-parts":[["2021"]]},"page":"105462","publisher":"Elsevier","title":"Normative misperceptions of unhealthy snacking amongst 11-to 12-year-old secondary school students.","type":"article-journal","volume":"166"},"uris":["http://www.mendeley.com/documents/?uuid=910491bf-a1ec-45dd-96c2-11f54b2d3c84"]},{"id":"ITEM-2","itemData":{"ISSN":"0195-6663","abstract":"We hypothesized that adolescents misperceive social norms for food consumption, and aimed to test this, and examine associations between perceived norms and dietary behaviours. School pupils (n = 264) in the UK, aged 16–19 years, completed a questionnaire about their own attitudes to, and intake of, fruits and vegetables, unhealthy snacks and sugar-sweetened drinks, and their perceptions of their peers’ attitudes to (injunctive norms), and intake of (descriptive norms), the same foods. Misperceptions were calculated from differences between perceived norms and median self-reports of peer groups. Respondents overestimated their peers’ intake of snacks by 1.8 portions a week, and sugar-sweetened drinks by 5.2 portions, and overestimated how positive their peers’ attitudes were towards these behaviours. They underestimated their peers’ consumption of fruits and vegetables by 3.2 portions per week and how positive their peers’ attitudes were towards fruit and vegetables. Descriptive norms were strongly associated with intake of fruit and vegetables, sugar-sweetened drinks, and unhealthy snacks, explaining between 17% and 22% of the variance in consumption. There was no association between injunctive norms and intake. Descriptive norms indicated that misperceptions of peers’ food intake were associated with respondents’ own intake. Interventions to correct misperceptions have the potential to improve adolescents’ diets. (PsycINFO Database Record (c) 2012 APA, all rights reserved). (journal abstract)","author":[{"dropping-particle":"","family":"Lally","given":"P","non-dropping-particle":"","parse-names":false,"suffix":""},{"dropping-particle":"","family":"Bartle","given":"N","non-dropping-particle":"","parse-names":false,"suffix":""},{"dropping-particle":"","family":"Wardle","given":"J","non-dropping-particle":"","parse-names":false,"suffix":""}],"container-title":"Appetite","id":"ITEM-2","issue":"3","issued":{"date-parts":[["2011","12"]]},"note":"Not an intervention","page":"623-627","publisher":"Elsevier Science","publisher-place":"Wardle, Jane, Health Behaviour Research Centre, Department of Epidemiology and Public Health, University College London, Gower Street, London, United Kingdom, WC1E 6BT","title":"Social norms and diet in adolescents.","type":"article-journal","volume":"57"},"uris":["http://www.mendeley.com/documents/?uuid=18a9583d-446e-4d40-8c46-37ad5a8b65e9"]}],"mendeley":{"formattedCitation":"(Calvert et al., 2021; P Lally et al., 2011)","manualFormatting":"(Calvert et al., 2021; Lally et al., 2011)","plainTextFormattedCitation":"(Calvert et al., 2021; P Lally et al., 2011)","previouslyFormattedCitation":"(Calvert et al., 2021; P Lally et al., 2011)"},"properties":{"noteIndex":0},"schema":"https://github.com/citation-style-language/schema/raw/master/csl-citation.json"}</w:instrText>
      </w:r>
      <w:r w:rsidR="00343218" w:rsidRPr="00B1522E">
        <w:rPr>
          <w:shd w:val="clear" w:color="auto" w:fill="FFFFFF"/>
        </w:rPr>
        <w:fldChar w:fldCharType="separate"/>
      </w:r>
      <w:r w:rsidR="00343218" w:rsidRPr="00B1522E">
        <w:rPr>
          <w:noProof/>
          <w:shd w:val="clear" w:color="auto" w:fill="FFFFFF"/>
        </w:rPr>
        <w:t>(Calvert et al., 2021; Lally et al., 2011)</w:t>
      </w:r>
      <w:r w:rsidR="00343218" w:rsidRPr="00B1522E">
        <w:rPr>
          <w:shd w:val="clear" w:color="auto" w:fill="FFFFFF"/>
        </w:rPr>
        <w:fldChar w:fldCharType="end"/>
      </w:r>
      <w:r w:rsidRPr="00B1522E">
        <w:rPr>
          <w:shd w:val="clear" w:color="auto" w:fill="FFFFFF"/>
        </w:rPr>
        <w:t>. This SNA intervention tested here attempts to challenge these misperceptions amongst this younger adolescent age group in order to facilitate positive changes in personal unhealthy snacking, related attitudes, and behavioural intentions.</w:t>
      </w:r>
    </w:p>
    <w:p w14:paraId="038212AE" w14:textId="0B07F61C" w:rsidR="00D54F64" w:rsidRPr="00B1522E" w:rsidRDefault="00D54F64" w:rsidP="00D54F64">
      <w:pPr>
        <w:spacing w:line="480" w:lineRule="auto"/>
        <w:ind w:firstLine="720"/>
        <w:jc w:val="both"/>
      </w:pPr>
      <w:r w:rsidRPr="00B1522E">
        <w:t xml:space="preserve">When testing the first hypothesis, exploring the intervention effect on (i) </w:t>
      </w:r>
      <w:r w:rsidRPr="00B1522E">
        <w:rPr>
          <w:shd w:val="clear" w:color="auto" w:fill="FFFFFF"/>
        </w:rPr>
        <w:t xml:space="preserve">students’ unhealthy snacking behaviours, (ii) related attitudes, (iii) behavioural intentions, and (iv) normative perceptions, students who were exposed to SNA messages about peers’ snacking consumption had significantly more accurate perceptions about peers’ attitudes towards unhealthy snacking post-intervention. These findings are in accordance with previous SNA research targeting other populations which report that individuals were less likely to overestimate peers’ attitudes towards unhealthy behaviours (e.g. alcohol) following exposure to normative feedback </w:t>
      </w:r>
      <w:r w:rsidRPr="00B1522E">
        <w:rPr>
          <w:shd w:val="clear" w:color="auto" w:fill="FFFFFF"/>
        </w:rPr>
        <w:fldChar w:fldCharType="begin" w:fldLock="1"/>
      </w:r>
      <w:r w:rsidRPr="00B1522E">
        <w:rPr>
          <w:shd w:val="clear" w:color="auto" w:fill="FFFFFF"/>
        </w:rPr>
        <w:instrText>ADDIN CSL_CITATION {"citationItems":[{"id":"ITEM-1","itemData":{"ISSN":"1368-4302","author":[{"dropping-particle":"","family":"Neighbors","given":"Clayton","non-dropping-particle":"","parse-names":false,"suffix":""},{"dropping-particle":"","family":"Jensen","given":"Megan","non-dropping-particle":"","parse-names":false,"suffix":""},{"dropping-particle":"","family":"Tidwell","given":"Judy","non-dropping-particle":"","parse-names":false,"suffix":""},{"dropping-particle":"","family":"Walter","given":"Theresa","non-dropping-particle":"","parse-names":false,"suffix":""},{"dropping-particle":"","family":"Fossos","given":"Nicole","non-dropping-particle":"","parse-names":false,"suffix":""},{"dropping-particle":"","family":"Lewis","given":"Melissa A","non-dropping-particle":"","parse-names":false,"suffix":""}],"container-title":"Group Processes &amp; Intergroup Relations","id":"ITEM-1","issue":"5","issued":{"date-parts":[["2011"]]},"page":"651-669","publisher":"Sage Publications Sage UK: London, England","title":"Social-norms interventions for light and nondrinking students","type":"article-journal","volume":"14"},"uris":["http://www.mendeley.com/documents/?uuid=a3c78c1c-7b7f-49b8-abde-ee58a91d07df"]},{"id":"ITEM-2","itemData":{"ISSN":"1930-7810 (Electronic)","PMID":"23646838","abstract":"OBJECTIVE: Despite long-standing social psychological research supporting the influence of injunctive norms (i.e., what is commonly approved or disapproved) on behavior, support for this influence on health behaviors is limited. We examined the utility of correcting misperceptions of injunctive norms for improving sun protection and whether changes in attitudes mediated the injunctive norm-intention relationship. METHOD: At baseline 263 community residing primarily White women, aged 37 to 77 years, reported their beliefs about sun protection and tanning and their perceptions of \"typical women's\" approval of sun protection versus tanning. Women underestimated approval of sun protection and overestimated approval of tanning. In a randomized trial, 189 of these women received either information about sun protection or information plus personalized normative feedback (PNF). PNF compared each woman's own perceptions of typical women's approval of tanning and sun protection with actual normative values, both measured at baseline. PNF communicated that most women approve of others who sun protect. RESULTS: PNF led to more positive sun protection injunctive norms, attitudes, and intentions at immediate posttest and more positive intentions and self-reported behavior at 4-week follow-up. Baseline discrepancy between a woman's beliefs and actual normative values related negatively to changes in sun protection in the control condition but positively in the PNF condition. As hypothesized, changes in attitudes partially mediated the influence of PNF on changes in intentions. CONCLUSIONS: The present research demonstrates the utility of correcting injunctive norm misperceptions for promoting healthy behaviors. That attitudes changed in response to PNF and mediated the norm-intention relationship suggests a method for influencing attitudes that may limit reactance.","author":[{"dropping-particle":"","family":"Reid","given":"Allecia E","non-dropping-particle":"","parse-names":false,"suffix":""},{"dropping-particle":"","family":"Aiken","given":"Leona S","non-dropping-particle":"","parse-names":false,"suffix":""}],"container-title":"Health psychology : official journal of the Division of Health Psychology, American Psychological Association","id":"ITEM-2","issue":"5","issued":{"date-parts":[["2013","5"]]},"language":"eng","page":"551-560","publisher-place":"United States","title":"Correcting injunctive norm misperceptions motivates behavior change: a randomized controlled sun protection intervention.","type":"article-journal","volume":"32"},"uris":["http://www.mendeley.com/documents/?uuid=9519fd8f-8198-4d1b-b62f-7557d4fabb51"]}],"mendeley":{"formattedCitation":"(Neighbors et al., 2011; Reid &amp; Aiken, 2013)","plainTextFormattedCitation":"(Neighbors et al., 2011; Reid &amp; Aiken, 2013)","previouslyFormattedCitation":"(Neighbors et al., 2011; Reid &amp; Aiken, 2013)"},"properties":{"noteIndex":0},"schema":"https://github.com/citation-style-language/schema/raw/master/csl-citation.json"}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(Neighbors et al., 2011; Reid &amp; Aiken, 2013)</w:t>
      </w:r>
      <w:r w:rsidRPr="00B1522E">
        <w:rPr>
          <w:shd w:val="clear" w:color="auto" w:fill="FFFFFF"/>
        </w:rPr>
        <w:fldChar w:fldCharType="end"/>
      </w:r>
      <w:r w:rsidRPr="00B1522E">
        <w:rPr>
          <w:shd w:val="clear" w:color="auto" w:fill="FFFFFF"/>
        </w:rPr>
        <w:t xml:space="preserve">. </w:t>
      </w:r>
      <w:r w:rsidRPr="00B1522E">
        <w:t xml:space="preserve">Amongst 11- to 12-year-olds, presenting accurate normative information about peers’ snacking-related behaviours changed their perceptions about the social acceptability or perceived approval of unhealthy snacking. Particularly for younger adolescents, healthier dietary behaviours may be more likely to be adopted if they are perceived to be socially approved of by others </w:t>
      </w:r>
      <w:r w:rsidR="00F85B72" w:rsidRPr="00B1522E">
        <w:fldChar w:fldCharType="begin" w:fldLock="1"/>
      </w:r>
      <w:r w:rsidR="00C654DE" w:rsidRPr="00B1522E">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00F85B72" w:rsidRPr="00B1522E">
        <w:fldChar w:fldCharType="separate"/>
      </w:r>
      <w:r w:rsidR="00355350" w:rsidRPr="00B1522E">
        <w:rPr>
          <w:noProof/>
        </w:rPr>
        <w:t>(Calvert et al., 2020)</w:t>
      </w:r>
      <w:r w:rsidR="00F85B72" w:rsidRPr="00B1522E">
        <w:fldChar w:fldCharType="end"/>
      </w:r>
      <w:r w:rsidRPr="00B1522E">
        <w:t xml:space="preserve">. Nevertheless, </w:t>
      </w:r>
      <w:r w:rsidRPr="00B1522E">
        <w:rPr>
          <w:shd w:val="clear" w:color="auto" w:fill="FFFFFF"/>
        </w:rPr>
        <w:t>n</w:t>
      </w:r>
      <w:r w:rsidRPr="00B1522E">
        <w:t xml:space="preserve">o other </w:t>
      </w:r>
      <w:r w:rsidRPr="00B1522E">
        <w:rPr>
          <w:shd w:val="clear" w:color="auto" w:fill="FFFFFF"/>
        </w:rPr>
        <w:t>significant intervention effects were observed</w:t>
      </w:r>
      <w:r w:rsidRPr="00B1522E">
        <w:t xml:space="preserve"> immediately p</w:t>
      </w:r>
      <w:r w:rsidRPr="00B1522E">
        <w:rPr>
          <w:shd w:val="clear" w:color="auto" w:fill="FFFFFF"/>
        </w:rPr>
        <w:t xml:space="preserve">ost-intervention. Dietary behaviour change in adolescents may not be apparent immediately, as modification of well-established unhealthy dietary behaviour patterns can be slower than anticipated, since eating is in large part habitual and habits can take time to change </w:t>
      </w:r>
      <w:r w:rsidRPr="00B1522E">
        <w:rPr>
          <w:shd w:val="clear" w:color="auto" w:fill="FFFFFF"/>
        </w:rPr>
        <w:fldChar w:fldCharType="begin" w:fldLock="1"/>
      </w:r>
      <w:r w:rsidRPr="00B1522E">
        <w:rPr>
          <w:shd w:val="clear" w:color="auto" w:fill="FFFFFF"/>
        </w:rPr>
        <w:instrText>ADDIN CSL_CITATION {"citationItems":[{"id":"ITEM-1","itemData":{"ISBN":"1475-2719","ISSN":"0029-6651","PMID":"12133209","abstract":"Dietary changes can be difficult to effect both at an individual and at a population level, and even when changes do occur they are often far slower and less pronounced than might be expected. Three possible reasons for this situation will be considered: the complexity of food choice and competing influences, attitudinal ambivalence and optimistic bias. Food choice is influenced by a large number of factors, not only health considerations, and therefore it is not surprising that interventions based primarily on health concerns have been ineffective. Another concern is that people do not always have clear-cut attitudes, but rather can be ambivalent about foods and about healthy eating, and this factor might impact on the translation of beliefs and attitudes into behaviour. A third possible reason is optimistic bias, where individuals believe themselves to be at less risk from various hazards than is the average person. This effect has been demonstrated for nutritional risks, and this factor might lead people to take less note of health education messages. The stages-of-change model from health psychology has been proposed as a method for improving the effectiveness of behaviour change interventions. However, there are a number of problems in transferring such a model from smoking, where it was originally developed, to dietary behaviours, including the lack of clear-cut specific behaviours and behaviour change targets in the dietary field.","author":[{"dropping-particle":"","family":"Shepherd","given":"Richard","non-dropping-particle":"","parse-names":false,"suffix":""},{"dropping-particle":"","family":"Shepherd","given":"Richard","non-dropping-particle":"","parse-names":false,"suffix":""}],"container-title":"The Proceedings of the Nutrition Society","id":"ITEM-1","issue":"2002","issued":{"date-parts":[["2002"]]},"page":"267-272","title":"Resistance to changes in diet.","type":"article-journal","volume":"61"},"uris":["http://www.mendeley.com/documents/?uuid=060fdb9a-462f-4745-aaed-69ef5bde7435"]},{"id":"ITEM-2","itemData":{"ISSN":"0278-6133 (Print)","PMID":"11950110","abstract":"Application of the theory of planned behavior (TPB) to healthy eating in 144 health promotion clinic attendees is reported. Respondents completed self-report TPB measures after the clinic (Time 1) and 6 months later (Time 2) with a measure of perceived past behavior. Intention stability was assessed on Time 1-2 differences. Six years later (Time 3), respondents completed measures of healthy eating intentions and behavior. Intentions were predicted by attitudes, perceived behavioral control, and perceived past behavior (cross-sectionally). Healthy eating behavior (Time 3) was predicted from intentions (Time 2). As intention stability increased, intentions and perceived past behavior became stronger and weaker predictors of behavior, respectively. Implications for understanding health cognitions in long-term performance of health behavior are discussed.","author":[{"dropping-particle":"","family":"Conner","given":"Mark","non-dropping-particle":"","parse-names":false,"suffix":""},{"dropping-particle":"","family":"Norman","given":"Paul","non-dropping-particle":"","parse-names":false,"suffix":""},{"dropping-particle":"","family":"Bell","given":"Russell","non-dropping-particle":"","parse-names":false,"suffix":""}],"container-title":"Health psychology : official journal of the Division of Health Psychology, American Psychological Association","id":"ITEM-2","issue":"2","issued":{"date-parts":[["2002","3"]]},"language":"eng","page":"194-201","publisher-place":"United States","title":"The theory of planned behavior and healthy eating.","type":"article-journal","volume":"21"},"uris":["http://www.mendeley.com/documents/?uuid=fef98e0b-8f58-4015-93ab-6d28aacf9b35"]}],"mendeley":{"formattedCitation":"(Conner et al., 2002; Shepherd &amp; Shepherd, 2002)","plainTextFormattedCitation":"(Conner et al., 2002; Shepherd &amp; Shepherd, 2002)","previouslyFormattedCitation":"(Conner et al., 2002; Shepherd &amp; Shepherd, 2002)"},"properties":{"noteIndex":0},"schema":"https://github.com/citation-style-language/schema/raw/master/csl-citation.json"}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(Conner et al., 2002; Shepherd &amp; Shepherd, 2002)</w:t>
      </w:r>
      <w:r w:rsidRPr="00B1522E">
        <w:rPr>
          <w:shd w:val="clear" w:color="auto" w:fill="FFFFFF"/>
        </w:rPr>
        <w:fldChar w:fldCharType="end"/>
      </w:r>
      <w:r w:rsidRPr="00B1522E">
        <w:rPr>
          <w:shd w:val="clear" w:color="auto" w:fill="FFFFFF"/>
        </w:rPr>
        <w:t xml:space="preserve">. </w:t>
      </w:r>
    </w:p>
    <w:p w14:paraId="30134AC5" w14:textId="0FD353A2" w:rsidR="00D54F64" w:rsidRPr="00B1522E" w:rsidRDefault="00D54F64" w:rsidP="00D54F64">
      <w:pPr>
        <w:spacing w:line="480" w:lineRule="auto"/>
        <w:ind w:firstLine="720"/>
        <w:jc w:val="both"/>
      </w:pPr>
      <w:r w:rsidRPr="00B1522E">
        <w:lastRenderedPageBreak/>
        <w:t xml:space="preserve">Our results did indicate that at 3 months post-intervention, students who were exposed to the SNA messages consumed significantly fewer unhealthy snacks and had less positive personal attitudes towards unhealthy snacking, compared to students in the control condition. These results reflect what has been found for other SNA studies targeting adolescents’ unhealthy behaviours in a school setting, most notably concerning alcohol and tobacco consumption; that receiving SNA feedback led to a reduction in the unhealthy behaviour </w:t>
      </w:r>
      <w:r w:rsidRPr="00B1522E">
        <w:fldChar w:fldCharType="begin" w:fldLock="1"/>
      </w:r>
      <w:r w:rsidR="0053594F">
        <w:instrText>ADDIN CSL_CITATION {"citationItems":[{"id":"ITEM-1","itemData":{"ISSN":"0965-4283","author":[{"dropping-particle":"","family":"Sheikh","given":"Afzal","non-dropping-particle":"","parse-names":false,"suffix":""},{"dropping-particle":"","family":"Vadera","given":"Sunil","non-dropping-particle":"","parse-names":false,"suffix":""},{"dropping-particle":"","family":"Ravey","given":"Michael","non-dropping-particle":"","parse-names":false,"suffix":""},{"dropping-particle":"","family":"Lovatt","given":"Gary","non-dropping-particle":"","parse-names":false,"suffix":""},{"dropping-particle":"","family":"Kelly","given":"Grace","non-dropping-particle":"","parse-names":false,"suffix":""}],"container-title":"Health Education","id":"ITEM-1","issue":"6","issued":{"date-parts":[["2017"]]},"page":"530-539","publisher":"Emerald Publishing Limited","title":"A social norms approach to changing school children’s perceptions of tobacco usage","type":"article-journal","volume":"117"},"uris":["http://www.mendeley.com/documents/?uuid=78f817d1-08ba-4c01-ad47-de933c360a0f"]},{"id":"ITEM-2","itemData":{"author":[{"dropping-particle":"","family":"Haines","given":"M P","non-dropping-particle":"","parse-names":false,"suffix":""},{"dropping-particle":"","family":"Barker","given":"G P","non-dropping-particle":"","parse-names":false,"suffix":""},{"dropping-particle":"","family":"Rice","given":"R","non-dropping-particle":"","parse-names":false,"suffix":""}],"container-title":"The social norms approach to preventing school and college age substance abuse: A handbook for educators, counselors, and clinicians","editor":[{"dropping-particle":"","family":"Perkins","given":"H. W","non-dropping-particle":"","parse-names":false,"suffix":""}],"id":"ITEM-2","issued":{"date-parts":[["2003"]]},"page":"235-244","publisher":"Jossey-Bass","title":"Using social norms to reduce alcohol and tobacco use in two midwestern high schools","type":"chapter"},"uris":["http://www.mendeley.com/documents/?uuid=73f99723-f98f-4430-85fb-c8a047b72256"]}],"mendeley":{"formattedCitation":"(Haines et al., 2003; Sheikh et al., 2017)","plainTextFormattedCitation":"(Haines et al., 2003; Sheikh et al., 2017)","previouslyFormattedCitation":"(Haines et al., 2003; Sheikh et al., 2017)"},"properties":{"noteIndex":0},"schema":"https://github.com/citation-style-language/schema/raw/master/csl-citation.json"}</w:instrText>
      </w:r>
      <w:r w:rsidRPr="00B1522E">
        <w:fldChar w:fldCharType="separate"/>
      </w:r>
      <w:r w:rsidRPr="00B1522E">
        <w:rPr>
          <w:noProof/>
        </w:rPr>
        <w:t>(Haines et al., 2003; Sheikh et al., 2017)</w:t>
      </w:r>
      <w:r w:rsidRPr="00B1522E">
        <w:fldChar w:fldCharType="end"/>
      </w:r>
      <w:r w:rsidRPr="00B1522E">
        <w:t xml:space="preserve">. School is an important learning environment for social conduct </w:t>
      </w:r>
      <w:r w:rsidRPr="00B1522E">
        <w:fldChar w:fldCharType="begin" w:fldLock="1"/>
      </w:r>
      <w:r w:rsidR="0063396E" w:rsidRPr="00B1522E">
        <w:instrText>ADDIN CSL_CITATION {"citationItems":[{"id":"ITEM-1","itemData":{"ISSN":"2072-6643","abstract":"INTRO: Globally, the prevalence of overweight and obesity is increasing among children and younger adults and is associated with unhealthy dietary habits and lack of physical activity. School food is increasingly brought forward as a policy to address the unhealthy eating patterns among young people. AIM: This study investigated the evidence for the effectiveness of school-based food and nutrition interventions on health outcomes by reviewing scientific evidence-based intervention studies amongst children at the international level. METHODS: This study was based on a systematic review using the PRISMA guidelines. Three electronic databases were systematically searched, reference lists were screened for studies evaluating school-based food and nutrition interventions that promoted children's dietary behaviour and health aiming changes in the body composition among children. Articles dating from 2014 to 2019 were selected and reported effects on anthropometry, dietary behaviour, nutritional knowledge, and attitude. RESULTS: The review showed that school-based interventions in general were able to affect attitudes, knowledge, behaviour and anthropometry, but that the design of the intervention affects the size of the effect. In general, food focused interventions taking an environmental approach seemed to be most effective. CONCLUSIONS: School-based interventions (including multicomponent interventions) can be an effective and promising means for promoting healthy eating, improving dietary behaviour, attitude and anthropometry among young children. Thus, schools as a system have the potential to make lasting improvements, ensuring healthy school environment around the globe for the betterment of children's short- and long-term health.","author":[{"dropping-particle":"","family":"Chaudhary","given":"Abina","non-dropping-particle":"","parse-names":false,"suffix":""},{"dropping-particle":"","family":"Sudzina","given":"František","non-dropping-particle":"","parse-names":false,"suffix":""},{"dropping-particle":"","family":"Mikkelsen","given":"Bent Egberg","non-dropping-particle":"","parse-names":false,"suffix":""}],"container-title":"Nutrients","id":"ITEM-1","issue":"9","issued":{"date-parts":[["2020","9","22"]]},"language":"eng","page":"2894-2928","publisher":"MDPI","title":"Promoting Healthy Eating among Young People-A Review of the Evidence of the Impact of School-Based Interventions","type":"article-journal","volume":"12"},"uris":["http://www.mendeley.com/documents/?uuid=35e25965-e61b-4c34-88e3-ea1a56347528"]}],"mendeley":{"formattedCitation":"(Chaudhary et al., 2020)","plainTextFormattedCitation":"(Chaudhary et al., 2020)","previouslyFormattedCitation":"(Chaudhary et al., 2020)"},"properties":{"noteIndex":0},"schema":"https://github.com/citation-style-language/schema/raw/master/csl-citation.json"}</w:instrText>
      </w:r>
      <w:r w:rsidRPr="00B1522E">
        <w:fldChar w:fldCharType="separate"/>
      </w:r>
      <w:r w:rsidRPr="00B1522E">
        <w:rPr>
          <w:noProof/>
        </w:rPr>
        <w:t>(Chaudhary et al., 2020)</w:t>
      </w:r>
      <w:r w:rsidRPr="00B1522E">
        <w:fldChar w:fldCharType="end"/>
      </w:r>
      <w:r w:rsidRPr="00B1522E">
        <w:t xml:space="preserve"> and is a key setting that can facilitate the reduction or prevention of unhealthy dietary practices </w:t>
      </w:r>
      <w:r w:rsidRPr="00B1522E">
        <w:fldChar w:fldCharType="begin" w:fldLock="1"/>
      </w:r>
      <w:r w:rsidRPr="00B1522E">
        <w:instrText>ADDIN CSL_CITATION {"citationItems":[{"id":"ITEM-1","itemData":{"ISSN":"1363-755X","author":[{"dropping-particle":"","family":"Foulkes","given":"Lucy","non-dropping-particle":"","parse-names":false,"suffix":""},{"dropping-particle":"","family":"Leung","given":"Jovita T","non-dropping-particle":"","parse-names":false,"suffix":""},{"dropping-particle":"","family":"Fuhrmann","given":"Delia","non-dropping-particle":"","parse-names":false,"suffix":""},{"dropping-particle":"","family":"Knoll","given":"Lisa J","</w:instrText>
      </w:r>
      <w:r w:rsidRPr="00B1522E">
        <w:rPr>
          <w:rFonts w:hint="eastAsia"/>
        </w:rPr>
        <w:instrText>non-dropping-particle":"","parse-names":false,"suffix":""},{"dropping-particle":"","family":"Blakemore","given":"Sarah‐Jayne","non-dropping-particle":"","parse-names":false,"suffix":""}],"container-title":"Developmental science","id":"ITEM-1","issue":"6",</w:instrText>
      </w:r>
      <w:r w:rsidRPr="00B1522E">
        <w:instrText>"issued":{"date-parts":[["2018"]]},"page":"e12666","publisher":"Wiley Online Library","title":"Age differences in the prosocial influence effect","type":"article-journal","volume":"21"},"uris":["http://www.mendeley.com/documents/?uuid=46b55ce9-fb4b-40a8-bb50-c6d3807d70bd"]}],"mendeley":{"formattedCitation":"(Foulkes et al., 2018)","plainTextFormattedCitation":"(Foulkes et al., 2018)","previouslyFormattedCitation":"(Foulkes et al., 2018)"},"properties":{"noteIndex":0},"schema":"https://github.com/citation-style-language/schema/raw/master/csl-citation.json"}</w:instrText>
      </w:r>
      <w:r w:rsidRPr="00B1522E">
        <w:fldChar w:fldCharType="separate"/>
      </w:r>
      <w:r w:rsidRPr="00B1522E">
        <w:rPr>
          <w:noProof/>
        </w:rPr>
        <w:t>(Foulkes et al., 2018)</w:t>
      </w:r>
      <w:r w:rsidRPr="00B1522E">
        <w:fldChar w:fldCharType="end"/>
      </w:r>
      <w:r w:rsidRPr="00B1522E">
        <w:t>. The findings indicated that although the SNA intervention was successful at reducing snacking at 3 months post-intervention, students still consumed some unhealthy snacks.</w:t>
      </w:r>
    </w:p>
    <w:p w14:paraId="6F282BD3" w14:textId="77777777" w:rsidR="00D54F64" w:rsidRPr="00B1522E" w:rsidRDefault="00D54F64" w:rsidP="00D54F64">
      <w:pPr>
        <w:spacing w:line="480" w:lineRule="auto"/>
        <w:ind w:firstLine="720"/>
        <w:jc w:val="both"/>
        <w:rPr>
          <w:shd w:val="clear" w:color="auto" w:fill="FFFFFF"/>
        </w:rPr>
      </w:pPr>
      <w:r w:rsidRPr="00B1522E">
        <w:t>When testing the second hypothesis, exploring the mediating role of changes in social norm perceptions on attitudes and behaviours, t</w:t>
      </w:r>
      <w:r w:rsidRPr="00B1522E">
        <w:rPr>
          <w:shd w:val="clear" w:color="auto" w:fill="FFFFFF"/>
        </w:rPr>
        <w:t xml:space="preserve">he results indicated that students who received SNA feedback had a greater change in normative misperceptions </w:t>
      </w:r>
      <w:r w:rsidRPr="00B1522E">
        <w:t xml:space="preserve">about peers’ attitude towards unhealthy snacking post-intervention than the comparison group, leading to a greater change in personal attitude at 3 months post-intervention. </w:t>
      </w:r>
      <w:r w:rsidRPr="00B1522E">
        <w:rPr>
          <w:shd w:val="clear" w:color="auto" w:fill="FFFFFF"/>
        </w:rPr>
        <w:t xml:space="preserve">The mediation analysis findings lend support for the proposed mechanism of the SNA: that correcting normative misperceptions using SNA feedback leads to positive changes in personal attitudes towards an unhealthy behaviour </w:t>
      </w:r>
      <w:r w:rsidRPr="00B1522E">
        <w:rPr>
          <w:shd w:val="clear" w:color="auto" w:fill="FFFFFF"/>
        </w:rPr>
        <w:fldChar w:fldCharType="begin" w:fldLock="1"/>
      </w:r>
      <w:r w:rsidRPr="00B1522E">
        <w:rPr>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(Dempsey et al., 2018)</w:t>
      </w:r>
      <w:r w:rsidRPr="00B1522E">
        <w:rPr>
          <w:shd w:val="clear" w:color="auto" w:fill="FFFFFF"/>
        </w:rPr>
        <w:fldChar w:fldCharType="end"/>
      </w:r>
      <w:r w:rsidRPr="00B1522E">
        <w:rPr>
          <w:shd w:val="clear" w:color="auto" w:fill="FFFFFF"/>
        </w:rPr>
        <w:t xml:space="preserve">. Whilst there was a change in students’ unhealthy snacking behaviours after </w:t>
      </w:r>
      <w:r w:rsidRPr="00B1522E">
        <w:t>receiving the SNA feedback,</w:t>
      </w:r>
      <w:r w:rsidRPr="00B1522E">
        <w:rPr>
          <w:shd w:val="clear" w:color="auto" w:fill="FFFFFF"/>
        </w:rPr>
        <w:t xml:space="preserve"> this was not </w:t>
      </w:r>
      <w:r w:rsidRPr="00B1522E">
        <w:t>mediated by changes in normative misperceptions</w:t>
      </w:r>
      <w:r w:rsidRPr="00B1522E">
        <w:rPr>
          <w:shd w:val="clear" w:color="auto" w:fill="FFFFFF"/>
        </w:rPr>
        <w:t xml:space="preserve">, so there is the possibility that there were other factors that influenced changes in personal unhealthy snacking of students, e.g. changes in personal attitudes which may then lead to changes in personal behaviour </w:t>
      </w:r>
      <w:r w:rsidRPr="00B1522E">
        <w:rPr>
          <w:shd w:val="clear" w:color="auto" w:fill="FFFFFF"/>
        </w:rPr>
        <w:fldChar w:fldCharType="begin" w:fldLock="1"/>
      </w:r>
      <w:r w:rsidRPr="00B1522E">
        <w:rPr>
          <w:shd w:val="clear" w:color="auto" w:fill="FFFFFF"/>
        </w:rPr>
        <w:instrText>ADDIN CSL_CITATION {"citationItems":[{"id":"ITEM-1","itemData":{"ISSN":"0887-0446","author":[{"dropping-particle":"","family":"Marley","given":"S","non-dropping-particle":"","parse-names":false,"suffix":""},{"dropping-particle":"","family":"Bekker","given":"H L","non-dropping-particle":"","parse-names":false,"suffix":""},{"dropping-particle":"","family":"Bewick","given":"B M","non-dropping-particle":"","parse-names":false,"suffix":""}],"container-title":"Psychology &amp; health","id":"ITEM-1","issue":"9","issued":{"date-parts":[["2016"]]},"page":"1007-1024","publisher":"Taylor &amp; Francis","title":"Responding to personalised social norms feedback from a web-based alcohol reduction intervention for students: Analysis of think-aloud verbal protocols","type":"article-journal","volume":"31"},"uris":["http://www.mendeley.com/documents/?uuid=9599f905-bd47-41d1-82b0-e07dc6cc6d25"]}],"mendeley":{"formattedCitation":"(Marley et al., 2016)","plainTextFormattedCitation":"(Marley et al., 2016)","previouslyFormattedCitation":"(Marley et al., 2016)"},"properties":{"noteIndex":0},"schema":"https://github.com/citation-style-language/schema/raw/master/csl-citation.json"}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(Marley et al., 2016)</w:t>
      </w:r>
      <w:r w:rsidRPr="00B1522E">
        <w:rPr>
          <w:shd w:val="clear" w:color="auto" w:fill="FFFFFF"/>
        </w:rPr>
        <w:fldChar w:fldCharType="end"/>
      </w:r>
      <w:r w:rsidRPr="00B1522E">
        <w:rPr>
          <w:shd w:val="clear" w:color="auto" w:fill="FFFFFF"/>
        </w:rPr>
        <w:t>. W</w:t>
      </w:r>
      <w:r w:rsidRPr="00B1522E">
        <w:rPr>
          <w:rFonts w:eastAsia="Times New Roman"/>
          <w:bdr w:val="none" w:sz="0" w:space="0" w:color="auto" w:frame="1"/>
          <w:shd w:val="clear" w:color="auto" w:fill="FFFFFF"/>
          <w:lang w:eastAsia="en-GB"/>
        </w:rPr>
        <w:t>hen aiming to change dietary behaviours of younger adolescents</w:t>
      </w:r>
      <w:r w:rsidRPr="00B1522E">
        <w:rPr>
          <w:shd w:val="clear" w:color="auto" w:fill="FFFFFF"/>
        </w:rPr>
        <w:t xml:space="preserve">, it might be important to first address adolescents’ attitudes towards unhealthy snacking before attempting to change more established behaviour patterns. </w:t>
      </w:r>
    </w:p>
    <w:p w14:paraId="6854BC1B" w14:textId="77777777" w:rsidR="004642E1" w:rsidRPr="00B1522E" w:rsidRDefault="004642E1" w:rsidP="004642E1">
      <w:pPr>
        <w:spacing w:line="480" w:lineRule="auto"/>
        <w:jc w:val="both"/>
        <w:rPr>
          <w:rFonts w:cstheme="minorHAnsi"/>
          <w:shd w:val="clear" w:color="auto" w:fill="FFFFFF"/>
        </w:rPr>
      </w:pPr>
    </w:p>
    <w:bookmarkStart w:id="267" w:name="_Toc84678975"/>
    <w:p w14:paraId="62A4DCEC" w14:textId="038ECAFD" w:rsidR="0026254F" w:rsidRPr="00B1522E" w:rsidRDefault="00A032C5" w:rsidP="00E212F0">
      <w:pPr>
        <w:spacing w:line="480" w:lineRule="auto"/>
      </w:pPr>
      <w:r w:rsidRPr="00B1522E">
        <w:lastRenderedPageBreak/>
        <w:fldChar w:fldCharType="begin"/>
      </w:r>
      <w:r w:rsidRPr="00B1522E">
        <w:instrText xml:space="preserve"> TC  "</w:instrText>
      </w:r>
      <w:bookmarkStart w:id="268" w:name="_Toc97310513"/>
      <w:r w:rsidRPr="00B1522E">
        <w:instrText>8.5.1 Strengths and Limitations</w:instrText>
      </w:r>
      <w:bookmarkEnd w:id="268"/>
      <w:r w:rsidRPr="00B1522E">
        <w:instrText xml:space="preserve"> " \f x\l 3 </w:instrText>
      </w:r>
      <w:r w:rsidRPr="00B1522E">
        <w:fldChar w:fldCharType="end"/>
      </w:r>
      <w:r w:rsidR="004642E1" w:rsidRPr="00B1522E">
        <w:t>8.5.1 Strengths and Limitations</w:t>
      </w:r>
      <w:bookmarkEnd w:id="267"/>
      <w:r w:rsidR="004642E1" w:rsidRPr="00B1522E">
        <w:t xml:space="preserve"> </w:t>
      </w:r>
    </w:p>
    <w:p w14:paraId="6ECE0E55" w14:textId="77777777" w:rsidR="0026254F" w:rsidRPr="00B1522E" w:rsidRDefault="0026254F" w:rsidP="00E212F0">
      <w:pPr>
        <w:spacing w:line="480" w:lineRule="auto"/>
        <w:jc w:val="both"/>
      </w:pPr>
      <w:r w:rsidRPr="00B1522E">
        <w:rPr>
          <w:shd w:val="clear" w:color="auto" w:fill="FFFFFF"/>
        </w:rPr>
        <w:t>A strength of this study was that it actively engaged the target population in the development of the intervention via an advisory group. O</w:t>
      </w:r>
      <w:r w:rsidRPr="00B1522E">
        <w:t xml:space="preserve">ne challenge for SNA interventions is ensuring that participants have fully understood the normative feedback being disseminated </w:t>
      </w:r>
      <w:r w:rsidRPr="00B1522E">
        <w:fldChar w:fldCharType="begin" w:fldLock="1"/>
      </w:r>
      <w:r w:rsidRPr="00B1522E">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fldChar w:fldCharType="separate"/>
      </w:r>
      <w:r w:rsidRPr="00B1522E">
        <w:rPr>
          <w:noProof/>
        </w:rPr>
        <w:t>(Dempsey et al., 2018)</w:t>
      </w:r>
      <w:r w:rsidRPr="00B1522E">
        <w:fldChar w:fldCharType="end"/>
      </w:r>
      <w:r w:rsidRPr="00B1522E">
        <w:t>. Having the advisory group of similarly-aged peers review the SNA feedback helped to ensure that intervention content was age-appropriate and comprehen</w:t>
      </w:r>
      <w:r w:rsidRPr="00B1522E">
        <w:rPr>
          <w:rStyle w:val="CommentReference"/>
        </w:rPr>
        <w:t>si</w:t>
      </w:r>
      <w:r w:rsidRPr="00B1522E">
        <w:t>ble for our sample. Whilst it</w:t>
      </w:r>
      <w:r w:rsidRPr="00B1522E">
        <w:rPr>
          <w:shd w:val="clear" w:color="auto" w:fill="FFFFFF"/>
        </w:rPr>
        <w:t xml:space="preserve"> can be difficult to determine whether participants have attended to the feedback during SNA campaigns </w:t>
      </w:r>
      <w:r w:rsidRPr="00B1522E">
        <w:rPr>
          <w:shd w:val="clear" w:color="auto" w:fill="FFFFFF"/>
        </w:rPr>
        <w:fldChar w:fldCharType="begin" w:fldLock="1"/>
      </w:r>
      <w:r w:rsidRPr="00B1522E">
        <w:rPr>
          <w:shd w:val="clear" w:color="auto" w:fill="FFFFFF"/>
        </w:rPr>
        <w:instrText>ADDIN CSL_CITATION {"citationItems":[{"id":"ITEM-1","itemData":{"ISSN":"0066-4308","author":[{"dropping-particle":"","family":"Miller","given":"Dale","non-dropping-particle":"","parse-names":false,"suffix":""},{"dropping-particle":"","family":"Prentice","given":"Deborah","non-dropping-particle":"","parse-names":false,"suffix":""}],"container-title":"Annual Review of Psychology","id":"ITEM-1","issued":{"date-parts":[["2016"]]},"page":"339-361","title":"Changing Norms to Change Behavior","type":"article-journal","volume":"67"},"uris":["http://www.mendeley.com/documents/?uuid=3a70b626-681f-48d0-961b-4d01ef5c7dc6"]}],"mendeley":{"formattedCitation":"(Miller &amp; Prentice, 2016)","plainTextFormattedCitation":"(Miller &amp; Prentice, 2016)","previouslyFormattedCitation":"(Miller &amp; Prentice, 2016)"},"properties":{"noteIndex":0},"schema":"https://github.com/citation-style-language/schema/raw/master/csl-citation.json"}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(Miller &amp; Prentice, 2016)</w:t>
      </w:r>
      <w:r w:rsidRPr="00B1522E">
        <w:rPr>
          <w:shd w:val="clear" w:color="auto" w:fill="FFFFFF"/>
        </w:rPr>
        <w:fldChar w:fldCharType="end"/>
      </w:r>
      <w:r w:rsidRPr="00B1522E">
        <w:rPr>
          <w:shd w:val="clear" w:color="auto" w:fill="FFFFFF"/>
        </w:rPr>
        <w:t>, the use of an interactive poster session and prize-based competition here helped encourage students to engage with the SNA feedback. Although the posters were displayed for a month within the school it was not possible to record how many occasions students reviewed a poster outside of these sessions. Whilst</w:t>
      </w:r>
      <w:r w:rsidRPr="00B1522E">
        <w:t xml:space="preserve"> other methods to disseminate SNA feedback may have allowed us to record intervention exposure, such as computer-based personalised normative feedback, the schools and the students did not have the equipment to support these types of delivery methods and computerised feedback may still not be fully attended to by participants. A limitation of this study is that, even though students in both conditions received the ‘Eatwell Guide’, it is unclear whether students fully attended to and processed the information included in the leaflet. Therefore, there may have been a difference in the level of information processed by the students in the SNA feedback condition compared to those in the control condition. Future research could consider asking students in both conditions to design posters (SNA feedback verses healthy eating information) to ensure there can be a direct comparison between the conditions.</w:t>
      </w:r>
    </w:p>
    <w:p w14:paraId="7208CB70" w14:textId="50D6A069" w:rsidR="0026254F" w:rsidRPr="00B1522E" w:rsidRDefault="0026254F" w:rsidP="0026254F">
      <w:pPr>
        <w:spacing w:line="480" w:lineRule="auto"/>
        <w:ind w:firstLine="720"/>
        <w:jc w:val="both"/>
        <w:rPr>
          <w:shd w:val="clear" w:color="auto" w:fill="FFFFFF"/>
        </w:rPr>
      </w:pPr>
      <w:r w:rsidRPr="00B1522E">
        <w:rPr>
          <w:shd w:val="clear" w:color="auto" w:fill="FFFFFF"/>
        </w:rPr>
        <w:t xml:space="preserve">Snacking is a complex behaviour, and the term ‘snacking’ can have different interpretations </w:t>
      </w:r>
      <w:r w:rsidRPr="00B1522E">
        <w:rPr>
          <w:shd w:val="clear" w:color="auto" w:fill="FFFFFF"/>
        </w:rPr>
        <w:fldChar w:fldCharType="begin" w:fldLock="1"/>
      </w:r>
      <w:r w:rsidR="00DF6CCC" w:rsidRPr="00B1522E">
        <w:rPr>
          <w:shd w:val="clear" w:color="auto" w:fill="FFFFFF"/>
        </w:rPr>
        <w:instrText>ADDIN CSL_CITATION {"citationItems":[{"id":"ITEM-1","itemData":{"ISSN":"0195-6663","author":[{"dropping-particle":"","family":"Chamontin","given":"Aı̈nhoa","non-dropping-particle":"","parse-names":false,"suffix":""},{"dropping-particle":"","family":"Pretzer","given":"Gabriele","non-dropping-particle":"","parse-names":false,"suffix":""},{"dropping-particle":"","family":"Booth","given":"David A","non-dropping-particle":"","parse-names":false,"suffix":""}],"container-title":"Appetite","id":"ITEM-1","issue":"1","issued":{"date-parts":[["2003"]]},"page":"21-29","publisher":"Elsevier","title":"Ambiguity of ‘snack’in British usage","type":"article-journal","volume":"41"},"uris":["http://www.mendeley.com/documents/?uuid=b1bd548f-da27-4123-ba57-b7b2b6f253e0"]}],"mendeley":{"formattedCitation":"(Chamontin et al., 2003)","plainTextFormattedCitation":"(Chamontin et al., 2003)","previouslyFormattedCitation":"(Chamontin et al., 2003)"},"properties":{"noteIndex":0},"schema":"https://github.com/citation-style-language/schema/raw/master/csl-citation.json"}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(Chamontin et al., 2003)</w:t>
      </w:r>
      <w:r w:rsidRPr="00B1522E">
        <w:rPr>
          <w:shd w:val="clear" w:color="auto" w:fill="FFFFFF"/>
        </w:rPr>
        <w:fldChar w:fldCharType="end"/>
      </w:r>
      <w:r w:rsidRPr="00B1522E">
        <w:rPr>
          <w:shd w:val="clear" w:color="auto" w:fill="FFFFFF"/>
        </w:rPr>
        <w:t xml:space="preserve">.  Being specific about snack foodstuffs being measured and targeted by interventions should reduce confusion and misunderstanding </w:t>
      </w:r>
      <w:r w:rsidRPr="00B1522E">
        <w:rPr>
          <w:shd w:val="clear" w:color="auto" w:fill="FFFFFF"/>
        </w:rPr>
        <w:fldChar w:fldCharType="begin" w:fldLock="1"/>
      </w:r>
      <w:r w:rsidR="00DF6CCC" w:rsidRPr="00B1522E">
        <w:rPr>
          <w:shd w:val="clear" w:color="auto" w:fill="FFFFFF"/>
        </w:rPr>
        <w:instrText>ADDIN CSL_CITATION {"citationItems":[{"id":"ITEM-1","itemData":{"ISSN":"2161-8313","author":[{"dropping-particle":"","family":"Hess","given":"Julie M","non-dropping-particle":"","parse-names":false,"suffix":""},{"dropping-particle":"","family":"Jonnalagadda","given":"Satya S","non-dropping-particle":"","parse-names":false,"suffix":""},{"dropping-particle":"","family":"Slavin","given":"Joanne L","non-dropping-particle":"","parse-names":false,"suffix":""}],"container-title":"Advances in Nutrition","id":"ITEM-1","issue":"3","issued":{"date-parts":[["2016"]]},"page":"466-475","publisher":"Oxford University Press","title":"What is a snack, why do we snack, and how can we choose better snacks? A review of the definitions of snacking, motivations to snack, contributions to dietary intake, and recommendations for improvement","type":"article-journal","volume":"7"},"uris":["http://www.mendeley.com/documents/?uuid=ba39c174-a1d4-4e0a-b8ce-29a1e020d582"]}],"mendeley":{"formattedCitation":"(Hess et al., 2016)","plainTextFormattedCitation":"(Hess et al., 2016)","previouslyFormattedCitation":"(Hess et al., 2016)"},"properties":{"noteIndex":0},"schema":"https://github.com/citation-style-language/schema/raw/master/csl-citation.json"}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(Hess et al., 2016)</w:t>
      </w:r>
      <w:r w:rsidRPr="00B1522E">
        <w:rPr>
          <w:shd w:val="clear" w:color="auto" w:fill="FFFFFF"/>
        </w:rPr>
        <w:fldChar w:fldCharType="end"/>
      </w:r>
      <w:r w:rsidRPr="00B1522E">
        <w:rPr>
          <w:shd w:val="clear" w:color="auto" w:fill="FFFFFF"/>
        </w:rPr>
        <w:t xml:space="preserve">. The unhealthy snack foods targeted in the current study were identified as being commonly consumed in both schools. Consultation with teachers and </w:t>
      </w:r>
      <w:r w:rsidRPr="00B1522E">
        <w:t xml:space="preserve">the advisory panel of students led to the recommendation that </w:t>
      </w:r>
      <w:r w:rsidRPr="00B1522E">
        <w:lastRenderedPageBreak/>
        <w:t xml:space="preserve">intervention messages should be focused on a limited number of food items to ensure students were not overloaded with information. </w:t>
      </w:r>
      <w:r w:rsidRPr="00B1522E">
        <w:rPr>
          <w:shd w:val="clear" w:color="auto" w:fill="FFFFFF"/>
        </w:rPr>
        <w:t xml:space="preserve">Whilst our </w:t>
      </w:r>
      <w:r w:rsidRPr="00B1522E">
        <w:t xml:space="preserve">SNA feedback messages presented information about three specific snack foods for each sex, the self-reported measures of snacking and perceived snacking consisted of a sum of responses </w:t>
      </w:r>
      <w:r w:rsidRPr="00B1522E">
        <w:rPr>
          <w:shd w:val="clear" w:color="auto" w:fill="FFFFFF"/>
        </w:rPr>
        <w:t xml:space="preserve">relating to five snack foods. It is unclear whether presenting specific SNA normative messages about individual snack foods, or generic messages about unhealthy snacking, is more or less effective in changing behaviours and attitudes in this age group. Future research could investigate the </w:t>
      </w:r>
      <w:r w:rsidRPr="00B1522E">
        <w:t>effect of presenting generic norms versus specific norms messages on younger adolescents’ unhealthy snacking behaviours.</w:t>
      </w:r>
      <w:r w:rsidRPr="00B1522E">
        <w:rPr>
          <w:shd w:val="clear" w:color="auto" w:fill="FFFFFF"/>
        </w:rPr>
        <w:t xml:space="preserve"> Lastly, one eligible class from School B (</w:t>
      </w:r>
      <w:r w:rsidRPr="00B1522E">
        <w:t>control condition)</w:t>
      </w:r>
      <w:r w:rsidRPr="00B1522E">
        <w:rPr>
          <w:shd w:val="clear" w:color="auto" w:fill="FFFFFF"/>
        </w:rPr>
        <w:t xml:space="preserve"> did not complete a questionnaire at baseline </w:t>
      </w:r>
      <w:r w:rsidRPr="00B1522E">
        <w:t>due to reasons beyond our control (</w:t>
      </w:r>
      <w:r w:rsidRPr="00B1522E">
        <w:rPr>
          <w:shd w:val="clear" w:color="auto" w:fill="FFFFFF"/>
        </w:rPr>
        <w:t xml:space="preserve">an error by the school), but did complete a questionnaire post-intervention and at 3-month follow-up; as the analysis required baseline data to be present, the data from these participants were not included in the analyses. </w:t>
      </w:r>
    </w:p>
    <w:p w14:paraId="143045EE" w14:textId="77777777" w:rsidR="004642E1" w:rsidRPr="00B1522E" w:rsidRDefault="004642E1" w:rsidP="004642E1">
      <w:pPr>
        <w:spacing w:line="480" w:lineRule="auto"/>
        <w:jc w:val="both"/>
        <w:rPr>
          <w:rFonts w:cstheme="minorHAnsi"/>
          <w:shd w:val="clear" w:color="auto" w:fill="FFFFFF"/>
        </w:rPr>
      </w:pPr>
    </w:p>
    <w:bookmarkStart w:id="269" w:name="_Toc84678976"/>
    <w:p w14:paraId="1AF76D5E" w14:textId="19305B7E" w:rsidR="004642E1" w:rsidRPr="00B1522E" w:rsidRDefault="002C4F3C" w:rsidP="00E212F0">
      <w:pPr>
        <w:spacing w:line="480" w:lineRule="auto"/>
      </w:pPr>
      <w:r w:rsidRPr="00B1522E">
        <w:fldChar w:fldCharType="begin"/>
      </w:r>
      <w:r w:rsidRPr="00B1522E">
        <w:instrText xml:space="preserve"> TC  "</w:instrText>
      </w:r>
      <w:bookmarkStart w:id="270" w:name="_Toc97310514"/>
      <w:r w:rsidRPr="00B1522E">
        <w:instrText>8.5.2 Conclusion</w:instrText>
      </w:r>
      <w:bookmarkEnd w:id="270"/>
      <w:r w:rsidRPr="00B1522E">
        <w:instrText xml:space="preserve"> " \f x\l 3 </w:instrText>
      </w:r>
      <w:r w:rsidRPr="00B1522E">
        <w:fldChar w:fldCharType="end"/>
      </w:r>
      <w:r w:rsidR="004642E1" w:rsidRPr="00B1522E">
        <w:t>8.5.2 Conclusion</w:t>
      </w:r>
      <w:bookmarkEnd w:id="269"/>
    </w:p>
    <w:p w14:paraId="1692F997" w14:textId="77777777" w:rsidR="0031439B" w:rsidRPr="00B1522E" w:rsidRDefault="0031439B" w:rsidP="00E212F0">
      <w:pPr>
        <w:spacing w:line="480" w:lineRule="auto"/>
        <w:jc w:val="both"/>
        <w:rPr>
          <w:rFonts w:cstheme="minorHAnsi"/>
          <w:shd w:val="clear" w:color="auto" w:fill="FFFFFF"/>
        </w:rPr>
      </w:pPr>
      <w:bookmarkStart w:id="271" w:name="_Hlk75352142"/>
      <w:r w:rsidRPr="00B1522E">
        <w:rPr>
          <w:rFonts w:cstheme="minorHAnsi"/>
          <w:shd w:val="clear" w:color="auto" w:fill="FFFFFF"/>
        </w:rPr>
        <w:t>This study aims to</w:t>
      </w:r>
      <w:r w:rsidRPr="00B1522E">
        <w:rPr>
          <w:shd w:val="clear" w:color="auto" w:fill="FFFFFF"/>
        </w:rPr>
        <w:t xml:space="preserve"> test whether a school-based SNA feedback intervention is effective in encouraging the reduction of unhealthy snacking behaviours amongst younger adolescents living in a socially-deprived area. </w:t>
      </w:r>
      <w:r w:rsidRPr="00B1522E">
        <w:t>The findings provide evidence that r</w:t>
      </w:r>
      <w:r w:rsidRPr="00B1522E">
        <w:rPr>
          <w:shd w:val="clear" w:color="auto" w:fill="FFFFFF"/>
        </w:rPr>
        <w:t xml:space="preserve">eceiving SNA feedback led to changes in students’ normative perceptions, a reduction in their personal unhealthy consumption, and to students having </w:t>
      </w:r>
      <w:r w:rsidRPr="00B1522E">
        <w:t>less positive personal</w:t>
      </w:r>
      <w:r w:rsidRPr="00B1522E">
        <w:rPr>
          <w:shd w:val="clear" w:color="auto" w:fill="FFFFFF"/>
        </w:rPr>
        <w:t xml:space="preserve"> attitudes towards unhealthy snacking. Further changes in personal attitude towards unhealthy snacking were mediated by changes in normative perceptions of peers’ attitudes towards unhealthy snacking, thus supporting the proposed mechanism of the SNA, that correcting normative misperceptions using SNA feedback leads to positive changes in personal attitudes towards an unhealthy behaviour </w:t>
      </w:r>
      <w:r w:rsidRPr="00B1522E">
        <w:rPr>
          <w:shd w:val="clear" w:color="auto" w:fill="FFFFFF"/>
        </w:rPr>
        <w:fldChar w:fldCharType="begin" w:fldLock="1"/>
      </w:r>
      <w:r w:rsidRPr="00B1522E">
        <w:rPr>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(Dempsey et al., 2018)</w:t>
      </w:r>
      <w:r w:rsidRPr="00B1522E">
        <w:rPr>
          <w:shd w:val="clear" w:color="auto" w:fill="FFFFFF"/>
        </w:rPr>
        <w:fldChar w:fldCharType="end"/>
      </w:r>
      <w:r w:rsidRPr="00B1522E">
        <w:rPr>
          <w:shd w:val="clear" w:color="auto" w:fill="FFFFFF"/>
        </w:rPr>
        <w:t>.  For younger adolescents, the perceived acceptability or approval of unhealthy snacking seems to be an important influencing factor for personal unhealthy snacking attitudes. The findings indicated</w:t>
      </w:r>
      <w:r w:rsidRPr="00B1522E">
        <w:t xml:space="preserve"> that delivering an SNA feedback intervention to 11- to 12-</w:t>
      </w:r>
      <w:r w:rsidRPr="00B1522E">
        <w:lastRenderedPageBreak/>
        <w:t>year-old students to reduce normative misperception is an effective behaviour change strategy for reducing personal unhealthy snacking behaviours amongst younger adolescents.</w:t>
      </w:r>
      <w:r w:rsidRPr="00B1522E">
        <w:rPr>
          <w:rFonts w:cstheme="minorHAnsi"/>
          <w:shd w:val="clear" w:color="auto" w:fill="FFFFFF"/>
        </w:rPr>
        <w:t xml:space="preserve"> </w:t>
      </w:r>
    </w:p>
    <w:p w14:paraId="2C50DAB5" w14:textId="77777777" w:rsidR="004642E1" w:rsidRPr="00B1522E" w:rsidRDefault="004642E1" w:rsidP="004642E1">
      <w:pPr>
        <w:sectPr w:rsidR="004642E1" w:rsidRPr="00B1522E" w:rsidSect="000D1EAF">
          <w:pgSz w:w="11906" w:h="16838"/>
          <w:pgMar w:top="1440" w:right="1440" w:bottom="1440" w:left="1440" w:header="708" w:footer="708" w:gutter="0"/>
          <w:cols w:space="708"/>
          <w:docGrid w:linePitch="360"/>
        </w:sectPr>
      </w:pPr>
    </w:p>
    <w:bookmarkEnd w:id="271"/>
    <w:p w14:paraId="41AD7198" w14:textId="77436D9E" w:rsidR="009674F3" w:rsidRPr="00B1522E" w:rsidRDefault="009674F3" w:rsidP="009674F3">
      <w:pPr>
        <w:jc w:val="center"/>
        <w:rPr>
          <w:sz w:val="44"/>
          <w:szCs w:val="44"/>
        </w:rPr>
      </w:pPr>
    </w:p>
    <w:p w14:paraId="35EBAB10" w14:textId="336ED3DA" w:rsidR="009674F3" w:rsidRPr="00B1522E" w:rsidRDefault="009674F3" w:rsidP="009674F3">
      <w:pPr>
        <w:jc w:val="center"/>
      </w:pPr>
    </w:p>
    <w:p w14:paraId="3DC233D4" w14:textId="5E4B197D" w:rsidR="004F7EC4" w:rsidRPr="00B1522E" w:rsidRDefault="004F7EC4" w:rsidP="009674F3">
      <w:pPr>
        <w:jc w:val="center"/>
      </w:pPr>
    </w:p>
    <w:p w14:paraId="021DC993" w14:textId="77777777" w:rsidR="004F7EC4" w:rsidRPr="00B1522E" w:rsidRDefault="004F7EC4" w:rsidP="009674F3">
      <w:pPr>
        <w:jc w:val="center"/>
      </w:pPr>
    </w:p>
    <w:p w14:paraId="2D0E4C4C" w14:textId="77777777" w:rsidR="009674F3" w:rsidRPr="00B1522E" w:rsidRDefault="009674F3" w:rsidP="009674F3">
      <w:pPr>
        <w:jc w:val="center"/>
      </w:pPr>
    </w:p>
    <w:p w14:paraId="43270F01" w14:textId="77777777" w:rsidR="006449AB" w:rsidRPr="00B1522E" w:rsidRDefault="006449AB" w:rsidP="006449AB">
      <w:r w:rsidRPr="00B1522E">
        <w:rPr>
          <w:noProof/>
          <w:sz w:val="44"/>
          <w:szCs w:val="44"/>
        </w:rPr>
        <mc:AlternateContent>
          <mc:Choice Requires="wps">
            <w:drawing>
              <wp:anchor distT="91440" distB="91440" distL="114300" distR="114300" simplePos="0" relativeHeight="251704320" behindDoc="0" locked="0" layoutInCell="1" allowOverlap="1" wp14:anchorId="348D2618" wp14:editId="25FB2DAE">
                <wp:simplePos x="0" y="0"/>
                <wp:positionH relativeFrom="page">
                  <wp:posOffset>821690</wp:posOffset>
                </wp:positionH>
                <wp:positionV relativeFrom="paragraph">
                  <wp:posOffset>578485</wp:posOffset>
                </wp:positionV>
                <wp:extent cx="5908675" cy="1403985"/>
                <wp:effectExtent l="0" t="0" r="15875" b="26670"/>
                <wp:wrapTopAndBottom/>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3985"/>
                        </a:xfrm>
                        <a:prstGeom prst="rect">
                          <a:avLst/>
                        </a:prstGeom>
                        <a:noFill/>
                        <a:ln w="9525">
                          <a:solidFill>
                            <a:schemeClr val="bg1"/>
                          </a:solidFill>
                          <a:miter lim="800000"/>
                          <a:headEnd/>
                          <a:tailEnd/>
                        </a:ln>
                      </wps:spPr>
                      <wps:txbx>
                        <w:txbxContent>
                          <w:p w14:paraId="7C471B3B" w14:textId="77777777" w:rsidR="00536A1D" w:rsidRPr="00304C47" w:rsidRDefault="006449AB" w:rsidP="00536A1D">
                            <w:r w:rsidRPr="00194138">
                              <w:fldChar w:fldCharType="begin"/>
                            </w:r>
                            <w:r w:rsidRPr="00194138">
                              <w:instrText xml:space="preserve"> TC</w:instrText>
                            </w:r>
                            <w:r w:rsidRPr="002C4F3C">
                              <w:instrText xml:space="preserve">  "</w:instrText>
                            </w:r>
                            <w:r w:rsidRPr="002C4F3C">
                              <w:rPr>
                                <w:rFonts w:cstheme="minorHAnsi"/>
                                <w:b/>
                                <w:bCs/>
                              </w:rPr>
                              <w:instrText xml:space="preserve"> </w:instrText>
                            </w:r>
                            <w:bookmarkStart w:id="272" w:name="_Toc97310515"/>
                            <w:r w:rsidRPr="002C4F3C">
                              <w:rPr>
                                <w:rFonts w:cstheme="minorHAnsi"/>
                                <w:b/>
                                <w:bCs/>
                              </w:rPr>
                              <w:instrText>Chapter</w:instrText>
                            </w:r>
                            <w:r w:rsidRPr="00536A1D">
                              <w:rPr>
                                <w:rFonts w:cstheme="minorHAnsi"/>
                                <w:b/>
                                <w:bCs/>
                              </w:rPr>
                              <w:instrText xml:space="preserve"> 9. </w:instrText>
                            </w:r>
                            <w:r w:rsidR="00536A1D" w:rsidRPr="00536A1D">
                              <w:rPr>
                                <w:rFonts w:ascii="Calibri" w:hAnsi="Calibri" w:cs="Calibri"/>
                                <w:b/>
                                <w:bCs/>
                                <w:noProof/>
                              </w:rPr>
                              <w:instrText xml:space="preserve">A qualitative evaluation of an in-school Social Norms Approach </w:instrText>
                            </w:r>
                            <w:r w:rsidR="00536A1D" w:rsidRPr="00536A1D">
                              <w:rPr>
                                <w:b/>
                                <w:bCs/>
                              </w:rPr>
                              <w:instrText>intervention for reducing unhealthy snacking behaviours amongst secondary school students</w:instrText>
                            </w:r>
                            <w:bookmarkEnd w:id="272"/>
                          </w:p>
                          <w:p w14:paraId="00AD5739" w14:textId="4EEC92DB" w:rsidR="006449AB" w:rsidRPr="006449AB" w:rsidRDefault="006449AB" w:rsidP="006449AB">
                            <w:pPr>
                              <w:pBdr>
                                <w:top w:val="single" w:sz="24" w:space="8" w:color="auto"/>
                                <w:bottom w:val="single" w:sz="24" w:space="8" w:color="auto"/>
                              </w:pBdr>
                              <w:spacing w:after="0"/>
                              <w:jc w:val="center"/>
                              <w:rPr>
                                <w:sz w:val="48"/>
                                <w:szCs w:val="48"/>
                              </w:rPr>
                            </w:pPr>
                            <w:r w:rsidRPr="002C4F3C">
                              <w:instrText xml:space="preserve"> " </w:instrText>
                            </w:r>
                            <w:r w:rsidRPr="00194138">
                              <w:instrText xml:space="preserve">\f x\l </w:instrText>
                            </w:r>
                            <w:r>
                              <w:instrText>1</w:instrText>
                            </w:r>
                            <w:r w:rsidRPr="00194138">
                              <w:instrText xml:space="preserve"> </w:instrText>
                            </w:r>
                            <w:r w:rsidRPr="00194138">
                              <w:fldChar w:fldCharType="end"/>
                            </w:r>
                            <w:r w:rsidRPr="006449AB">
                              <w:rPr>
                                <w:sz w:val="48"/>
                                <w:szCs w:val="48"/>
                              </w:rPr>
                              <w:t>Chapter 9</w:t>
                            </w:r>
                          </w:p>
                          <w:p w14:paraId="14F7C8ED" w14:textId="40A03779" w:rsidR="006449AB" w:rsidRPr="006449AB" w:rsidRDefault="006449AB" w:rsidP="006449AB">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6449AB">
                              <w:rPr>
                                <w:rFonts w:cstheme="minorHAnsi"/>
                                <w:sz w:val="32"/>
                                <w:szCs w:val="32"/>
                              </w:rPr>
                              <w:t xml:space="preserve">A qualitative evaluation of an in-school Social Norms Approach </w:t>
                            </w:r>
                            <w:r w:rsidR="00536A1D" w:rsidRPr="00536A1D">
                              <w:rPr>
                                <w:rFonts w:cstheme="minorHAnsi"/>
                                <w:sz w:val="32"/>
                                <w:szCs w:val="32"/>
                              </w:rPr>
                              <w:t>i</w:t>
                            </w:r>
                            <w:r w:rsidR="00536A1D" w:rsidRPr="00536A1D">
                              <w:rPr>
                                <w:sz w:val="32"/>
                                <w:szCs w:val="32"/>
                              </w:rPr>
                              <w:t>ntervention for reducing unhealthy snacking behaviours amongst secondary school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D2618" id="_x0000_s1044" type="#_x0000_t202" style="position:absolute;margin-left:64.7pt;margin-top:45.55pt;width:465.25pt;height:110.55pt;z-index:2517043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" filled="f" strokecolor="white [3212]">
                <v:textbox style="mso-fit-shape-to-text:t">
                  <w:txbxContent>
                    <w:p w14:paraId="7C471B3B" w14:textId="77777777" w:rsidR="00536A1D" w:rsidRPr="00304C47" w:rsidRDefault="006449AB" w:rsidP="00536A1D">
                      <w:r w:rsidRPr="00194138">
                        <w:fldChar w:fldCharType="begin"/>
                      </w:r>
                      <w:r w:rsidRPr="00194138">
                        <w:instrText xml:space="preserve"> TC</w:instrText>
                      </w:r>
                      <w:r w:rsidRPr="002C4F3C">
                        <w:instrText xml:space="preserve">  "</w:instrText>
                      </w:r>
                      <w:r w:rsidRPr="002C4F3C">
                        <w:rPr>
                          <w:rFonts w:cstheme="minorHAnsi"/>
                          <w:b/>
                          <w:bCs/>
                        </w:rPr>
                        <w:instrText xml:space="preserve"> </w:instrText>
                      </w:r>
                      <w:bookmarkStart w:id="273" w:name="_Toc97310515"/>
                      <w:r w:rsidRPr="002C4F3C">
                        <w:rPr>
                          <w:rFonts w:cstheme="minorHAnsi"/>
                          <w:b/>
                          <w:bCs/>
                        </w:rPr>
                        <w:instrText>Chapter</w:instrText>
                      </w:r>
                      <w:r w:rsidRPr="00536A1D">
                        <w:rPr>
                          <w:rFonts w:cstheme="minorHAnsi"/>
                          <w:b/>
                          <w:bCs/>
                        </w:rPr>
                        <w:instrText xml:space="preserve"> 9. </w:instrText>
                      </w:r>
                      <w:r w:rsidR="00536A1D" w:rsidRPr="00536A1D">
                        <w:rPr>
                          <w:rFonts w:ascii="Calibri" w:hAnsi="Calibri" w:cs="Calibri"/>
                          <w:b/>
                          <w:bCs/>
                          <w:noProof/>
                        </w:rPr>
                        <w:instrText xml:space="preserve">A qualitative evaluation of an in-school Social Norms Approach </w:instrText>
                      </w:r>
                      <w:r w:rsidR="00536A1D" w:rsidRPr="00536A1D">
                        <w:rPr>
                          <w:b/>
                          <w:bCs/>
                        </w:rPr>
                        <w:instrText>intervention for reducing unhealthy snacking behaviours amongst secondary school students</w:instrText>
                      </w:r>
                      <w:bookmarkEnd w:id="273"/>
                    </w:p>
                    <w:p w14:paraId="00AD5739" w14:textId="4EEC92DB" w:rsidR="006449AB" w:rsidRPr="006449AB" w:rsidRDefault="006449AB" w:rsidP="006449AB">
                      <w:pPr>
                        <w:pBdr>
                          <w:top w:val="single" w:sz="24" w:space="8" w:color="auto"/>
                          <w:bottom w:val="single" w:sz="24" w:space="8" w:color="auto"/>
                        </w:pBdr>
                        <w:spacing w:after="0"/>
                        <w:jc w:val="center"/>
                        <w:rPr>
                          <w:sz w:val="48"/>
                          <w:szCs w:val="48"/>
                        </w:rPr>
                      </w:pPr>
                      <w:r w:rsidRPr="002C4F3C">
                        <w:instrText xml:space="preserve"> " </w:instrText>
                      </w:r>
                      <w:r w:rsidRPr="00194138">
                        <w:instrText xml:space="preserve">\f x\l </w:instrText>
                      </w:r>
                      <w:r>
                        <w:instrText>1</w:instrText>
                      </w:r>
                      <w:r w:rsidRPr="00194138">
                        <w:instrText xml:space="preserve"> </w:instrText>
                      </w:r>
                      <w:r w:rsidRPr="00194138">
                        <w:fldChar w:fldCharType="end"/>
                      </w:r>
                      <w:r w:rsidRPr="006449AB">
                        <w:rPr>
                          <w:sz w:val="48"/>
                          <w:szCs w:val="48"/>
                        </w:rPr>
                        <w:t>Chapter 9</w:t>
                      </w:r>
                    </w:p>
                    <w:p w14:paraId="14F7C8ED" w14:textId="40A03779" w:rsidR="006449AB" w:rsidRPr="006449AB" w:rsidRDefault="006449AB" w:rsidP="006449AB">
                      <w:pPr>
                        <w:pBdr>
                          <w:top w:val="single" w:sz="24" w:space="8" w:color="auto"/>
                          <w:bottom w:val="single" w:sz="24" w:space="8" w:color="auto"/>
                        </w:pBdr>
                        <w:spacing w:after="0"/>
                        <w:jc w:val="center"/>
                        <w:rPr>
                          <w:sz w:val="32"/>
                          <w:szCs w:val="32"/>
                          <w14:textOutline w14:w="9525" w14:cap="rnd" w14:cmpd="sng" w14:algn="ctr">
                            <w14:solidFill>
                              <w14:srgbClr w14:val="000000"/>
                            </w14:solidFill>
                            <w14:prstDash w14:val="solid"/>
                            <w14:bevel/>
                          </w14:textOutline>
                        </w:rPr>
                      </w:pPr>
                      <w:r w:rsidRPr="006449AB">
                        <w:rPr>
                          <w:rFonts w:cstheme="minorHAnsi"/>
                          <w:sz w:val="32"/>
                          <w:szCs w:val="32"/>
                        </w:rPr>
                        <w:t xml:space="preserve">A qualitative evaluation of an in-school Social Norms Approach </w:t>
                      </w:r>
                      <w:r w:rsidR="00536A1D" w:rsidRPr="00536A1D">
                        <w:rPr>
                          <w:rFonts w:cstheme="minorHAnsi"/>
                          <w:sz w:val="32"/>
                          <w:szCs w:val="32"/>
                        </w:rPr>
                        <w:t>i</w:t>
                      </w:r>
                      <w:r w:rsidR="00536A1D" w:rsidRPr="00536A1D">
                        <w:rPr>
                          <w:sz w:val="32"/>
                          <w:szCs w:val="32"/>
                        </w:rPr>
                        <w:t>ntervention for reducing unhealthy snacking behaviours amongst secondary school students</w:t>
                      </w:r>
                    </w:p>
                  </w:txbxContent>
                </v:textbox>
                <w10:wrap type="topAndBottom" anchorx="page"/>
              </v:shape>
            </w:pict>
          </mc:Fallback>
        </mc:AlternateContent>
      </w:r>
    </w:p>
    <w:p w14:paraId="4C7771AB" w14:textId="77777777" w:rsidR="006449AB" w:rsidRPr="00B1522E" w:rsidRDefault="006449AB" w:rsidP="006449AB">
      <w:pPr>
        <w:jc w:val="center"/>
        <w:rPr>
          <w:sz w:val="44"/>
          <w:szCs w:val="44"/>
        </w:rPr>
      </w:pPr>
    </w:p>
    <w:p w14:paraId="1D5081B8" w14:textId="77777777" w:rsidR="006449AB" w:rsidRPr="00B1522E" w:rsidRDefault="006449AB" w:rsidP="006449AB"/>
    <w:p w14:paraId="1891BE07" w14:textId="78F03C57" w:rsidR="009674F3" w:rsidRPr="00B1522E" w:rsidRDefault="009674F3" w:rsidP="009674F3"/>
    <w:p w14:paraId="3347CB78" w14:textId="645589CB" w:rsidR="00C12E0E" w:rsidRPr="00B1522E" w:rsidRDefault="00C12E0E" w:rsidP="009674F3"/>
    <w:p w14:paraId="40940A5C" w14:textId="0A5E4E8E" w:rsidR="00C12E0E" w:rsidRPr="00B1522E" w:rsidRDefault="00C12E0E" w:rsidP="009674F3"/>
    <w:p w14:paraId="5EF85CF9" w14:textId="7913AFEB" w:rsidR="00C12E0E" w:rsidRPr="00B1522E" w:rsidRDefault="00C12E0E" w:rsidP="009674F3"/>
    <w:p w14:paraId="2A33D1C9" w14:textId="30FE93F7" w:rsidR="009674F3" w:rsidRPr="00B1522E" w:rsidRDefault="009674F3" w:rsidP="009674F3">
      <w:pPr>
        <w:jc w:val="center"/>
      </w:pPr>
    </w:p>
    <w:p w14:paraId="317F374F" w14:textId="78799D99" w:rsidR="000255E2" w:rsidRPr="00B1522E" w:rsidRDefault="000255E2" w:rsidP="009674F3">
      <w:pPr>
        <w:jc w:val="center"/>
      </w:pPr>
    </w:p>
    <w:p w14:paraId="6C9FF6DB" w14:textId="45144599" w:rsidR="000255E2" w:rsidRPr="00B1522E" w:rsidRDefault="000255E2" w:rsidP="009674F3">
      <w:pPr>
        <w:jc w:val="center"/>
      </w:pPr>
    </w:p>
    <w:p w14:paraId="35BEE90E" w14:textId="492D62CC" w:rsidR="000255E2" w:rsidRPr="00B1522E" w:rsidRDefault="000255E2" w:rsidP="009674F3">
      <w:pPr>
        <w:jc w:val="center"/>
      </w:pPr>
    </w:p>
    <w:p w14:paraId="6D3416A8" w14:textId="479CEE70" w:rsidR="000255E2" w:rsidRPr="00B1522E" w:rsidRDefault="000255E2" w:rsidP="009674F3">
      <w:pPr>
        <w:jc w:val="center"/>
      </w:pPr>
    </w:p>
    <w:p w14:paraId="10031442" w14:textId="77777777" w:rsidR="004E2DDE" w:rsidRPr="00B1522E" w:rsidRDefault="004E2DDE"/>
    <w:p w14:paraId="3200E15E" w14:textId="77777777" w:rsidR="00507114" w:rsidRPr="00B1522E" w:rsidRDefault="00507114"/>
    <w:p w14:paraId="3BB3528A" w14:textId="77777777" w:rsidR="00507114" w:rsidRPr="00B1522E" w:rsidRDefault="00507114"/>
    <w:p w14:paraId="6A740B43" w14:textId="66D2AFE8" w:rsidR="000255E2" w:rsidRPr="00B1522E" w:rsidRDefault="00D27ADB">
      <w:r w:rsidRPr="00B1522E">
        <w:t>A manuscript based on this chapter is in preparation for publication:</w:t>
      </w:r>
    </w:p>
    <w:p w14:paraId="36B2E310" w14:textId="77777777" w:rsidR="00B80E56" w:rsidRPr="00B1522E" w:rsidRDefault="00B80E56" w:rsidP="00B80E56">
      <w:pPr>
        <w:spacing w:line="240" w:lineRule="auto"/>
        <w:jc w:val="both"/>
        <w:rPr>
          <w:rFonts w:ascii="Calibri" w:hAnsi="Calibri" w:cs="Calibri"/>
          <w:noProof/>
        </w:rPr>
      </w:pPr>
      <w:r w:rsidRPr="00B1522E">
        <w:rPr>
          <w:rFonts w:ascii="Calibri" w:hAnsi="Calibri" w:cs="Calibri"/>
          <w:noProof/>
          <w:szCs w:val="24"/>
        </w:rPr>
        <w:t xml:space="preserve">Calvert, S., Dempsey, R. C., &amp; Povey, R. (in preparation). </w:t>
      </w:r>
      <w:r w:rsidRPr="00B1522E">
        <w:rPr>
          <w:rFonts w:ascii="Calibri" w:hAnsi="Calibri" w:cs="Calibri"/>
          <w:noProof/>
        </w:rPr>
        <w:t xml:space="preserve">A qualitative evaluation of an in-school Social Norms Approach </w:t>
      </w:r>
      <w:r w:rsidRPr="00B1522E">
        <w:t xml:space="preserve">intervention for reducing unhealthy snacking behaviours amongst secondary school students. </w:t>
      </w:r>
    </w:p>
    <w:p w14:paraId="4F1F0DDE" w14:textId="77777777" w:rsidR="004E2DDE" w:rsidRPr="00B1522E" w:rsidRDefault="004E2DDE" w:rsidP="009674F3">
      <w:pPr>
        <w:jc w:val="center"/>
      </w:pPr>
    </w:p>
    <w:bookmarkStart w:id="274" w:name="_Toc84678978"/>
    <w:p w14:paraId="278EA76D" w14:textId="0836F701" w:rsidR="00DF2775" w:rsidRPr="00B1522E" w:rsidRDefault="00307AED" w:rsidP="0009505A">
      <w:pPr>
        <w:spacing w:line="480" w:lineRule="auto"/>
        <w:rPr>
          <w:b/>
          <w:bCs/>
        </w:rPr>
      </w:pPr>
      <w:r w:rsidRPr="00B1522E">
        <w:lastRenderedPageBreak/>
        <w:fldChar w:fldCharType="begin"/>
      </w:r>
      <w:r w:rsidRPr="00B1522E">
        <w:instrText xml:space="preserve"> TC  "</w:instrText>
      </w:r>
      <w:bookmarkStart w:id="275" w:name="_Toc97310516"/>
      <w:r w:rsidRPr="00B1522E">
        <w:instrText>9.1 Chapter overview</w:instrText>
      </w:r>
      <w:bookmarkEnd w:id="275"/>
      <w:r w:rsidRPr="00B1522E">
        <w:instrText xml:space="preserve"> " \f x\l </w:instrText>
      </w:r>
      <w:r w:rsidR="00766675" w:rsidRPr="00B1522E">
        <w:instrText>2</w:instrText>
      </w:r>
      <w:r w:rsidRPr="00B1522E">
        <w:instrText xml:space="preserve"> </w:instrText>
      </w:r>
      <w:r w:rsidRPr="00B1522E">
        <w:fldChar w:fldCharType="end"/>
      </w:r>
      <w:r w:rsidR="009674F3" w:rsidRPr="00B1522E">
        <w:rPr>
          <w:b/>
          <w:bCs/>
        </w:rPr>
        <w:t>9.1 Chapter overview</w:t>
      </w:r>
      <w:bookmarkEnd w:id="274"/>
      <w:r w:rsidR="009674F3" w:rsidRPr="00B1522E">
        <w:rPr>
          <w:b/>
          <w:bCs/>
        </w:rPr>
        <w:t xml:space="preserve"> </w:t>
      </w:r>
    </w:p>
    <w:p w14:paraId="00922F95" w14:textId="29160E4C" w:rsidR="009674F3" w:rsidRPr="00B1522E" w:rsidRDefault="009674F3" w:rsidP="0009505A">
      <w:pPr>
        <w:spacing w:line="480" w:lineRule="auto"/>
        <w:jc w:val="both"/>
      </w:pPr>
      <w:r w:rsidRPr="00B1522E">
        <w:t xml:space="preserve">The previous chapter (Chapter 8) discusses the effectiveness of </w:t>
      </w:r>
      <w:r w:rsidRPr="00B1522E">
        <w:rPr>
          <w:rFonts w:cstheme="minorHAnsi"/>
        </w:rPr>
        <w:t xml:space="preserve">an in-school </w:t>
      </w:r>
      <w:r w:rsidRPr="00B1522E">
        <w:t>Social Norms Approach (SNA)</w:t>
      </w:r>
      <w:r w:rsidRPr="00B1522E">
        <w:rPr>
          <w:rFonts w:eastAsia="Calibri"/>
        </w:rPr>
        <w:t xml:space="preserve"> feedback intervention on </w:t>
      </w:r>
      <w:r w:rsidR="00606C41" w:rsidRPr="00B1522E">
        <w:rPr>
          <w:rFonts w:eastAsia="Calibri"/>
        </w:rPr>
        <w:t>reducing</w:t>
      </w:r>
      <w:r w:rsidRPr="00B1522E">
        <w:rPr>
          <w:rFonts w:eastAsia="Calibri"/>
        </w:rPr>
        <w:t xml:space="preserve"> </w:t>
      </w:r>
      <w:r w:rsidRPr="00B1522E">
        <w:rPr>
          <w:rFonts w:cstheme="minorHAnsi"/>
          <w:shd w:val="clear" w:color="auto" w:fill="FFFFFF"/>
        </w:rPr>
        <w:t xml:space="preserve">unhealthy snacking of secondary school students. </w:t>
      </w:r>
      <w:r w:rsidRPr="00B1522E">
        <w:rPr>
          <w:rFonts w:eastAsia="Calibri"/>
        </w:rPr>
        <w:t xml:space="preserve">The research presented in this Chapter sets out to </w:t>
      </w:r>
      <w:r w:rsidRPr="00B1522E">
        <w:rPr>
          <w:rFonts w:cstheme="minorHAnsi"/>
          <w:shd w:val="clear" w:color="auto" w:fill="FFFFFF"/>
        </w:rPr>
        <w:t>q</w:t>
      </w:r>
      <w:r w:rsidRPr="00B1522E">
        <w:rPr>
          <w:rFonts w:cstheme="minorHAnsi"/>
        </w:rPr>
        <w:t>ualitatively evaluate the SNA</w:t>
      </w:r>
      <w:r w:rsidRPr="00B1522E">
        <w:rPr>
          <w:rFonts w:eastAsia="Calibri" w:cstheme="minorHAnsi"/>
        </w:rPr>
        <w:t xml:space="preserve"> intervention b</w:t>
      </w:r>
      <w:r w:rsidRPr="00B1522E">
        <w:rPr>
          <w:rFonts w:cstheme="minorHAnsi"/>
          <w:shd w:val="clear" w:color="auto" w:fill="FFFFFF"/>
        </w:rPr>
        <w:t xml:space="preserve">y </w:t>
      </w:r>
      <w:r w:rsidRPr="00B1522E">
        <w:rPr>
          <w:rFonts w:cstheme="minorHAnsi"/>
        </w:rPr>
        <w:t xml:space="preserve">exploring </w:t>
      </w:r>
      <w:r w:rsidRPr="00B1522E">
        <w:rPr>
          <w:rFonts w:eastAsia="Calibri" w:cstheme="minorHAnsi"/>
        </w:rPr>
        <w:t>the experiences of both the student participants who received SNA feedback and the teachers delivering the in-</w:t>
      </w:r>
      <w:r w:rsidR="007D1CA7" w:rsidRPr="00B1522E">
        <w:rPr>
          <w:rFonts w:eastAsia="Calibri" w:cstheme="minorHAnsi"/>
        </w:rPr>
        <w:t>school</w:t>
      </w:r>
      <w:r w:rsidRPr="00B1522E">
        <w:rPr>
          <w:rFonts w:eastAsia="Calibri" w:cstheme="minorHAnsi"/>
        </w:rPr>
        <w:t xml:space="preserve"> SNA feedback session.</w:t>
      </w:r>
      <w:r w:rsidRPr="00B1522E">
        <w:rPr>
          <w:rFonts w:cstheme="minorHAnsi"/>
          <w:shd w:val="clear" w:color="auto" w:fill="FFFFFF"/>
        </w:rPr>
        <w:t xml:space="preserve"> </w:t>
      </w:r>
      <w:r w:rsidRPr="00B1522E">
        <w:rPr>
          <w:rFonts w:eastAsia="Calibri"/>
        </w:rPr>
        <w:t xml:space="preserve">This qualitative appraisal will </w:t>
      </w:r>
      <w:r w:rsidRPr="00B1522E">
        <w:rPr>
          <w:rFonts w:eastAsia="Calibri" w:cstheme="minorHAnsi"/>
        </w:rPr>
        <w:t xml:space="preserve">allow for a more </w:t>
      </w:r>
      <w:r w:rsidRPr="00B1522E">
        <w:rPr>
          <w:rFonts w:cstheme="minorHAnsi"/>
          <w:shd w:val="clear" w:color="auto" w:fill="FFFFFF"/>
        </w:rPr>
        <w:t xml:space="preserve">thorough understanding of how students perceived and engaged </w:t>
      </w:r>
      <w:r w:rsidRPr="00B1522E">
        <w:rPr>
          <w:rFonts w:cstheme="minorHAnsi"/>
        </w:rPr>
        <w:t>with the SNA</w:t>
      </w:r>
      <w:r w:rsidRPr="00B1522E">
        <w:rPr>
          <w:rFonts w:eastAsia="Calibri"/>
        </w:rPr>
        <w:t xml:space="preserve"> </w:t>
      </w:r>
      <w:r w:rsidRPr="00B1522E">
        <w:rPr>
          <w:rFonts w:cstheme="minorHAnsi"/>
        </w:rPr>
        <w:t xml:space="preserve">intervention, </w:t>
      </w:r>
      <w:r w:rsidRPr="00B1522E">
        <w:rPr>
          <w:rFonts w:cstheme="minorHAnsi"/>
          <w:shd w:val="clear" w:color="auto" w:fill="FFFFFF"/>
        </w:rPr>
        <w:t xml:space="preserve">whether the SNA intervention was delivered as intended, and help inform </w:t>
      </w:r>
      <w:r w:rsidRPr="00B1522E">
        <w:t xml:space="preserve">future school-based SNA interventions. </w:t>
      </w:r>
    </w:p>
    <w:p w14:paraId="65CB229F" w14:textId="77777777" w:rsidR="00574FBE" w:rsidRPr="00B1522E" w:rsidRDefault="00574FBE" w:rsidP="00DF2775">
      <w:pPr>
        <w:spacing w:line="480" w:lineRule="auto"/>
        <w:jc w:val="both"/>
        <w:rPr>
          <w:rFonts w:cstheme="minorHAnsi"/>
          <w:shd w:val="clear" w:color="auto" w:fill="FFFFFF"/>
        </w:rPr>
      </w:pPr>
    </w:p>
    <w:bookmarkStart w:id="276" w:name="_Toc84678979"/>
    <w:p w14:paraId="033822B3" w14:textId="49AC2176" w:rsidR="009674F3" w:rsidRPr="00B1522E" w:rsidRDefault="000E06E9" w:rsidP="0009505A">
      <w:pPr>
        <w:spacing w:line="480" w:lineRule="auto"/>
        <w:rPr>
          <w:b/>
          <w:bCs/>
        </w:rPr>
      </w:pPr>
      <w:r w:rsidRPr="00B1522E">
        <w:fldChar w:fldCharType="begin"/>
      </w:r>
      <w:r w:rsidRPr="00B1522E">
        <w:instrText xml:space="preserve"> TC  "</w:instrText>
      </w:r>
      <w:bookmarkStart w:id="277" w:name="_Toc97310517"/>
      <w:r w:rsidRPr="00B1522E">
        <w:instrText xml:space="preserve">9.2 </w:instrText>
      </w:r>
      <w:r w:rsidR="00766675" w:rsidRPr="00B1522E">
        <w:instrText>Introduction</w:instrText>
      </w:r>
      <w:bookmarkEnd w:id="277"/>
      <w:r w:rsidRPr="00B1522E">
        <w:instrText xml:space="preserve">" \f x\l </w:instrText>
      </w:r>
      <w:r w:rsidR="00766675" w:rsidRPr="00B1522E">
        <w:instrText>2</w:instrText>
      </w:r>
      <w:r w:rsidRPr="00B1522E">
        <w:instrText xml:space="preserve"> </w:instrText>
      </w:r>
      <w:r w:rsidRPr="00B1522E">
        <w:fldChar w:fldCharType="end"/>
      </w:r>
      <w:r w:rsidR="009674F3" w:rsidRPr="00B1522E">
        <w:rPr>
          <w:b/>
          <w:bCs/>
        </w:rPr>
        <w:t>9.2 Introduction</w:t>
      </w:r>
      <w:bookmarkEnd w:id="276"/>
      <w:r w:rsidR="009674F3" w:rsidRPr="00B1522E">
        <w:rPr>
          <w:b/>
          <w:bCs/>
        </w:rPr>
        <w:t xml:space="preserve"> </w:t>
      </w:r>
    </w:p>
    <w:p w14:paraId="3FA1D55F" w14:textId="079FE6B3" w:rsidR="00574FBE" w:rsidRPr="00B1522E" w:rsidRDefault="009674F3" w:rsidP="0009505A">
      <w:pPr>
        <w:spacing w:line="480" w:lineRule="auto"/>
        <w:jc w:val="both"/>
        <w:rPr>
          <w:rFonts w:cstheme="minorHAnsi"/>
        </w:rPr>
      </w:pPr>
      <w:r w:rsidRPr="00B1522E">
        <w:rPr>
          <w:rFonts w:eastAsia="Calibri" w:cstheme="minorHAnsi"/>
        </w:rPr>
        <w:t xml:space="preserve">Changing human behaviour is complex </w:t>
      </w:r>
      <w:r w:rsidRPr="00B1522E">
        <w:rPr>
          <w:rFonts w:eastAsia="Calibri" w:cstheme="minorHAnsi"/>
        </w:rPr>
        <w:fldChar w:fldCharType="begin" w:fldLock="1"/>
      </w:r>
      <w:r w:rsidR="00CE1B6A">
        <w:rPr>
          <w:rFonts w:eastAsia="Calibri" w:cstheme="minorHAnsi"/>
        </w:rPr>
        <w:instrText>ADDIN CSL_CITATION {"citationItems":[{"id":"ITEM-1","itemData":{"abstract":"Traditional Behavioral Based safety systems have been implemented in organizations and industries across the globe, with some success. Yet across organizations safety performance has reached a plateau and in many cases incidents and injuries are again on the rise. A key part of the reason is that a purely behavioral approach to safety is based on an incomplete understanding of human psychology. To truly influence people and impact on the way people behave and engage with safety processes requires a deeper understanding of the motivations that drive our behaviour and more than that, an understanding of how to influence individuals and groups toward safety.This paper explores how current literature and research in the areas of cognitive psychology, social psychology, the psychology of change and neuroscience can add greatly to refining how we apply psychology to our safety systems, and go beyond the simple reward and punishment paradigm of behavioural based approaches. The presentation will shed light on what these theories mean for behavioral safety systems and provide safety leaders with insights to build an intrinsically motivated workforce who value safety.The use of psychological theories and concepts can provide a wealth of opportunity for improving safety performance and culture, if we move past a purely behavioral approach to one that embraces a more broad understanding of individual and group psychology.","author":[{"dropping-particle":"","family":"Bowen","given":"Mathew","non-dropping-particle":"","parse-names":false,"suffix":""}],"id":"ITEM-1","issued":{"date-parts":[["2013","3","18"]]},"note":"1)     Bowen, M. (2013). The Problem with People: The Complex Nature of Human Behavior [conference paper]. SPE Americas E&amp;amp;P Health, Safety, Security and Environmental Conference, Texas, United states. https://onepetro.org/SPEHSSE/proceedings-abstract/13HSSE/All-13HSSE/SPE-163798-MS/178719","publisher-place":"Texas, USA","title":"The Problem with People: The Complex Nature of Human Behavior [conference paper]. SPE Americas E&amp;P Health, Safety, Security and Environmental Conference, Texas, USA","type":"paper-conference"},"uris":["http://www.mendeley.com/documents/?uuid=d10b9ac6-e02f-4896-8c0a-4aa1401005f7"]}],"mendeley":{"formattedCitation":"(Bowen, 2013)","plainTextFormattedCitation":"(Bowen, 2013)","previouslyFormattedCitation":"(Bowen, 2013)"},"properties":{"noteIndex":0},"schema":"https://github.com/citation-style-language/schema/raw/master/csl-citation.json"}</w:instrText>
      </w:r>
      <w:r w:rsidRPr="00B1522E">
        <w:rPr>
          <w:rFonts w:eastAsia="Calibri" w:cstheme="minorHAnsi"/>
        </w:rPr>
        <w:fldChar w:fldCharType="separate"/>
      </w:r>
      <w:r w:rsidRPr="00B1522E">
        <w:rPr>
          <w:rFonts w:eastAsia="Calibri" w:cstheme="minorHAnsi"/>
          <w:noProof/>
        </w:rPr>
        <w:t>(Bowen, 2013)</w:t>
      </w:r>
      <w:r w:rsidRPr="00B1522E">
        <w:rPr>
          <w:rFonts w:eastAsia="Calibri" w:cstheme="minorHAnsi"/>
        </w:rPr>
        <w:fldChar w:fldCharType="end"/>
      </w:r>
      <w:r w:rsidRPr="00B1522E">
        <w:rPr>
          <w:rFonts w:eastAsia="Calibri" w:cstheme="minorHAnsi"/>
        </w:rPr>
        <w:t xml:space="preserve"> and there is a need to evaluate </w:t>
      </w:r>
      <w:r w:rsidRPr="00B1522E">
        <w:rPr>
          <w:rFonts w:cstheme="minorHAnsi"/>
        </w:rPr>
        <w:t xml:space="preserve">health promoting interventions to understand which aspects of an intervention best </w:t>
      </w:r>
      <w:r w:rsidRPr="00B1522E">
        <w:rPr>
          <w:rFonts w:cstheme="minorHAnsi"/>
          <w:shd w:val="clear" w:color="auto" w:fill="FFFFFF"/>
        </w:rPr>
        <w:t xml:space="preserve">work for whom, under what circumstances, and in which contexts </w:t>
      </w:r>
      <w:r w:rsidRPr="00B1522E">
        <w:rPr>
          <w:rFonts w:cstheme="minorHAnsi"/>
          <w:shd w:val="clear" w:color="auto" w:fill="FFFFFF"/>
        </w:rPr>
        <w:fldChar w:fldCharType="begin" w:fldLock="1"/>
      </w:r>
      <w:r w:rsidR="00FD502B" w:rsidRPr="00B1522E">
        <w:rPr>
          <w:rFonts w:cstheme="minorHAnsi"/>
          <w:shd w:val="clear" w:color="auto" w:fill="FFFFFF"/>
        </w:rPr>
        <w:instrText>ADDIN CSL_CITATION {"citationItems":[{"id":"ITEM-1","itemData":{"ISBN":"1473924855","author":[{"dropping-particle":"","family":"Pawson","given":"Ray","non-dropping-particle":"","parse-names":false,"suffix":""},{"dropping-particle":"","family":"Tilley","given":"Nicholas","non-dropping-particle":"","parse-names":false,"suffix":""}],"id":"ITEM-1","issued":{"date-parts":[["1997"]]},"publisher":"Sage Publications","title":"Realistic evaluation","type":"book"},"uris":["http://www.mendeley.com/documents/?uuid=f4943a15-1212-402d-99fa-146b7d90e0c8"]}],"mendeley":{"formattedCitation":"(Pawson &amp; Tilley, 1997)","plainTextFormattedCitation":"(Pawson &amp; Tilley, 1997)","previouslyFormattedCitation":"(Pawson &amp; Tilley, 1997)"},"properties":{"noteIndex":0},"schema":"https://github.com/citation-style-language/schema/raw/master/csl-citation.json"}</w:instrText>
      </w:r>
      <w:r w:rsidRPr="00B1522E">
        <w:rPr>
          <w:rFonts w:cstheme="minorHAnsi"/>
          <w:shd w:val="clear" w:color="auto" w:fill="FFFFFF"/>
        </w:rPr>
        <w:fldChar w:fldCharType="separate"/>
      </w:r>
      <w:r w:rsidRPr="00B1522E">
        <w:rPr>
          <w:rFonts w:cstheme="minorHAnsi"/>
          <w:noProof/>
          <w:shd w:val="clear" w:color="auto" w:fill="FFFFFF"/>
        </w:rPr>
        <w:t>(Pawson &amp; Tilley, 1997)</w:t>
      </w:r>
      <w:r w:rsidRPr="00B1522E">
        <w:rPr>
          <w:rFonts w:cstheme="minorHAnsi"/>
          <w:shd w:val="clear" w:color="auto" w:fill="FFFFFF"/>
        </w:rPr>
        <w:fldChar w:fldCharType="end"/>
      </w:r>
      <w:r w:rsidRPr="00B1522E">
        <w:rPr>
          <w:rFonts w:cstheme="minorHAnsi"/>
          <w:shd w:val="clear" w:color="auto" w:fill="FFFFFF"/>
        </w:rPr>
        <w:t xml:space="preserve">.  Qualitative research methods offer important insights for the appraisal of health-promoting interventions by helping to explore </w:t>
      </w:r>
      <w:r w:rsidRPr="00B1522E">
        <w:rPr>
          <w:rFonts w:cstheme="minorHAnsi"/>
        </w:rPr>
        <w:t xml:space="preserve">individual differences between experiences and understand the meaning of an intervention for its participants </w:t>
      </w:r>
      <w:r w:rsidRPr="00B1522E">
        <w:rPr>
          <w:rFonts w:cstheme="minorHAnsi"/>
        </w:rPr>
        <w:fldChar w:fldCharType="begin" w:fldLock="1"/>
      </w:r>
      <w:r w:rsidR="00DF6CCC" w:rsidRPr="00B1522E">
        <w:rPr>
          <w:rFonts w:cstheme="minorHAnsi"/>
        </w:rPr>
        <w:instrText>ADDIN CSL_CITATION {"citationItems":[{"id":"ITEM-1","itemData":{"abstract":"This paper is one of a series exploring the implications of complexity for systematic reviews and guideline development, commissioned by the WHO. The paper specifically explores the role of qualitative evidence synthesis. Qualitative evidence synthesis is the broad term for the group of methods used to undertake systematic reviews of qualitative research evidence. As an approach, qualitative evidence synthesis is increasingly recognised as having a key role to play in addressing questions relating to intervention or system complexity, and guideline development processes. This is due to the unique role qualitative research can play in establishing the relative importance of outcomes, the acceptability, fidelity and reach of interventions, their feasibility in different settings and potential consequences on equity across populations. This paper outlines the purpose of qualitative evidence synthesis, provides detail of how qualitative evidence syntheses can help establish understanding and explanation of the complexity that can occur in relation to both interventions and systems, and how qualitative evidence syntheses can contribute to evidence to decision frameworks. It provides guidance for the choice of qualitative evidence synthesis methods in the context of guideline development for complex interventions, giving ‘real life’ examples of where this has occurred. Information to support decision-making around choice qualitative evidence synthesis methods in the context of guideline development is provided. Approaches for reporting qualitative evidence syntheses are discussed alongside mechanisms for assessing confidence in the findings of a review.","author":[{"dropping-particle":"","family":"Flemming","given":"Kate","non-dropping-particle":"","parse-names":false,"suffix":""},{"dropping-particle":"","family":"Booth","given":"Andrew","non-dropping-particle":"","parse-names":false,"suffix":""},{"dropping-particle":"","family":"Garside","given":"Ruth","non-dropping-particle":"","parse-names":false,"suffix":""},{"dropping-particle":"","family":"Tunçalp","given":"Özge","non-dropping-particle":"","parse-names":false,"suffix":""},{"dropping-particle":"","family":"Noyes","given":"Jane","non-dropping-particle":"","parse-names":false,"suffix":""}],"container-title":"BMJ Global Health","id":"ITEM-1","issue":"1","issued":{"date-parts":[["2019","1","1"]]},"page":"e000882","title":"Qualitative evidence synthesis for complex interventions and guideline development: clarification of the purpose, designs and relevant methods","type":"article-journal","volume":"4"},"uris":["http://www.mendeley.com/documents/?uuid=f1ad726a-233a-4077-813c-530440a211bd"]}],"mendeley":{"formattedCitation":"(Flemming et al., 2019)","plainTextFormattedCitation":"(Flemming et al., 2019)","previouslyFormattedCitation":"(Flemming et al., 2019)"},"properties":{"noteIndex":0},"schema":"https://github.com/citation-style-language/schema/raw/master/csl-citation.json"}</w:instrText>
      </w:r>
      <w:r w:rsidRPr="00B1522E">
        <w:rPr>
          <w:rFonts w:cstheme="minorHAnsi"/>
        </w:rPr>
        <w:fldChar w:fldCharType="separate"/>
      </w:r>
      <w:r w:rsidR="004B7FAF" w:rsidRPr="00B1522E">
        <w:rPr>
          <w:rFonts w:cstheme="minorHAnsi"/>
          <w:noProof/>
        </w:rPr>
        <w:t>(Flemming et al., 2019)</w:t>
      </w:r>
      <w:r w:rsidRPr="00B1522E">
        <w:rPr>
          <w:rFonts w:cstheme="minorHAnsi"/>
        </w:rPr>
        <w:fldChar w:fldCharType="end"/>
      </w:r>
      <w:r w:rsidRPr="00B1522E">
        <w:rPr>
          <w:rFonts w:cstheme="minorHAnsi"/>
        </w:rPr>
        <w:t xml:space="preserve">. This can lead to a deeper understanding of the effectiveness of an intervention and whether it was delivered as intended </w:t>
      </w:r>
      <w:r w:rsidRPr="00B1522E">
        <w:rPr>
          <w:rFonts w:cstheme="minorHAnsi"/>
        </w:rPr>
        <w:fldChar w:fldCharType="begin" w:fldLock="1"/>
      </w:r>
      <w:r w:rsidR="00D046DC" w:rsidRPr="00B1522E">
        <w:rPr>
          <w:rFonts w:cstheme="minorHAnsi"/>
        </w:rPr>
        <w:instrText>ADDIN CSL_CITATION {"citationItems":[{"id":"ITEM-1","itemData":{"ISSN":"1476-5497","abstract":"The HEALTHY study was a multi-site randomized trial designed to determine whether a 3-year school-based intervention targeting nutrition and physical activity behaviors could effectively reduce risk factors associated with type 2 diabetes in middle school children. Pilot and formative studies were conducted to inform the development of the intervention components and the process evaluation methods for the main trial. During the main trial, both qualitative and quantitative assessments monitored the fidelity of the intervention and motivated modifications to improve intervention delivery. Structured observations of physical education classes, total school food environments, classroom-based educational modules, and communications and promotional campaigns provided verification that the intervention was delivered as intended. Interviews and focus groups yielded a multidimensional assessment of how the intervention was delivered and received, as well as identifying the barriers to and facilitators of the intervention across and within participating schools. Interim summaries of process evaluation data were presented to the study group as a means of ensuring standardization and quality of the intervention across the seven participating centers. Process evaluation methods and procedures documented the fidelity with which the HEALTHY study was implemented across 21 intervention schools and identified ways in which the intervention delivery might be enhanced throughout the study.","author":[{"dropping-particle":"","family":"Schneider","given":"M","non-dropping-particle":"","parse-names":false,"suffix":""},{"dropping-particle":"","family":"Hall","given":"W J","non-dropping-particle":"","parse-names":false,"suffix":""},{"dropping-particle":"","family":"Hernandez","given":"A E","non-dropping-particle":"","parse-names":false,"suffix":""},{"dropping-particle":"","family":"Hindes","given":"K","non-dropping-particle":"","parse-names":false,"suffix":""},{"dropping-particle":"","family":"Montez","given":"G","non-dropping-particle":"","parse-names":false,"suffix":""},{"dropping-particle":"","family":"Pham","given":"T","non-dropping-particle":"","parse-names":false,"suffix":""},{"dropping-particle":"","family":"Rosen","given":"L","non-dropping-particle":"","parse-names":false,"suffix":""},{"dropping-particle":"","family":"Sleigh","given":"A","non-dropping-particle":"","parse-names":false,"suffix":""},{"dropping-particle":"","family":"Thompson","given":"D","non-dropping-particle":"","parse-names":false,"suffix":""},{"dropping-particle":"","family":"Volpe","given":"S L","non-dropping-particle":"","parse-names":false,"suffix":""},{"dropping-particle":"","family":"Zeveloff","given":"A","non-dropping-particle":"","parse-names":false,"suffix":""},{"dropping-particle":"","family":"Steckler","given":"A","non-dropping-particle":"","parse-names":false,"suffix":""},{"dropping-particle":"","family":"Group","given":"HEALTHY Study","non-dropping-particle":"","parse-names":false,"suffix":""}],"container-title":"International journal of obesity (2005)","id":"ITEM-1","issue":"4","issued":{"date-parts":[["2009","8"]]},"language":"eng","page":"S60-S67","title":"Rationale, design and methods for process evaluation in the HEALTHY study","type":"article-journal","volume":"33"},"uris":["http://www.mendeley.com/documents/?uuid=bd4b6aec-2fd8-4c39-9100-4c667f8b258c"]}],"mendeley":{"formattedCitation":"(Schneider et al., 2009)","plainTextFormattedCitation":"(Schneider et al., 2009)","previouslyFormattedCitation":"(Schneider et al., 2009)"},"properties":{"noteIndex":0},"schema":"https://github.com/citation-style-language/schema/raw/master/csl-citation.json"}</w:instrText>
      </w:r>
      <w:r w:rsidRPr="00B1522E">
        <w:rPr>
          <w:rFonts w:cstheme="minorHAnsi"/>
        </w:rPr>
        <w:fldChar w:fldCharType="separate"/>
      </w:r>
      <w:r w:rsidRPr="00B1522E">
        <w:rPr>
          <w:rFonts w:cstheme="minorHAnsi"/>
          <w:noProof/>
        </w:rPr>
        <w:t>(Schneider et al., 2009)</w:t>
      </w:r>
      <w:r w:rsidRPr="00B1522E">
        <w:rPr>
          <w:rFonts w:cstheme="minorHAnsi"/>
        </w:rPr>
        <w:fldChar w:fldCharType="end"/>
      </w:r>
      <w:r w:rsidRPr="00B1522E">
        <w:rPr>
          <w:rFonts w:cstheme="minorHAnsi"/>
        </w:rPr>
        <w:t xml:space="preserve">. A qualitative method can capture information that can be used to refine and improve intervention implementation and efficacy for future studies </w:t>
      </w:r>
      <w:r w:rsidRPr="00B1522E">
        <w:rPr>
          <w:rFonts w:cstheme="minorHAnsi"/>
        </w:rPr>
        <w:fldChar w:fldCharType="begin" w:fldLock="1"/>
      </w:r>
      <w:r w:rsidR="007463D4" w:rsidRPr="00B1522E">
        <w:rPr>
          <w:rFonts w:cstheme="minorHAnsi"/>
        </w:rPr>
        <w:instrText>ADDIN CSL_CITATION {"citationItems":[{"id":"ITEM-1","itemData":{"ISSN":"1471-244X","abstract":"BACKGROUND: Meta-analyses of randomised controlled trials suggest that psychological interventions to reduce children's risk of depression are effective. Nevertheless, these effects are modest and diminish over time. The Medical Research Council recommends a mixed-methods approach to the evaluation of complex interventions. By gaining a more thorough understanding of participants' perspectives, qualitative evaluations of preventive interventions could improve their efficacy, longevity and transfer into clinical practice. METHODS: 18 parents and 22 children who had received a 12-session family- and group-based cognitive-behavioural intervention to prevent youth depression as part of a randomised controlled trial took part in semi-structured interviews or a focus group about aspects which had been perceived as helpful, elements they were still using after the intervention had ended, and suggestions they had for improving the intervention. RESULTS: The chance to openly share and discuss their experiences of depression within and between families was considered helpful by both children and parents. Children benefitted the most from learning coping strategies for dealing with stress and many still used them in everyday life. Parents profited mostly from increasing positive family time, but noted that maintaining new routines after the end of the intervention proved difficult. Participants were generally content with the intervention but commented on how tiring and time consuming it was. CONCLUSIONS: Managing parents' expectations of family-based interventions in terms of their own mental health needs (versus those of their children) and leaving more room for open discussions may result in interventions which are more appealing to participating families. Increasing intervals between sessions may be one means of improving the longevity of interventions. TRIAL REGISTRATION: The original RCT this evaluation is a part of was registered under NCT02115880 .","author":[{"dropping-particle":"","family":"Claus","given":"Nathalie","non-dropping-particle":"","parse-names":false,"suffix":""},{"dropping-particle":"","family":"Marzano","given":"Lisa","non-dropping-particle":"","parse-names":false,"suffix":""},{"dropping-particle":"","family":"Loechner","given":"Johanna","non-dropping-particle":"","parse-names":false,"suffix":""},{"dropping-particle":"","family":"Starman","given":"Kornelija","non-dropping-particle":"","parse-names":false,"suffix":""},{"dropping-particle":"","family":"Voggt","given":"Alessandra","non-dropping-particle":"","parse-names":false,"suffix":""},{"dropping-particle":"","family":"Loy","given":"Fabian","non-dropping-particle":"","parse-names":false,"suffix":""},{"dropping-particle":"","family":"Wermuth","given":"Inga","non-dropping-particle":"","parse-names":false,"suffix":""},{"dropping-particle":"","family":"Haemmerle","given":"Stephanie","non-dropping-particle":"","parse-names":false,"suffix":""},{"dropping-particle":"","family":"Engelmann","given":"Lina","non-dropping-particle":"","parse-names":false,"suffix":""},{"dropping-particle":"","family":"Bley","given":"Mirjam","non-dropping-particle":"","parse-names":false,"suffix":""},{"dropping-particle":"","family":"Schulte-Koerne","given":"Gerd","non-dropping-particle":"","parse-names":false,"suffix":""},{"dropping-particle":"","family":"Platt","given":"Belinda","non-dropping-particle":"","parse-names":false,"suffix":""}],"container-title":"BMC psychiatry","id":"ITEM-1","issue":"1","issued":{"date-parts":[["2019","9","18"]]},"language":"eng","page":"290","publisher":"BioMed Central","title":"Qualitative evaluation of a preventive intervention for the offspring of parents with a history of depression","type":"article-journal","volume":"19"},"uris":["http://www.mendeley.com/documents/?uuid=c0ab5142-31fa-43cd-b5d2-0cb985c8af78"]}],"mendeley":{"formattedCitation":"(Claus et al., 2019)","plainTextFormattedCitation":"(Claus et al., 2019)","previouslyFormattedCitation":"(Claus et al., 2019)"},"properties":{"noteIndex":0},"schema":"https://github.com/citation-style-language/schema/raw/master/csl-citation.json"}</w:instrText>
      </w:r>
      <w:r w:rsidRPr="00B1522E">
        <w:rPr>
          <w:rFonts w:cstheme="minorHAnsi"/>
        </w:rPr>
        <w:fldChar w:fldCharType="separate"/>
      </w:r>
      <w:r w:rsidRPr="00B1522E">
        <w:rPr>
          <w:rFonts w:cstheme="minorHAnsi"/>
          <w:noProof/>
        </w:rPr>
        <w:t>(Claus et al., 2019)</w:t>
      </w:r>
      <w:r w:rsidRPr="00B1522E">
        <w:rPr>
          <w:rFonts w:cstheme="minorHAnsi"/>
        </w:rPr>
        <w:fldChar w:fldCharType="end"/>
      </w:r>
      <w:r w:rsidRPr="00B1522E">
        <w:rPr>
          <w:rFonts w:cstheme="minorHAnsi"/>
        </w:rPr>
        <w:t xml:space="preserve">, and help assess the feasibility of employing an intervention in alternate contexts or with different populations </w:t>
      </w:r>
      <w:r w:rsidRPr="00B1522E">
        <w:rPr>
          <w:rFonts w:cstheme="minorHAnsi"/>
        </w:rPr>
        <w:fldChar w:fldCharType="begin" w:fldLock="1"/>
      </w:r>
      <w:r w:rsidR="00FD502B" w:rsidRPr="00B1522E">
        <w:rPr>
          <w:rFonts w:cstheme="minorHAnsi"/>
        </w:rPr>
        <w:instrText>ADDIN CSL_CITATION {"citationItems":[{"id":"ITEM-1","itemData":{"ISSN":"1471-2458","author":[{"dropping-particle":"","family":"Mackenzie","given":"Kelly","non-dropping-particle":"","parse-names":false,"suffix":""},{"dropping-particle":"","family":"Such","given":"Elizabeth","non-dropping-particle":"","parse-names":false,"suffix":""},{"dropping-particle":"","family":"Norman","given":"Paul","non-dropping-particle":"","parse-names":false,"suffix":""},{"dropping-particle":"","family":"Goyder","given":"Elizabeth","non-dropping-particle":"","parse-names":false,"suffix":""}],"container-title":"BMC public health","id":"ITEM-1","issue":"1","issued":{"date-parts":[["2018"]]},"page":"1-18","publisher":"BioMed Central","title":"The development, implementation and evaluation of interventions to reduce workplace sitting: a qualitative systematic review and evidence-based operational framework","type":"article-journal","volume":"18"},"uris":["http://www.mendeley.com/documents/?uuid=f72d4184-164d-4dbc-b7af-468d58187a63"]},{"id":"ITEM-2","itemData":{"ISBN":"0143-005X","author":[{"dropping-particle":"","family":"Moore","given":"Graham","non-dropping-particle":"","parse-names":false,"suffix":""},{"dropping-particle":"","family":"Audrey","given":"Suzanne","non-dropping-particle":"","parse-names":false,"suffix":""},{"dropping-particle":"","family":"Barker","given":"Mary","non-dropping-particle":"","parse-names":false,"suffix":""},{"dropping-particle":"","family":"Bond","given":"Lyndal","non-dropping-particle":"","parse-names":false,"suffix":""},{"dropping-particle":"","family":"Bonell","given":"Chris","non-dropping-particle":"","parse-names":false,"suffix":""},{"dropping-particle":"","family":"Cooper","given":"Cyrus","non-dropping-particle":"","parse-names":false,"suffix":""},{"dropping-particle":"","family":"Hardeman","given":"Wendy","non-dropping-particle":"","parse-names":false,"suffix":""},{"dropping-particle":"","family":"Moore","given":"Laurence","non-dropping-particle":"","parse-names":false,"suffix":""},{"dropping-particle":"","family":"O'Cathain","given":"Alicia","non-dropping-particle":"","parse-names":false,"suffix":""},{"dropping-particle":"","family":"Tinati","given":"Tannaze","non-dropping-particle":"","parse-names":false,"suffix":""}],"container-title":"Epidemiol Community Health","id":"ITEM-2","issue":"2","issued":{"date-parts":[["2014"]]},"page":"101-102","publisher":"BMJ Publishing Group Ltd","title":"Process evaluation in complex public health intervention studies: the need for guidance","type":"article-journal","volume":"68"},"uris":["http://www.mendeley.com/documents/?uuid=dcb7c0e7-c8c8-48ec-937b-0d23896421df"]}],"mendeley":{"formattedCitation":"(Mackenzie et al., 2018; Moore et al., 2014)","plainTextFormattedCitation":"(Mackenzie et al., 2018; Moore et al., 2014)","previouslyFormattedCitation":"(Mackenzie et al., 2018; Moore et al., 2014)"},"properties":{"noteIndex":0},"schema":"https://github.com/citation-style-language/schema/raw/master/csl-citation.json"}</w:instrText>
      </w:r>
      <w:r w:rsidRPr="00B1522E">
        <w:rPr>
          <w:rFonts w:cstheme="minorHAnsi"/>
        </w:rPr>
        <w:fldChar w:fldCharType="separate"/>
      </w:r>
      <w:r w:rsidR="004B7FAF" w:rsidRPr="00B1522E">
        <w:rPr>
          <w:rFonts w:cstheme="minorHAnsi"/>
          <w:noProof/>
        </w:rPr>
        <w:t>(Mackenzie et al., 2018; Moore et al., 2014)</w:t>
      </w:r>
      <w:r w:rsidRPr="00B1522E">
        <w:rPr>
          <w:rFonts w:cstheme="minorHAnsi"/>
        </w:rPr>
        <w:fldChar w:fldCharType="end"/>
      </w:r>
      <w:r w:rsidRPr="00B1522E">
        <w:rPr>
          <w:rFonts w:cstheme="minorHAnsi"/>
        </w:rPr>
        <w:t xml:space="preserve">. </w:t>
      </w:r>
      <w:r w:rsidR="00574FBE" w:rsidRPr="00B1522E">
        <w:rPr>
          <w:rFonts w:cstheme="minorHAnsi"/>
        </w:rPr>
        <w:tab/>
      </w:r>
    </w:p>
    <w:p w14:paraId="2EDF9744" w14:textId="4BBF6DA3" w:rsidR="009674F3" w:rsidRPr="00B1522E" w:rsidRDefault="009674F3" w:rsidP="0009505A">
      <w:pPr>
        <w:spacing w:line="480" w:lineRule="auto"/>
        <w:ind w:firstLine="720"/>
        <w:jc w:val="both"/>
      </w:pPr>
      <w:r w:rsidRPr="00B1522E">
        <w:rPr>
          <w:rFonts w:cstheme="minorHAnsi"/>
        </w:rPr>
        <w:t xml:space="preserve">Whilst it is acknowledged that there is a need for an evaluation of individuals’ experiences of intervention programmes that aim to improve unhealthy behaviours </w:t>
      </w:r>
      <w:r w:rsidRPr="00B1522E">
        <w:rPr>
          <w:rFonts w:cstheme="minorHAnsi"/>
        </w:rPr>
        <w:fldChar w:fldCharType="begin" w:fldLock="1"/>
      </w:r>
      <w:r w:rsidR="00FD502B" w:rsidRPr="00B1522E">
        <w:rPr>
          <w:rFonts w:cstheme="minorHAnsi"/>
        </w:rPr>
        <w:instrText>ADDIN CSL_CITATION {"citationItems":[{"id":"ITEM-1","itemData":{"ISBN":"1473924855","author":[{"dropping-particle":"","family":"Pawson","given":"Ray","non-dropping-particle":"","parse-names":false,"suffix":""},{"dropping-particle":"","family":"Tilley","given":"Nicholas","non-dropping-particle":"","parse-names":false,"suffix":""}],"id":"ITEM-1","issued":{"date-parts":[["1997"]]},"publisher":"Sage Publications","title":"Realistic evaluation","type":"book"},"uris":["http://www.mendeley.com/documents/?uuid=f4943a15-1212-402d-99fa-146b7d90e0c8"]},{"id":"ITEM-2","itemData":{"abstract":"This paper is one of a series exploring the implications of complexity for systematic reviews and guideline development, commissioned by the WHO. The paper specifically explores the role of qualitative evidence synthesis. Qualitative evidence synthesis is the broad term for the group of methods used to undertake systematic reviews of qualitative research evidence. As an approach, qualitative evidence synthesis is increasingly recognised as having a key role to play in addressing questions relating to intervention or system complexity, and guideline development processes. This is due to the unique role qualitative research can play in establishing the relative importance of outcomes, the acceptability, fidelity and reach of interventions, their feasibility in different settings and potential consequences on equity across populations. This paper outlines the purpose of qualitative evidence synthesis, provides detail of how qualitative evidence syntheses can help establish understanding and explanation of the complexity that can occur in relation to both interventions and systems, and how qualitative evidence syntheses can contribute to evidence to decision frameworks. It provides guidance for the choice of qualitative evidence synthesis methods in the context of guideline development for complex interventions, giving ‘real life’ examples of where this has occurred. Information to support decision-making around choice qualitative evidence synthesis methods in the context of guideline development is provided. Approaches for reporting qualitative evidence syntheses are discussed alongside mechanisms for assessing confidence in the findings of a review.","author":[{"dropping-particle":"","family":"Flemming","given":"Kate","non-dropping-particle":"","parse-names":false,"suffix":""},{"dropping-particle":"","family":"Booth","given":"Andrew","non-dropping-particle":"","parse-names":false,"suffix":""},{"dropping-particle":"","family":"Garside","given":"Ruth","non-dropping-particle":"","parse-names":false,"suffix":""},{"dropping-particle":"","family":"Tunçalp","given":"Özge","non-dropping-particle":"","parse-names":false,"suffix":""},{"dropping-particle":"","family":"Noyes","given":"Jane","non-dropping-particle":"","parse-names":false,"suffix":""}],"container-title":"BMJ Global Health","id":"ITEM-2","issue":"1","issued":{"date-parts":[["2019","1","1"]]},"page":"e000882","title":"Qualitative evidence synthesis for complex interventions and guideline development: clarification of the purpose, designs and relevant methods","type":"article-journal","volume":"4"},"uris":["http://www.mendeley.com/documents/?uuid=f1ad726a-233a-4077-813c-530440a211bd"]}],"mendeley":{"formattedCitation":"(Flemming et al., 2019; Pawson &amp; Tilley, 1997)","plainTextFormattedCitation":"(Flemming et al., 2019; Pawson &amp; Tilley, 1997)","previouslyFormattedCitation":"(Flemming et al., 2019; Pawson &amp; Tilley, 1997)"},"properties":{"noteIndex":0},"schema":"https://github.com/citation-style-language/schema/raw/master/csl-citation.json"}</w:instrText>
      </w:r>
      <w:r w:rsidRPr="00B1522E">
        <w:rPr>
          <w:rFonts w:cstheme="minorHAnsi"/>
        </w:rPr>
        <w:fldChar w:fldCharType="separate"/>
      </w:r>
      <w:r w:rsidRPr="00B1522E">
        <w:rPr>
          <w:rFonts w:cstheme="minorHAnsi"/>
          <w:noProof/>
        </w:rPr>
        <w:t>(Flemming et al., 2019; Pawson &amp; Tilley, 1997)</w:t>
      </w:r>
      <w:r w:rsidRPr="00B1522E">
        <w:rPr>
          <w:rFonts w:cstheme="minorHAnsi"/>
        </w:rPr>
        <w:fldChar w:fldCharType="end"/>
      </w:r>
      <w:r w:rsidRPr="00B1522E">
        <w:rPr>
          <w:rFonts w:cstheme="minorHAnsi"/>
        </w:rPr>
        <w:t xml:space="preserve">, such knowledge is limited in relation to interventions which use the </w:t>
      </w:r>
      <w:r w:rsidRPr="00B1522E">
        <w:rPr>
          <w:shd w:val="clear" w:color="auto" w:fill="FFFFFF"/>
        </w:rPr>
        <w:t xml:space="preserve">Social Norms Approach (SNA) </w:t>
      </w:r>
      <w:r w:rsidRPr="00B1522E">
        <w:rPr>
          <w:shd w:val="clear" w:color="auto" w:fill="FFFFFF"/>
        </w:rPr>
        <w:fldChar w:fldCharType="begin" w:fldLock="1"/>
      </w:r>
      <w:r w:rsidR="00CD35E5" w:rsidRPr="00B1522E">
        <w:rPr>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shd w:val="clear" w:color="auto" w:fill="FFFFFF"/>
        </w:rPr>
        <w:fldChar w:fldCharType="separate"/>
      </w:r>
      <w:r w:rsidR="002908AE" w:rsidRPr="00B1522E">
        <w:rPr>
          <w:noProof/>
          <w:shd w:val="clear" w:color="auto" w:fill="FFFFFF"/>
        </w:rPr>
        <w:t>(Dempsey et al., 2018)</w:t>
      </w:r>
      <w:r w:rsidRPr="00B1522E">
        <w:rPr>
          <w:shd w:val="clear" w:color="auto" w:fill="FFFFFF"/>
        </w:rPr>
        <w:fldChar w:fldCharType="end"/>
      </w:r>
      <w:r w:rsidRPr="00B1522E">
        <w:rPr>
          <w:rFonts w:cstheme="minorHAnsi"/>
        </w:rPr>
        <w:t xml:space="preserve">. As previously discussed (Chapter 3), there is a growing number </w:t>
      </w:r>
      <w:r w:rsidRPr="00B1522E">
        <w:rPr>
          <w:rFonts w:cstheme="minorHAnsi"/>
        </w:rPr>
        <w:lastRenderedPageBreak/>
        <w:t xml:space="preserve">of intervention studies that report the use of (SNA) normative feedback </w:t>
      </w:r>
      <w:r w:rsidRPr="00B1522E">
        <w:t xml:space="preserve">as a means for reducing </w:t>
      </w:r>
      <w:r w:rsidRPr="00B1522E">
        <w:rPr>
          <w:rFonts w:cstheme="minorHAnsi"/>
        </w:rPr>
        <w:t xml:space="preserve">unhealthy behaviours (e.g. alcohol and tobacco use) of adolescents and young adults in a variety of settings (e.g., schools, colleges, and universities) using different modes of delivery (e.g., media campaigns or personalised feedback) </w:t>
      </w:r>
      <w:r w:rsidRPr="00B1522E">
        <w:fldChar w:fldCharType="begin" w:fldLock="1"/>
      </w:r>
      <w:r w:rsidR="0053594F">
        <w:instrText>ADDIN CSL_CITATION {"citationItems":[{"id":"ITEM-1","itemData":{"ISSN":"2211-3355","abstract":"The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reports","id":"ITEM-1","issued":{"date-parts":[["2018","10","28"]]},"language":"eng","page":"304-311","publisher":"Elsevier","title":"Effects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trial","type":"article-journal","volume":"12"},"uris":["http://www.mendeley.com/documents/?uuid=d14f1680-42aa-4cdf-a003-eb1aa0293b67"]},{"id":"ITEM-2","itemData":{"ISSN":"078796459X","author":[{"dropping-particle":"","family":"Linkenbach","given":"Jeffrey W","non-dropping-particle":"","parse-names":false,"suffix":""},{"dropping-particle":"","family":"Perkins","given":"H W","non-dropping-particle":"","parse-names":false,"suffix":""}],"container-title":"The social norms approach to preventing school and college age substance abuse: A handbook for educators, counselor","id":"ITEM-2","issued":{"date-parts":[["2003"]]},"number-of-pages":"224-234","publisher":"Jossey-Bass","publisher-place":"New York, NY","title":"MOST of us are tobacco free: An eight-month social norms campaign reducing youth initiation of smoking in Montana. In H. W. Perkins (Ed.),","type":"book"},"uris":["http://www.mendeley.com/documents/?uuid=b109719e-3e59-4ba5-a1e0-1eee468ae30b"]},{"id":"ITEM-3","itemData":{"ISSN":"1939-2117","abstract":"OBJECTIVE: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psychology","id":"ITEM-3","issue":"3","issued":{"date-parts":[["2015","6"]]},"language":"eng","page":"500-511","title":"Efficacy of personalized normative feedback as a brief intervention for college student gambling: a randomized controlled trial","type":"article-journal","volume":"83"},"uris":["http://www.mendeley.com/documents/?uuid=fcaceed2-d4d5-4058-b962-e7683d722ede"]},{"id":"ITEM-4","itemData":{"author":[{"dropping-particle":"","family":"Haines","given":"M P","non-dropping-particle":"","parse-names":false,"suffix":""},{"dropping-particle":"","family":"Barker","given":"G P","non-dropping-particle":"","parse-names":false,"suffix":""},{"dropping-particle":"","family":"Rice","given":"R","non-dropping-particle":"","parse-names":false,"suffix":""}],"container-title":"The social norms approach to preventing school and college age substance abuse: A handbook for educators, counselors, and clinicians","editor":[{"dropping-particle":"","family":"Perkins","given":"H. W","non-dropping-particle":"","parse-names":false,"suffix":""}],"id":"ITEM-4","issued":{"date-parts":[["2003"]]},"page":"235-244","publisher":"Jossey-Bass","title":"Using social norms to reduce alcohol and tobacco use in two midwestern high schools","type":"chapter"},"uris":["http://www.mendeley.com/documents/?uuid=73f99723-f98f-4430-85fb-c8a047b72256"]}],"mendeley":{"formattedCitation":"(Haines et al., 2003; Linkenbach &amp; Perkins, 2003; Neighbors et al., 2015; Vallentin-Holbech et al., 2018)","plainTextFormattedCitation":"(Haines et al., 2003; Linkenbach &amp; Perkins, 2003; Neighbors et al., 2015; Vallentin-Holbech et al., 2018)","previouslyFormattedCitation":"(Haines et al., 2003; Linkenbach &amp; Perkins, 2003; Neighbors et al., 2015; Vallentin-Holbech et al., 2018)"},"properties":{"noteIndex":0},"schema":"https://github.com/citation-style-language/schema/raw/master/csl-citation.json"}</w:instrText>
      </w:r>
      <w:r w:rsidRPr="00B1522E">
        <w:fldChar w:fldCharType="separate"/>
      </w:r>
      <w:r w:rsidRPr="00B1522E">
        <w:rPr>
          <w:noProof/>
          <w:lang w:val="nl-NL"/>
        </w:rPr>
        <w:t>(Haines et al., 2003; Linkenbach &amp; Perkins, 2003; Neighbors et al., 2015; Vallentin-Holbech et al., 2018)</w:t>
      </w:r>
      <w:r w:rsidRPr="00B1522E">
        <w:fldChar w:fldCharType="end"/>
      </w:r>
      <w:r w:rsidRPr="00B1522E">
        <w:rPr>
          <w:rFonts w:ascii="URWPalladioL-Roma" w:hAnsi="URWPalladioL-Roma" w:cs="URWPalladioL-Roma"/>
          <w:lang w:val="nl-NL"/>
        </w:rPr>
        <w:t xml:space="preserve">. </w:t>
      </w:r>
      <w:r w:rsidRPr="00B1522E">
        <w:rPr>
          <w:rFonts w:ascii="URWPalladioL-Roma" w:hAnsi="URWPalladioL-Roma" w:cs="URWPalladioL-Roma"/>
        </w:rPr>
        <w:t>There are, however, v</w:t>
      </w:r>
      <w:r w:rsidRPr="00B1522E">
        <w:rPr>
          <w:rFonts w:cstheme="minorHAnsi"/>
        </w:rPr>
        <w:t xml:space="preserve">ery few studies that have explored how individuals experience and engage with SNA feedback </w:t>
      </w:r>
      <w:r w:rsidRPr="00B1522E">
        <w:rPr>
          <w:rFonts w:eastAsia="Calibri" w:cstheme="minorHAnsi"/>
        </w:rPr>
        <w:fldChar w:fldCharType="begin" w:fldLock="1"/>
      </w:r>
      <w:r w:rsidR="00DF6CCC" w:rsidRPr="00B1522E">
        <w:rPr>
          <w:rFonts w:eastAsia="Calibri" w:cstheme="minorHAnsi"/>
        </w:rPr>
        <w:instrText>ADDIN CSL_CITATION {"citationItems":[{"id":"ITEM-1","itemData":{"ISSN":"0887-0446","author":[{"dropping-particle":"","family":"Marley","given":"S","non-dropping-particle":"","parse-names":false,"suffix":""},{"dropping-particle":"","family":"Bekker","given":"H L","non-dropping-particle":"","parse-names":false,"suffix":""},{"dropping-particle":"","family":"Bewick","given":"B M","non-dropping-particle":"","parse-names":false,"suffix":""}],"container-title":"Psychology &amp; health","id":"ITEM-1","issue":"9","issued":{"date-parts":[["2016"]]},"page":"1007-1024","publisher":"Taylor &amp; Francis","title":"Responding to personalised social norms feedback from a web-based alcohol reduction intervention for students: Analysis of think-aloud verbal protocols","type":"article-journal","volume":"31"},"uris":["http://www.mendeley.com/documents/?uuid=9599f905-bd47-41d1-82b0-e07dc6cc6d25"]},{"id":"ITEM-2","itemData":{"author":[{"dropping-particle":"","family":"Stock","given":"Christiane","non-dropping-particle":"","parse-names":false,"suffix":""},{"dropping-particle":"","family":"Lavasani Kjær","given":"Satayesh","non-dropping-particle":"","parse-names":false,"suffix":""},{"dropping-particle":"","family":"Rasmussen","given":"Birthe Marie","non-dropping-particle":"","parse-names":false,"suffix":""},{"dropping-particle":"","family":"Vallentin-Holbech","given":"Lotte","non-dropping-particle":"","parse-names":false,"suffix":""}],"container-title":"International journal of environmental research and public health","id":"ITEM-2","issue":"9","issued":{"date-parts":[["2020"]]},"page":"3200-3213","publisher":"Multidisciplinary Digital Publishing Institute","title":"Youth experiences with social norms feedback: Qualitative findings from the drug prevention trial the GOOD Life","type":"article-journal","volume":"17"},"uris":["http://www.mendeley.com/documents/?uuid=9b8554db-48ce-456f-a360-380a2a15259b"]}],"mendeley":{"formattedCitation":"(Marley et al., 2016; Stock et al., 2020)","plainTextFormattedCitation":"(Marley et al., 2016; Stock et al., 2020)","previouslyFormattedCitation":"(Marley et al., 2016; Stock et al., 2020)"},"properties":{"noteIndex":0},"schema":"https://github.com/citation-style-language/schema/raw/master/csl-citation.json"}</w:instrText>
      </w:r>
      <w:r w:rsidRPr="00B1522E">
        <w:rPr>
          <w:rFonts w:eastAsia="Calibri" w:cstheme="minorHAnsi"/>
        </w:rPr>
        <w:fldChar w:fldCharType="separate"/>
      </w:r>
      <w:r w:rsidR="004B7FAF" w:rsidRPr="00B1522E">
        <w:rPr>
          <w:rFonts w:eastAsia="Calibri" w:cstheme="minorHAnsi"/>
          <w:noProof/>
        </w:rPr>
        <w:t>(Marley et al., 2016; Stock et al., 2020)</w:t>
      </w:r>
      <w:r w:rsidRPr="00B1522E">
        <w:rPr>
          <w:rFonts w:eastAsia="Calibri" w:cstheme="minorHAnsi"/>
        </w:rPr>
        <w:fldChar w:fldCharType="end"/>
      </w:r>
      <w:r w:rsidRPr="00B1522E">
        <w:rPr>
          <w:rFonts w:eastAsia="Calibri" w:cstheme="minorHAnsi"/>
        </w:rPr>
        <w:t xml:space="preserve">, and specifically which aspects of SNA interventions are deemed acceptable and informative to the participants and stakeholders involved in the intervention </w:t>
      </w:r>
      <w:r w:rsidRPr="00B1522E">
        <w:rPr>
          <w:rFonts w:eastAsia="Calibri" w:cstheme="minorHAnsi"/>
        </w:rPr>
        <w:fldChar w:fldCharType="begin" w:fldLock="1"/>
      </w:r>
      <w:r w:rsidR="007463D4" w:rsidRPr="00B1522E">
        <w:rPr>
          <w:rFonts w:eastAsia="Calibri" w:cstheme="minorHAnsi"/>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eastAsia="Calibri" w:cstheme="minorHAnsi"/>
        </w:rPr>
        <w:fldChar w:fldCharType="separate"/>
      </w:r>
      <w:r w:rsidR="002908AE" w:rsidRPr="00B1522E">
        <w:rPr>
          <w:rFonts w:eastAsia="Calibri" w:cstheme="minorHAnsi"/>
          <w:noProof/>
        </w:rPr>
        <w:t>(Dempsey et al., 2018)</w:t>
      </w:r>
      <w:r w:rsidRPr="00B1522E">
        <w:rPr>
          <w:rFonts w:eastAsia="Calibri" w:cstheme="minorHAnsi"/>
        </w:rPr>
        <w:fldChar w:fldCharType="end"/>
      </w:r>
      <w:r w:rsidRPr="00B1522E">
        <w:rPr>
          <w:rFonts w:eastAsia="Calibri" w:cstheme="minorHAnsi"/>
        </w:rPr>
        <w:t>.  There has also been no published research that explores younger adolescents’ experiences of participating in a SNA intervention</w:t>
      </w:r>
      <w:r w:rsidRPr="00B1522E">
        <w:rPr>
          <w:rFonts w:cstheme="minorHAnsi"/>
        </w:rPr>
        <w:t xml:space="preserve">. </w:t>
      </w:r>
      <w:r w:rsidRPr="00B1522E">
        <w:rPr>
          <w:rFonts w:eastAsia="Calibri" w:cstheme="minorHAnsi"/>
        </w:rPr>
        <w:t xml:space="preserve">Qualitatively appraising SNA interventions could provide valuable insight into challenges faced in delivering feedback and </w:t>
      </w:r>
      <w:r w:rsidRPr="00B1522E">
        <w:t xml:space="preserve">inform best practice for future research to maximise their effectiveness </w:t>
      </w:r>
      <w:r w:rsidRPr="00B1522E">
        <w:fldChar w:fldCharType="begin" w:fldLock="1"/>
      </w:r>
      <w:r w:rsidR="007463D4" w:rsidRPr="00B1522E">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fldChar w:fldCharType="separate"/>
      </w:r>
      <w:r w:rsidR="002908AE" w:rsidRPr="00B1522E">
        <w:rPr>
          <w:noProof/>
        </w:rPr>
        <w:t>(Dempsey et al., 2018)</w:t>
      </w:r>
      <w:r w:rsidRPr="00B1522E">
        <w:fldChar w:fldCharType="end"/>
      </w:r>
      <w:r w:rsidRPr="00B1522E">
        <w:t>.</w:t>
      </w:r>
    </w:p>
    <w:p w14:paraId="127B93B3" w14:textId="39B99422" w:rsidR="00BB0662" w:rsidRPr="00B1522E" w:rsidRDefault="009674F3" w:rsidP="00BB0662">
      <w:pPr>
        <w:spacing w:line="480" w:lineRule="auto"/>
        <w:ind w:firstLine="720"/>
        <w:jc w:val="both"/>
      </w:pPr>
      <w:r w:rsidRPr="00B1522E">
        <w:t>The intervention presented in the previous Chapter 8 aimed to investigate if a</w:t>
      </w:r>
      <w:r w:rsidRPr="00B1522E">
        <w:rPr>
          <w:rFonts w:cstheme="minorHAnsi"/>
          <w:shd w:val="clear" w:color="auto" w:fill="FFFFFF"/>
        </w:rPr>
        <w:t xml:space="preserve"> school-based SNA feedback intervention would be effective in reducing unhealthy snacking behaviours, improving attitudes, and increasing intentions to reduce unhealthy snacking amongst students aged 11 to 12 years, compared to a non-normative healthy eating information intervention.</w:t>
      </w:r>
      <w:r w:rsidRPr="00B1522E">
        <w:t xml:space="preserve"> The SNA intervention delivered </w:t>
      </w:r>
      <w:r w:rsidRPr="00B1522E">
        <w:rPr>
          <w:rFonts w:cstheme="minorHAnsi"/>
          <w:shd w:val="clear" w:color="auto" w:fill="FFFFFF"/>
        </w:rPr>
        <w:t xml:space="preserve">SNA feedback (outlining the </w:t>
      </w:r>
      <w:r w:rsidRPr="00B1522E">
        <w:rPr>
          <w:rFonts w:cstheme="minorHAnsi"/>
        </w:rPr>
        <w:t>discrepancies between perceived and actual unhealthy snacking</w:t>
      </w:r>
      <w:r w:rsidRPr="00B1522E">
        <w:rPr>
          <w:rFonts w:cstheme="minorHAnsi"/>
          <w:shd w:val="clear" w:color="auto" w:fill="FFFFFF"/>
        </w:rPr>
        <w:t xml:space="preserve"> of the majority, based on baseline data) to students through an </w:t>
      </w:r>
      <w:r w:rsidRPr="00B1522E">
        <w:rPr>
          <w:rFonts w:eastAsia="Calibri" w:cstheme="minorHAnsi"/>
        </w:rPr>
        <w:t>in-</w:t>
      </w:r>
      <w:r w:rsidR="007D1CA7" w:rsidRPr="00B1522E">
        <w:rPr>
          <w:rFonts w:eastAsia="Calibri" w:cstheme="minorHAnsi"/>
        </w:rPr>
        <w:t>school</w:t>
      </w:r>
      <w:r w:rsidRPr="00B1522E">
        <w:rPr>
          <w:rFonts w:cstheme="minorHAnsi"/>
          <w:shd w:val="clear" w:color="auto" w:fill="FFFFFF"/>
        </w:rPr>
        <w:t xml:space="preserve"> interactive poster-making session </w:t>
      </w:r>
      <w:r w:rsidRPr="00B1522E">
        <w:rPr>
          <w:rFonts w:cstheme="minorHAnsi"/>
        </w:rPr>
        <w:t>led by a teacher.</w:t>
      </w:r>
      <w:r w:rsidRPr="00B1522E">
        <w:rPr>
          <w:rFonts w:cstheme="minorHAnsi"/>
          <w:shd w:val="clear" w:color="auto" w:fill="FFFFFF"/>
        </w:rPr>
        <w:t xml:space="preserve"> </w:t>
      </w:r>
      <w:r w:rsidRPr="00B1522E">
        <w:rPr>
          <w:rFonts w:cstheme="minorHAnsi"/>
        </w:rPr>
        <w:t xml:space="preserve">Students completed self-report measures of their personal unhealthy snacking, snacking-related attitudes, behavioural intentions, and normative perceptions (descriptive and injunctive) at baseline, post-intervention, and at a 3-month follow-up.  </w:t>
      </w:r>
      <w:r w:rsidRPr="00B1522E">
        <w:rPr>
          <w:rFonts w:cstheme="minorHAnsi"/>
          <w:shd w:val="clear" w:color="auto" w:fill="FFFFFF"/>
        </w:rPr>
        <w:t xml:space="preserve">The findings indicated that </w:t>
      </w:r>
      <w:r w:rsidRPr="00B1522E">
        <w:rPr>
          <w:rFonts w:cstheme="minorHAnsi"/>
        </w:rPr>
        <w:t>students who received SNA feedback were less likely to overestimate peers’ unhealthy snacking attitudes post-intervention, and at 3-month follow-up they consumed fewer unhealthy snacks and had less positive attitudes towards unhealthy snacking. The changes in personal snacking attitudes at 3-month follow-up were mediated by changes in normative perceptions about peers’ unhealthy snacking attitudes post-intervention.</w:t>
      </w:r>
      <w:r w:rsidRPr="00B1522E">
        <w:t xml:space="preserve"> Whilst the quantitative findings demonstrate the effectiveness </w:t>
      </w:r>
      <w:r w:rsidRPr="00B1522E">
        <w:lastRenderedPageBreak/>
        <w:t xml:space="preserve">of the </w:t>
      </w:r>
      <w:r w:rsidRPr="00B1522E">
        <w:rPr>
          <w:rFonts w:cstheme="minorHAnsi"/>
        </w:rPr>
        <w:t xml:space="preserve">in-school SNA intervention </w:t>
      </w:r>
      <w:r w:rsidRPr="00B1522E">
        <w:t>(Chapter 8), it is unclear what were participants’ experiences and perceptions of being involved in the</w:t>
      </w:r>
      <w:r w:rsidRPr="00B1522E">
        <w:rPr>
          <w:rFonts w:cstheme="minorHAnsi"/>
        </w:rPr>
        <w:t xml:space="preserve"> in-school SNA intervention.</w:t>
      </w:r>
      <w:r w:rsidRPr="00B1522E">
        <w:t xml:space="preserve"> </w:t>
      </w:r>
    </w:p>
    <w:p w14:paraId="5D3C4B67" w14:textId="101FD506" w:rsidR="00DF2775" w:rsidRPr="00B1522E" w:rsidRDefault="009674F3" w:rsidP="00BB0662">
      <w:pPr>
        <w:spacing w:line="480" w:lineRule="auto"/>
        <w:ind w:firstLine="720"/>
        <w:jc w:val="both"/>
      </w:pPr>
      <w:r w:rsidRPr="00B1522E">
        <w:rPr>
          <w:rFonts w:eastAsia="Calibri"/>
        </w:rPr>
        <w:t xml:space="preserve">The current research, </w:t>
      </w:r>
      <w:r w:rsidRPr="00B1522E">
        <w:rPr>
          <w:rFonts w:cstheme="minorHAnsi"/>
          <w:shd w:val="clear" w:color="auto" w:fill="FFFFFF"/>
        </w:rPr>
        <w:t xml:space="preserve">employing qualitative modes of enquiry, </w:t>
      </w:r>
      <w:r w:rsidRPr="00B1522E">
        <w:rPr>
          <w:rFonts w:eastAsia="Calibri"/>
        </w:rPr>
        <w:t xml:space="preserve">explores students’ experiences of taking part in an SNA intervention (both during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rPr>
          <w:rFonts w:eastAsia="Calibri"/>
        </w:rPr>
        <w:t xml:space="preserve">SNA feedback session and in completing the self-report questionnaire) and the teachers’ experiences of delivering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rPr>
          <w:rFonts w:eastAsia="Calibri"/>
        </w:rPr>
        <w:t>SNA</w:t>
      </w:r>
      <w:r w:rsidRPr="00B1522E">
        <w:rPr>
          <w:rFonts w:eastAsia="Calibri" w:cstheme="minorHAnsi"/>
        </w:rPr>
        <w:t xml:space="preserve"> </w:t>
      </w:r>
      <w:r w:rsidRPr="00B1522E">
        <w:rPr>
          <w:rFonts w:eastAsia="Calibri"/>
        </w:rPr>
        <w:t>feedback sessions. The current study will help evaluate the intervention by identifying best practice as well as areas for improvement, which can inform future school-based SNA interventions and address an existing gap in the knowledge base.</w:t>
      </w:r>
      <w:r w:rsidRPr="00B1522E">
        <w:rPr>
          <w:rFonts w:eastAsia="Calibri" w:cstheme="minorHAnsi"/>
        </w:rPr>
        <w:t xml:space="preserve"> T</w:t>
      </w:r>
      <w:r w:rsidRPr="00B1522E">
        <w:rPr>
          <w:rFonts w:cstheme="minorHAnsi"/>
        </w:rPr>
        <w:t>he research presented</w:t>
      </w:r>
      <w:r w:rsidRPr="00B1522E">
        <w:t xml:space="preserve"> aims to answer the following questions: (1) </w:t>
      </w:r>
      <w:r w:rsidRPr="00B1522E">
        <w:rPr>
          <w:rFonts w:eastAsia="Calibri"/>
        </w:rPr>
        <w:t>What are students’ and teachers’ experiences of being involved in an SNA intervention</w:t>
      </w:r>
      <w:r w:rsidR="00F7053F" w:rsidRPr="00B1522E">
        <w:rPr>
          <w:rFonts w:eastAsia="Calibri"/>
        </w:rPr>
        <w:t xml:space="preserve"> </w:t>
      </w:r>
      <w:r w:rsidR="003C3CAC" w:rsidRPr="00B1522E">
        <w:rPr>
          <w:rFonts w:eastAsia="Calibri"/>
        </w:rPr>
        <w:t>which ai</w:t>
      </w:r>
      <w:r w:rsidR="00F7053F" w:rsidRPr="00B1522E">
        <w:rPr>
          <w:rFonts w:eastAsia="Calibri"/>
        </w:rPr>
        <w:t>med to reduce unhealthy snacking</w:t>
      </w:r>
      <w:r w:rsidRPr="00B1522E">
        <w:rPr>
          <w:rFonts w:eastAsia="Calibri"/>
        </w:rPr>
        <w:t>?</w:t>
      </w:r>
      <w:r w:rsidR="00D27ADB" w:rsidRPr="00B1522E">
        <w:rPr>
          <w:rFonts w:eastAsia="Calibri"/>
        </w:rPr>
        <w:t>;</w:t>
      </w:r>
      <w:r w:rsidRPr="00B1522E">
        <w:rPr>
          <w:rFonts w:eastAsia="Calibri"/>
        </w:rPr>
        <w:t xml:space="preserve"> </w:t>
      </w:r>
      <w:r w:rsidRPr="00B1522E">
        <w:t xml:space="preserve">(2) </w:t>
      </w:r>
      <w:r w:rsidRPr="00B1522E">
        <w:rPr>
          <w:rFonts w:eastAsia="Calibri"/>
        </w:rPr>
        <w:t>Was the SNA intervention delivered as intended and could the intervention be improved?</w:t>
      </w:r>
      <w:r w:rsidR="00A230BB" w:rsidRPr="00B1522E">
        <w:rPr>
          <w:rFonts w:eastAsia="Calibri"/>
        </w:rPr>
        <w:t>;</w:t>
      </w:r>
      <w:r w:rsidRPr="00B1522E">
        <w:t xml:space="preserve"> </w:t>
      </w:r>
      <w:r w:rsidR="00A230BB" w:rsidRPr="00B1522E">
        <w:t xml:space="preserve">and </w:t>
      </w:r>
      <w:r w:rsidRPr="00B1522E">
        <w:t xml:space="preserve">(3) </w:t>
      </w:r>
      <w:r w:rsidRPr="00B1522E">
        <w:rPr>
          <w:rFonts w:eastAsia="Calibri"/>
        </w:rPr>
        <w:t>What are students’ views about the questionnaires they completed as part of the SNA intervention?</w:t>
      </w:r>
    </w:p>
    <w:p w14:paraId="5EB3AF61" w14:textId="77777777" w:rsidR="002D61AB" w:rsidRPr="00B1522E" w:rsidRDefault="002D61AB" w:rsidP="00DF2775">
      <w:pPr>
        <w:spacing w:line="480" w:lineRule="auto"/>
        <w:jc w:val="both"/>
      </w:pPr>
    </w:p>
    <w:bookmarkStart w:id="278" w:name="_Toc84678980"/>
    <w:p w14:paraId="11D5F630" w14:textId="3A515D7D" w:rsidR="004F7EC4" w:rsidRPr="00B1522E" w:rsidRDefault="00766675" w:rsidP="0009505A">
      <w:pPr>
        <w:spacing w:line="480" w:lineRule="auto"/>
        <w:rPr>
          <w:b/>
          <w:bCs/>
        </w:rPr>
      </w:pPr>
      <w:r w:rsidRPr="00B1522E">
        <w:fldChar w:fldCharType="begin"/>
      </w:r>
      <w:r w:rsidRPr="00B1522E">
        <w:instrText xml:space="preserve"> TC  "</w:instrText>
      </w:r>
      <w:bookmarkStart w:id="279" w:name="_Toc97310518"/>
      <w:r w:rsidRPr="00B1522E">
        <w:instrText>9.3 Method</w:instrText>
      </w:r>
      <w:bookmarkEnd w:id="279"/>
      <w:r w:rsidRPr="00B1522E">
        <w:instrText>" \f x\l 2</w:instrText>
      </w:r>
      <w:r w:rsidRPr="00B1522E">
        <w:fldChar w:fldCharType="end"/>
      </w:r>
      <w:r w:rsidR="009674F3" w:rsidRPr="00B1522E">
        <w:rPr>
          <w:b/>
          <w:bCs/>
        </w:rPr>
        <w:t>9.3 Method</w:t>
      </w:r>
      <w:bookmarkEnd w:id="278"/>
    </w:p>
    <w:bookmarkStart w:id="280" w:name="_Toc84678981"/>
    <w:p w14:paraId="4F832467" w14:textId="3A504EDB" w:rsidR="009674F3" w:rsidRPr="00B1522E" w:rsidRDefault="00766675" w:rsidP="0009505A">
      <w:pPr>
        <w:spacing w:line="480" w:lineRule="auto"/>
      </w:pPr>
      <w:r w:rsidRPr="00B1522E">
        <w:fldChar w:fldCharType="begin"/>
      </w:r>
      <w:r w:rsidRPr="00B1522E">
        <w:instrText xml:space="preserve"> TC  "</w:instrText>
      </w:r>
      <w:bookmarkStart w:id="281" w:name="_Toc97310519"/>
      <w:r w:rsidRPr="00B1522E">
        <w:instrText>9.3.1 Design and Participants</w:instrText>
      </w:r>
      <w:bookmarkEnd w:id="281"/>
      <w:r w:rsidRPr="00B1522E">
        <w:instrText xml:space="preserve">" \f x\l 3 </w:instrText>
      </w:r>
      <w:r w:rsidRPr="00B1522E">
        <w:fldChar w:fldCharType="end"/>
      </w:r>
      <w:r w:rsidR="009674F3" w:rsidRPr="00B1522E">
        <w:t>9.3.1 Design and Participants</w:t>
      </w:r>
      <w:bookmarkEnd w:id="280"/>
      <w:r w:rsidR="009674F3" w:rsidRPr="00B1522E">
        <w:t xml:space="preserve"> </w:t>
      </w:r>
    </w:p>
    <w:p w14:paraId="75186ABE" w14:textId="5CB778F7" w:rsidR="009674F3" w:rsidRPr="00B1522E" w:rsidRDefault="009674F3" w:rsidP="0009505A">
      <w:pPr>
        <w:spacing w:line="480" w:lineRule="auto"/>
        <w:jc w:val="both"/>
      </w:pPr>
      <w:r w:rsidRPr="00B1522E">
        <w:t xml:space="preserve">This study collected both qualitative and quantitative data to understand students’ and teachers’ experiences of participating in a </w:t>
      </w:r>
      <w:r w:rsidRPr="00B1522E">
        <w:rPr>
          <w:rFonts w:eastAsia="Calibri"/>
        </w:rPr>
        <w:t>SNA intervention</w:t>
      </w:r>
      <w:r w:rsidRPr="00B1522E">
        <w:t xml:space="preserve">. To explore pupils’ perceptions of the SNA feedback intervention, four semi-structured focus group interviews were conducted in July 2018 with participants who had taken part in the </w:t>
      </w:r>
      <w:r w:rsidRPr="00B1522E">
        <w:rPr>
          <w:rFonts w:eastAsia="Calibri"/>
        </w:rPr>
        <w:t>SNA feedback intervention</w:t>
      </w:r>
      <w:r w:rsidRPr="00B1522E">
        <w:t xml:space="preserve">. Four focus groups with a total number of 18 participants (10 females and 8 males) aged 11-12 years were conducted, with focus groups ranging in size from 4-5 participants. Only students in School A (which received the SNA feedback intervention) were invited to participate; an evaluation was not conducted with the </w:t>
      </w:r>
      <w:r w:rsidR="00C018AF" w:rsidRPr="00B1522E">
        <w:t xml:space="preserve">control </w:t>
      </w:r>
      <w:r w:rsidRPr="00B1522E">
        <w:t>school.</w:t>
      </w:r>
    </w:p>
    <w:p w14:paraId="44C3E75F" w14:textId="59D0D3E9" w:rsidR="009674F3" w:rsidRPr="00B1522E" w:rsidRDefault="009674F3" w:rsidP="00BB0662">
      <w:pPr>
        <w:spacing w:line="480" w:lineRule="auto"/>
        <w:ind w:firstLine="720"/>
        <w:jc w:val="both"/>
      </w:pPr>
      <w:r w:rsidRPr="00B1522E">
        <w:t xml:space="preserve">To explore teachers’ perceptions of delivering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 xml:space="preserve">SNA feedback session (poster-making activity) to year 7 students, seven teachers (4 females and 3 males; aged between 25-33 years) </w:t>
      </w:r>
      <w:r w:rsidRPr="00B1522E">
        <w:lastRenderedPageBreak/>
        <w:t xml:space="preserve">who delivered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 xml:space="preserve">SNA feedback sessions, completed questionnaires that included both closed- and open-ended questions. Due to teachers’ time constraints, collecting feedback via a questionnaire was considered to be the most appropriate data collection method. Ethics approval was gained from the Health Sciences Ethics Committee at Staffordshire University (Appendix </w:t>
      </w:r>
      <w:r w:rsidR="00EA400D" w:rsidRPr="00B1522E">
        <w:t>2</w:t>
      </w:r>
      <w:r w:rsidR="000521B0" w:rsidRPr="00B1522E">
        <w:t>9</w:t>
      </w:r>
      <w:r w:rsidRPr="00B1522E">
        <w:t>).</w:t>
      </w:r>
    </w:p>
    <w:p w14:paraId="2A8FF42A" w14:textId="77777777" w:rsidR="009674F3" w:rsidRPr="00B1522E" w:rsidRDefault="009674F3" w:rsidP="009674F3">
      <w:pPr>
        <w:spacing w:line="480" w:lineRule="auto"/>
        <w:jc w:val="both"/>
      </w:pPr>
    </w:p>
    <w:bookmarkStart w:id="282" w:name="_Toc84678982"/>
    <w:p w14:paraId="0EBB8446" w14:textId="008EF3B1" w:rsidR="004F7EC4" w:rsidRPr="00B1522E" w:rsidRDefault="00766675" w:rsidP="00E212F0">
      <w:pPr>
        <w:spacing w:line="480" w:lineRule="auto"/>
      </w:pPr>
      <w:r w:rsidRPr="00B1522E">
        <w:fldChar w:fldCharType="begin"/>
      </w:r>
      <w:r w:rsidRPr="00B1522E">
        <w:instrText xml:space="preserve"> TC  "</w:instrText>
      </w:r>
      <w:bookmarkStart w:id="283" w:name="_Toc97310520"/>
      <w:r w:rsidRPr="00B1522E">
        <w:instrText>9.3.2 Materials</w:instrText>
      </w:r>
      <w:bookmarkEnd w:id="283"/>
      <w:r w:rsidRPr="00B1522E">
        <w:instrText xml:space="preserve"> " \f x\l 3 </w:instrText>
      </w:r>
      <w:r w:rsidRPr="00B1522E">
        <w:fldChar w:fldCharType="end"/>
      </w:r>
      <w:r w:rsidR="009674F3" w:rsidRPr="00B1522E">
        <w:t>9.3.2 Materials</w:t>
      </w:r>
      <w:bookmarkEnd w:id="282"/>
      <w:r w:rsidR="009674F3" w:rsidRPr="00B1522E">
        <w:t xml:space="preserve"> </w:t>
      </w:r>
    </w:p>
    <w:p w14:paraId="05A241C9" w14:textId="3C06AF5A" w:rsidR="009674F3" w:rsidRPr="00B1522E" w:rsidRDefault="009674F3" w:rsidP="00E212F0">
      <w:pPr>
        <w:spacing w:line="480" w:lineRule="auto"/>
        <w:jc w:val="both"/>
      </w:pPr>
      <w:r w:rsidRPr="00B1522E">
        <w:t xml:space="preserve">A set of standardised open-ended questions and prompts were used to guide the student focus group discussions (Appendix </w:t>
      </w:r>
      <w:r w:rsidR="00781138" w:rsidRPr="00B1522E">
        <w:t>3</w:t>
      </w:r>
      <w:r w:rsidR="000521B0" w:rsidRPr="00B1522E">
        <w:t>3</w:t>
      </w:r>
      <w:r w:rsidRPr="00B1522E">
        <w:t xml:space="preserve">). The questions helped to explore students’ experiences of taking part in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SNA feedback session, of completing the self-report questionnaires, and, potentially, how the SNA intervention and related materials could be improved.</w:t>
      </w:r>
    </w:p>
    <w:p w14:paraId="3CC26EBF" w14:textId="366D199F" w:rsidR="009674F3" w:rsidRPr="00B1522E" w:rsidRDefault="009674F3" w:rsidP="00BB0662">
      <w:pPr>
        <w:spacing w:line="480" w:lineRule="auto"/>
        <w:ind w:firstLine="720"/>
        <w:jc w:val="both"/>
      </w:pPr>
      <w:r w:rsidRPr="00B1522E">
        <w:t xml:space="preserve">A questionnaire was used to collect teachers’ experiences of delivering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 xml:space="preserve">SNA feedback session (poster-making activity) (Appendix </w:t>
      </w:r>
      <w:r w:rsidR="00283397" w:rsidRPr="00B1522E">
        <w:t>3</w:t>
      </w:r>
      <w:r w:rsidR="00C62EB1" w:rsidRPr="00B1522E">
        <w:t>7</w:t>
      </w:r>
      <w:r w:rsidRPr="00B1522E">
        <w:t xml:space="preserve">). The questionnaire included both closed- and open-ended questions focusing on gathering feedback about: the provided lesson plan; student engagement during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 xml:space="preserve">SNA feedback session; the ease of understanding the SNA feedback messages; and suggestions for improvement to the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SNA feedback session. The closed-ended questions collected responses using a 5-point Likert scale (1 – strongly disagree/hard, to 5 – strongly agree/easy) and the open-ended questions collected responses using a text box.</w:t>
      </w:r>
    </w:p>
    <w:p w14:paraId="0A1F6E1B" w14:textId="3046CE9D" w:rsidR="009674F3" w:rsidRPr="00B1522E" w:rsidRDefault="009674F3" w:rsidP="00DA598E">
      <w:pPr>
        <w:spacing w:line="480" w:lineRule="auto"/>
        <w:jc w:val="both"/>
      </w:pPr>
    </w:p>
    <w:p w14:paraId="27711D1A" w14:textId="77777777" w:rsidR="004D654B" w:rsidRPr="00B1522E" w:rsidRDefault="004D654B" w:rsidP="00DA598E">
      <w:pPr>
        <w:spacing w:line="480" w:lineRule="auto"/>
        <w:jc w:val="both"/>
      </w:pPr>
    </w:p>
    <w:bookmarkStart w:id="284" w:name="_Toc84678983"/>
    <w:p w14:paraId="44DE5DA7" w14:textId="7821BFA4" w:rsidR="00BB0662" w:rsidRPr="00B1522E" w:rsidRDefault="00766675" w:rsidP="00DA598E">
      <w:pPr>
        <w:spacing w:line="480" w:lineRule="auto"/>
      </w:pPr>
      <w:r w:rsidRPr="00B1522E">
        <w:fldChar w:fldCharType="begin"/>
      </w:r>
      <w:r w:rsidRPr="00B1522E">
        <w:instrText xml:space="preserve"> TC  "</w:instrText>
      </w:r>
      <w:bookmarkStart w:id="285" w:name="_Toc97310521"/>
      <w:r w:rsidRPr="00B1522E">
        <w:instrText>9.3.3 Pro</w:instrText>
      </w:r>
      <w:r w:rsidR="00E22879" w:rsidRPr="00B1522E">
        <w:instrText>cedure</w:instrText>
      </w:r>
      <w:bookmarkEnd w:id="285"/>
      <w:r w:rsidRPr="00B1522E">
        <w:instrText xml:space="preserve"> " \f x\l 3 </w:instrText>
      </w:r>
      <w:r w:rsidRPr="00B1522E">
        <w:fldChar w:fldCharType="end"/>
      </w:r>
      <w:r w:rsidR="009674F3" w:rsidRPr="00B1522E">
        <w:t>9.3.3 Procedure</w:t>
      </w:r>
      <w:bookmarkEnd w:id="284"/>
      <w:r w:rsidR="009674F3" w:rsidRPr="00B1522E">
        <w:t xml:space="preserve"> </w:t>
      </w:r>
    </w:p>
    <w:p w14:paraId="00EA8A9A" w14:textId="76ED8BAC" w:rsidR="00E212F0" w:rsidRPr="00B1522E" w:rsidRDefault="00BF0F8C" w:rsidP="009674F3">
      <w:pPr>
        <w:spacing w:line="480" w:lineRule="auto"/>
        <w:jc w:val="both"/>
        <w:rPr>
          <w:i/>
          <w:iCs/>
        </w:rPr>
      </w:pPr>
      <w:r w:rsidRPr="00B1522E">
        <w:t xml:space="preserve">9.3.3.1 </w:t>
      </w:r>
      <w:r w:rsidR="009674F3" w:rsidRPr="00B1522E">
        <w:t xml:space="preserve">Students </w:t>
      </w:r>
    </w:p>
    <w:p w14:paraId="4B0504D7" w14:textId="040115FC" w:rsidR="009674F3" w:rsidRPr="00B1522E" w:rsidRDefault="009674F3" w:rsidP="009674F3">
      <w:pPr>
        <w:spacing w:line="480" w:lineRule="auto"/>
        <w:jc w:val="both"/>
        <w:rPr>
          <w:i/>
          <w:iCs/>
        </w:rPr>
      </w:pPr>
      <w:r w:rsidRPr="00B1522E">
        <w:t xml:space="preserve">All students who took part in the SNA feedback intervention were invited to participate. Students and guardians/parents of students were informed of the evaluation study via letters sent home via the school (Appendix </w:t>
      </w:r>
      <w:r w:rsidR="00703C97" w:rsidRPr="00B1522E">
        <w:t>30</w:t>
      </w:r>
      <w:r w:rsidRPr="00B1522E">
        <w:t xml:space="preserve">), which included guardian/parent opt-out consent forms. A random selection of </w:t>
      </w:r>
      <w:r w:rsidRPr="00A175BC">
        <w:lastRenderedPageBreak/>
        <w:t>students</w:t>
      </w:r>
      <w:r w:rsidR="002F1FFA" w:rsidRPr="00A175BC">
        <w:t xml:space="preserve"> who </w:t>
      </w:r>
      <w:r w:rsidR="009568A6" w:rsidRPr="00A175BC">
        <w:t>gave assent</w:t>
      </w:r>
      <w:r w:rsidRPr="00A175BC">
        <w:t xml:space="preserve"> w</w:t>
      </w:r>
      <w:r w:rsidR="009568A6" w:rsidRPr="00A175BC">
        <w:t>ere</w:t>
      </w:r>
      <w:r w:rsidRPr="00A175BC">
        <w:t xml:space="preserve"> chosen by the Head of Year 7 to participate in the focus group discussions. The school allocated a classroom to be used to conduct the focus groups. Prior to commencement of the focus groups, students were asked to provide their own </w:t>
      </w:r>
      <w:r w:rsidR="00C11080" w:rsidRPr="00A175BC">
        <w:t>assent</w:t>
      </w:r>
      <w:r w:rsidRPr="00A175BC">
        <w:t xml:space="preserve"> (Appendix </w:t>
      </w:r>
      <w:r w:rsidR="00087377" w:rsidRPr="00A175BC">
        <w:t>3</w:t>
      </w:r>
      <w:r w:rsidR="00C62EB1" w:rsidRPr="00A175BC">
        <w:t>2</w:t>
      </w:r>
      <w:r w:rsidRPr="00A175BC">
        <w:t>)</w:t>
      </w:r>
      <w:r w:rsidR="00087377" w:rsidRPr="00A175BC">
        <w:t xml:space="preserve"> after reading the information sheet (Appendix </w:t>
      </w:r>
      <w:r w:rsidR="00C62EB1" w:rsidRPr="00A175BC">
        <w:t>31</w:t>
      </w:r>
      <w:r w:rsidR="00087377" w:rsidRPr="00A175BC">
        <w:t>)</w:t>
      </w:r>
      <w:r w:rsidRPr="00A175BC">
        <w:t xml:space="preserve">. The focus group discussions took place in the school during school hours and lasted an average (mean) time of 33 minutes. Following the focus groups, participants were thanked for participating in the research and were provided with a debriefing form (Appendix </w:t>
      </w:r>
      <w:r w:rsidR="00087377" w:rsidRPr="00A175BC">
        <w:t>3</w:t>
      </w:r>
      <w:r w:rsidR="00C62EB1" w:rsidRPr="00A175BC">
        <w:t>4</w:t>
      </w:r>
      <w:r w:rsidRPr="00A175BC">
        <w:t>). The focus groups were recorded with a Dictaphone and transcribed</w:t>
      </w:r>
      <w:r w:rsidRPr="00B1522E">
        <w:t xml:space="preserve"> verbatim by a research assistant, with all identifying information removed and real names replaced with pseudonyms.</w:t>
      </w:r>
    </w:p>
    <w:p w14:paraId="1A979442" w14:textId="77777777" w:rsidR="009674F3" w:rsidRPr="00B1522E" w:rsidRDefault="009674F3" w:rsidP="009674F3">
      <w:pPr>
        <w:spacing w:line="480" w:lineRule="auto"/>
        <w:jc w:val="both"/>
      </w:pPr>
    </w:p>
    <w:p w14:paraId="441F6DE2" w14:textId="4B53E8D5" w:rsidR="009674F3" w:rsidRPr="00B1522E" w:rsidRDefault="00BF0F8C" w:rsidP="009674F3">
      <w:pPr>
        <w:spacing w:line="480" w:lineRule="auto"/>
        <w:jc w:val="both"/>
      </w:pPr>
      <w:r w:rsidRPr="00B1522E">
        <w:t xml:space="preserve">9.3.3.2 </w:t>
      </w:r>
      <w:r w:rsidR="009674F3" w:rsidRPr="00B1522E">
        <w:t xml:space="preserve">Teachers </w:t>
      </w:r>
    </w:p>
    <w:p w14:paraId="04C76301" w14:textId="559A9136" w:rsidR="009674F3" w:rsidRPr="00B1522E" w:rsidRDefault="009674F3" w:rsidP="009674F3">
      <w:pPr>
        <w:spacing w:line="480" w:lineRule="auto"/>
        <w:jc w:val="both"/>
      </w:pPr>
      <w:r w:rsidRPr="00B1522E">
        <w:t xml:space="preserve">All teachers who delivered an </w:t>
      </w:r>
      <w:r w:rsidRPr="00B1522E">
        <w:rPr>
          <w:rFonts w:eastAsia="Calibri" w:cstheme="minorHAnsi"/>
        </w:rPr>
        <w:t>in-</w:t>
      </w:r>
      <w:r w:rsidR="007D1CA7" w:rsidRPr="00B1522E">
        <w:rPr>
          <w:rFonts w:eastAsia="Calibri" w:cstheme="minorHAnsi"/>
        </w:rPr>
        <w:t>school</w:t>
      </w:r>
      <w:r w:rsidRPr="00B1522E">
        <w:rPr>
          <w:rFonts w:eastAsia="Calibri" w:cstheme="minorHAnsi"/>
        </w:rPr>
        <w:t xml:space="preserve"> </w:t>
      </w:r>
      <w:r w:rsidRPr="00B1522E">
        <w:t xml:space="preserve">SNA feedback session (poster-making activity) were invited to participate in the evaluation study. Teachers were informed of the evaluation via an information letter delivered to schools which was distributed to teachers through internal mail system in the school (Appendix </w:t>
      </w:r>
      <w:r w:rsidR="00B05D79" w:rsidRPr="00B1522E">
        <w:t>3</w:t>
      </w:r>
      <w:r w:rsidR="00703C97" w:rsidRPr="00B1522E">
        <w:t>5</w:t>
      </w:r>
      <w:r w:rsidRPr="00B1522E">
        <w:t xml:space="preserve">). All teachers wishing to participate were asked to sign consent forms (Appendix </w:t>
      </w:r>
      <w:r w:rsidR="00B05D79" w:rsidRPr="00B1522E">
        <w:t>3</w:t>
      </w:r>
      <w:r w:rsidR="00703C97" w:rsidRPr="00B1522E">
        <w:t>6</w:t>
      </w:r>
      <w:r w:rsidRPr="00B1522E">
        <w:t xml:space="preserve">) prior to completing the questionnaire. The questionnaires on average took approximately 15 minutes to complete. Participants were thanked for participating in the research and were provided with a debriefing form (Appendix </w:t>
      </w:r>
      <w:r w:rsidR="00D15B01" w:rsidRPr="00B1522E">
        <w:t>3</w:t>
      </w:r>
      <w:r w:rsidR="00703C97" w:rsidRPr="00B1522E">
        <w:t>8</w:t>
      </w:r>
      <w:r w:rsidRPr="00B1522E">
        <w:t>).</w:t>
      </w:r>
    </w:p>
    <w:p w14:paraId="702DC00D" w14:textId="77777777" w:rsidR="009674F3" w:rsidRPr="00B1522E" w:rsidRDefault="009674F3" w:rsidP="00DA598E">
      <w:pPr>
        <w:spacing w:line="480" w:lineRule="auto"/>
        <w:jc w:val="both"/>
      </w:pPr>
    </w:p>
    <w:bookmarkStart w:id="286" w:name="_Toc84678984"/>
    <w:p w14:paraId="367CBC3F" w14:textId="75C33813" w:rsidR="00BB0662" w:rsidRPr="00B1522E" w:rsidRDefault="00E22879" w:rsidP="00DA598E">
      <w:pPr>
        <w:spacing w:line="480" w:lineRule="auto"/>
      </w:pPr>
      <w:r w:rsidRPr="00B1522E">
        <w:fldChar w:fldCharType="begin"/>
      </w:r>
      <w:r w:rsidRPr="00B1522E">
        <w:instrText xml:space="preserve"> TC  "9.3.4 Data analysis \f x\l 3 </w:instrText>
      </w:r>
      <w:r w:rsidRPr="00B1522E">
        <w:fldChar w:fldCharType="end"/>
      </w:r>
      <w:r w:rsidR="009674F3" w:rsidRPr="00B1522E">
        <w:t>9.3.4 Data analysis</w:t>
      </w:r>
      <w:bookmarkEnd w:id="286"/>
    </w:p>
    <w:p w14:paraId="42C89953" w14:textId="2C668E76" w:rsidR="009674F3" w:rsidRPr="00B1522E" w:rsidRDefault="009674F3" w:rsidP="00DA598E">
      <w:pPr>
        <w:spacing w:line="480" w:lineRule="auto"/>
        <w:jc w:val="both"/>
        <w:rPr>
          <w:rFonts w:eastAsia="Times New Roman" w:cstheme="minorHAnsi"/>
          <w:lang w:eastAsia="en-GB"/>
        </w:rPr>
      </w:pPr>
      <w:r w:rsidRPr="00B1522E">
        <w:t xml:space="preserve">Teachers’ </w:t>
      </w:r>
      <w:r w:rsidRPr="00B1522E">
        <w:rPr>
          <w:rFonts w:cstheme="minorHAnsi"/>
        </w:rPr>
        <w:t xml:space="preserve">responses to the </w:t>
      </w:r>
      <w:r w:rsidRPr="00B1522E">
        <w:t>closed-ended questions were entered into SPSS (</w:t>
      </w:r>
      <w:r w:rsidRPr="00B1522E">
        <w:fldChar w:fldCharType="begin" w:fldLock="1"/>
      </w:r>
      <w:r w:rsidRPr="00B1522E">
        <w:instrText>ADDIN CSL_CITATION {"citationItems":[{"id":"ITEM-1","itemData":{"container-title":"IBM corp","id":"ITEM-1","issued":{"date-parts":[["2020"]]},"number":"27","publisher-place":"New York","title":"IBM SPSS Statistics.","type":"article"},"uris":["http://www.mendeley.com/documents/?uuid=96d96e8c-f7f4-4ab5-8b31-b62fdb831053"]}],"mendeley":{"formattedCitation":"(“IBM SPSS Statistics.,” 2020)","manualFormatting":"IBM SPSS Statistics, 2020)","plainTextFormattedCitation":"(“IBM SPSS Statistics.,” 2020)","previouslyFormattedCitation":"(“IBM SPSS Statistics.,” 2020)"},"properties":{"noteIndex":0},"schema":"https://github.com/citation-style-language/schema/raw/master/csl-citation.json"}</w:instrText>
      </w:r>
      <w:r w:rsidRPr="00B1522E">
        <w:fldChar w:fldCharType="separate"/>
      </w:r>
      <w:r w:rsidRPr="00B1522E">
        <w:rPr>
          <w:noProof/>
        </w:rPr>
        <w:t>IBM SPSS Statistics, 2020)</w:t>
      </w:r>
      <w:r w:rsidRPr="00B1522E">
        <w:fldChar w:fldCharType="end"/>
      </w:r>
      <w:r w:rsidRPr="00B1522E">
        <w:t>, one question was reversed coded (</w:t>
      </w:r>
      <w:r w:rsidR="00D27ADB" w:rsidRPr="00B1522E">
        <w:t>Q</w:t>
      </w:r>
      <w:r w:rsidRPr="00B1522E">
        <w:t>uestion 5 - D</w:t>
      </w:r>
      <w:r w:rsidRPr="00B1522E">
        <w:rPr>
          <w:rFonts w:eastAsia="Calibri" w:cstheme="minorHAnsi"/>
        </w:rPr>
        <w:t>o you think the messages for the posters were easy to understand?</w:t>
      </w:r>
      <w:r w:rsidRPr="00B1522E">
        <w:t xml:space="preserve">), and descriptive statistics were produced. </w:t>
      </w:r>
      <w:r w:rsidRPr="00B1522E">
        <w:rPr>
          <w:rFonts w:cstheme="minorHAnsi"/>
        </w:rPr>
        <w:t xml:space="preserve">The transcripts from the student focus groups and the open-ended responses from the teachers’ questionnaires were anonymised, and entered into NVivo </w:t>
      </w:r>
      <w:r w:rsidRPr="00B1522E">
        <w:rPr>
          <w:rFonts w:cstheme="minorHAnsi"/>
        </w:rPr>
        <w:fldChar w:fldCharType="begin" w:fldLock="1"/>
      </w:r>
      <w:r w:rsidRPr="00B1522E">
        <w:rPr>
          <w:rFonts w:cstheme="minorHAnsi"/>
        </w:rPr>
        <w:instrText>ADDIN CSL_CITATION {"citationItems":[{"id":"ITEM-1","itemData":{"author":[{"dropping-particle":"","family":"QSR International Pty Ltd","given":"","non-dropping-particle":"","parse-names":false,"suffix":""}],"id":"ITEM-1","issued":{"date-parts":[["2016"]]},"number":"11 Pro","title":"QSR International Pty Ltd","type":"article"},"uris":["http://www.mendeley.com/documents/?uuid=1f2b42b7-7637-491b-8fda-69d1140c099d"]}],"mendeley":{"formattedCitation":"(QSR International Pty Ltd, 2016)","plainTextFormattedCitation":"(QSR International Pty Ltd, 2016)","previouslyFormattedCitation":"(QSR International Pty Ltd, 2016)"},"properties":{"noteIndex":0},"schema":"https://github.com/citation-style-language/schema/raw/master/csl-citation.json"}</w:instrText>
      </w:r>
      <w:r w:rsidRPr="00B1522E">
        <w:rPr>
          <w:rFonts w:cstheme="minorHAnsi"/>
        </w:rPr>
        <w:fldChar w:fldCharType="separate"/>
      </w:r>
      <w:r w:rsidRPr="00B1522E">
        <w:rPr>
          <w:rFonts w:cstheme="minorHAnsi"/>
          <w:noProof/>
        </w:rPr>
        <w:t>(QSR International Pty Ltd, 2016)</w:t>
      </w:r>
      <w:r w:rsidRPr="00B1522E">
        <w:rPr>
          <w:rFonts w:cstheme="minorHAnsi"/>
        </w:rPr>
        <w:fldChar w:fldCharType="end"/>
      </w:r>
      <w:r w:rsidRPr="00B1522E">
        <w:rPr>
          <w:rFonts w:cstheme="minorHAnsi"/>
        </w:rPr>
        <w:t xml:space="preserve">. </w:t>
      </w:r>
      <w:r w:rsidRPr="00B1522E">
        <w:t xml:space="preserve">The research presented in this thesis followed a </w:t>
      </w:r>
      <w:r w:rsidRPr="00B1522E">
        <w:lastRenderedPageBreak/>
        <w:t xml:space="preserve">pragmatist approach, as discussed in chapter 4. </w:t>
      </w:r>
      <w:r w:rsidRPr="00B1522E">
        <w:rPr>
          <w:rFonts w:cstheme="minorHAnsi"/>
        </w:rPr>
        <w:t>In adopting this view, a researcher can choose the</w:t>
      </w:r>
      <w:r w:rsidRPr="00B1522E">
        <w:t xml:space="preserve"> method of enquiry</w:t>
      </w:r>
      <w:r w:rsidRPr="00B1522E">
        <w:rPr>
          <w:rFonts w:cstheme="minorHAnsi"/>
        </w:rPr>
        <w:t xml:space="preserve"> that best addresses the aims of the research </w:t>
      </w:r>
      <w:r w:rsidRPr="00B1522E">
        <w:rPr>
          <w:rFonts w:cstheme="minorHAnsi"/>
        </w:rPr>
        <w:fldChar w:fldCharType="begin" w:fldLock="1"/>
      </w:r>
      <w:r w:rsidR="00F54E4D" w:rsidRPr="00B1522E">
        <w:rPr>
          <w:rFonts w:cstheme="minorHAnsi"/>
        </w:rPr>
        <w:instrText>ADDIN CSL_CITATION {"citationItems":[{"id":"ITEM-1","itemData":{"ISBN":"0761900713","author":[{"dropping-particle":"","family":"Tashakkori","given":"Abbas","non-dropping-particle":"","parse-names":false,"suffix":""},{"dropping-particle":"","family":"Teddlie","given":"Charles","non-dropping-particle":"","parse-names":false,"suffix":""},{"dropping-particle":"","family":"Teddlie","given":"Charles B","non-dropping-particle":"","parse-names":false,"suffix":""}],"id":"ITEM-1","issued":{"date-parts":[["1998"]]},"publisher":"Sage","title":"Mixed methodology: Combining qualitative and quantitative approaches","type":"book"},"uris":["http://www.mendeley.com/documents/?uuid=08ebee6b-cc9b-4f94-9e21-94814a259021"]}],"mendeley":{"formattedCitation":"(Tashakkori et al., 1998)","plainTextFormattedCitation":"(Tashakkori et al., 1998)","previouslyFormattedCitation":"(Tashakkori et al., 1998)"},"properties":{"noteIndex":0},"schema":"https://github.com/citation-style-language/schema/raw/master/csl-citation.json"}</w:instrText>
      </w:r>
      <w:r w:rsidRPr="00B1522E">
        <w:rPr>
          <w:rFonts w:cstheme="minorHAnsi"/>
        </w:rPr>
        <w:fldChar w:fldCharType="separate"/>
      </w:r>
      <w:r w:rsidRPr="00B1522E">
        <w:rPr>
          <w:rFonts w:cstheme="minorHAnsi"/>
          <w:noProof/>
        </w:rPr>
        <w:t>(Tashakkori et al., 1998)</w:t>
      </w:r>
      <w:r w:rsidRPr="00B1522E">
        <w:rPr>
          <w:rFonts w:cstheme="minorHAnsi"/>
        </w:rPr>
        <w:fldChar w:fldCharType="end"/>
      </w:r>
      <w:r w:rsidRPr="00B1522E">
        <w:rPr>
          <w:rFonts w:cstheme="minorHAnsi"/>
        </w:rPr>
        <w:t>.</w:t>
      </w:r>
      <w:r w:rsidRPr="00B1522E">
        <w:t xml:space="preserve"> </w:t>
      </w:r>
      <w:r w:rsidRPr="00B1522E">
        <w:rPr>
          <w:rFonts w:cstheme="minorHAnsi"/>
        </w:rPr>
        <w:t xml:space="preserve">The qualitative analysis used an inductive approach guided by the reflexive Thematic Analysis stages </w:t>
      </w:r>
      <w:r w:rsidRPr="00B1522E">
        <w:rPr>
          <w:rFonts w:cstheme="minorHAnsi"/>
        </w:rPr>
        <w:fldChar w:fldCharType="begin" w:fldLock="1"/>
      </w:r>
      <w:r w:rsidRPr="00B1522E">
        <w:rPr>
          <w:rFonts w:cstheme="minorHAnsi"/>
        </w:rPr>
        <w:instrText>ADDIN CSL_CITATION {"citationItems":[{"id":"ITEM-1","itemData":{"ISSN":"2159-676X","author":[{"dropping-particle":"","family":"Braun","given":"Virginia","non-dropping-particle":"","parse-names":false,"suffix":""},{"dropping-particle":"","family":"Clarke","given":"Victoria","non-dropping-particle":"","parse-names":false,"suffix":""}],"container-title":"Qualitative Research in Sport, Exercise and Health","id":"ITEM-1","issue":"4","issued":{"date-parts":[["2019"]]},"page":"589-597","publisher":"Taylor &amp; Francis","title":"Reflecting on reflexive thematic analysis","type":"article-journal","volume":"11"},"uris":["http://www.mendeley.com/documents/?uuid=798ba88d-c95a-4fca-ad51-5b03c86bfad3"]}],"mendeley":{"formattedCitation":"(Braun &amp; Clarke, 2019)","plainTextFormattedCitation":"(Braun &amp; Clarke, 2019)","previouslyFormattedCitation":"(Braun &amp; Clarke, 2019)"},"properties":{"noteIndex":0},"schema":"https://github.com/citation-style-language/schema/raw/master/csl-citation.json"}</w:instrText>
      </w:r>
      <w:r w:rsidRPr="00B1522E">
        <w:rPr>
          <w:rFonts w:cstheme="minorHAnsi"/>
        </w:rPr>
        <w:fldChar w:fldCharType="separate"/>
      </w:r>
      <w:r w:rsidRPr="00B1522E">
        <w:rPr>
          <w:rFonts w:cstheme="minorHAnsi"/>
          <w:noProof/>
        </w:rPr>
        <w:t>(Braun &amp; Clarke, 2019)</w:t>
      </w:r>
      <w:r w:rsidRPr="00B1522E">
        <w:rPr>
          <w:rFonts w:cstheme="minorHAnsi"/>
        </w:rPr>
        <w:fldChar w:fldCharType="end"/>
      </w:r>
      <w:r w:rsidRPr="00B1522E">
        <w:rPr>
          <w:rFonts w:cstheme="minorHAnsi"/>
        </w:rPr>
        <w:t xml:space="preserve">: </w:t>
      </w:r>
      <w:r w:rsidRPr="00B1522E">
        <w:rPr>
          <w:rFonts w:eastAsia="Times New Roman" w:cstheme="minorHAnsi"/>
          <w:i/>
          <w:iCs/>
          <w:lang w:eastAsia="en-GB"/>
        </w:rPr>
        <w:t>familiarisation</w:t>
      </w:r>
      <w:r w:rsidRPr="00B1522E">
        <w:t>, which required immersion in the data</w:t>
      </w:r>
      <w:r w:rsidRPr="00B1522E">
        <w:rPr>
          <w:rFonts w:eastAsia="Times New Roman" w:cstheme="minorHAnsi"/>
          <w:i/>
          <w:iCs/>
          <w:lang w:eastAsia="en-GB"/>
        </w:rPr>
        <w:t>; coding</w:t>
      </w:r>
      <w:r w:rsidRPr="00B1522E">
        <w:t>, which involved identifying important features of the data which are relevant to the research questions</w:t>
      </w:r>
      <w:r w:rsidRPr="00B1522E">
        <w:rPr>
          <w:rFonts w:eastAsia="Times New Roman" w:cstheme="minorHAnsi"/>
          <w:i/>
          <w:iCs/>
          <w:lang w:eastAsia="en-GB"/>
        </w:rPr>
        <w:t>; generating initial themes,</w:t>
      </w:r>
      <w:r w:rsidRPr="00B1522E">
        <w:rPr>
          <w:rFonts w:eastAsia="Times New Roman" w:cstheme="minorHAnsi"/>
          <w:lang w:eastAsia="en-GB"/>
        </w:rPr>
        <w:t xml:space="preserve"> which involved sorting and grouping the initial codes</w:t>
      </w:r>
      <w:r w:rsidRPr="00B1522E">
        <w:rPr>
          <w:rFonts w:eastAsia="Times New Roman" w:cstheme="minorHAnsi"/>
          <w:i/>
          <w:iCs/>
          <w:lang w:eastAsia="en-GB"/>
        </w:rPr>
        <w:t xml:space="preserve"> </w:t>
      </w:r>
      <w:r w:rsidRPr="00B1522E">
        <w:rPr>
          <w:rFonts w:eastAsia="Times New Roman" w:cstheme="minorHAnsi"/>
          <w:lang w:eastAsia="en-GB"/>
        </w:rPr>
        <w:t>to identify broader patterns of meaning to develop initial themes</w:t>
      </w:r>
      <w:r w:rsidRPr="00B1522E">
        <w:rPr>
          <w:rFonts w:eastAsia="Times New Roman" w:cstheme="minorHAnsi"/>
          <w:i/>
          <w:iCs/>
          <w:lang w:eastAsia="en-GB"/>
        </w:rPr>
        <w:t xml:space="preserve">; reviewing and developing themes, </w:t>
      </w:r>
      <w:r w:rsidRPr="00B1522E">
        <w:rPr>
          <w:rFonts w:eastAsia="Times New Roman" w:cstheme="minorHAnsi"/>
          <w:lang w:eastAsia="en-GB"/>
        </w:rPr>
        <w:t>which is where the themes are then checked against the data to make sure they tell a compelling story of the data, at this stage a separate coder [</w:t>
      </w:r>
      <w:r w:rsidR="00A230BB" w:rsidRPr="00B1522E">
        <w:rPr>
          <w:rFonts w:eastAsia="Times New Roman" w:cstheme="minorHAnsi"/>
          <w:lang w:eastAsia="en-GB"/>
        </w:rPr>
        <w:t>RP</w:t>
      </w:r>
      <w:r w:rsidRPr="00B1522E">
        <w:t>] second-coded all of the qualitative data and the themes were then discussed with some themes being combined, split, or discarded altogether</w:t>
      </w:r>
      <w:r w:rsidRPr="00B1522E">
        <w:rPr>
          <w:rFonts w:eastAsia="Times New Roman" w:cstheme="minorHAnsi"/>
          <w:lang w:eastAsia="en-GB"/>
        </w:rPr>
        <w:t>;</w:t>
      </w:r>
      <w:r w:rsidRPr="00B1522E">
        <w:rPr>
          <w:rFonts w:eastAsia="Times New Roman" w:cstheme="minorHAnsi"/>
          <w:i/>
          <w:iCs/>
          <w:lang w:eastAsia="en-GB"/>
        </w:rPr>
        <w:t xml:space="preserve"> refining, defining and naming themes, </w:t>
      </w:r>
      <w:r w:rsidRPr="00B1522E">
        <w:rPr>
          <w:rFonts w:eastAsia="Times New Roman" w:cstheme="minorHAnsi"/>
          <w:lang w:eastAsia="en-GB"/>
        </w:rPr>
        <w:t>which is where a detailed analysis of each theme was conducted to check the focus and scope of the theme</w:t>
      </w:r>
      <w:r w:rsidRPr="00B1522E">
        <w:rPr>
          <w:rFonts w:eastAsia="Times New Roman" w:cstheme="minorHAnsi"/>
          <w:i/>
          <w:iCs/>
          <w:lang w:eastAsia="en-GB"/>
        </w:rPr>
        <w:t>;</w:t>
      </w:r>
      <w:r w:rsidRPr="00B1522E">
        <w:rPr>
          <w:rFonts w:eastAsia="Times New Roman" w:cstheme="minorHAnsi"/>
          <w:lang w:eastAsia="en-GB"/>
        </w:rPr>
        <w:t> and </w:t>
      </w:r>
      <w:r w:rsidRPr="00B1522E">
        <w:rPr>
          <w:rFonts w:eastAsia="Times New Roman" w:cstheme="minorHAnsi"/>
          <w:i/>
          <w:iCs/>
          <w:lang w:eastAsia="en-GB"/>
        </w:rPr>
        <w:t>writing up</w:t>
      </w:r>
      <w:r w:rsidRPr="00B1522E">
        <w:rPr>
          <w:rFonts w:eastAsia="Times New Roman" w:cstheme="minorHAnsi"/>
          <w:lang w:eastAsia="en-GB"/>
        </w:rPr>
        <w:t xml:space="preserve">, which is where the analytic narrative and data extracts are interwoven to create a story of the data.  </w:t>
      </w:r>
    </w:p>
    <w:p w14:paraId="24AEDA1F" w14:textId="77777777" w:rsidR="009674F3" w:rsidRPr="00B1522E" w:rsidRDefault="009674F3" w:rsidP="009674F3">
      <w:pPr>
        <w:spacing w:line="480" w:lineRule="auto"/>
        <w:jc w:val="both"/>
        <w:rPr>
          <w:rFonts w:eastAsia="Times New Roman" w:cstheme="minorHAnsi"/>
          <w:lang w:eastAsia="en-GB"/>
        </w:rPr>
      </w:pPr>
    </w:p>
    <w:bookmarkStart w:id="287" w:name="_Toc84678985"/>
    <w:p w14:paraId="61920AEB" w14:textId="7572FB5D" w:rsidR="00BB0662" w:rsidRPr="00B1522E" w:rsidRDefault="00E22879" w:rsidP="00DA598E">
      <w:pPr>
        <w:spacing w:line="480" w:lineRule="auto"/>
      </w:pPr>
      <w:r w:rsidRPr="00B1522E">
        <w:fldChar w:fldCharType="begin"/>
      </w:r>
      <w:r w:rsidRPr="00B1522E">
        <w:instrText xml:space="preserve"> TC  "9.3.5 Reflexivity \f x\l 3 </w:instrText>
      </w:r>
      <w:r w:rsidRPr="00B1522E">
        <w:fldChar w:fldCharType="end"/>
      </w:r>
      <w:r w:rsidR="009674F3" w:rsidRPr="00B1522E">
        <w:t>9.3.5 Reflexivity</w:t>
      </w:r>
      <w:bookmarkEnd w:id="287"/>
    </w:p>
    <w:p w14:paraId="08C7A963" w14:textId="3FE3DED1" w:rsidR="009674F3" w:rsidRPr="00B1522E" w:rsidRDefault="009674F3" w:rsidP="00DA598E">
      <w:pPr>
        <w:spacing w:line="480" w:lineRule="auto"/>
        <w:jc w:val="both"/>
      </w:pPr>
      <w:r w:rsidRPr="00B1522E">
        <w:t xml:space="preserve">A reflexive researcher acknowledges their position and role in the process of data collection and analysis, to understand the way in which they affect and are affected by both the research process and outcomes </w:t>
      </w:r>
      <w:r w:rsidRPr="00B1522E">
        <w:fldChar w:fldCharType="begin" w:fldLock="1"/>
      </w:r>
      <w:r w:rsidR="00FD502B" w:rsidRPr="00B1522E">
        <w:instrText>ADDIN CSL_CITATION {"citationItems":[{"id":"ITEM-1","itemData":{"ISBN":"1526428865","author":[{"dropping-particle":"","family":"Alvesson","given":"Mats","non-dropping-particle":"","parse-names":false,"suffix":""},{"dropping-particle":"","family":"Sköldberg","given":"Kaj","non-dropping-particle":"","parse-names":false,"suffix":""}],"id":"ITEM-1","issued":{"date-parts":[["2017"]]},"publisher":"Sage Publications","title":"Reflexive methodology: New vistas for qualitative research","type":"book"},"uris":["http://www.mendeley.com/documents/?uuid=358b6a43-bf2f-4581-b480-2d3bdfc2dcc3"]}],"mendeley":{"formattedCitation":"(Alvesson &amp; Sköldberg, 2017)","plainTextFormattedCitation":"(Alvesson &amp; Sköldberg, 2017)","previouslyFormattedCitation":"(Alvesson &amp; Sköldberg, 2017)"},"properties":{"noteIndex":0},"schema":"https://github.com/citation-style-language/schema/raw/master/csl-citation.json"}</w:instrText>
      </w:r>
      <w:r w:rsidRPr="00B1522E">
        <w:fldChar w:fldCharType="separate"/>
      </w:r>
      <w:r w:rsidRPr="00B1522E">
        <w:rPr>
          <w:noProof/>
        </w:rPr>
        <w:t>(Alvesson &amp; Sköldberg, 2017)</w:t>
      </w:r>
      <w:r w:rsidRPr="00B1522E">
        <w:fldChar w:fldCharType="end"/>
      </w:r>
      <w:r w:rsidRPr="00B1522E">
        <w:t>. In brief (Chapter 10 provides a full reflection), the researcher is a 35-year-old white female from a middle-class background and has experience of conducting research with children. The researcher was mindful of how their previous experience may influence their perceptions</w:t>
      </w:r>
      <w:r w:rsidR="00705B63" w:rsidRPr="00B1522E">
        <w:t xml:space="preserve"> and</w:t>
      </w:r>
      <w:r w:rsidRPr="00B1522E">
        <w:t xml:space="preserve"> whilst this allowed the researcher to consider, comment on, interpret and explore participants’ experiences, the researcher was conscious that they will never fully understand </w:t>
      </w:r>
      <w:r w:rsidR="00901BE8" w:rsidRPr="00B1522E">
        <w:t xml:space="preserve">the </w:t>
      </w:r>
      <w:r w:rsidR="00E643D8" w:rsidRPr="00B1522E">
        <w:t>participants</w:t>
      </w:r>
      <w:r w:rsidR="00705B63" w:rsidRPr="00B1522E">
        <w:t>’</w:t>
      </w:r>
      <w:r w:rsidRPr="00B1522E">
        <w:t xml:space="preserve"> frame of reference</w:t>
      </w:r>
      <w:r w:rsidRPr="00B1522E">
        <w:rPr>
          <w:sz w:val="27"/>
          <w:szCs w:val="27"/>
        </w:rPr>
        <w:t>.</w:t>
      </w:r>
      <w:r w:rsidRPr="00B1522E">
        <w:t xml:space="preserve"> The researcher kept a reflexive research diary throughout the research process. During the analysis phase, the researcher was conscious of their experiences and background and continued to engage in reflexive practice. </w:t>
      </w:r>
    </w:p>
    <w:p w14:paraId="73DE39A8" w14:textId="77777777" w:rsidR="00574FBE" w:rsidRPr="00B1522E" w:rsidRDefault="00574FBE" w:rsidP="00BF0F8C">
      <w:pPr>
        <w:spacing w:line="480" w:lineRule="auto"/>
        <w:jc w:val="both"/>
      </w:pPr>
    </w:p>
    <w:bookmarkStart w:id="288" w:name="_Toc84678986"/>
    <w:p w14:paraId="00FA71D8" w14:textId="36474717" w:rsidR="00BB0662" w:rsidRPr="00B1522E" w:rsidRDefault="00E22879" w:rsidP="00BF0F8C">
      <w:pPr>
        <w:spacing w:line="480" w:lineRule="auto"/>
        <w:rPr>
          <w:b/>
          <w:bCs/>
        </w:rPr>
      </w:pPr>
      <w:r w:rsidRPr="00B1522E">
        <w:fldChar w:fldCharType="begin"/>
      </w:r>
      <w:r w:rsidRPr="00B1522E">
        <w:instrText xml:space="preserve"> TC  "</w:instrText>
      </w:r>
      <w:bookmarkStart w:id="289" w:name="_Toc97310522"/>
      <w:r w:rsidRPr="00B1522E">
        <w:instrText>9.4 Results</w:instrText>
      </w:r>
      <w:bookmarkEnd w:id="289"/>
      <w:r w:rsidRPr="00B1522E">
        <w:instrText xml:space="preserve"> " \f x\l 2 </w:instrText>
      </w:r>
      <w:r w:rsidRPr="00B1522E">
        <w:fldChar w:fldCharType="end"/>
      </w:r>
      <w:r w:rsidR="009674F3" w:rsidRPr="00B1522E">
        <w:rPr>
          <w:b/>
          <w:bCs/>
        </w:rPr>
        <w:t>9.4 Results</w:t>
      </w:r>
      <w:bookmarkEnd w:id="288"/>
    </w:p>
    <w:bookmarkStart w:id="290" w:name="_Toc84678987"/>
    <w:p w14:paraId="57C66516" w14:textId="22EE2996" w:rsidR="009674F3" w:rsidRPr="00B1522E" w:rsidRDefault="00E22879" w:rsidP="00BF0F8C">
      <w:pPr>
        <w:spacing w:line="480" w:lineRule="auto"/>
      </w:pPr>
      <w:r w:rsidRPr="00B1522E">
        <w:fldChar w:fldCharType="begin"/>
      </w:r>
      <w:r w:rsidRPr="00B1522E">
        <w:instrText xml:space="preserve"> TC  "9.4.1 Descriptive statistics of teachers’ experiences \f x\l 3 </w:instrText>
      </w:r>
      <w:r w:rsidRPr="00B1522E">
        <w:fldChar w:fldCharType="end"/>
      </w:r>
      <w:r w:rsidR="009674F3" w:rsidRPr="00B1522E">
        <w:t>9.4.1 Descriptive statistics of teachers’ experiences</w:t>
      </w:r>
      <w:bookmarkEnd w:id="290"/>
      <w:r w:rsidR="009674F3" w:rsidRPr="00B1522E">
        <w:t xml:space="preserve"> </w:t>
      </w:r>
    </w:p>
    <w:p w14:paraId="7120D22F" w14:textId="1F2D3E7A" w:rsidR="009674F3" w:rsidRPr="00B1522E" w:rsidRDefault="009674F3" w:rsidP="00DA598E">
      <w:pPr>
        <w:spacing w:line="480" w:lineRule="auto"/>
        <w:jc w:val="both"/>
      </w:pPr>
      <w:r w:rsidRPr="00B1522E">
        <w:t xml:space="preserve">Table </w:t>
      </w:r>
      <w:r w:rsidR="00307E6F" w:rsidRPr="00B1522E">
        <w:t>2</w:t>
      </w:r>
      <w:r w:rsidR="00147C03" w:rsidRPr="00B1522E">
        <w:t>2</w:t>
      </w:r>
      <w:r w:rsidRPr="00B1522E">
        <w:t xml:space="preserve"> presents descriptive statistics of the teachers’ responses to the closed-ended questions. The means indicated that teachers felt: that the lesson plan for the </w:t>
      </w:r>
      <w:r w:rsidRPr="00B1522E">
        <w:rPr>
          <w:rFonts w:eastAsia="Calibri" w:cstheme="minorHAnsi"/>
        </w:rPr>
        <w:t>in-</w:t>
      </w:r>
      <w:r w:rsidR="007D1CA7" w:rsidRPr="00B1522E">
        <w:rPr>
          <w:rFonts w:eastAsia="Calibri" w:cstheme="minorHAnsi"/>
        </w:rPr>
        <w:t>school</w:t>
      </w:r>
      <w:r w:rsidRPr="00B1522E">
        <w:t xml:space="preserve"> SNA feedback session was easy to understand, follow and implement; that students engaged with the </w:t>
      </w:r>
      <w:r w:rsidRPr="00B1522E">
        <w:rPr>
          <w:rFonts w:eastAsia="Calibri" w:cstheme="minorHAnsi"/>
        </w:rPr>
        <w:t>in-</w:t>
      </w:r>
      <w:r w:rsidR="007D1CA7" w:rsidRPr="00B1522E">
        <w:rPr>
          <w:rFonts w:eastAsia="Calibri" w:cstheme="minorHAnsi"/>
        </w:rPr>
        <w:t>school</w:t>
      </w:r>
      <w:r w:rsidRPr="00B1522E">
        <w:t xml:space="preserve"> SNA feedback poster-making activity; and that the SNA feedback messages were easy to understand.</w:t>
      </w:r>
    </w:p>
    <w:p w14:paraId="132C4312" w14:textId="77777777" w:rsidR="009674F3" w:rsidRPr="00B1522E" w:rsidRDefault="009674F3" w:rsidP="009674F3">
      <w:pPr>
        <w:spacing w:line="480" w:lineRule="auto"/>
        <w:jc w:val="both"/>
      </w:pPr>
    </w:p>
    <w:p w14:paraId="2415D5E5" w14:textId="54E6C3BD" w:rsidR="009674F3" w:rsidRPr="00B1522E" w:rsidRDefault="00C33B00" w:rsidP="009674F3">
      <w:pPr>
        <w:pStyle w:val="Caption"/>
        <w:keepNext/>
        <w:rPr>
          <w:i w:val="0"/>
          <w:iCs w:val="0"/>
          <w:color w:val="auto"/>
          <w:sz w:val="22"/>
          <w:szCs w:val="22"/>
        </w:rPr>
      </w:pPr>
      <w:r w:rsidRPr="00B1522E">
        <w:rPr>
          <w:b/>
          <w:bCs/>
          <w:i w:val="0"/>
          <w:iCs w:val="0"/>
          <w:color w:val="auto"/>
          <w:sz w:val="22"/>
          <w:szCs w:val="22"/>
        </w:rPr>
        <w:fldChar w:fldCharType="begin"/>
      </w:r>
      <w:r w:rsidRPr="00B1522E">
        <w:rPr>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291" w:name="_Toc97557145"/>
      <w:r w:rsidRPr="00B1522E">
        <w:rPr>
          <w:i w:val="0"/>
          <w:iCs w:val="0"/>
          <w:color w:val="auto"/>
          <w:sz w:val="22"/>
          <w:szCs w:val="22"/>
        </w:rPr>
        <w:instrText xml:space="preserve">Table </w:instrText>
      </w:r>
      <w:r w:rsidR="00F9655A" w:rsidRPr="00B1522E">
        <w:rPr>
          <w:i w:val="0"/>
          <w:iCs w:val="0"/>
          <w:color w:val="auto"/>
          <w:sz w:val="22"/>
          <w:szCs w:val="22"/>
        </w:rPr>
        <w:instrText>2</w:instrText>
      </w:r>
      <w:r w:rsidR="00C24220" w:rsidRPr="00B1522E">
        <w:rPr>
          <w:i w:val="0"/>
          <w:iCs w:val="0"/>
          <w:color w:val="auto"/>
          <w:sz w:val="22"/>
          <w:szCs w:val="22"/>
        </w:rPr>
        <w:instrText>2</w:instrText>
      </w:r>
      <w:r w:rsidRPr="00B1522E">
        <w:rPr>
          <w:i w:val="0"/>
          <w:iCs w:val="0"/>
          <w:color w:val="auto"/>
          <w:sz w:val="22"/>
          <w:szCs w:val="22"/>
        </w:rPr>
        <w:instrText xml:space="preserve">. </w:instrText>
      </w:r>
      <w:r w:rsidR="00F9655A" w:rsidRPr="00B1522E">
        <w:rPr>
          <w:i w:val="0"/>
          <w:iCs w:val="0"/>
          <w:color w:val="auto"/>
          <w:sz w:val="22"/>
          <w:szCs w:val="22"/>
        </w:rPr>
        <w:instrText>Descriptive statistics of the quantitative questionnaire items</w:instrText>
      </w:r>
      <w:bookmarkEnd w:id="291"/>
      <w:r w:rsidRPr="00B1522E">
        <w:rPr>
          <w:b/>
          <w:bCs/>
          <w:i w:val="0"/>
          <w:iCs w:val="0"/>
          <w:color w:val="auto"/>
          <w:sz w:val="22"/>
          <w:szCs w:val="22"/>
        </w:rPr>
        <w:instrText xml:space="preserve"> " \f z\l 2 </w:instrText>
      </w:r>
      <w:r w:rsidRPr="00B1522E">
        <w:rPr>
          <w:b/>
          <w:bCs/>
          <w:i w:val="0"/>
          <w:iCs w:val="0"/>
          <w:color w:val="auto"/>
          <w:sz w:val="22"/>
          <w:szCs w:val="22"/>
        </w:rPr>
        <w:fldChar w:fldCharType="end"/>
      </w:r>
      <w:r w:rsidR="009674F3" w:rsidRPr="00B1522E">
        <w:rPr>
          <w:i w:val="0"/>
          <w:iCs w:val="0"/>
          <w:color w:val="auto"/>
          <w:sz w:val="22"/>
          <w:szCs w:val="22"/>
        </w:rPr>
        <w:t>Table</w:t>
      </w:r>
      <w:r w:rsidR="00574FBE" w:rsidRPr="00B1522E">
        <w:rPr>
          <w:i w:val="0"/>
          <w:iCs w:val="0"/>
          <w:color w:val="auto"/>
          <w:sz w:val="22"/>
          <w:szCs w:val="22"/>
        </w:rPr>
        <w:t xml:space="preserve"> </w:t>
      </w:r>
      <w:r w:rsidR="00F9655A" w:rsidRPr="00B1522E">
        <w:rPr>
          <w:i w:val="0"/>
          <w:iCs w:val="0"/>
          <w:color w:val="auto"/>
          <w:sz w:val="22"/>
          <w:szCs w:val="22"/>
        </w:rPr>
        <w:t>2</w:t>
      </w:r>
      <w:r w:rsidR="00C24220" w:rsidRPr="00B1522E">
        <w:rPr>
          <w:i w:val="0"/>
          <w:iCs w:val="0"/>
          <w:color w:val="auto"/>
          <w:sz w:val="22"/>
          <w:szCs w:val="22"/>
        </w:rPr>
        <w:t>2</w:t>
      </w:r>
      <w:r w:rsidR="009674F3" w:rsidRPr="00B1522E">
        <w:rPr>
          <w:i w:val="0"/>
          <w:iCs w:val="0"/>
          <w:color w:val="auto"/>
          <w:sz w:val="22"/>
          <w:szCs w:val="22"/>
        </w:rPr>
        <w:t>. Descriptive statistics of the quantitative questionnaire items</w:t>
      </w:r>
    </w:p>
    <w:tbl>
      <w:tblPr>
        <w:tblStyle w:val="TableGrid"/>
        <w:tblW w:w="9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186"/>
        <w:gridCol w:w="1187"/>
      </w:tblGrid>
      <w:tr w:rsidR="00E77769" w:rsidRPr="00B1522E" w14:paraId="703A6957" w14:textId="77777777" w:rsidTr="00006FE6">
        <w:trPr>
          <w:trHeight w:val="352"/>
        </w:trPr>
        <w:tc>
          <w:tcPr>
            <w:tcW w:w="7083" w:type="dxa"/>
            <w:tcBorders>
              <w:top w:val="single" w:sz="4" w:space="0" w:color="auto"/>
              <w:bottom w:val="single" w:sz="4" w:space="0" w:color="auto"/>
            </w:tcBorders>
          </w:tcPr>
          <w:p w14:paraId="74BB6930" w14:textId="77777777" w:rsidR="009674F3" w:rsidRPr="00B1522E" w:rsidRDefault="009674F3" w:rsidP="00006FE6">
            <w:pPr>
              <w:jc w:val="both"/>
            </w:pPr>
            <w:r w:rsidRPr="00B1522E">
              <w:t>Questionnaire items</w:t>
            </w:r>
          </w:p>
        </w:tc>
        <w:tc>
          <w:tcPr>
            <w:tcW w:w="1186" w:type="dxa"/>
            <w:tcBorders>
              <w:top w:val="single" w:sz="4" w:space="0" w:color="auto"/>
              <w:bottom w:val="single" w:sz="4" w:space="0" w:color="auto"/>
            </w:tcBorders>
          </w:tcPr>
          <w:p w14:paraId="54BF3CB7" w14:textId="77777777" w:rsidR="009674F3" w:rsidRPr="00B1522E" w:rsidRDefault="009674F3" w:rsidP="00006FE6">
            <w:pPr>
              <w:jc w:val="center"/>
            </w:pPr>
          </w:p>
        </w:tc>
        <w:tc>
          <w:tcPr>
            <w:tcW w:w="1187" w:type="dxa"/>
            <w:tcBorders>
              <w:top w:val="single" w:sz="4" w:space="0" w:color="auto"/>
              <w:bottom w:val="single" w:sz="4" w:space="0" w:color="auto"/>
            </w:tcBorders>
          </w:tcPr>
          <w:p w14:paraId="47891012" w14:textId="77777777" w:rsidR="009674F3" w:rsidRPr="00B1522E" w:rsidRDefault="009674F3" w:rsidP="00006FE6">
            <w:pPr>
              <w:jc w:val="center"/>
            </w:pPr>
          </w:p>
        </w:tc>
      </w:tr>
      <w:tr w:rsidR="00E77769" w:rsidRPr="00B1522E" w14:paraId="78BCB59D" w14:textId="77777777" w:rsidTr="00006FE6">
        <w:trPr>
          <w:trHeight w:val="352"/>
        </w:trPr>
        <w:tc>
          <w:tcPr>
            <w:tcW w:w="7083" w:type="dxa"/>
            <w:tcBorders>
              <w:top w:val="single" w:sz="4" w:space="0" w:color="auto"/>
            </w:tcBorders>
          </w:tcPr>
          <w:p w14:paraId="0BE8108A" w14:textId="77777777" w:rsidR="009674F3" w:rsidRPr="00B1522E" w:rsidRDefault="009674F3" w:rsidP="00006FE6">
            <w:pPr>
              <w:jc w:val="both"/>
            </w:pPr>
          </w:p>
        </w:tc>
        <w:tc>
          <w:tcPr>
            <w:tcW w:w="1186" w:type="dxa"/>
            <w:tcBorders>
              <w:top w:val="single" w:sz="4" w:space="0" w:color="auto"/>
              <w:bottom w:val="single" w:sz="4" w:space="0" w:color="auto"/>
            </w:tcBorders>
          </w:tcPr>
          <w:p w14:paraId="60CF4131" w14:textId="77777777" w:rsidR="009674F3" w:rsidRPr="00B1522E" w:rsidRDefault="009674F3" w:rsidP="00006FE6">
            <w:pPr>
              <w:jc w:val="center"/>
              <w:rPr>
                <w:vertAlign w:val="superscript"/>
              </w:rPr>
            </w:pPr>
            <w:r w:rsidRPr="00B1522E">
              <w:t>Mean</w:t>
            </w:r>
            <w:r w:rsidRPr="00B1522E">
              <w:rPr>
                <w:vertAlign w:val="superscript"/>
              </w:rPr>
              <w:t>a</w:t>
            </w:r>
          </w:p>
        </w:tc>
        <w:tc>
          <w:tcPr>
            <w:tcW w:w="1187" w:type="dxa"/>
            <w:tcBorders>
              <w:top w:val="single" w:sz="4" w:space="0" w:color="auto"/>
              <w:bottom w:val="single" w:sz="4" w:space="0" w:color="auto"/>
            </w:tcBorders>
          </w:tcPr>
          <w:p w14:paraId="0A04E473" w14:textId="77777777" w:rsidR="009674F3" w:rsidRPr="00B1522E" w:rsidRDefault="009674F3" w:rsidP="00006FE6">
            <w:pPr>
              <w:jc w:val="center"/>
            </w:pPr>
            <w:r w:rsidRPr="00B1522E">
              <w:t>SD</w:t>
            </w:r>
          </w:p>
        </w:tc>
      </w:tr>
      <w:tr w:rsidR="00E77769" w:rsidRPr="00B1522E" w14:paraId="70414D19" w14:textId="77777777" w:rsidTr="00B80E56">
        <w:trPr>
          <w:trHeight w:val="450"/>
        </w:trPr>
        <w:tc>
          <w:tcPr>
            <w:tcW w:w="7083" w:type="dxa"/>
            <w:vAlign w:val="center"/>
          </w:tcPr>
          <w:p w14:paraId="0AA08FD0" w14:textId="27E0293E" w:rsidR="009674F3" w:rsidRPr="00B1522E" w:rsidRDefault="009674F3" w:rsidP="00B80E56">
            <w:r w:rsidRPr="00B1522E">
              <w:rPr>
                <w:rFonts w:eastAsia="Calibri" w:cstheme="minorHAnsi"/>
              </w:rPr>
              <w:t>I feel that the provided teacher’s lesson plan was easy to understand.</w:t>
            </w:r>
          </w:p>
        </w:tc>
        <w:tc>
          <w:tcPr>
            <w:tcW w:w="1186" w:type="dxa"/>
            <w:tcBorders>
              <w:top w:val="single" w:sz="4" w:space="0" w:color="auto"/>
            </w:tcBorders>
            <w:vAlign w:val="center"/>
          </w:tcPr>
          <w:p w14:paraId="4CB9CF0A" w14:textId="77777777" w:rsidR="009674F3" w:rsidRPr="00B1522E" w:rsidRDefault="009674F3" w:rsidP="00006FE6">
            <w:pPr>
              <w:jc w:val="center"/>
            </w:pPr>
            <w:r w:rsidRPr="00B1522E">
              <w:t>4.29</w:t>
            </w:r>
          </w:p>
        </w:tc>
        <w:tc>
          <w:tcPr>
            <w:tcW w:w="1187" w:type="dxa"/>
            <w:tcBorders>
              <w:top w:val="single" w:sz="4" w:space="0" w:color="auto"/>
            </w:tcBorders>
            <w:vAlign w:val="center"/>
          </w:tcPr>
          <w:p w14:paraId="0F48A07B" w14:textId="77777777" w:rsidR="009674F3" w:rsidRPr="00B1522E" w:rsidRDefault="009674F3" w:rsidP="00006FE6">
            <w:pPr>
              <w:jc w:val="center"/>
            </w:pPr>
            <w:r w:rsidRPr="00B1522E">
              <w:t>.76</w:t>
            </w:r>
          </w:p>
        </w:tc>
      </w:tr>
      <w:tr w:rsidR="00E77769" w:rsidRPr="00B1522E" w14:paraId="618C794D" w14:textId="77777777" w:rsidTr="00B80E56">
        <w:trPr>
          <w:trHeight w:val="450"/>
        </w:trPr>
        <w:tc>
          <w:tcPr>
            <w:tcW w:w="7083" w:type="dxa"/>
            <w:vAlign w:val="center"/>
          </w:tcPr>
          <w:p w14:paraId="34A9281A" w14:textId="2114D79B" w:rsidR="009674F3" w:rsidRPr="00B1522E" w:rsidRDefault="009674F3" w:rsidP="00B80E56">
            <w:r w:rsidRPr="00B1522E">
              <w:rPr>
                <w:rFonts w:eastAsia="Calibri" w:cstheme="minorHAnsi"/>
              </w:rPr>
              <w:t xml:space="preserve">I feel that the teacher’s lesson plan was easy to follow and implement. </w:t>
            </w:r>
          </w:p>
        </w:tc>
        <w:tc>
          <w:tcPr>
            <w:tcW w:w="1186" w:type="dxa"/>
            <w:vAlign w:val="center"/>
          </w:tcPr>
          <w:p w14:paraId="58744C01" w14:textId="77777777" w:rsidR="009674F3" w:rsidRPr="00B1522E" w:rsidRDefault="009674F3" w:rsidP="00006FE6">
            <w:pPr>
              <w:jc w:val="center"/>
            </w:pPr>
            <w:r w:rsidRPr="00B1522E">
              <w:t>4.29</w:t>
            </w:r>
          </w:p>
        </w:tc>
        <w:tc>
          <w:tcPr>
            <w:tcW w:w="1187" w:type="dxa"/>
            <w:vAlign w:val="center"/>
          </w:tcPr>
          <w:p w14:paraId="0094A50C" w14:textId="77777777" w:rsidR="009674F3" w:rsidRPr="00B1522E" w:rsidRDefault="009674F3" w:rsidP="00006FE6">
            <w:pPr>
              <w:jc w:val="center"/>
            </w:pPr>
            <w:r w:rsidRPr="00B1522E">
              <w:t>.76</w:t>
            </w:r>
          </w:p>
        </w:tc>
      </w:tr>
      <w:tr w:rsidR="00E77769" w:rsidRPr="00B1522E" w14:paraId="44710AA6" w14:textId="77777777" w:rsidTr="00B80E56">
        <w:trPr>
          <w:trHeight w:val="450"/>
        </w:trPr>
        <w:tc>
          <w:tcPr>
            <w:tcW w:w="7083" w:type="dxa"/>
            <w:vAlign w:val="center"/>
          </w:tcPr>
          <w:p w14:paraId="2725EC02" w14:textId="67028E80" w:rsidR="009674F3" w:rsidRPr="00B1522E" w:rsidRDefault="009674F3" w:rsidP="00B80E56">
            <w:r w:rsidRPr="00B1522E">
              <w:rPr>
                <w:rFonts w:eastAsia="Calibri" w:cstheme="minorHAnsi"/>
              </w:rPr>
              <w:t>I think the students engaged with the poster-making activity.</w:t>
            </w:r>
          </w:p>
        </w:tc>
        <w:tc>
          <w:tcPr>
            <w:tcW w:w="1186" w:type="dxa"/>
            <w:vAlign w:val="center"/>
          </w:tcPr>
          <w:p w14:paraId="74DBD2E7" w14:textId="77777777" w:rsidR="009674F3" w:rsidRPr="00B1522E" w:rsidRDefault="009674F3" w:rsidP="00006FE6">
            <w:pPr>
              <w:jc w:val="center"/>
            </w:pPr>
            <w:r w:rsidRPr="00B1522E">
              <w:t>4.14</w:t>
            </w:r>
          </w:p>
        </w:tc>
        <w:tc>
          <w:tcPr>
            <w:tcW w:w="1187" w:type="dxa"/>
            <w:vAlign w:val="center"/>
          </w:tcPr>
          <w:p w14:paraId="3036E161" w14:textId="77777777" w:rsidR="009674F3" w:rsidRPr="00B1522E" w:rsidRDefault="009674F3" w:rsidP="00006FE6">
            <w:pPr>
              <w:jc w:val="center"/>
            </w:pPr>
            <w:r w:rsidRPr="00B1522E">
              <w:t>.90</w:t>
            </w:r>
          </w:p>
        </w:tc>
      </w:tr>
      <w:tr w:rsidR="009674F3" w:rsidRPr="00B1522E" w14:paraId="0966EF7F" w14:textId="77777777" w:rsidTr="00B80E56">
        <w:trPr>
          <w:trHeight w:val="450"/>
        </w:trPr>
        <w:tc>
          <w:tcPr>
            <w:tcW w:w="7083" w:type="dxa"/>
            <w:tcBorders>
              <w:bottom w:val="single" w:sz="4" w:space="0" w:color="auto"/>
            </w:tcBorders>
            <w:vAlign w:val="center"/>
          </w:tcPr>
          <w:p w14:paraId="3FB255ED" w14:textId="77777777" w:rsidR="009674F3" w:rsidRPr="00B1522E" w:rsidRDefault="009674F3" w:rsidP="00B80E56">
            <w:r w:rsidRPr="00B1522E">
              <w:rPr>
                <w:rFonts w:eastAsia="Calibri" w:cstheme="minorHAnsi"/>
              </w:rPr>
              <w:t>Do you think the messages for the posters were easy to understand?</w:t>
            </w:r>
          </w:p>
        </w:tc>
        <w:tc>
          <w:tcPr>
            <w:tcW w:w="1186" w:type="dxa"/>
            <w:tcBorders>
              <w:bottom w:val="single" w:sz="4" w:space="0" w:color="auto"/>
            </w:tcBorders>
            <w:vAlign w:val="center"/>
          </w:tcPr>
          <w:p w14:paraId="379733D9" w14:textId="77777777" w:rsidR="009674F3" w:rsidRPr="00B1522E" w:rsidRDefault="009674F3" w:rsidP="00006FE6">
            <w:pPr>
              <w:jc w:val="center"/>
            </w:pPr>
            <w:r w:rsidRPr="00B1522E">
              <w:t>3.57</w:t>
            </w:r>
          </w:p>
        </w:tc>
        <w:tc>
          <w:tcPr>
            <w:tcW w:w="1187" w:type="dxa"/>
            <w:tcBorders>
              <w:bottom w:val="single" w:sz="4" w:space="0" w:color="auto"/>
            </w:tcBorders>
            <w:vAlign w:val="center"/>
          </w:tcPr>
          <w:p w14:paraId="3EACE200" w14:textId="77777777" w:rsidR="009674F3" w:rsidRPr="00B1522E" w:rsidRDefault="009674F3" w:rsidP="00006FE6">
            <w:pPr>
              <w:jc w:val="center"/>
            </w:pPr>
            <w:r w:rsidRPr="00B1522E">
              <w:t>.98</w:t>
            </w:r>
          </w:p>
        </w:tc>
      </w:tr>
    </w:tbl>
    <w:p w14:paraId="4CFE9847" w14:textId="77777777" w:rsidR="009674F3" w:rsidRPr="00B1522E" w:rsidRDefault="009674F3" w:rsidP="009674F3">
      <w:pPr>
        <w:spacing w:line="240" w:lineRule="auto"/>
        <w:jc w:val="both"/>
        <w:rPr>
          <w:vertAlign w:val="superscript"/>
        </w:rPr>
      </w:pPr>
    </w:p>
    <w:p w14:paraId="5E24BE06" w14:textId="77777777" w:rsidR="009674F3" w:rsidRPr="00B1522E" w:rsidRDefault="009674F3" w:rsidP="009674F3">
      <w:pPr>
        <w:spacing w:line="240" w:lineRule="auto"/>
        <w:jc w:val="both"/>
      </w:pPr>
      <w:r w:rsidRPr="00B1522E">
        <w:rPr>
          <w:vertAlign w:val="superscript"/>
        </w:rPr>
        <w:t xml:space="preserve">a </w:t>
      </w:r>
      <w:r w:rsidRPr="00B1522E">
        <w:t>Response options ranged from 1 – strongly disagree/hard, to 5 – strongly agree/easy</w:t>
      </w:r>
    </w:p>
    <w:p w14:paraId="429ACB0A" w14:textId="77777777" w:rsidR="009674F3" w:rsidRPr="00B1522E" w:rsidRDefault="009674F3" w:rsidP="009674F3">
      <w:pPr>
        <w:spacing w:line="480" w:lineRule="auto"/>
        <w:jc w:val="both"/>
      </w:pPr>
    </w:p>
    <w:bookmarkStart w:id="292" w:name="_Toc84678988"/>
    <w:p w14:paraId="476C16D3" w14:textId="46DEE4E2" w:rsidR="009674F3" w:rsidRPr="00B1522E" w:rsidRDefault="00E22879" w:rsidP="00DA598E">
      <w:pPr>
        <w:spacing w:line="480" w:lineRule="auto"/>
      </w:pPr>
      <w:r w:rsidRPr="00B1522E">
        <w:fldChar w:fldCharType="begin"/>
      </w:r>
      <w:r w:rsidRPr="00B1522E">
        <w:instrText xml:space="preserve"> TC  "</w:instrText>
      </w:r>
      <w:bookmarkStart w:id="293" w:name="_Toc97310523"/>
      <w:r w:rsidRPr="00B1522E">
        <w:instrText>9.4</w:instrText>
      </w:r>
      <w:r w:rsidR="00A958E4" w:rsidRPr="00B1522E">
        <w:instrText>.2 Qualitative analysis of students’ and teachers’ experiences</w:instrText>
      </w:r>
      <w:bookmarkEnd w:id="293"/>
      <w:r w:rsidRPr="00B1522E">
        <w:instrText xml:space="preserve"> " \f x\l 3 </w:instrText>
      </w:r>
      <w:r w:rsidRPr="00B1522E">
        <w:fldChar w:fldCharType="end"/>
      </w:r>
      <w:r w:rsidR="009674F3" w:rsidRPr="00B1522E">
        <w:t>9.4.2 Qualitative analysis of students’ and teachers’ experiences</w:t>
      </w:r>
      <w:bookmarkEnd w:id="292"/>
    </w:p>
    <w:p w14:paraId="18B46E7A" w14:textId="4C3ACAA9" w:rsidR="009674F3" w:rsidRPr="00B1522E" w:rsidRDefault="009674F3" w:rsidP="00DA598E">
      <w:pPr>
        <w:spacing w:line="480" w:lineRule="auto"/>
        <w:jc w:val="both"/>
      </w:pPr>
      <w:r w:rsidRPr="00B1522E">
        <w:t xml:space="preserve">The results of the qualitative analysis of the student focus groups, and teachers’ open-ended responses are presented according to the three main themes, which are as follows: (1) </w:t>
      </w:r>
      <w:r w:rsidRPr="00B1522E">
        <w:rPr>
          <w:i/>
          <w:iCs/>
        </w:rPr>
        <w:t>enjoyment</w:t>
      </w:r>
      <w:r w:rsidRPr="00B1522E">
        <w:t xml:space="preserve">; (2) </w:t>
      </w:r>
      <w:r w:rsidRPr="00B1522E">
        <w:rPr>
          <w:i/>
          <w:iCs/>
        </w:rPr>
        <w:t>organization;</w:t>
      </w:r>
      <w:r w:rsidRPr="00B1522E">
        <w:t xml:space="preserve"> (3) </w:t>
      </w:r>
      <w:r w:rsidRPr="00B1522E">
        <w:rPr>
          <w:i/>
          <w:iCs/>
        </w:rPr>
        <w:t>understanding</w:t>
      </w:r>
      <w:r w:rsidRPr="00B1522E">
        <w:t xml:space="preserve">, which all impacted student engagement in the in-school SNA feedback intervention (Figure </w:t>
      </w:r>
      <w:r w:rsidR="00516801" w:rsidRPr="00B1522E">
        <w:t>5</w:t>
      </w:r>
      <w:r w:rsidRPr="00B1522E">
        <w:t>).</w:t>
      </w:r>
    </w:p>
    <w:p w14:paraId="5CFEFF48" w14:textId="77777777" w:rsidR="009674F3" w:rsidRPr="00B1522E" w:rsidRDefault="009674F3" w:rsidP="009674F3">
      <w:pPr>
        <w:spacing w:line="480" w:lineRule="auto"/>
      </w:pPr>
    </w:p>
    <w:p w14:paraId="3D945981" w14:textId="77777777" w:rsidR="009674F3" w:rsidRPr="00B1522E" w:rsidRDefault="009674F3" w:rsidP="009674F3">
      <w:pPr>
        <w:spacing w:line="480" w:lineRule="auto"/>
      </w:pPr>
      <w:r w:rsidRPr="00B1522E">
        <w:rPr>
          <w:noProof/>
        </w:rPr>
        <w:lastRenderedPageBreak/>
        <w:t xml:space="preserve"> </w:t>
      </w:r>
      <w:r w:rsidRPr="00B1522E">
        <w:rPr>
          <w:noProof/>
        </w:rPr>
        <w:drawing>
          <wp:inline distT="0" distB="0" distL="0" distR="0" wp14:anchorId="26352C82" wp14:editId="09287221">
            <wp:extent cx="5486400" cy="339740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F3A765D" w14:textId="6634681E" w:rsidR="009674F3" w:rsidRPr="00B1522E" w:rsidRDefault="00B3030E" w:rsidP="009674F3">
      <w:pPr>
        <w:pStyle w:val="Caption"/>
        <w:spacing w:line="480" w:lineRule="auto"/>
        <w:rPr>
          <w:rFonts w:cstheme="minorHAnsi"/>
          <w:i w:val="0"/>
          <w:iCs w:val="0"/>
          <w:color w:val="auto"/>
          <w:sz w:val="22"/>
          <w:szCs w:val="22"/>
        </w:rPr>
      </w:pPr>
      <w:r w:rsidRPr="00B1522E">
        <w:rPr>
          <w:b/>
          <w:bCs/>
          <w:i w:val="0"/>
          <w:iCs w:val="0"/>
          <w:color w:val="auto"/>
          <w:sz w:val="22"/>
          <w:szCs w:val="22"/>
        </w:rPr>
        <w:fldChar w:fldCharType="begin"/>
      </w:r>
      <w:r w:rsidRPr="00B1522E">
        <w:rPr>
          <w:b/>
          <w:bCs/>
          <w:i w:val="0"/>
          <w:iCs w:val="0"/>
          <w:color w:val="auto"/>
          <w:sz w:val="22"/>
          <w:szCs w:val="22"/>
        </w:rPr>
        <w:instrText xml:space="preserve"> TC  "</w:instrText>
      </w:r>
      <w:r w:rsidRPr="00B1522E">
        <w:rPr>
          <w:rFonts w:cstheme="minorHAnsi"/>
          <w:i w:val="0"/>
          <w:iCs w:val="0"/>
          <w:color w:val="auto"/>
          <w:sz w:val="22"/>
          <w:szCs w:val="22"/>
        </w:rPr>
        <w:instrText xml:space="preserve"> </w:instrText>
      </w:r>
      <w:bookmarkStart w:id="294" w:name="_Toc97557152"/>
      <w:r w:rsidRPr="00B1522E">
        <w:rPr>
          <w:rFonts w:cstheme="minorHAnsi"/>
          <w:i w:val="0"/>
          <w:iCs w:val="0"/>
          <w:color w:val="auto"/>
          <w:sz w:val="22"/>
          <w:szCs w:val="22"/>
        </w:rPr>
        <w:instrText xml:space="preserve">Figure </w:instrText>
      </w:r>
      <w:r w:rsidR="006D3EB1" w:rsidRPr="00B1522E">
        <w:rPr>
          <w:rFonts w:cstheme="minorHAnsi"/>
          <w:i w:val="0"/>
          <w:iCs w:val="0"/>
          <w:color w:val="auto"/>
          <w:sz w:val="22"/>
          <w:szCs w:val="22"/>
        </w:rPr>
        <w:instrText>5</w:instrText>
      </w:r>
      <w:r w:rsidRPr="00B1522E">
        <w:rPr>
          <w:rFonts w:cstheme="minorHAnsi"/>
          <w:i w:val="0"/>
          <w:iCs w:val="0"/>
          <w:color w:val="auto"/>
          <w:sz w:val="22"/>
          <w:szCs w:val="22"/>
        </w:rPr>
        <w:instrText>: Thematic map showing students’ and teachers’ experiences of being involved in the in-school SNA feedback intervention.</w:instrText>
      </w:r>
      <w:r w:rsidRPr="00B1522E">
        <w:rPr>
          <w:color w:val="auto"/>
        </w:rPr>
        <w:instrText>.</w:instrText>
      </w:r>
      <w:bookmarkEnd w:id="294"/>
      <w:r w:rsidRPr="00B1522E">
        <w:rPr>
          <w:rFonts w:cstheme="minorHAnsi"/>
          <w:i w:val="0"/>
          <w:iCs w:val="0"/>
          <w:color w:val="auto"/>
          <w:sz w:val="22"/>
          <w:szCs w:val="22"/>
        </w:rPr>
        <w:instrText>”</w:instrText>
      </w:r>
      <w:r w:rsidRPr="00B1522E">
        <w:rPr>
          <w:b/>
          <w:bCs/>
          <w:i w:val="0"/>
          <w:iCs w:val="0"/>
          <w:color w:val="auto"/>
          <w:sz w:val="22"/>
          <w:szCs w:val="22"/>
        </w:rPr>
        <w:instrText xml:space="preserve">\f </w:instrText>
      </w:r>
      <w:r w:rsidRPr="00B1522E">
        <w:rPr>
          <w:b/>
          <w:bCs/>
          <w:color w:val="auto"/>
        </w:rPr>
        <w:instrText>w</w:instrText>
      </w:r>
      <w:r w:rsidRPr="00B1522E">
        <w:rPr>
          <w:b/>
          <w:bCs/>
          <w:i w:val="0"/>
          <w:iCs w:val="0"/>
          <w:color w:val="auto"/>
          <w:sz w:val="22"/>
          <w:szCs w:val="22"/>
        </w:rPr>
        <w:instrText xml:space="preserve">\l 2 </w:instrText>
      </w:r>
      <w:r w:rsidRPr="00B1522E">
        <w:rPr>
          <w:b/>
          <w:bCs/>
          <w:i w:val="0"/>
          <w:iCs w:val="0"/>
          <w:color w:val="auto"/>
          <w:sz w:val="22"/>
          <w:szCs w:val="22"/>
        </w:rPr>
        <w:fldChar w:fldCharType="end"/>
      </w:r>
      <w:r w:rsidR="009674F3" w:rsidRPr="00B1522E">
        <w:rPr>
          <w:rFonts w:cstheme="minorHAnsi"/>
          <w:i w:val="0"/>
          <w:iCs w:val="0"/>
          <w:color w:val="auto"/>
          <w:sz w:val="22"/>
          <w:szCs w:val="22"/>
        </w:rPr>
        <w:t>Figure</w:t>
      </w:r>
      <w:r w:rsidR="00574FBE" w:rsidRPr="00B1522E">
        <w:rPr>
          <w:rFonts w:cstheme="minorHAnsi"/>
          <w:i w:val="0"/>
          <w:iCs w:val="0"/>
          <w:color w:val="auto"/>
          <w:sz w:val="22"/>
          <w:szCs w:val="22"/>
        </w:rPr>
        <w:t xml:space="preserve"> </w:t>
      </w:r>
      <w:r w:rsidR="006D3EB1" w:rsidRPr="00B1522E">
        <w:rPr>
          <w:rFonts w:cstheme="minorHAnsi"/>
          <w:i w:val="0"/>
          <w:iCs w:val="0"/>
          <w:color w:val="auto"/>
          <w:sz w:val="22"/>
          <w:szCs w:val="22"/>
        </w:rPr>
        <w:t>5</w:t>
      </w:r>
      <w:r w:rsidR="009674F3" w:rsidRPr="00B1522E">
        <w:rPr>
          <w:rFonts w:cstheme="minorHAnsi"/>
          <w:i w:val="0"/>
          <w:iCs w:val="0"/>
          <w:color w:val="auto"/>
          <w:sz w:val="22"/>
          <w:szCs w:val="22"/>
        </w:rPr>
        <w:t>: Thematic map showing students’ and teachers’ experiences of being involved in the in-school SNA feedback intervention.</w:t>
      </w:r>
    </w:p>
    <w:p w14:paraId="00DBB916" w14:textId="77777777" w:rsidR="009674F3" w:rsidRPr="00B1522E" w:rsidRDefault="009674F3" w:rsidP="009674F3">
      <w:pPr>
        <w:pStyle w:val="CommentText"/>
        <w:spacing w:line="480" w:lineRule="auto"/>
        <w:rPr>
          <w:sz w:val="22"/>
          <w:szCs w:val="22"/>
        </w:rPr>
      </w:pPr>
      <w:bookmarkStart w:id="295" w:name="_Hlk79045539"/>
    </w:p>
    <w:p w14:paraId="4E990915" w14:textId="09E27451" w:rsidR="00BB0662" w:rsidRPr="00B1522E" w:rsidRDefault="009674F3" w:rsidP="00DA598E">
      <w:pPr>
        <w:spacing w:line="480" w:lineRule="auto"/>
      </w:pPr>
      <w:r w:rsidRPr="00B1522E">
        <w:t xml:space="preserve">9.4.2.1 Enjoyment </w:t>
      </w:r>
    </w:p>
    <w:p w14:paraId="3B82AA06" w14:textId="77777777" w:rsidR="009674F3" w:rsidRPr="00B1522E" w:rsidRDefault="009674F3" w:rsidP="00DA598E">
      <w:pPr>
        <w:spacing w:line="480" w:lineRule="auto"/>
        <w:jc w:val="both"/>
      </w:pPr>
      <w:r w:rsidRPr="00B1522E">
        <w:t xml:space="preserve">This main theme discusses how the single-session SNA feedback intervention was an enjoyable and engaging method to deliver SNA feedback to young adolescents in a school setting. The theme has two sub-themes which discuss how the interactive SNA feedback session was a </w:t>
      </w:r>
      <w:r w:rsidRPr="00B1522E">
        <w:rPr>
          <w:i/>
          <w:iCs/>
        </w:rPr>
        <w:t xml:space="preserve">novel </w:t>
      </w:r>
      <w:r w:rsidRPr="00B1522E">
        <w:t xml:space="preserve">and </w:t>
      </w:r>
      <w:r w:rsidRPr="00B1522E">
        <w:rPr>
          <w:i/>
          <w:iCs/>
        </w:rPr>
        <w:t xml:space="preserve">creative </w:t>
      </w:r>
      <w:r w:rsidRPr="00B1522E">
        <w:t xml:space="preserve">method to deliver SNA feedback to the target population which influenced student engagement within the in-school SNA feedback intervention. </w:t>
      </w:r>
    </w:p>
    <w:p w14:paraId="1EC18C79" w14:textId="77777777" w:rsidR="009674F3" w:rsidRPr="00B1522E" w:rsidRDefault="009674F3" w:rsidP="009674F3">
      <w:pPr>
        <w:spacing w:line="480" w:lineRule="auto"/>
        <w:jc w:val="both"/>
      </w:pPr>
    </w:p>
    <w:p w14:paraId="0236C97D" w14:textId="77777777" w:rsidR="009674F3" w:rsidRPr="00B1522E" w:rsidRDefault="009674F3" w:rsidP="009674F3">
      <w:pPr>
        <w:spacing w:line="480" w:lineRule="auto"/>
        <w:rPr>
          <w:i/>
          <w:iCs/>
        </w:rPr>
      </w:pPr>
      <w:r w:rsidRPr="00B1522E">
        <w:rPr>
          <w:i/>
          <w:iCs/>
        </w:rPr>
        <w:t xml:space="preserve">Novel </w:t>
      </w:r>
    </w:p>
    <w:bookmarkEnd w:id="295"/>
    <w:p w14:paraId="0ADC777C" w14:textId="731B719A" w:rsidR="009674F3" w:rsidRPr="00B1522E" w:rsidRDefault="009674F3" w:rsidP="009674F3">
      <w:pPr>
        <w:spacing w:line="480" w:lineRule="auto"/>
        <w:jc w:val="both"/>
      </w:pPr>
      <w:r w:rsidRPr="00B1522E">
        <w:rPr>
          <w:rFonts w:cstheme="minorHAnsi"/>
        </w:rPr>
        <w:t xml:space="preserve">The SNA feedback intervention session was carefully designed and strongly informed by the advisory group of older peers to ensure it was an engaging and age-appropriate method to disseminate SNA feedback about unhealthy snacking in a school setting. The SNA feedback intervention was well </w:t>
      </w:r>
      <w:r w:rsidRPr="00B1522E">
        <w:rPr>
          <w:rFonts w:cstheme="minorHAnsi"/>
        </w:rPr>
        <w:lastRenderedPageBreak/>
        <w:t xml:space="preserve">received by both students and teachers and on the whole </w:t>
      </w:r>
      <w:r w:rsidRPr="00B1522E">
        <w:t>students and teachers indicated that they liked the i</w:t>
      </w:r>
      <w:r w:rsidRPr="00B1522E">
        <w:rPr>
          <w:rFonts w:cstheme="minorHAnsi"/>
        </w:rPr>
        <w:t>nteractive novel approach</w:t>
      </w:r>
      <w:r w:rsidRPr="00B1522E">
        <w:t xml:space="preserve"> employed to deliver the SNA feedback to students: </w:t>
      </w:r>
      <w:r w:rsidRPr="00B1522E">
        <w:rPr>
          <w:rFonts w:cstheme="minorHAnsi"/>
          <w:i/>
          <w:iCs/>
        </w:rPr>
        <w:t>“we got something to do, that was new, that we’ve never tried out before</w:t>
      </w:r>
      <w:r w:rsidRPr="00B1522E">
        <w:rPr>
          <w:rFonts w:cstheme="minorHAnsi"/>
        </w:rPr>
        <w:t xml:space="preserve">” (Laura, focus group 3) giving students the unique opportunity to work in groups: </w:t>
      </w:r>
      <w:r w:rsidRPr="00B1522E">
        <w:rPr>
          <w:rFonts w:cstheme="minorHAnsi"/>
          <w:i/>
          <w:iCs/>
        </w:rPr>
        <w:t>“we work in pairs sometimes, but we never get put into like, groups like, like there was like five of us doing it together</w:t>
      </w:r>
      <w:r w:rsidRPr="00B1522E">
        <w:rPr>
          <w:rFonts w:cstheme="minorHAnsi"/>
        </w:rPr>
        <w:t>” (Emily, focus group 3), addressing a topic (unhealthy snacking) that was not presently covered at their school: “</w:t>
      </w:r>
      <w:r w:rsidRPr="00B1522E">
        <w:rPr>
          <w:rFonts w:cstheme="minorHAnsi"/>
          <w:i/>
          <w:iCs/>
        </w:rPr>
        <w:t xml:space="preserve">In high school we like don’t do it </w:t>
      </w:r>
      <w:r w:rsidRPr="00B1522E">
        <w:rPr>
          <w:rFonts w:cstheme="minorHAnsi"/>
        </w:rPr>
        <w:t>[discuss healthy eating]</w:t>
      </w:r>
      <w:r w:rsidRPr="00B1522E">
        <w:rPr>
          <w:rFonts w:cstheme="minorHAnsi"/>
          <w:i/>
          <w:iCs/>
        </w:rPr>
        <w:t>, like at all</w:t>
      </w:r>
      <w:r w:rsidRPr="00B1522E">
        <w:rPr>
          <w:rFonts w:cstheme="minorHAnsi"/>
        </w:rPr>
        <w:t xml:space="preserve">” (Tasmin, focus group 4). The novelty of the SNA feedback activity made the session fun and enjoyable: </w:t>
      </w:r>
      <w:r w:rsidRPr="00B1522E">
        <w:rPr>
          <w:rFonts w:cstheme="minorHAnsi"/>
          <w:i/>
          <w:iCs/>
        </w:rPr>
        <w:t xml:space="preserve">“we don’t get to do like really fun lessons” </w:t>
      </w:r>
      <w:r w:rsidRPr="00B1522E">
        <w:rPr>
          <w:rFonts w:cstheme="minorHAnsi"/>
        </w:rPr>
        <w:t xml:space="preserve">(Laura, focus group 3) and the inclusion of a competition helped sustain students’ attention, keeping them engaged </w:t>
      </w:r>
      <w:r w:rsidR="00924D5F" w:rsidRPr="00B1522E">
        <w:rPr>
          <w:rFonts w:cstheme="minorHAnsi"/>
        </w:rPr>
        <w:t>i</w:t>
      </w:r>
      <w:r w:rsidRPr="00B1522E">
        <w:rPr>
          <w:rFonts w:cstheme="minorHAnsi"/>
        </w:rPr>
        <w:t xml:space="preserve">n the SNA feedback intervention. </w:t>
      </w:r>
      <w:r w:rsidRPr="00B1522E">
        <w:rPr>
          <w:rFonts w:cstheme="minorHAnsi"/>
          <w:i/>
          <w:iCs/>
        </w:rPr>
        <w:t xml:space="preserve">“Pupils loved the competition element” </w:t>
      </w:r>
      <w:r w:rsidRPr="00B1522E">
        <w:rPr>
          <w:rFonts w:cstheme="minorHAnsi"/>
        </w:rPr>
        <w:t xml:space="preserve">(teacher session 1) as </w:t>
      </w:r>
      <w:r w:rsidRPr="00B1522E">
        <w:rPr>
          <w:rFonts w:cstheme="minorHAnsi"/>
          <w:i/>
          <w:iCs/>
        </w:rPr>
        <w:t xml:space="preserve">“it was fun” </w:t>
      </w:r>
      <w:r w:rsidRPr="00B1522E">
        <w:rPr>
          <w:rFonts w:cstheme="minorHAnsi"/>
        </w:rPr>
        <w:t xml:space="preserve">(Tasmin, focus group 4) and </w:t>
      </w:r>
      <w:r w:rsidRPr="00B1522E">
        <w:rPr>
          <w:rFonts w:cstheme="minorHAnsi"/>
          <w:i/>
          <w:iCs/>
        </w:rPr>
        <w:t xml:space="preserve">“we got to comp--compete against different </w:t>
      </w:r>
      <w:r w:rsidRPr="00B1522E">
        <w:rPr>
          <w:rFonts w:cstheme="minorHAnsi"/>
        </w:rPr>
        <w:t xml:space="preserve">[groups]” (Laura, focus group 3). In contrast, students who were seemingly unaware of the competition, </w:t>
      </w:r>
      <w:r w:rsidRPr="00B1522E">
        <w:rPr>
          <w:rFonts w:cstheme="minorHAnsi"/>
          <w:i/>
          <w:iCs/>
        </w:rPr>
        <w:t xml:space="preserve">“right now cause </w:t>
      </w:r>
      <w:r w:rsidRPr="00B1522E">
        <w:rPr>
          <w:rFonts w:cstheme="minorHAnsi"/>
        </w:rPr>
        <w:t xml:space="preserve">[sic] </w:t>
      </w:r>
      <w:r w:rsidRPr="00B1522E">
        <w:rPr>
          <w:rFonts w:cstheme="minorHAnsi"/>
          <w:i/>
          <w:iCs/>
        </w:rPr>
        <w:t xml:space="preserve">we didn’t know it was a competition” </w:t>
      </w:r>
      <w:r w:rsidRPr="00B1522E">
        <w:rPr>
          <w:rFonts w:cstheme="minorHAnsi"/>
        </w:rPr>
        <w:t>(James, focus group 1), were less engaged in the intervention session and spent less time attending to the SNA feedback.</w:t>
      </w:r>
      <w:r w:rsidRPr="00B1522E">
        <w:rPr>
          <w:rFonts w:cstheme="minorHAnsi"/>
          <w:i/>
          <w:iCs/>
        </w:rPr>
        <w:t xml:space="preserve"> “I think erm, we didn’t know it was a competition we took a lot more time, whereas if we knew it was a competition….” </w:t>
      </w:r>
      <w:r w:rsidRPr="00B1522E">
        <w:rPr>
          <w:rFonts w:cstheme="minorHAnsi"/>
        </w:rPr>
        <w:t>(Oliver, focus group 2). Overall, t</w:t>
      </w:r>
      <w:r w:rsidRPr="00B1522E">
        <w:t xml:space="preserve">he discussions indicate that the </w:t>
      </w:r>
      <w:r w:rsidRPr="00B1522E">
        <w:rPr>
          <w:rFonts w:cstheme="minorHAnsi"/>
          <w:shd w:val="clear" w:color="auto" w:fill="FFFFFF"/>
        </w:rPr>
        <w:t xml:space="preserve">novel interactive approach was fun which made it an </w:t>
      </w:r>
      <w:r w:rsidRPr="00B1522E">
        <w:rPr>
          <w:rFonts w:cstheme="minorHAnsi"/>
        </w:rPr>
        <w:t xml:space="preserve">engaging and an appealing age-appropriate strategy to deliver SNA feedback about unhealthy snacking to young adolescents in a school setting, and the inclusion of </w:t>
      </w:r>
      <w:r w:rsidRPr="00B1522E">
        <w:t>a competition helped in sustaining students’ attention within the intervention.</w:t>
      </w:r>
    </w:p>
    <w:p w14:paraId="46E096EE" w14:textId="77777777" w:rsidR="009674F3" w:rsidRPr="00B1522E" w:rsidRDefault="009674F3" w:rsidP="009674F3">
      <w:pPr>
        <w:pStyle w:val="Normal0"/>
        <w:spacing w:line="480" w:lineRule="auto"/>
        <w:jc w:val="both"/>
        <w:rPr>
          <w:rFonts w:asciiTheme="minorHAnsi" w:hAnsiTheme="minorHAnsi" w:cstheme="minorHAnsi"/>
          <w:sz w:val="22"/>
          <w:szCs w:val="22"/>
        </w:rPr>
      </w:pPr>
    </w:p>
    <w:p w14:paraId="310B12DA" w14:textId="77777777" w:rsidR="009674F3" w:rsidRPr="00B1522E" w:rsidRDefault="009674F3" w:rsidP="009674F3">
      <w:pPr>
        <w:spacing w:line="480" w:lineRule="auto"/>
        <w:rPr>
          <w:i/>
          <w:iCs/>
        </w:rPr>
      </w:pPr>
      <w:r w:rsidRPr="00B1522E">
        <w:rPr>
          <w:i/>
          <w:iCs/>
        </w:rPr>
        <w:t xml:space="preserve">Creative </w:t>
      </w:r>
    </w:p>
    <w:p w14:paraId="10DEFD0E" w14:textId="77777777" w:rsidR="009674F3" w:rsidRPr="00B1522E" w:rsidRDefault="009674F3" w:rsidP="009674F3">
      <w:pPr>
        <w:spacing w:line="480" w:lineRule="auto"/>
        <w:jc w:val="both"/>
        <w:rPr>
          <w:rFonts w:cstheme="minorHAnsi"/>
          <w:shd w:val="clear" w:color="auto" w:fill="FFFFFF"/>
        </w:rPr>
      </w:pPr>
      <w:r w:rsidRPr="00B1522E">
        <w:rPr>
          <w:rFonts w:cstheme="minorHAnsi"/>
        </w:rPr>
        <w:t xml:space="preserve">Students discussed that they enjoyed the SNA feedback intervention session as it encouraged them to be creative, </w:t>
      </w:r>
      <w:r w:rsidRPr="00B1522E">
        <w:rPr>
          <w:rFonts w:cstheme="minorHAnsi"/>
          <w:i/>
          <w:iCs/>
        </w:rPr>
        <w:t xml:space="preserve">“good cause </w:t>
      </w:r>
      <w:r w:rsidRPr="00B1522E">
        <w:rPr>
          <w:rFonts w:cstheme="minorHAnsi"/>
        </w:rPr>
        <w:t>[sic]</w:t>
      </w:r>
      <w:r w:rsidRPr="00B1522E">
        <w:rPr>
          <w:rFonts w:cstheme="minorHAnsi"/>
          <w:i/>
          <w:iCs/>
        </w:rPr>
        <w:t xml:space="preserve"> you got to like decorate it an like </w:t>
      </w:r>
      <w:r w:rsidRPr="00B1522E">
        <w:rPr>
          <w:rFonts w:cstheme="minorHAnsi"/>
        </w:rPr>
        <w:t>[sic]</w:t>
      </w:r>
      <w:r w:rsidRPr="00B1522E">
        <w:rPr>
          <w:rFonts w:cstheme="minorHAnsi"/>
          <w:i/>
          <w:iCs/>
        </w:rPr>
        <w:t xml:space="preserve"> make it like how you think” </w:t>
      </w:r>
      <w:r w:rsidRPr="00B1522E">
        <w:rPr>
          <w:rFonts w:cstheme="minorHAnsi"/>
        </w:rPr>
        <w:t>(Emily, focus group 3). Being able to create the SNA feedback posters themselves made the session engaging and interesting for the students as they were actively involved in designing the intervention resources</w:t>
      </w:r>
      <w:r w:rsidRPr="00B1522E">
        <w:rPr>
          <w:rFonts w:cstheme="minorHAnsi"/>
          <w:i/>
          <w:iCs/>
        </w:rPr>
        <w:t xml:space="preserve">: “it’s more fun to make ‘em [sic]” </w:t>
      </w:r>
      <w:r w:rsidRPr="00B1522E">
        <w:rPr>
          <w:rFonts w:cstheme="minorHAnsi"/>
        </w:rPr>
        <w:t xml:space="preserve">(James, focus group 2). Students inferred that this also </w:t>
      </w:r>
      <w:r w:rsidRPr="00B1522E">
        <w:rPr>
          <w:rFonts w:cstheme="minorHAnsi"/>
        </w:rPr>
        <w:lastRenderedPageBreak/>
        <w:t xml:space="preserve">encouraged them to attend to the unhealthy snacking SNA feedback more so </w:t>
      </w:r>
      <w:r w:rsidRPr="00B1522E">
        <w:rPr>
          <w:rFonts w:cstheme="minorHAnsi"/>
          <w:shd w:val="clear" w:color="auto" w:fill="FFFFFF"/>
        </w:rPr>
        <w:t xml:space="preserve">than if they were presented with print-based SNA media campaign. </w:t>
      </w:r>
      <w:r w:rsidRPr="00B1522E">
        <w:rPr>
          <w:rFonts w:cstheme="minorHAnsi"/>
          <w:i/>
          <w:iCs/>
        </w:rPr>
        <w:t>“I’d rather make it than see it”</w:t>
      </w:r>
      <w:r w:rsidRPr="00B1522E">
        <w:rPr>
          <w:rFonts w:cstheme="minorHAnsi"/>
        </w:rPr>
        <w:t xml:space="preserve"> (Noah, focus group 2), a</w:t>
      </w:r>
      <w:r w:rsidRPr="00B1522E">
        <w:rPr>
          <w:rFonts w:cstheme="minorHAnsi"/>
          <w:shd w:val="clear" w:color="auto" w:fill="FFFFFF"/>
        </w:rPr>
        <w:t xml:space="preserve">s the process of creating posters using SNA feedback prompted students to actively consider and start to cognitively process the SNA feedback. </w:t>
      </w:r>
    </w:p>
    <w:p w14:paraId="559EBCFB" w14:textId="77777777" w:rsidR="009674F3" w:rsidRPr="00B1522E" w:rsidRDefault="009674F3" w:rsidP="009674F3">
      <w:pPr>
        <w:spacing w:line="480" w:lineRule="auto"/>
        <w:jc w:val="both"/>
        <w:rPr>
          <w:rFonts w:cstheme="minorHAnsi"/>
          <w:shd w:val="clear" w:color="auto" w:fill="FFFFFF"/>
        </w:rPr>
      </w:pPr>
    </w:p>
    <w:p w14:paraId="45C4BA2E" w14:textId="77777777" w:rsidR="009674F3" w:rsidRPr="00B1522E" w:rsidRDefault="009674F3" w:rsidP="00BF0F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cstheme="minorHAnsi"/>
        </w:rPr>
      </w:pPr>
      <w:r w:rsidRPr="00B1522E">
        <w:rPr>
          <w:rFonts w:cstheme="minorHAnsi"/>
        </w:rPr>
        <w:t xml:space="preserve">Emily: </w:t>
      </w:r>
      <w:r w:rsidRPr="00B1522E">
        <w:rPr>
          <w:rFonts w:cstheme="minorHAnsi"/>
        </w:rPr>
        <w:tab/>
      </w:r>
      <w:r w:rsidRPr="00B1522E">
        <w:rPr>
          <w:rFonts w:cstheme="minorHAnsi"/>
          <w:i/>
          <w:iCs/>
        </w:rPr>
        <w:t>“Like we found out, like we were given information sheets so, while we were writing we were thinking about like….”</w:t>
      </w:r>
    </w:p>
    <w:p w14:paraId="27275E1D" w14:textId="77777777" w:rsidR="009674F3" w:rsidRPr="00B1522E" w:rsidRDefault="009674F3" w:rsidP="00BF0F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cstheme="minorHAnsi"/>
        </w:rPr>
      </w:pPr>
      <w:r w:rsidRPr="00B1522E">
        <w:rPr>
          <w:rFonts w:cstheme="minorHAnsi"/>
        </w:rPr>
        <w:t>Researcher:</w:t>
      </w:r>
      <w:r w:rsidRPr="00B1522E">
        <w:rPr>
          <w:rFonts w:cstheme="minorHAnsi"/>
        </w:rPr>
        <w:tab/>
      </w:r>
      <w:r w:rsidRPr="00B1522E">
        <w:rPr>
          <w:rFonts w:cstheme="minorHAnsi"/>
          <w:i/>
          <w:iCs/>
        </w:rPr>
        <w:t>“Ok”</w:t>
      </w:r>
    </w:p>
    <w:p w14:paraId="6C26C2CA" w14:textId="5188C56C" w:rsidR="009674F3" w:rsidRPr="00B1522E" w:rsidRDefault="009674F3" w:rsidP="00BF0F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cstheme="minorHAnsi"/>
        </w:rPr>
      </w:pPr>
      <w:r w:rsidRPr="00B1522E">
        <w:rPr>
          <w:rFonts w:cstheme="minorHAnsi"/>
        </w:rPr>
        <w:t xml:space="preserve">Emily: </w:t>
      </w:r>
      <w:r w:rsidRPr="00B1522E">
        <w:rPr>
          <w:rFonts w:cstheme="minorHAnsi"/>
        </w:rPr>
        <w:tab/>
      </w:r>
      <w:r w:rsidRPr="00B1522E">
        <w:rPr>
          <w:rFonts w:cstheme="minorHAnsi"/>
          <w:i/>
          <w:iCs/>
        </w:rPr>
        <w:t>“… like thinking about, the actual meanings towards doing it not just doing it and being like oh, like not ever speaking about it again</w:t>
      </w:r>
      <w:r w:rsidRPr="00B1522E">
        <w:rPr>
          <w:rFonts w:cstheme="minorHAnsi"/>
        </w:rPr>
        <w:t>” (focus group 3).</w:t>
      </w:r>
    </w:p>
    <w:p w14:paraId="070A9B5A" w14:textId="77777777" w:rsidR="00BF0F8C" w:rsidRPr="00B1522E" w:rsidRDefault="00BF0F8C" w:rsidP="00BF0F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cstheme="minorHAnsi"/>
        </w:rPr>
      </w:pPr>
    </w:p>
    <w:p w14:paraId="260BAB0F" w14:textId="77777777" w:rsidR="009674F3" w:rsidRPr="00B1522E" w:rsidRDefault="009674F3" w:rsidP="00BF0F8C">
      <w:pPr>
        <w:spacing w:line="480" w:lineRule="auto"/>
        <w:ind w:firstLine="720"/>
        <w:jc w:val="both"/>
      </w:pPr>
      <w:r w:rsidRPr="00B1522E">
        <w:rPr>
          <w:rFonts w:cstheme="minorHAnsi"/>
        </w:rPr>
        <w:t>W</w:t>
      </w:r>
      <w:r w:rsidRPr="00B1522E">
        <w:t>hilst students conversed about enjoying creating the SNA feedback posters, there was some suggestion that being creative may have distracted some students from attending to the SNA feedback messages.</w:t>
      </w:r>
      <w:r w:rsidRPr="00B1522E">
        <w:rPr>
          <w:i/>
          <w:iCs/>
        </w:rPr>
        <w:t xml:space="preserve"> </w:t>
      </w:r>
      <w:r w:rsidRPr="00B1522E">
        <w:t>“</w:t>
      </w:r>
      <w:r w:rsidRPr="00B1522E">
        <w:rPr>
          <w:i/>
          <w:iCs/>
        </w:rPr>
        <w:t>The session became more about making the posters look attractive rather than understanding the research findings”</w:t>
      </w:r>
      <w:r w:rsidRPr="00B1522E">
        <w:t xml:space="preserve"> (teacher, session 1)</w:t>
      </w:r>
      <w:r w:rsidRPr="00B1522E">
        <w:rPr>
          <w:i/>
          <w:iCs/>
        </w:rPr>
        <w:t>.</w:t>
      </w:r>
      <w:r w:rsidRPr="00B1522E">
        <w:t xml:space="preserve"> This was echoed by one student who stated:</w:t>
      </w:r>
      <w:r w:rsidRPr="00B1522E">
        <w:rPr>
          <w:i/>
          <w:iCs/>
        </w:rPr>
        <w:t xml:space="preserve"> </w:t>
      </w:r>
      <w:r w:rsidRPr="00B1522E">
        <w:rPr>
          <w:rFonts w:cstheme="minorHAnsi"/>
          <w:i/>
          <w:iCs/>
        </w:rPr>
        <w:t>“I think we should have done more writing as we did a lot of drawing”</w:t>
      </w:r>
      <w:r w:rsidRPr="00B1522E">
        <w:rPr>
          <w:rFonts w:cstheme="minorHAnsi"/>
        </w:rPr>
        <w:t xml:space="preserve"> (Lucas, focus group 1). </w:t>
      </w:r>
      <w:r w:rsidRPr="00B1522E">
        <w:t xml:space="preserve">The SNA feedback session was well received by students, but students may have benefited </w:t>
      </w:r>
      <w:r w:rsidRPr="00B1522E">
        <w:rPr>
          <w:rFonts w:cstheme="minorHAnsi"/>
        </w:rPr>
        <w:t xml:space="preserve">from a class discussion prior to designing the posters to ensure </w:t>
      </w:r>
      <w:r w:rsidRPr="00B1522E">
        <w:rPr>
          <w:rFonts w:cstheme="minorHAnsi"/>
          <w:i/>
          <w:iCs/>
        </w:rPr>
        <w:t>all</w:t>
      </w:r>
      <w:r w:rsidRPr="00B1522E">
        <w:rPr>
          <w:rFonts w:cstheme="minorHAnsi"/>
        </w:rPr>
        <w:t xml:space="preserve"> students had taken time to actively consider the unhealthy snacking SNA feedback before creating the posters: </w:t>
      </w:r>
      <w:r w:rsidRPr="00B1522E">
        <w:rPr>
          <w:rFonts w:cstheme="minorHAnsi"/>
          <w:i/>
          <w:iCs/>
        </w:rPr>
        <w:t>“</w:t>
      </w:r>
      <w:r w:rsidRPr="00B1522E">
        <w:rPr>
          <w:i/>
          <w:iCs/>
        </w:rPr>
        <w:t xml:space="preserve">if there was a PowerPoint created for us to be able to discuss the findings of the research with pupils before making the posters” </w:t>
      </w:r>
      <w:r w:rsidRPr="00B1522E">
        <w:t xml:space="preserve">(teacher, session 1). </w:t>
      </w:r>
    </w:p>
    <w:p w14:paraId="28AE12AD" w14:textId="77777777" w:rsidR="009674F3" w:rsidRPr="00B1522E" w:rsidRDefault="009674F3" w:rsidP="009674F3">
      <w:pPr>
        <w:spacing w:line="480" w:lineRule="auto"/>
        <w:jc w:val="both"/>
      </w:pPr>
    </w:p>
    <w:p w14:paraId="393C39C4" w14:textId="13D049D0" w:rsidR="00BB0662" w:rsidRPr="00B1522E" w:rsidRDefault="009674F3" w:rsidP="00DA598E">
      <w:pPr>
        <w:spacing w:line="480" w:lineRule="auto"/>
      </w:pPr>
      <w:r w:rsidRPr="00B1522E">
        <w:t xml:space="preserve">9.4.2.2 Organization </w:t>
      </w:r>
    </w:p>
    <w:p w14:paraId="194FBBDD" w14:textId="77777777" w:rsidR="009674F3" w:rsidRPr="00B1522E" w:rsidRDefault="009674F3" w:rsidP="00DA598E">
      <w:pPr>
        <w:spacing w:line="480" w:lineRule="auto"/>
        <w:jc w:val="both"/>
        <w:rPr>
          <w:i/>
          <w:iCs/>
        </w:rPr>
      </w:pPr>
      <w:r w:rsidRPr="00B1522E">
        <w:lastRenderedPageBreak/>
        <w:t xml:space="preserve">This main theme describes how the organization of the in-school SNA feedback sessions influenced students’ experience of and engagement with the SNA feedback intervention. This theme has three sub-themes which discuss </w:t>
      </w:r>
      <w:r w:rsidRPr="00B1522E">
        <w:rPr>
          <w:i/>
          <w:iCs/>
        </w:rPr>
        <w:t>consistency, timing,</w:t>
      </w:r>
      <w:r w:rsidRPr="00B1522E">
        <w:t xml:space="preserve"> and </w:t>
      </w:r>
      <w:r w:rsidRPr="00B1522E">
        <w:rPr>
          <w:i/>
          <w:iCs/>
        </w:rPr>
        <w:t>group work.</w:t>
      </w:r>
    </w:p>
    <w:p w14:paraId="22E6DF42" w14:textId="77777777" w:rsidR="009674F3" w:rsidRPr="00B1522E" w:rsidRDefault="009674F3" w:rsidP="009674F3">
      <w:pPr>
        <w:spacing w:line="480" w:lineRule="auto"/>
        <w:jc w:val="both"/>
      </w:pPr>
    </w:p>
    <w:p w14:paraId="0E0FB5E1" w14:textId="77777777" w:rsidR="009674F3" w:rsidRPr="00B1522E" w:rsidRDefault="009674F3" w:rsidP="009674F3">
      <w:pPr>
        <w:spacing w:line="480" w:lineRule="auto"/>
        <w:rPr>
          <w:i/>
          <w:iCs/>
        </w:rPr>
      </w:pPr>
      <w:r w:rsidRPr="00B1522E">
        <w:rPr>
          <w:i/>
          <w:iCs/>
        </w:rPr>
        <w:t xml:space="preserve">Consistency </w:t>
      </w:r>
    </w:p>
    <w:p w14:paraId="0BC1367C" w14:textId="241CA51B"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B1522E">
        <w:rPr>
          <w:rFonts w:cstheme="minorHAnsi"/>
        </w:rPr>
        <w:t xml:space="preserve">One of the challenges when delivering an in-school SNA feedback session was maintaining consistency to ensure all the </w:t>
      </w:r>
      <w:r w:rsidRPr="00B1522E">
        <w:t>SNA feedback intervention sessions are delivered as intended</w:t>
      </w:r>
      <w:r w:rsidRPr="00B1522E">
        <w:rPr>
          <w:rFonts w:cstheme="minorHAnsi"/>
        </w:rPr>
        <w:t xml:space="preserve">. When exploring students’ experiences of being involved in the SNA intervention, there was general agreement amongst students’ of how the SNA feedback session was delivered, with students discussing that they </w:t>
      </w:r>
      <w:r w:rsidRPr="00B1522E">
        <w:rPr>
          <w:rFonts w:cstheme="minorHAnsi"/>
          <w:i/>
          <w:iCs/>
        </w:rPr>
        <w:t>“were put into a group”</w:t>
      </w:r>
      <w:r w:rsidRPr="00B1522E">
        <w:rPr>
          <w:rFonts w:cstheme="minorHAnsi"/>
        </w:rPr>
        <w:t xml:space="preserve"> (Lily, focus group 4); and </w:t>
      </w:r>
      <w:r w:rsidRPr="00B1522E">
        <w:rPr>
          <w:rFonts w:cstheme="minorHAnsi"/>
          <w:i/>
          <w:iCs/>
        </w:rPr>
        <w:t xml:space="preserve">“read the instructions” </w:t>
      </w:r>
      <w:r w:rsidRPr="00B1522E">
        <w:rPr>
          <w:rFonts w:cstheme="minorHAnsi"/>
        </w:rPr>
        <w:t xml:space="preserve">(James, focus group 2) before designing posters which included the SNA feedback. The majority of students stated that they presented their SNA feedback posters to the rest of the class: </w:t>
      </w:r>
      <w:r w:rsidRPr="00B1522E">
        <w:rPr>
          <w:rFonts w:cstheme="minorHAnsi"/>
          <w:i/>
          <w:iCs/>
        </w:rPr>
        <w:t xml:space="preserve">“we explained to the rest of the class” </w:t>
      </w:r>
      <w:r w:rsidRPr="00B1522E">
        <w:rPr>
          <w:rFonts w:cstheme="minorHAnsi"/>
        </w:rPr>
        <w:t xml:space="preserve">(Beth, focus group 1), and voted for the best poster: </w:t>
      </w:r>
      <w:r w:rsidRPr="00B1522E">
        <w:rPr>
          <w:rFonts w:cstheme="minorHAnsi"/>
          <w:i/>
          <w:iCs/>
        </w:rPr>
        <w:t>“we voted for the best one”</w:t>
      </w:r>
      <w:r w:rsidRPr="00B1522E">
        <w:rPr>
          <w:rFonts w:cstheme="minorHAnsi"/>
        </w:rPr>
        <w:t xml:space="preserve"> (Rose, focus group 4). There were a limited number of students who stated they did not present their posters and vote, this appeared to be related to running out of time (as these were the last activities in the practical session). Students who participated in the focus group discussion were from different SNA feedback sessions, illustrating that the detailed lesson plan provided was an effective resource to help maintain consistency across the in-school SNA feedback sessions.</w:t>
      </w:r>
    </w:p>
    <w:p w14:paraId="0E53D9F0" w14:textId="77777777"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p>
    <w:p w14:paraId="41DC8A14" w14:textId="77777777" w:rsidR="009674F3" w:rsidRPr="00B1522E" w:rsidRDefault="009674F3" w:rsidP="009674F3">
      <w:pPr>
        <w:spacing w:line="480" w:lineRule="auto"/>
      </w:pPr>
      <w:r w:rsidRPr="00B1522E">
        <w:rPr>
          <w:i/>
          <w:iCs/>
        </w:rPr>
        <w:t>Timing</w:t>
      </w:r>
      <w:r w:rsidRPr="00B1522E">
        <w:t xml:space="preserve"> </w:t>
      </w:r>
    </w:p>
    <w:p w14:paraId="44A9FC74" w14:textId="77777777" w:rsidR="009674F3" w:rsidRPr="00B1522E" w:rsidRDefault="009674F3" w:rsidP="009674F3">
      <w:pPr>
        <w:spacing w:line="480" w:lineRule="auto"/>
        <w:jc w:val="both"/>
      </w:pPr>
      <w:r w:rsidRPr="00B1522E">
        <w:t xml:space="preserve">The SNA feedback session was delivered by teachers in a timetabled teaching session. A recurrent theme amongst students and teachers was that an hour did not seem to be long enough for the SNA feedback session: </w:t>
      </w:r>
      <w:r w:rsidRPr="00B1522E">
        <w:rPr>
          <w:i/>
          <w:iCs/>
        </w:rPr>
        <w:t>“Not enough time”</w:t>
      </w:r>
      <w:r w:rsidRPr="00B1522E">
        <w:t xml:space="preserve"> (Teacher, session 2), as the session felt rushed: </w:t>
      </w:r>
      <w:r w:rsidRPr="00B1522E">
        <w:rPr>
          <w:rFonts w:cstheme="minorHAnsi"/>
        </w:rPr>
        <w:t>“</w:t>
      </w:r>
      <w:r w:rsidRPr="00B1522E">
        <w:rPr>
          <w:rFonts w:cstheme="minorHAnsi"/>
          <w:i/>
          <w:iCs/>
        </w:rPr>
        <w:t xml:space="preserve">Yeh, longer would be better cause some people are like rushing to do it” </w:t>
      </w:r>
      <w:r w:rsidRPr="00B1522E">
        <w:rPr>
          <w:rFonts w:cstheme="minorHAnsi"/>
        </w:rPr>
        <w:t>(Tasmin, focus group 4).</w:t>
      </w:r>
      <w:r w:rsidRPr="00B1522E">
        <w:t xml:space="preserve"> This may have limited the time some students had to review and consider the SNA feedback: “</w:t>
      </w:r>
      <w:r w:rsidRPr="00B1522E">
        <w:rPr>
          <w:i/>
          <w:iCs/>
        </w:rPr>
        <w:t xml:space="preserve">I would have liked </w:t>
      </w:r>
      <w:r w:rsidRPr="00B1522E">
        <w:rPr>
          <w:i/>
          <w:iCs/>
        </w:rPr>
        <w:lastRenderedPageBreak/>
        <w:t>more time to be able to get messages across</w:t>
      </w:r>
      <w:r w:rsidRPr="00B1522E">
        <w:t>” (Teacher, session 1). Conceivably it also may take some students longer than others to review and consider the SNA feedback. Lack</w:t>
      </w:r>
      <w:r w:rsidRPr="00B1522E">
        <w:rPr>
          <w:rFonts w:cstheme="minorHAnsi"/>
        </w:rPr>
        <w:t xml:space="preserve"> of time may have been related to how the sessions were organised, with some teachers setting up prior to the session commencing: “</w:t>
      </w:r>
      <w:r w:rsidRPr="00B1522E">
        <w:rPr>
          <w:i/>
          <w:iCs/>
        </w:rPr>
        <w:t xml:space="preserve">they already had it set up ready” </w:t>
      </w:r>
      <w:r w:rsidRPr="00B1522E">
        <w:t xml:space="preserve">(James, focus group 2), </w:t>
      </w:r>
      <w:r w:rsidRPr="00B1522E">
        <w:rPr>
          <w:rFonts w:cstheme="minorHAnsi"/>
        </w:rPr>
        <w:t>and some teachers who did not</w:t>
      </w:r>
      <w:r w:rsidRPr="00B1522E">
        <w:t xml:space="preserve">: </w:t>
      </w:r>
      <w:r w:rsidRPr="00B1522E">
        <w:rPr>
          <w:i/>
          <w:iCs/>
        </w:rPr>
        <w:t>“it needs a bit of setting up before cause</w:t>
      </w:r>
      <w:r w:rsidRPr="00B1522E">
        <w:t xml:space="preserve"> [sic]</w:t>
      </w:r>
      <w:r w:rsidRPr="00B1522E">
        <w:rPr>
          <w:i/>
          <w:iCs/>
        </w:rPr>
        <w:t xml:space="preserve"> we had to give it all out”</w:t>
      </w:r>
      <w:r w:rsidRPr="00B1522E">
        <w:t xml:space="preserve"> (Ari, focus group 2), therefore </w:t>
      </w:r>
      <w:r w:rsidRPr="00B1522E">
        <w:rPr>
          <w:rFonts w:cstheme="minorHAnsi"/>
        </w:rPr>
        <w:t>limiting the time students had to attend to and engage with the SNA feedback: “</w:t>
      </w:r>
      <w:r w:rsidRPr="00B1522E">
        <w:rPr>
          <w:i/>
          <w:iCs/>
        </w:rPr>
        <w:t xml:space="preserve">… cause </w:t>
      </w:r>
      <w:r w:rsidRPr="00B1522E">
        <w:t xml:space="preserve">[sic] </w:t>
      </w:r>
      <w:r w:rsidRPr="00B1522E">
        <w:rPr>
          <w:i/>
          <w:iCs/>
        </w:rPr>
        <w:t>it took us like 15 minutes to get everything set up”</w:t>
      </w:r>
      <w:r w:rsidRPr="00B1522E">
        <w:t xml:space="preserve"> (Ari, focus group 2). This could also be due to</w:t>
      </w:r>
      <w:r w:rsidRPr="00B1522E">
        <w:rPr>
          <w:rFonts w:cstheme="minorHAnsi"/>
        </w:rPr>
        <w:t xml:space="preserve"> students taking time to plan their poster: </w:t>
      </w:r>
      <w:r w:rsidRPr="00B1522E">
        <w:rPr>
          <w:rFonts w:cstheme="minorHAnsi"/>
          <w:i/>
          <w:iCs/>
        </w:rPr>
        <w:t xml:space="preserve">“that we didn’t get a lot of time to do it, because we had to like plan it out” </w:t>
      </w:r>
      <w:r w:rsidRPr="00B1522E">
        <w:rPr>
          <w:rFonts w:cstheme="minorHAnsi"/>
        </w:rPr>
        <w:t>(Laura, focus group 3), and taking time navigating how to work as a group; “</w:t>
      </w:r>
      <w:r w:rsidRPr="00B1522E">
        <w:rPr>
          <w:rFonts w:cstheme="minorHAnsi"/>
          <w:i/>
          <w:iCs/>
        </w:rPr>
        <w:t xml:space="preserve">by the time we’d worked it all out we were like, twenty minutes in </w:t>
      </w:r>
      <w:r w:rsidRPr="00B1522E">
        <w:rPr>
          <w:rFonts w:cstheme="minorHAnsi"/>
        </w:rPr>
        <w:t>(Emily, focus group 3)</w:t>
      </w:r>
      <w:r w:rsidRPr="00B1522E">
        <w:t xml:space="preserve">. </w:t>
      </w:r>
      <w:r w:rsidRPr="00B1522E">
        <w:rPr>
          <w:rFonts w:cstheme="minorHAnsi"/>
        </w:rPr>
        <w:t xml:space="preserve">SNA interventions need to be organized, so </w:t>
      </w:r>
      <w:r w:rsidRPr="00B1522E">
        <w:rPr>
          <w:rFonts w:cstheme="minorHAnsi"/>
          <w:i/>
          <w:iCs/>
        </w:rPr>
        <w:t>all</w:t>
      </w:r>
      <w:r w:rsidRPr="00B1522E">
        <w:rPr>
          <w:rFonts w:cstheme="minorHAnsi"/>
        </w:rPr>
        <w:t xml:space="preserve"> students are afforded time to read, reflect on the SNA feedback. </w:t>
      </w:r>
    </w:p>
    <w:p w14:paraId="4846CA27" w14:textId="0BD63F1E" w:rsidR="009674F3" w:rsidRPr="00B1522E" w:rsidRDefault="009674F3" w:rsidP="009674F3">
      <w:pPr>
        <w:spacing w:line="480" w:lineRule="auto"/>
        <w:jc w:val="both"/>
      </w:pPr>
    </w:p>
    <w:p w14:paraId="3540197F" w14:textId="771EEE6E" w:rsidR="00CE088F" w:rsidRPr="00B1522E" w:rsidRDefault="00CE088F" w:rsidP="009674F3">
      <w:pPr>
        <w:spacing w:line="480" w:lineRule="auto"/>
        <w:jc w:val="both"/>
      </w:pPr>
    </w:p>
    <w:p w14:paraId="78ADF53B" w14:textId="77777777" w:rsidR="00CE088F" w:rsidRPr="00B1522E" w:rsidRDefault="00CE088F" w:rsidP="009674F3">
      <w:pPr>
        <w:spacing w:line="480" w:lineRule="auto"/>
        <w:jc w:val="both"/>
      </w:pPr>
    </w:p>
    <w:p w14:paraId="5EC6161A" w14:textId="77777777" w:rsidR="009674F3" w:rsidRPr="00B1522E" w:rsidRDefault="009674F3" w:rsidP="009674F3">
      <w:pPr>
        <w:spacing w:line="480" w:lineRule="auto"/>
        <w:jc w:val="both"/>
        <w:rPr>
          <w:i/>
          <w:iCs/>
        </w:rPr>
      </w:pPr>
      <w:r w:rsidRPr="00B1522E">
        <w:rPr>
          <w:i/>
          <w:iCs/>
        </w:rPr>
        <w:t xml:space="preserve">Group work </w:t>
      </w:r>
    </w:p>
    <w:p w14:paraId="704ADEC6" w14:textId="553536A7" w:rsidR="009674F3" w:rsidRPr="00B1522E" w:rsidRDefault="009674F3" w:rsidP="009674F3">
      <w:pPr>
        <w:spacing w:line="480" w:lineRule="auto"/>
        <w:jc w:val="both"/>
        <w:rPr>
          <w:rFonts w:cstheme="minorHAnsi"/>
        </w:rPr>
      </w:pPr>
      <w:r w:rsidRPr="00B1522E">
        <w:t>In the SNA feedback intervention session</w:t>
      </w:r>
      <w:r w:rsidRPr="00B1522E">
        <w:rPr>
          <w:rFonts w:cstheme="minorHAnsi"/>
        </w:rPr>
        <w:t>,</w:t>
      </w:r>
      <w:r w:rsidRPr="00B1522E">
        <w:t xml:space="preserve"> students were organized into small groups by the teacher facilitating the session. One teach</w:t>
      </w:r>
      <w:r w:rsidRPr="00B1522E">
        <w:rPr>
          <w:rFonts w:cstheme="minorHAnsi"/>
        </w:rPr>
        <w:t xml:space="preserve">er perceived that students </w:t>
      </w:r>
      <w:r w:rsidRPr="00B1522E">
        <w:rPr>
          <w:rFonts w:cstheme="minorHAnsi"/>
          <w:i/>
          <w:iCs/>
        </w:rPr>
        <w:t xml:space="preserve">“worked really well in teams to create the most imaginative and informative poster”. </w:t>
      </w:r>
      <w:r w:rsidRPr="00B1522E">
        <w:rPr>
          <w:rFonts w:cstheme="minorHAnsi"/>
        </w:rPr>
        <w:t xml:space="preserve"> Nevertheless, there was evidence for some students that working in groups was challenging, namely, because they do not normally work in groups, </w:t>
      </w:r>
      <w:r w:rsidRPr="00B1522E">
        <w:rPr>
          <w:rFonts w:cstheme="minorHAnsi"/>
          <w:i/>
          <w:iCs/>
        </w:rPr>
        <w:t>“like not a big group cause in my class err we don’t usually, err have groups”</w:t>
      </w:r>
      <w:r w:rsidRPr="00B1522E">
        <w:rPr>
          <w:rFonts w:cstheme="minorHAnsi"/>
        </w:rPr>
        <w:t xml:space="preserve"> (Rose, focus group 4), and/or being grouped with students they may or may not know or identify with. </w:t>
      </w:r>
      <w:r w:rsidRPr="00B1522E">
        <w:rPr>
          <w:rFonts w:cstheme="minorHAnsi"/>
          <w:i/>
          <w:iCs/>
        </w:rPr>
        <w:t>“Probably found it more difficult that we got mixed up with different people that we’ve not really spoke to, or don’t really know, an’ then we had to try an get to know each other whilst doing the poster”</w:t>
      </w:r>
      <w:r w:rsidRPr="00B1522E">
        <w:rPr>
          <w:rFonts w:cstheme="minorHAnsi"/>
        </w:rPr>
        <w:t xml:space="preserve"> (Claire, focus group 3) </w:t>
      </w:r>
    </w:p>
    <w:p w14:paraId="03515163" w14:textId="77777777"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shd w:val="clear" w:color="auto" w:fill="FFFFFF"/>
        </w:rPr>
      </w:pPr>
      <w:r w:rsidRPr="00B1522E">
        <w:rPr>
          <w:rFonts w:cstheme="minorHAnsi"/>
        </w:rPr>
        <w:tab/>
        <w:t xml:space="preserve">Receiving the SNA feedback whilst in the presence of their peer group appeared to lead to a process of social comparison: </w:t>
      </w:r>
      <w:r w:rsidRPr="00B1522E">
        <w:rPr>
          <w:rFonts w:cstheme="minorHAnsi"/>
          <w:i/>
          <w:iCs/>
        </w:rPr>
        <w:t xml:space="preserve">“I rather like do it groups (sic) because I can like see what like from </w:t>
      </w:r>
      <w:r w:rsidRPr="00B1522E">
        <w:rPr>
          <w:rFonts w:cstheme="minorHAnsi"/>
          <w:i/>
          <w:iCs/>
        </w:rPr>
        <w:lastRenderedPageBreak/>
        <w:t xml:space="preserve">everybody’s perspective not only from mine” </w:t>
      </w:r>
      <w:r w:rsidRPr="00B1522E">
        <w:rPr>
          <w:rFonts w:cstheme="minorHAnsi"/>
        </w:rPr>
        <w:t xml:space="preserve">(Rose, focus group 4) and a consideration of </w:t>
      </w:r>
      <w:r w:rsidRPr="00B1522E">
        <w:rPr>
          <w:rFonts w:cstheme="minorHAnsi"/>
          <w:i/>
          <w:iCs/>
        </w:rPr>
        <w:t>“how they [peers] think”</w:t>
      </w:r>
      <w:r w:rsidRPr="00B1522E">
        <w:rPr>
          <w:rFonts w:cstheme="minorHAnsi"/>
        </w:rPr>
        <w:t xml:space="preserve"> (Tasmin, focus group 4). Seemingly this helped students to make inferences about the credibility and social acceptability of the SNA feedback messages being presented: </w:t>
      </w:r>
      <w:r w:rsidRPr="00B1522E">
        <w:rPr>
          <w:rFonts w:cstheme="minorHAnsi"/>
          <w:i/>
          <w:iCs/>
          <w:shd w:val="clear" w:color="auto" w:fill="FFFFFF"/>
        </w:rPr>
        <w:t>“</w:t>
      </w:r>
      <w:r w:rsidRPr="00B1522E">
        <w:rPr>
          <w:rFonts w:cstheme="minorHAnsi"/>
          <w:i/>
          <w:iCs/>
        </w:rPr>
        <w:t xml:space="preserve">Because we learn about stuff that’s going to happen to us, but this is what happens to like all of us, cause [sic] we got to do it like all together as well” </w:t>
      </w:r>
      <w:r w:rsidRPr="00B1522E">
        <w:rPr>
          <w:rFonts w:cstheme="minorHAnsi"/>
        </w:rPr>
        <w:t xml:space="preserve">(Laura, focus group 3) and </w:t>
      </w:r>
      <w:r w:rsidRPr="00B1522E">
        <w:rPr>
          <w:rFonts w:cstheme="minorHAnsi"/>
          <w:i/>
          <w:iCs/>
        </w:rPr>
        <w:t xml:space="preserve">“it gives you a chance to expand on what you thought you know [about peers behaviour]” (Tasmin, focus group 4). </w:t>
      </w:r>
      <w:r w:rsidRPr="00B1522E">
        <w:rPr>
          <w:rFonts w:cstheme="minorHAnsi"/>
        </w:rPr>
        <w:t xml:space="preserve">There were no instances of students explicitly commenting on or questioning the accuracy or the reliability of the SNA feedback that was presented. The SNA feedback presented was informed by students’ own baseline data; communicating SNA feedback in a group context seemingly </w:t>
      </w:r>
      <w:r w:rsidRPr="00B1522E">
        <w:t>facilitated a</w:t>
      </w:r>
      <w:r w:rsidRPr="00B1522E">
        <w:rPr>
          <w:rFonts w:cstheme="minorHAnsi"/>
        </w:rPr>
        <w:t xml:space="preserve"> discussion amongst peers helping students to consider the personal relevance </w:t>
      </w:r>
      <w:r w:rsidRPr="00B1522E">
        <w:rPr>
          <w:rFonts w:cstheme="minorHAnsi"/>
          <w:shd w:val="clear" w:color="auto" w:fill="FFFFFF"/>
        </w:rPr>
        <w:t xml:space="preserve">of the feedback.  </w:t>
      </w:r>
    </w:p>
    <w:p w14:paraId="61ABF564" w14:textId="2108ECA3"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p>
    <w:p w14:paraId="6E6AE348" w14:textId="159E3898" w:rsidR="007374D3" w:rsidRPr="00B1522E" w:rsidRDefault="007374D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p>
    <w:p w14:paraId="71EDE75F" w14:textId="77777777" w:rsidR="007374D3" w:rsidRPr="00B1522E" w:rsidRDefault="007374D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p>
    <w:p w14:paraId="1CF1E08A" w14:textId="77777777" w:rsidR="009674F3" w:rsidRPr="00B1522E" w:rsidRDefault="009674F3" w:rsidP="007374D3">
      <w:pPr>
        <w:spacing w:line="480" w:lineRule="auto"/>
      </w:pPr>
      <w:r w:rsidRPr="00B1522E">
        <w:t>9.4.2.3 Understanding</w:t>
      </w:r>
    </w:p>
    <w:p w14:paraId="063FC522" w14:textId="77777777" w:rsidR="009674F3" w:rsidRPr="00B1522E" w:rsidRDefault="009674F3" w:rsidP="007374D3">
      <w:pPr>
        <w:spacing w:line="480" w:lineRule="auto"/>
        <w:jc w:val="both"/>
        <w:rPr>
          <w:i/>
          <w:iCs/>
        </w:rPr>
      </w:pPr>
      <w:r w:rsidRPr="00B1522E">
        <w:t xml:space="preserve">This main theme discusses students’ understanding of the questionnaire items used to collect information about normative misperceptions and discusses how students understood the SNA feedback they received which aimed to challenge these misperceptions. This theme has three sub-themes which discuss </w:t>
      </w:r>
      <w:r w:rsidRPr="00B1522E">
        <w:rPr>
          <w:i/>
          <w:iCs/>
        </w:rPr>
        <w:t>knowing what to do</w:t>
      </w:r>
      <w:r w:rsidRPr="00B1522E">
        <w:t>, c</w:t>
      </w:r>
      <w:r w:rsidRPr="00B1522E">
        <w:rPr>
          <w:i/>
          <w:iCs/>
        </w:rPr>
        <w:t xml:space="preserve">oncerns about being judged </w:t>
      </w:r>
      <w:r w:rsidRPr="00B1522E">
        <w:t xml:space="preserve">and </w:t>
      </w:r>
      <w:r w:rsidRPr="00B1522E">
        <w:rPr>
          <w:i/>
          <w:iCs/>
        </w:rPr>
        <w:t>understanding the SNA feedback messages,</w:t>
      </w:r>
      <w:r w:rsidRPr="00B1522E">
        <w:t xml:space="preserve"> all of which influenced students’ engagement within the SNA intervention.</w:t>
      </w:r>
    </w:p>
    <w:p w14:paraId="577A6944" w14:textId="77777777" w:rsidR="009674F3" w:rsidRPr="00B1522E" w:rsidRDefault="009674F3" w:rsidP="009674F3">
      <w:pPr>
        <w:spacing w:line="480" w:lineRule="auto"/>
      </w:pPr>
    </w:p>
    <w:p w14:paraId="0E252D39" w14:textId="77777777" w:rsidR="009674F3" w:rsidRPr="00B1522E" w:rsidRDefault="009674F3" w:rsidP="009674F3">
      <w:pPr>
        <w:spacing w:line="480" w:lineRule="auto"/>
        <w:rPr>
          <w:i/>
          <w:iCs/>
        </w:rPr>
      </w:pPr>
      <w:r w:rsidRPr="00B1522E">
        <w:rPr>
          <w:i/>
          <w:iCs/>
        </w:rPr>
        <w:t>Knowing what to do</w:t>
      </w:r>
    </w:p>
    <w:p w14:paraId="43449D2D" w14:textId="77777777"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B1522E">
        <w:t xml:space="preserve">The self-report questionnaire was designed to be an age-appropriate </w:t>
      </w:r>
      <w:r w:rsidRPr="00B1522E">
        <w:rPr>
          <w:rFonts w:cstheme="minorHAnsi"/>
        </w:rPr>
        <w:t xml:space="preserve">unambiguous method to collect information about young adolescents’ personal unhealthy snacking behaviour, related attitudes, behavioural intentions, and normative perceptions. In general, students discussed finding the </w:t>
      </w:r>
      <w:r w:rsidRPr="00B1522E">
        <w:rPr>
          <w:rFonts w:cstheme="minorHAnsi"/>
        </w:rPr>
        <w:lastRenderedPageBreak/>
        <w:t xml:space="preserve">questionnaire items easy to understand: </w:t>
      </w:r>
      <w:r w:rsidRPr="00B1522E">
        <w:rPr>
          <w:rFonts w:cstheme="minorHAnsi"/>
          <w:i/>
          <w:iCs/>
        </w:rPr>
        <w:t xml:space="preserve">“Err the questions were easy to answer” </w:t>
      </w:r>
      <w:r w:rsidRPr="00B1522E">
        <w:rPr>
          <w:rFonts w:cstheme="minorHAnsi"/>
        </w:rPr>
        <w:t xml:space="preserve">(Lily, focus group 4), as they were brief and unambiguous and that they did not take long to complete: “I finished in about 15 minutes” (Oliver, focus group 2). Nevertheless, it did seem that some students found the items relating to personal and perceived unhealthy snacking behaviour more straightforward to complete than the questions about personal and perceived snacking attitudes: </w:t>
      </w:r>
      <w:r w:rsidRPr="00B1522E">
        <w:rPr>
          <w:rFonts w:cstheme="minorHAnsi"/>
          <w:i/>
          <w:iCs/>
        </w:rPr>
        <w:t xml:space="preserve">“These ones more straightforward than them ones” </w:t>
      </w:r>
      <w:r w:rsidRPr="00B1522E">
        <w:rPr>
          <w:rFonts w:cstheme="minorHAnsi"/>
        </w:rPr>
        <w:t>(Claire, focus group 3). This was owing to students not knowing how to record their responses using the Likert scale: “</w:t>
      </w:r>
      <w:r w:rsidRPr="00B1522E">
        <w:rPr>
          <w:rFonts w:cstheme="minorHAnsi"/>
          <w:i/>
          <w:iCs/>
        </w:rPr>
        <w:t>Just like the numbers an [sic] the co—colons, is it?”</w:t>
      </w:r>
      <w:r w:rsidRPr="00B1522E">
        <w:rPr>
          <w:rFonts w:cstheme="minorHAnsi"/>
        </w:rPr>
        <w:t xml:space="preserve"> (Emily, focus group 3), and students finding recording their answers using tick boxes simpler and quicker: </w:t>
      </w:r>
      <w:r w:rsidRPr="00B1522E">
        <w:rPr>
          <w:rFonts w:cstheme="minorHAnsi"/>
          <w:i/>
          <w:iCs/>
        </w:rPr>
        <w:t>“These, cause err it says chocolate and you just tick which one you think …”</w:t>
      </w:r>
      <w:r w:rsidRPr="00B1522E">
        <w:rPr>
          <w:rFonts w:cstheme="minorHAnsi"/>
        </w:rPr>
        <w:t xml:space="preserve"> (Claire, focus group 3). This meant some students failed to complete the items that collected responses using a Likert scale.  Students suggested that responses could be collected by: </w:t>
      </w:r>
      <w:r w:rsidRPr="00B1522E">
        <w:rPr>
          <w:rFonts w:cstheme="minorHAnsi"/>
          <w:i/>
          <w:iCs/>
        </w:rPr>
        <w:t xml:space="preserve">“instead of having loads of numbers an’ it being hard you could like, put the people an’ how many they are so like ten an’ then, like one to ten an’ we could colour how many people we think” </w:t>
      </w:r>
      <w:r w:rsidRPr="00B1522E">
        <w:rPr>
          <w:rFonts w:cstheme="minorHAnsi"/>
        </w:rPr>
        <w:t xml:space="preserve">(Laura, focus group 3). Response options, as well as questionnaire items, need to be </w:t>
      </w:r>
      <w:r w:rsidRPr="00B1522E">
        <w:t>age-appropriate to avoid confusion and to ensure questionnaires are completed correctly and in full.</w:t>
      </w:r>
    </w:p>
    <w:p w14:paraId="3A4EAD67" w14:textId="77777777" w:rsidR="009674F3" w:rsidRPr="00B1522E" w:rsidRDefault="009674F3" w:rsidP="009674F3">
      <w:pPr>
        <w:spacing w:line="480" w:lineRule="auto"/>
        <w:jc w:val="both"/>
        <w:rPr>
          <w:rFonts w:cstheme="minorHAnsi"/>
        </w:rPr>
      </w:pPr>
      <w:r w:rsidRPr="00B1522E">
        <w:rPr>
          <w:rFonts w:cstheme="minorHAnsi"/>
        </w:rPr>
        <w:tab/>
        <w:t>To be able to match students’ responses across the three timepoints to understand what effect the SNA intervention had on the intervention outcomes, the cover page of the baseline questionnaire asked students to create a password which was intended to be used as a participant identifier (students created a four letter password by choosing the first two letters, of the name, of their most memorable male and female), with students being asked for this on subsequent questionnaires.</w:t>
      </w:r>
      <w:r w:rsidRPr="00B1522E">
        <w:rPr>
          <w:rFonts w:cstheme="minorHAnsi"/>
          <w:shd w:val="clear" w:color="auto" w:fill="FFFFFF"/>
        </w:rPr>
        <w:t xml:space="preserve"> </w:t>
      </w:r>
      <w:r w:rsidRPr="00B1522E">
        <w:rPr>
          <w:rFonts w:cstheme="minorHAnsi"/>
        </w:rPr>
        <w:t xml:space="preserve"> A number of students expressed their confusion regarding creating a password (participant identifier): </w:t>
      </w:r>
      <w:r w:rsidRPr="00B1522E">
        <w:rPr>
          <w:rFonts w:cstheme="minorHAnsi"/>
          <w:i/>
          <w:iCs/>
        </w:rPr>
        <w:t>“I didn’t get the password thing on it”</w:t>
      </w:r>
      <w:r w:rsidRPr="00B1522E">
        <w:rPr>
          <w:rFonts w:cstheme="minorHAnsi"/>
        </w:rPr>
        <w:t xml:space="preserve"> (James, focus group 1).  This seemed to be related to not understanding what the purpose of the password was: </w:t>
      </w:r>
      <w:r w:rsidRPr="00B1522E">
        <w:rPr>
          <w:rFonts w:cstheme="minorHAnsi"/>
          <w:i/>
          <w:iCs/>
        </w:rPr>
        <w:t>“why do we have to write the first two letters of our most memorable male and female”</w:t>
      </w:r>
      <w:r w:rsidRPr="00B1522E">
        <w:rPr>
          <w:rFonts w:cstheme="minorHAnsi"/>
        </w:rPr>
        <w:t xml:space="preserve"> (Tasmin, focus group 4). Students also stated that they could not remember their passwords, </w:t>
      </w:r>
      <w:r w:rsidRPr="00B1522E">
        <w:rPr>
          <w:rFonts w:cstheme="minorHAnsi"/>
          <w:i/>
          <w:iCs/>
        </w:rPr>
        <w:t>“</w:t>
      </w:r>
      <w:r w:rsidRPr="00B1522E">
        <w:rPr>
          <w:i/>
          <w:iCs/>
        </w:rPr>
        <w:t>I don’t remember it”</w:t>
      </w:r>
      <w:r w:rsidRPr="00B1522E">
        <w:t xml:space="preserve"> (Noah, focus group 1), which may have meant they did not use the same password at all three timepoints, making it difficult to compare data across timepoints using the provided password (the demographic information was used </w:t>
      </w:r>
      <w:r w:rsidRPr="00B1522E">
        <w:lastRenderedPageBreak/>
        <w:t xml:space="preserve">where possible to identify students when there was not a password match, so students could be matched across timepoints). </w:t>
      </w:r>
    </w:p>
    <w:p w14:paraId="775F0B07" w14:textId="77777777"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p>
    <w:p w14:paraId="1436F7BE" w14:textId="77777777" w:rsidR="009674F3" w:rsidRPr="00B1522E" w:rsidRDefault="009674F3" w:rsidP="009674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shd w:val="clear" w:color="auto" w:fill="FFFFFF"/>
        </w:rPr>
      </w:pPr>
      <w:r w:rsidRPr="00B1522E">
        <w:rPr>
          <w:i/>
          <w:iCs/>
        </w:rPr>
        <w:t>Concerned about being judged</w:t>
      </w:r>
      <w:r w:rsidRPr="00B1522E">
        <w:t xml:space="preserve"> </w:t>
      </w:r>
    </w:p>
    <w:p w14:paraId="1BCAF297" w14:textId="5694E81F"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B1522E">
        <w:t>It was notable that some of the girls, (but not boys),</w:t>
      </w:r>
      <w:r w:rsidRPr="00B1522E">
        <w:rPr>
          <w:rFonts w:cstheme="minorHAnsi"/>
        </w:rPr>
        <w:t xml:space="preserve"> discussed that they felt they were being judged for how they responded to the questionnaire items:</w:t>
      </w:r>
      <w:r w:rsidRPr="00B1522E">
        <w:rPr>
          <w:rFonts w:ascii="Arial" w:hAnsi="Arial" w:cs="Arial"/>
        </w:rPr>
        <w:t xml:space="preserve"> </w:t>
      </w:r>
      <w:r w:rsidRPr="00B1522E">
        <w:rPr>
          <w:rFonts w:cstheme="minorHAnsi"/>
          <w:i/>
          <w:iCs/>
        </w:rPr>
        <w:t>“the judging part”</w:t>
      </w:r>
      <w:r w:rsidRPr="00B1522E">
        <w:rPr>
          <w:rFonts w:cstheme="minorHAnsi"/>
        </w:rPr>
        <w:t xml:space="preserve"> (Rose, focus group 4) which made them feel insecure about their own unhealthy snacking consumption: </w:t>
      </w:r>
      <w:r w:rsidRPr="00B1522E">
        <w:rPr>
          <w:rFonts w:cstheme="minorHAnsi"/>
          <w:i/>
          <w:iCs/>
        </w:rPr>
        <w:t xml:space="preserve">“It makes me like a bit insecure about what I eat an’ [sic] not wanna [sic] answer it” </w:t>
      </w:r>
      <w:r w:rsidRPr="00B1522E">
        <w:rPr>
          <w:rFonts w:cstheme="minorHAnsi"/>
        </w:rPr>
        <w:t>(Tasmin, focus group 4) and concerned about making inferences about peers’ unhealthy snacking behaviour:</w:t>
      </w:r>
      <w:r w:rsidRPr="00B1522E">
        <w:rPr>
          <w:rFonts w:ascii="Arial" w:hAnsi="Arial" w:cs="Arial"/>
        </w:rPr>
        <w:t xml:space="preserve"> “</w:t>
      </w:r>
      <w:r w:rsidRPr="00B1522E">
        <w:rPr>
          <w:rFonts w:cstheme="minorHAnsi"/>
          <w:i/>
          <w:iCs/>
        </w:rPr>
        <w:t>We didn’t really know because you don’t really know that many people, you’re in year seven so you don’t know that many people…”</w:t>
      </w:r>
      <w:r w:rsidRPr="00B1522E">
        <w:rPr>
          <w:rFonts w:cstheme="minorHAnsi"/>
        </w:rPr>
        <w:t xml:space="preserve"> (Claire, focus group 3). It is not clear whether this uncertainty relates to using sex-specific items as ‘other girls’ may not be the most </w:t>
      </w:r>
      <w:r w:rsidRPr="00B1522E">
        <w:rPr>
          <w:rFonts w:cstheme="minorHAnsi"/>
          <w:shd w:val="clear" w:color="auto" w:fill="FFFFFF"/>
        </w:rPr>
        <w:t xml:space="preserve">salient referent group </w:t>
      </w:r>
      <w:r w:rsidRPr="00B1522E">
        <w:rPr>
          <w:rFonts w:cstheme="minorHAnsi"/>
        </w:rPr>
        <w:t xml:space="preserve">or whether this concern girls displayed is driven by the insecurity that they may not answer in a socially desirable manner: </w:t>
      </w:r>
      <w:r w:rsidRPr="00B1522E">
        <w:rPr>
          <w:rFonts w:cstheme="minorHAnsi"/>
          <w:i/>
          <w:iCs/>
        </w:rPr>
        <w:t>“sometimes that they’ve got the wrong answer that someone might judge them by, the answer they put”</w:t>
      </w:r>
      <w:r w:rsidRPr="00B1522E">
        <w:rPr>
          <w:rFonts w:cstheme="minorHAnsi"/>
        </w:rPr>
        <w:t xml:space="preserve"> (Rose, focus group 4). The fear of judgement may be motivated by the idea that they could be identified from their data: </w:t>
      </w:r>
      <w:r w:rsidRPr="00B1522E">
        <w:rPr>
          <w:rFonts w:cstheme="minorHAnsi"/>
          <w:i/>
          <w:iCs/>
        </w:rPr>
        <w:t>“so why does it say, like what is your date of birth?”</w:t>
      </w:r>
      <w:r w:rsidRPr="00B1522E">
        <w:rPr>
          <w:rFonts w:ascii="Arial" w:hAnsi="Arial" w:cs="Arial"/>
        </w:rPr>
        <w:t xml:space="preserve"> </w:t>
      </w:r>
      <w:r w:rsidRPr="00B1522E">
        <w:rPr>
          <w:rFonts w:cstheme="minorHAnsi"/>
        </w:rPr>
        <w:t>(Rose, focus group 4) and/or that peers could see their responses: “</w:t>
      </w:r>
      <w:r w:rsidRPr="00B1522E">
        <w:rPr>
          <w:rFonts w:cstheme="minorHAnsi"/>
          <w:i/>
          <w:iCs/>
        </w:rPr>
        <w:t xml:space="preserve">in my class when sometimes I look at </w:t>
      </w:r>
      <w:r w:rsidR="007D734F" w:rsidRPr="00B1522E">
        <w:rPr>
          <w:rFonts w:cstheme="minorHAnsi"/>
          <w:i/>
          <w:iCs/>
        </w:rPr>
        <w:t>others,</w:t>
      </w:r>
      <w:r w:rsidRPr="00B1522E">
        <w:rPr>
          <w:rFonts w:cstheme="minorHAnsi"/>
          <w:i/>
          <w:iCs/>
        </w:rPr>
        <w:t xml:space="preserve"> they were like look” </w:t>
      </w:r>
      <w:r w:rsidRPr="00B1522E">
        <w:rPr>
          <w:rFonts w:cstheme="minorHAnsi"/>
        </w:rPr>
        <w:t xml:space="preserve">(Rose, focus group 4). </w:t>
      </w:r>
      <w:r w:rsidRPr="00B1522E">
        <w:t xml:space="preserve">There was no indication in the group discussions that the boys themselves felt judged for their responses. </w:t>
      </w:r>
      <w:r w:rsidRPr="00B1522E">
        <w:rPr>
          <w:rFonts w:cstheme="minorHAnsi"/>
        </w:rPr>
        <w:t>For girls specifically there seems to be a fear that their response about personal and perceived unhealthy snacking will not be perceived as normative or s</w:t>
      </w:r>
      <w:r w:rsidRPr="00B1522E">
        <w:t>ocially acceptable</w:t>
      </w:r>
      <w:r w:rsidRPr="00B1522E">
        <w:rPr>
          <w:rFonts w:cstheme="minorHAnsi"/>
        </w:rPr>
        <w:t xml:space="preserve">. Girls felt that reassuring them about their anonymity would give them the confidence to answer candidly without fear of social disapproval: </w:t>
      </w:r>
      <w:r w:rsidRPr="00B1522E">
        <w:rPr>
          <w:rFonts w:cstheme="minorHAnsi"/>
          <w:i/>
          <w:iCs/>
        </w:rPr>
        <w:t xml:space="preserve">“you just have to like reassure them, like that you’re not going to be judged like” </w:t>
      </w:r>
      <w:r w:rsidRPr="00B1522E">
        <w:rPr>
          <w:rFonts w:cstheme="minorHAnsi"/>
        </w:rPr>
        <w:t xml:space="preserve">(Tasmin, focus group 4). </w:t>
      </w:r>
    </w:p>
    <w:p w14:paraId="53C95808" w14:textId="77777777"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p>
    <w:p w14:paraId="6E430831" w14:textId="77777777" w:rsidR="009674F3" w:rsidRPr="00B1522E" w:rsidRDefault="009674F3" w:rsidP="009674F3">
      <w:pPr>
        <w:spacing w:line="480" w:lineRule="auto"/>
        <w:rPr>
          <w:rFonts w:ascii="Arial" w:hAnsi="Arial" w:cs="Arial"/>
        </w:rPr>
      </w:pPr>
      <w:r w:rsidRPr="00B1522E">
        <w:rPr>
          <w:i/>
          <w:iCs/>
        </w:rPr>
        <w:t xml:space="preserve">Understanding the SNA feedback messages </w:t>
      </w:r>
    </w:p>
    <w:p w14:paraId="1C9E1F1D" w14:textId="77777777" w:rsidR="009674F3" w:rsidRPr="00B1522E" w:rsidRDefault="009674F3" w:rsidP="00967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B1522E">
        <w:rPr>
          <w:rFonts w:cstheme="minorHAnsi"/>
        </w:rPr>
        <w:lastRenderedPageBreak/>
        <w:t xml:space="preserve">The SNA feedback messages that students received demonstrated the three most-pronounced discrepancies between perceived and actual snacking norm for boys and girls (the SNA messages were based on students’ own baseline data). Both students and teachers discussed that the SNA feedback messages were easy to understand: </w:t>
      </w:r>
      <w:r w:rsidRPr="00B1522E">
        <w:rPr>
          <w:rFonts w:cstheme="minorHAnsi"/>
          <w:i/>
          <w:iCs/>
        </w:rPr>
        <w:t xml:space="preserve">“Yeh, I found it easy to understand” </w:t>
      </w:r>
      <w:r w:rsidRPr="00B1522E">
        <w:rPr>
          <w:rFonts w:cstheme="minorHAnsi"/>
        </w:rPr>
        <w:t>(Ari, focus group 2) and “</w:t>
      </w:r>
      <w:r w:rsidRPr="00B1522E">
        <w:rPr>
          <w:rFonts w:cstheme="minorHAnsi"/>
          <w:i/>
          <w:iCs/>
        </w:rPr>
        <w:t>messages were easy to understand” (</w:t>
      </w:r>
      <w:r w:rsidRPr="00B1522E">
        <w:rPr>
          <w:rFonts w:cstheme="minorHAnsi"/>
        </w:rPr>
        <w:t xml:space="preserve">teacher, session 1), as the messages gave clear information about perceived and actual normative unhealthy snacking behaviour: </w:t>
      </w:r>
      <w:r w:rsidRPr="00B1522E">
        <w:rPr>
          <w:rFonts w:cstheme="minorHAnsi"/>
          <w:i/>
          <w:iCs/>
        </w:rPr>
        <w:t xml:space="preserve">“Cause </w:t>
      </w:r>
      <w:r w:rsidRPr="00B1522E">
        <w:rPr>
          <w:rFonts w:cstheme="minorHAnsi"/>
        </w:rPr>
        <w:t>[sic]</w:t>
      </w:r>
      <w:r w:rsidRPr="00B1522E">
        <w:rPr>
          <w:rFonts w:cstheme="minorHAnsi"/>
          <w:i/>
          <w:iCs/>
        </w:rPr>
        <w:t xml:space="preserve"> when you look at this an’ [sic] err, you see what they think and then what it actually is it’s like” </w:t>
      </w:r>
      <w:r w:rsidRPr="00B1522E">
        <w:rPr>
          <w:rFonts w:cstheme="minorHAnsi"/>
        </w:rPr>
        <w:t>(Ava, focus group 4). There was some suggestion that not all students could understand the percentages communicated within the messages: “</w:t>
      </w:r>
      <w:r w:rsidRPr="00B1522E">
        <w:rPr>
          <w:rFonts w:cstheme="minorHAnsi"/>
          <w:i/>
          <w:iCs/>
        </w:rPr>
        <w:t>Yes, I understand it, but I’m just thinking of like, other people who might not get percentages…Cause [sic] I’m just worried for people who don’t really get maths and it’s, not their strong point”</w:t>
      </w:r>
      <w:r w:rsidRPr="00B1522E">
        <w:rPr>
          <w:rFonts w:ascii="Arial" w:hAnsi="Arial" w:cs="Arial"/>
          <w:i/>
          <w:iCs/>
        </w:rPr>
        <w:t xml:space="preserve"> </w:t>
      </w:r>
      <w:r w:rsidRPr="00B1522E">
        <w:rPr>
          <w:rFonts w:cstheme="minorHAnsi"/>
        </w:rPr>
        <w:t xml:space="preserve">(Tasmin, focus group 4). However, students felt that the visual representation of the percentages (using silhouettes of stick people) was an effective way to communicate percentages to students within the SNA messages: </w:t>
      </w:r>
      <w:r w:rsidRPr="00B1522E">
        <w:rPr>
          <w:rFonts w:cstheme="minorHAnsi"/>
          <w:i/>
          <w:iCs/>
        </w:rPr>
        <w:t xml:space="preserve">“Understand how many people like oh it’s just seventy percent but then when you actually see it in the people it makes more sense” </w:t>
      </w:r>
      <w:r w:rsidRPr="00B1522E">
        <w:rPr>
          <w:rFonts w:cstheme="minorHAnsi"/>
        </w:rPr>
        <w:t>(Emily, focus group 3)</w:t>
      </w:r>
      <w:r w:rsidRPr="00B1522E">
        <w:rPr>
          <w:i/>
          <w:iCs/>
        </w:rPr>
        <w:t xml:space="preserve">. </w:t>
      </w:r>
    </w:p>
    <w:p w14:paraId="4E54F4A8" w14:textId="28E54416" w:rsidR="009674F3" w:rsidRPr="00B1522E" w:rsidRDefault="009674F3" w:rsidP="00B27E73">
      <w:pPr>
        <w:spacing w:line="480" w:lineRule="auto"/>
        <w:jc w:val="both"/>
      </w:pPr>
      <w:r w:rsidRPr="00B1522E">
        <w:rPr>
          <w:i/>
          <w:iCs/>
        </w:rPr>
        <w:tab/>
      </w:r>
      <w:r w:rsidRPr="00B1522E">
        <w:t>Being able to understand the SNA feedback helped students consciously engage with it, with</w:t>
      </w:r>
      <w:r w:rsidRPr="00B1522E">
        <w:rPr>
          <w:rFonts w:cstheme="minorHAnsi"/>
        </w:rPr>
        <w:t xml:space="preserve"> students describing how they were shocked by the SNA feedback: </w:t>
      </w:r>
      <w:r w:rsidRPr="00B1522E">
        <w:rPr>
          <w:rFonts w:cstheme="minorHAnsi"/>
          <w:i/>
          <w:iCs/>
        </w:rPr>
        <w:t xml:space="preserve">“They were easy to read but then it was quite shocking to the fact err [sic] how it’s said like how it’s said, and we know that we’ve done that” </w:t>
      </w:r>
      <w:r w:rsidRPr="00B1522E">
        <w:rPr>
          <w:rFonts w:cstheme="minorHAnsi"/>
        </w:rPr>
        <w:t xml:space="preserve">(Claire, focus group 3). The SNA feedback led students to actively consider their normative perceptions in relation to the SNA feedback: </w:t>
      </w:r>
      <w:r w:rsidRPr="00B1522E">
        <w:rPr>
          <w:rFonts w:cstheme="minorHAnsi"/>
          <w:i/>
          <w:iCs/>
        </w:rPr>
        <w:t>“More aware to be honest, cause [sic] like I said before you’re actually thinking about it like, the percentages an’ [sic] how other people think not just how you think, it actually makes you more aware</w:t>
      </w:r>
      <w:r w:rsidRPr="00B1522E">
        <w:rPr>
          <w:rFonts w:cstheme="minorHAnsi"/>
        </w:rPr>
        <w:t xml:space="preserve">” (Tasmin, focus group 4). </w:t>
      </w:r>
      <w:r w:rsidRPr="00B1522E">
        <w:t>There was evidence that this</w:t>
      </w:r>
      <w:r w:rsidRPr="00B1522E">
        <w:rPr>
          <w:rFonts w:cstheme="minorHAnsi"/>
        </w:rPr>
        <w:t xml:space="preserve"> cognitive reappraisal of their normative perceptions motivated students to make a </w:t>
      </w:r>
      <w:bookmarkStart w:id="296" w:name="_Hlk77677493"/>
      <w:r w:rsidRPr="00B1522E">
        <w:rPr>
          <w:rFonts w:cstheme="minorHAnsi"/>
        </w:rPr>
        <w:t>positive change to their unhealthy snacking consumption</w:t>
      </w:r>
      <w:bookmarkEnd w:id="296"/>
      <w:r w:rsidRPr="00B1522E">
        <w:rPr>
          <w:rFonts w:cstheme="minorHAnsi"/>
          <w:i/>
          <w:iCs/>
        </w:rPr>
        <w:t xml:space="preserve">: “Not eating as much now” </w:t>
      </w:r>
      <w:r w:rsidRPr="00B1522E">
        <w:rPr>
          <w:rFonts w:cstheme="minorHAnsi"/>
        </w:rPr>
        <w:t>(Thomas, focus group 1);</w:t>
      </w:r>
      <w:r w:rsidRPr="00B1522E">
        <w:rPr>
          <w:rFonts w:cstheme="minorHAnsi"/>
          <w:i/>
          <w:iCs/>
        </w:rPr>
        <w:t xml:space="preserve"> </w:t>
      </w:r>
      <w:r w:rsidRPr="00B1522E">
        <w:rPr>
          <w:i/>
          <w:iCs/>
        </w:rPr>
        <w:t>“I used to eat like 5 packets of crisps in like three days, now I eat like one every three days”</w:t>
      </w:r>
      <w:r w:rsidRPr="00B1522E">
        <w:t xml:space="preserve"> (Beth, focus group 2). </w:t>
      </w:r>
    </w:p>
    <w:p w14:paraId="7E71CFF0" w14:textId="77777777" w:rsidR="00DA598E" w:rsidRPr="00B1522E" w:rsidRDefault="00DA598E" w:rsidP="00B27E73">
      <w:pPr>
        <w:spacing w:line="480" w:lineRule="auto"/>
        <w:jc w:val="both"/>
      </w:pPr>
    </w:p>
    <w:bookmarkStart w:id="297" w:name="_Toc84678989"/>
    <w:p w14:paraId="29D47DB5" w14:textId="5B7B696B" w:rsidR="00BB0662" w:rsidRPr="00B1522E" w:rsidRDefault="00A958E4" w:rsidP="00BF0F8C">
      <w:pPr>
        <w:spacing w:line="480" w:lineRule="auto"/>
        <w:rPr>
          <w:b/>
          <w:bCs/>
        </w:rPr>
      </w:pPr>
      <w:r w:rsidRPr="00B1522E">
        <w:lastRenderedPageBreak/>
        <w:fldChar w:fldCharType="begin"/>
      </w:r>
      <w:r w:rsidRPr="00B1522E">
        <w:instrText xml:space="preserve"> TC  "</w:instrText>
      </w:r>
      <w:bookmarkStart w:id="298" w:name="_Toc97310524"/>
      <w:r w:rsidRPr="00B1522E">
        <w:instrText>9.5 Discussion</w:instrText>
      </w:r>
      <w:bookmarkEnd w:id="298"/>
      <w:r w:rsidRPr="00B1522E">
        <w:instrText xml:space="preserve"> " \f x\l 2 </w:instrText>
      </w:r>
      <w:r w:rsidRPr="00B1522E">
        <w:fldChar w:fldCharType="end"/>
      </w:r>
      <w:r w:rsidR="009674F3" w:rsidRPr="00B1522E">
        <w:rPr>
          <w:b/>
          <w:bCs/>
        </w:rPr>
        <w:t>9.5 Discussion</w:t>
      </w:r>
      <w:bookmarkEnd w:id="297"/>
    </w:p>
    <w:p w14:paraId="641B6344" w14:textId="4FD86A09" w:rsidR="009674F3" w:rsidRPr="00B1522E" w:rsidRDefault="009674F3" w:rsidP="00BF0F8C">
      <w:pPr>
        <w:spacing w:line="480" w:lineRule="auto"/>
        <w:jc w:val="both"/>
        <w:rPr>
          <w:rFonts w:cstheme="minorHAnsi"/>
        </w:rPr>
      </w:pPr>
      <w:r w:rsidRPr="00B1522E">
        <w:t xml:space="preserve">This study is one of the first to investigate both young adolescents’ and teachers’ experiences of participating in an in-school SNA healthy intervention. This study aimed to investigate: (1) </w:t>
      </w:r>
      <w:r w:rsidRPr="00B1522E">
        <w:rPr>
          <w:rFonts w:eastAsia="Calibri"/>
        </w:rPr>
        <w:t>students’ and teachers’ experiences of being involved in an in-school SNA intervention</w:t>
      </w:r>
      <w:r w:rsidRPr="00B1522E">
        <w:t xml:space="preserve">; (2) </w:t>
      </w:r>
      <w:r w:rsidRPr="00B1522E">
        <w:rPr>
          <w:rFonts w:eastAsia="Calibri"/>
        </w:rPr>
        <w:t>whether the SNA intervention was delivered as intended and could the intervention be improved</w:t>
      </w:r>
      <w:r w:rsidRPr="00B1522E">
        <w:t xml:space="preserve">; and (3) </w:t>
      </w:r>
      <w:r w:rsidRPr="00B1522E">
        <w:rPr>
          <w:rFonts w:eastAsia="Calibri"/>
        </w:rPr>
        <w:t>students’ views about the questionnaires they completed as part of the SNA intervention. The analysis demonstrates that students’ engagement in the SNA intervention</w:t>
      </w:r>
      <w:r w:rsidRPr="00B1522E">
        <w:t xml:space="preserve"> </w:t>
      </w:r>
      <w:r w:rsidRPr="00B1522E">
        <w:rPr>
          <w:rFonts w:eastAsia="Calibri"/>
        </w:rPr>
        <w:t xml:space="preserve">was influenced by students’ enjoyment of the SNA feedback intervention; the organization of the </w:t>
      </w:r>
      <w:r w:rsidRPr="00B1522E">
        <w:t>in-school SNA feedback sessions</w:t>
      </w:r>
      <w:r w:rsidRPr="00B1522E">
        <w:rPr>
          <w:rFonts w:eastAsia="Calibri"/>
        </w:rPr>
        <w:t xml:space="preserve">; along with students’ understanding </w:t>
      </w:r>
      <w:r w:rsidRPr="00B1522E">
        <w:t>of the questionnaire items used to collect information about normative misperceptions, and their understanding of the SNA feedback they received.</w:t>
      </w:r>
      <w:r w:rsidRPr="00B1522E">
        <w:rPr>
          <w:rFonts w:eastAsia="Calibri"/>
        </w:rPr>
        <w:t xml:space="preserve"> </w:t>
      </w:r>
      <w:bookmarkStart w:id="299" w:name="_Hlk77674351"/>
    </w:p>
    <w:p w14:paraId="09BC09CA" w14:textId="2D665994" w:rsidR="009674F3" w:rsidRPr="00B1522E" w:rsidRDefault="009674F3" w:rsidP="00326DA4">
      <w:pPr>
        <w:spacing w:line="480" w:lineRule="auto"/>
        <w:ind w:firstLine="720"/>
        <w:jc w:val="both"/>
        <w:rPr>
          <w:rFonts w:eastAsia="Calibri"/>
        </w:rPr>
      </w:pPr>
      <w:r w:rsidRPr="00B1522E">
        <w:t xml:space="preserve">The first research question explored </w:t>
      </w:r>
      <w:r w:rsidRPr="00B1522E">
        <w:rPr>
          <w:rFonts w:eastAsia="Calibri"/>
        </w:rPr>
        <w:t>students’ and teachers’ experiences of being involved in an SNA intervention</w:t>
      </w:r>
      <w:r w:rsidR="00A54C85" w:rsidRPr="00B1522E">
        <w:rPr>
          <w:rFonts w:eastAsia="Calibri"/>
        </w:rPr>
        <w:t xml:space="preserve"> which aims to reduce unhealthy snacking</w:t>
      </w:r>
      <w:r w:rsidRPr="00B1522E">
        <w:rPr>
          <w:rFonts w:eastAsia="Calibri"/>
        </w:rPr>
        <w:t>. The qualitative analysis revealed that the</w:t>
      </w:r>
      <w:r w:rsidRPr="00B1522E">
        <w:rPr>
          <w:rFonts w:cstheme="minorHAnsi"/>
          <w:shd w:val="clear" w:color="auto" w:fill="FFFFFF"/>
        </w:rPr>
        <w:t xml:space="preserve"> interactive poster-making activity was a novel method to communicate SNA feedback about unhealthy snacking to young adolescents in a school setting. The poster-making activity </w:t>
      </w:r>
      <w:r w:rsidRPr="00B1522E">
        <w:rPr>
          <w:rFonts w:eastAsia="Calibri"/>
        </w:rPr>
        <w:t xml:space="preserve">helped students actively engage with and attend to the SNA feedback as students had an active role in designing and creating the campaign posters, which appeared to then have a positive effect on their unhealthy snacking consumption. Supporting the notion that SNA interventions that engage the target population using innovative and interactive delivery methods help ensure participants have viewed and attended to the SNA feedback, which can have a positive influence on intervention outcomes </w:t>
      </w:r>
      <w:r w:rsidRPr="00B1522E">
        <w:rPr>
          <w:rFonts w:eastAsia="Calibri"/>
        </w:rPr>
        <w:fldChar w:fldCharType="begin" w:fldLock="1"/>
      </w:r>
      <w:r w:rsidR="007463D4" w:rsidRPr="00B1522E">
        <w:rPr>
          <w:rFonts w:eastAsia="Calibri"/>
        </w:rPr>
        <w:instrText>ADDIN CSL_CITATION {"citationItems":[{"id":"ITEM-1","itemData":{"ISSN":"2211-3355","abstract":"The study aimed to investigate if the school-based social norms intervention The GOOD Life was effective in reducing misperceptions, heavy alcohol use and alcohol-related harms among Danish pupils aged 13-17 years. In total 38 schools were included in a cluster-randomised controlled trial and allocated to either intervention (n = 641) or control group (n = 714) during 2015/2016. Both groups completed an online survey before the intervention and 3 months after baseline. The GOOD Life intervention provided normative feedback tailored for each school-grade using three communication channels: classroom sessions, posters and web application. Outcome measures were overestimation of peers' lifetime binge drinking, binge drinking (5 or more drinks on one occasion) and alcohol-related harms. Intervention effects at follow-up were examined using multilevel logistic regression models. Pupils in the intervention group were less likely to overestimate peers' lifetime binge drinking compared to those in the control group (OR: 0.52, 95%CI: 0.33-0.83) and were less likely to report two or more alcohol-related harms (OR: 0.59, 95%CI: 0.37-0.93). Overall, no significant effect of the intervention was found on binge drinking. However, among pupils stating it would be ok, if they drank more (n = 296), a preventive effect was found on binge drinking four or more times during the last 30 days (OR: 0.37, 95%CI: 0.15-0.95). Additionally, the intervention effect on overestimation was higher among pupils who reported binge drinking at baseline. Receiving the intervention had a positive effect on norm perceptions and alcohol-related harms. We also found that the intervention effect differed by baseline status of alcohol use.","author":[{"dropping-particle":"","family":"Vallentin-Holbech","given":"Lotte","non-dropping-particle":"","parse-names":false,"suffix":""},{"dropping-particle":"","family":"Rasmussen","given":"Birthe Marie","non-dropping-particle":"","parse-names":false,"suffix":""},{"dropping-particle":"","family":"Stock","given":"Christiane","non-dropping-particle":"","parse-names":false,"suffix":""}],"container-title":"Preventive medicine reports","id":"ITEM-1","issued":{"date-parts":[["2018","10","28"]]},"language":"eng","page":"304-311","publisher":"Elsevier","title":"Effects of the social norms intervention The GOOD Life on norm perceptions, binge drinking and alcohol-related harms: A cluster-randomised controlled trial","type":"article-journal","volume":"12"},"uris":["http://www.mendeley.com/documents/?uuid=d14f1680-42aa-4cdf-a003-eb1aa0293b67"]},{"id":"ITEM-2","itemData":{"ISSN":"0306-4603","abstract":"Drug prevention in schools is a top priority in most Western countries and several well-designed studies have shown that prevention programs have the potential of reducing drug use in adolescents. However, most prevention programs are not effective and there are no general criteria available for deciding which program is effective and which is not. In this systematic review of the literature, the current scientific knowledge about which characteristics determine the effectiveness of drug prevention programs is examined. Three types of studies are reviewed: meta-analyses (3 studies were included), studies examining mediating variables of interventions (6 studies), and studies directly comparing prevention programs with or without specific characteristics (4 studies on boosters, 12 on peer- versus adult-led programs, and 5 on adding community interventions to school programs). Seven evidence-based quality criteria were formulated: the effects of a program should have been proven; interactive delivery methods are superior; the “social influence model” is the best we have; focus on norms, commitment not to use, and intentions not to use; adding community interventions increases effects; the use of peer leaders is better; and adding life skills to programs may strengthen effects.","author":[{"dropping-particle":"","family":"Cuijpers","given":"Pim","non-dropping-particle":"","parse-names":false,"suffix":""}],"container-title":"Addictive Behaviors","id":"ITEM-2","issue":"6","issued":{"date-parts":[["2002"]]},"page":"1009-1023","title":"Effective ingredients of school-based drug prevention programs: A systematic review","type":"article-journal","volume":"27"},"uris":["http://www.mendeley.com/documents/?uuid=e31f7207-1275-43ea-8a0d-bd7d3e3bcbb5"]}],"mendeley":{"formattedCitation":"(Cuijpers, 2002; Vallentin-Holbech et al., 2018)","plainTextFormattedCitation":"(Cuijpers, 2002; Vallentin-Holbech et al., 2018)","previouslyFormattedCitation":"(Cuijpers, 2002; Vallentin-Holbech et al., 2018)"},"properties":{"noteIndex":0},"schema":"https://github.com/citation-style-language/schema/raw/master/csl-citation.json"}</w:instrText>
      </w:r>
      <w:r w:rsidRPr="00B1522E">
        <w:rPr>
          <w:rFonts w:eastAsia="Calibri"/>
        </w:rPr>
        <w:fldChar w:fldCharType="separate"/>
      </w:r>
      <w:r w:rsidRPr="00B1522E">
        <w:rPr>
          <w:rFonts w:eastAsia="Calibri"/>
          <w:noProof/>
        </w:rPr>
        <w:t>(Cuijpers, 2002; Vallentin-Holbech et al., 2018)</w:t>
      </w:r>
      <w:r w:rsidRPr="00B1522E">
        <w:rPr>
          <w:rFonts w:eastAsia="Calibri"/>
        </w:rPr>
        <w:fldChar w:fldCharType="end"/>
      </w:r>
      <w:r w:rsidRPr="00B1522E">
        <w:rPr>
          <w:rFonts w:eastAsia="Calibri"/>
        </w:rPr>
        <w:t>. Whilst the students disclosed that they found the SNA feedback intervention fun and they liked that they were given the opportunity to work in groups, f</w:t>
      </w:r>
      <w:r w:rsidRPr="00B1522E">
        <w:rPr>
          <w:rFonts w:cstheme="minorHAnsi"/>
          <w:shd w:val="clear" w:color="auto" w:fill="FFFFFF"/>
        </w:rPr>
        <w:t xml:space="preserve">rom the student discussions </w:t>
      </w:r>
      <w:r w:rsidRPr="00B1522E">
        <w:rPr>
          <w:rFonts w:eastAsia="Calibri"/>
        </w:rPr>
        <w:t xml:space="preserve">it was also evident that some struggled to navigate how to collaborate as a group. </w:t>
      </w:r>
      <w:r w:rsidRPr="00B1522E">
        <w:rPr>
          <w:rFonts w:cstheme="minorHAnsi"/>
        </w:rPr>
        <w:t>Nevertheless, r</w:t>
      </w:r>
      <w:r w:rsidRPr="00B1522E">
        <w:rPr>
          <w:rFonts w:eastAsia="Calibri"/>
        </w:rPr>
        <w:t xml:space="preserve">eceiving SNA feedback while in the presence of peers led to a phase of social comparison which helped students make inferences about the </w:t>
      </w:r>
      <w:r w:rsidRPr="00B1522E">
        <w:rPr>
          <w:rFonts w:cstheme="minorHAnsi"/>
        </w:rPr>
        <w:t xml:space="preserve">credibility of the SNA feedback messages being presented. </w:t>
      </w:r>
      <w:r w:rsidRPr="00B1522E">
        <w:rPr>
          <w:rFonts w:eastAsia="Calibri"/>
        </w:rPr>
        <w:t xml:space="preserve">SNA feedback that is perceived to be credible can influence individuals’ perceptions about the social acceptability of the target behaviour </w:t>
      </w:r>
      <w:r w:rsidRPr="00B1522E">
        <w:rPr>
          <w:rFonts w:eastAsia="Calibri"/>
        </w:rPr>
        <w:fldChar w:fldCharType="begin" w:fldLock="1"/>
      </w:r>
      <w:r w:rsidR="00FD502B" w:rsidRPr="00B1522E">
        <w:rPr>
          <w:rFonts w:eastAsia="Calibri"/>
        </w:rPr>
        <w:instrText>ADDIN CSL_CITATION {"citationItems":[{"id":"ITEM-1","itemData":{"ISSN":"0744-8481 (Print)","PMID":"15495882","abstract":"The authors examined 3 possible explanations for the failure of a social norms campaign at a large public university. They administered an anonymous survey to 2 random samples of undergraduate classes: a baseline assessment of 616 students before the campaign's implementation and a follow-up survey of 723 students 4 academic years later. At follow-up, 66.5% of the students were aware of the campaign, yet the survey revealed no reduction in perceived drinking norms or alcohol use in this group. An analysis of the postcampaign sample revealed that (1) a majority of the students did not find the statistics used in the campaign messages credible, (2) higher levels of alcohol use predicted lower levels of perceived campaign credibility, and (3) only 38.5% of the students understood the campaign's intended purpose. If they are to influence personally relevant drinking norms, these campaigns must undergo further development to enhance message credibility and participants' understanding.","author":[{"dropping-particle":"","family":"Thombs","given":"Dennis L","non-dropping-particle":"","parse-names":false,"suffix":""},{"dropping-particle":"","family":"Dotterer","given":"Scott","non-dropping-particle":"","parse-names":false,"suffix":""},{"dropping-particle":"","family":"Olds","given":"R Scott","non-dropping-particle":"","parse-names":false,"suffix":""},{"dropping-particle":"","family":"Sharp","given":"Katherine E","non-dropping-particle":"","parse-names":false,"suffix":""},{"dropping-particle":"","family":"Raub","given":"Carrie Giovannone","non-dropping-particle":"","parse-names":false,"suffix":""}],"container-title":"Journal of American College Health","id":"ITEM-1","issue":"2","issued":{"date-parts":[["2004"]]},"language":"eng","page":"61-68","publisher-place":"United States","title":"A close look at why one social norms campaign did not reduce student drinking.","type":"article-journal","volume":"53"},"uris":["http://www.mendeley.com/documents/?uuid=fa4d9af3-124e-47d5-9e87-eeab8e35e07b"]},{"id":"ITEM-2","itemData":{"ISSN":"0887-0446","author":[{"dropping-particle":"","family":"Marley","given":"S","non-dropping-particle":"","parse-names":false,"suffix":""},{"dropping-particle":"","family":"Bekker","given":"H L","non-dropping-particle":"","parse-names":false,"suffix":""},{"dropping-particle":"","family":"Bewick","given":"B M","non-dropping-particle":"","parse-names":false,"suffix":""}],"container-title":"Psychology &amp; health","id":"ITEM-2","issue":"9","issued":{"date-parts":[["2016"]]},"page":"1007-1024","publisher":"Taylor &amp; Francis","title":"Responding to personalised social norms feedback from a web-based alcohol reduction intervention for students: Analysis of think-aloud verbal protocols","type":"article-journal","volume":"31"},"uris":["http://www.mendeley.com/documents/?uuid=9599f905-bd47-41d1-82b0-e07dc6cc6d25"]}],"mendeley":{"formattedCitation":"(Marley et al., 2016; Thombs et al., 2004)","plainTextFormattedCitation":"(Marley et al., 2016; Thombs et al., 2004)","previouslyFormattedCitation":"(Marley et al., 2016; Thombs et al., 2004)"},"properties":{"noteIndex":0},"schema":"https://github.com/citation-style-language/schema/raw/master/csl-citation.json"}</w:instrText>
      </w:r>
      <w:r w:rsidRPr="00B1522E">
        <w:rPr>
          <w:rFonts w:eastAsia="Calibri"/>
        </w:rPr>
        <w:fldChar w:fldCharType="separate"/>
      </w:r>
      <w:r w:rsidRPr="00B1522E">
        <w:rPr>
          <w:rFonts w:eastAsia="Calibri"/>
          <w:noProof/>
        </w:rPr>
        <w:t xml:space="preserve">(Marley et al., 2016; Thombs et al., </w:t>
      </w:r>
      <w:r w:rsidRPr="00B1522E">
        <w:rPr>
          <w:rFonts w:eastAsia="Calibri"/>
          <w:noProof/>
        </w:rPr>
        <w:lastRenderedPageBreak/>
        <w:t>2004)</w:t>
      </w:r>
      <w:r w:rsidRPr="00B1522E">
        <w:rPr>
          <w:rFonts w:eastAsia="Calibri"/>
        </w:rPr>
        <w:fldChar w:fldCharType="end"/>
      </w:r>
      <w:r w:rsidRPr="00B1522E">
        <w:rPr>
          <w:rFonts w:eastAsia="Calibri"/>
        </w:rPr>
        <w:t xml:space="preserve">. For this age group delivering SNA feedback in a group context seemingly facilitating a discussion about the normative feedback which helped students to consider the credibility and personal relevance of the delivered feedback. </w:t>
      </w:r>
    </w:p>
    <w:p w14:paraId="0DD034F2" w14:textId="5936C9DD" w:rsidR="009674F3" w:rsidRPr="00B1522E" w:rsidRDefault="009674F3" w:rsidP="00C36D15">
      <w:pPr>
        <w:spacing w:line="480" w:lineRule="auto"/>
        <w:ind w:firstLine="720"/>
        <w:jc w:val="both"/>
        <w:rPr>
          <w:rFonts w:cstheme="minorHAnsi"/>
        </w:rPr>
      </w:pPr>
      <w:r w:rsidRPr="00B1522E">
        <w:rPr>
          <w:rFonts w:eastAsia="Calibri"/>
        </w:rPr>
        <w:t>For young adolescents in this study, it was evident that the visual representation of the percentages (</w:t>
      </w:r>
      <w:r w:rsidRPr="00B1522E">
        <w:rPr>
          <w:rFonts w:cstheme="minorHAnsi"/>
        </w:rPr>
        <w:t xml:space="preserve">silhouettes of stick people shaded in, which </w:t>
      </w:r>
      <w:r w:rsidRPr="00B1522E">
        <w:rPr>
          <w:rFonts w:cstheme="minorHAnsi"/>
          <w:shd w:val="clear" w:color="auto" w:fill="FFFFFF"/>
        </w:rPr>
        <w:t>correspond to the percentage being communicated)</w:t>
      </w:r>
      <w:r w:rsidRPr="00B1522E">
        <w:rPr>
          <w:rFonts w:eastAsia="Calibri"/>
        </w:rPr>
        <w:t xml:space="preserve"> presented alongside the written SNA feedback helped students make sense of the content. This is important to note as a previous study indicated that when adolescents (14-16 years old) did not understand the percentages being presented as part of the SNA feedback, it appeared to negatively affect their engagement with the intervention </w:t>
      </w:r>
      <w:r w:rsidRPr="00B1522E">
        <w:rPr>
          <w:rFonts w:eastAsia="Calibri"/>
        </w:rPr>
        <w:fldChar w:fldCharType="begin" w:fldLock="1"/>
      </w:r>
      <w:r w:rsidR="00D046DC" w:rsidRPr="00B1522E">
        <w:rPr>
          <w:rFonts w:eastAsia="Calibri"/>
        </w:rPr>
        <w:instrText>ADDIN CSL_CITATION {"citationItems":[{"id":"ITEM-1","itemData":{"author":[{"dropping-particle":"","family":"Stock","given":"Christiane","non-dropping-particle":"","parse-names":false,"suffix":""},{"dropping-particle":"","family":"Lavasani Kjær","given":"Satayesh","non-dropping-particle":"","parse-names":false,"suffix":""},{"dropping-particle":"","family":"Rasmussen","given":"Birthe Marie","non-dropping-particle":"","parse-names":false,"suffix":""},{"dropping-particle":"","family":"Vallentin-Holbech","given":"Lotte","non-dropping-particle":"","parse-names":false,"suffix":""}],"container-title":"International journal of environmental research and public health","id":"ITEM-1","issue":"9","issued":{"date-parts":[["2020"]]},"page":"3200-3213","publisher":"Multidisciplinary Digital Publishing Institute","title":"Youth experiences with social norms feedback: Qualitative findings from the drug prevention trial the GOOD Life","type":"article-journal","volume":"17"},"uris":["http://www.mendeley.com/documents/?uuid=9b8554db-48ce-456f-a360-380a2a15259b"]}],"mendeley":{"formattedCitation":"(Stock et al., 2020)","plainTextFormattedCitation":"(Stock et al., 2020)","previouslyFormattedCitation":"(Stock et al., 2020)"},"properties":{"noteIndex":0},"schema":"https://github.com/citation-style-language/schema/raw/master/csl-citation.json"}</w:instrText>
      </w:r>
      <w:r w:rsidRPr="00B1522E">
        <w:rPr>
          <w:rFonts w:eastAsia="Calibri"/>
        </w:rPr>
        <w:fldChar w:fldCharType="separate"/>
      </w:r>
      <w:r w:rsidRPr="00B1522E">
        <w:rPr>
          <w:rFonts w:eastAsia="Calibri"/>
          <w:noProof/>
        </w:rPr>
        <w:t>(Stock et al., 2020)</w:t>
      </w:r>
      <w:r w:rsidRPr="00B1522E">
        <w:rPr>
          <w:rFonts w:eastAsia="Calibri"/>
        </w:rPr>
        <w:fldChar w:fldCharType="end"/>
      </w:r>
      <w:r w:rsidRPr="00B1522E">
        <w:rPr>
          <w:rFonts w:eastAsia="Calibri"/>
        </w:rPr>
        <w:t xml:space="preserve">. Being able to understand the SNA feedback helped students in the current study to consciously engage with it, with students expressing that they were ‘shocked’ by the SNA feedback, which has been observed in </w:t>
      </w:r>
      <w:r w:rsidRPr="00B1522E">
        <w:t>other age groups</w:t>
      </w:r>
      <w:r w:rsidRPr="00B1522E">
        <w:rPr>
          <w:rFonts w:eastAsia="Calibri"/>
        </w:rPr>
        <w:t xml:space="preserve"> </w:t>
      </w:r>
      <w:r w:rsidRPr="00B1522E">
        <w:rPr>
          <w:rFonts w:eastAsia="Calibri"/>
        </w:rPr>
        <w:fldChar w:fldCharType="begin" w:fldLock="1"/>
      </w:r>
      <w:r w:rsidR="00660052" w:rsidRPr="00B1522E">
        <w:rPr>
          <w:rFonts w:eastAsia="Calibri"/>
        </w:rPr>
        <w:instrText>ADDIN CSL_CITATION {"citationItems":[{"id":"ITEM-1","itemData":{"ISSN":"0887-0446","author":[{"dropping-particle":"","family":"Marley","given":"S","non-dropping-particle":"","parse-names":false,"suffix":""},{"dropping-particle":"","family":"Bekker","given":"H L","non-dropping-particle":"","parse-names":false,"suffix":""},{"dropping-particle":"","family":"Bewick","given":"B M","non-dropping-particle":"","parse-names":false,"suffix":""}],"container-title":"Psychology &amp; health","id":"ITEM-1","issue":"9","issued":{"date-parts":[["2016"]]},"page":"1007-1024","publisher":"Taylor &amp; Francis","title":"Responding to personalised social norms feedback from a web-based alcohol reduction intervention for students: Analysis of think-aloud verbal protocols","type":"article-journal","volume":"31"},"uris":["http://www.mendeley.com/documents/?uuid=9599f905-bd47-41d1-82b0-e07dc6cc6d25"]},{"id":"ITEM-2","itemData":{"ISSN":"1939-2117","abstract":"This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psychology","id":"ITEM-2","issue":"1","issued":{"date-parts":[["2009","2"]]},"language":"eng","page":"51-63","title":"Internet-based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id":"ITEM-3","itemData":{"author":[{"dropping-particle":"","family":"Stock","given":"Christiane","non-dropping-particle":"","parse-names":false,"suffix":""},{"dropping-particle":"","family":"Lavasani Kjær","given":"Satayesh","non-dropping-particle":"","parse-names":false,"suffix":""},{"dropping-particle":"","family":"Rasmussen","given":"Birthe Marie","non-dropping-particle":"","parse-names":false,"suffix":""},{"dropping-particle":"","family":"Vallentin-Holbech","given":"Lotte","non-dropping-particle":"","parse-names":false,"suffix":""}],"container-title":"International journal of environmental research and public health","id":"ITEM-3","issue":"9","issued":{"date-parts":[["2020"]]},"page":"3200-3213","publisher":"Multidisciplinary Digital Publishing Institute","title":"Youth experiences with social norms feedback: Qualitative findings from the drug prevention trial the GOOD Life","type":"article-journal","volume":"17"},"uris":["http://www.mendeley.com/documents/?uuid=9b8554db-48ce-456f-a360-380a2a15259b"]}],"mendeley":{"formattedCitation":"(Marley et al., 2016; Neighbors et al., 2009; Stock et al., 2020)","plainTextFormattedCitation":"(Marley et al., 2016; Neighbors et al., 2009; Stock et al., 2020)","previouslyFormattedCitation":"(Marley et al., 2016; Neighbors et al., 2009; Stock et al., 2020)"},"properties":{"noteIndex":0},"schema":"https://github.com/citation-style-language/schema/raw/master/csl-citation.json"}</w:instrText>
      </w:r>
      <w:r w:rsidRPr="00B1522E">
        <w:rPr>
          <w:rFonts w:eastAsia="Calibri"/>
        </w:rPr>
        <w:fldChar w:fldCharType="separate"/>
      </w:r>
      <w:r w:rsidRPr="00B1522E">
        <w:rPr>
          <w:rFonts w:eastAsia="Calibri"/>
          <w:noProof/>
        </w:rPr>
        <w:t>(Marley et al., 2016; Neighbors et al., 2009; Stock et al., 2020)</w:t>
      </w:r>
      <w:r w:rsidRPr="00B1522E">
        <w:rPr>
          <w:rFonts w:eastAsia="Calibri"/>
        </w:rPr>
        <w:fldChar w:fldCharType="end"/>
      </w:r>
      <w:r w:rsidRPr="00B1522E">
        <w:rPr>
          <w:rFonts w:eastAsia="Calibri"/>
        </w:rPr>
        <w:t xml:space="preserve">. The current study found that this sense of ‘surprise’ led students to actively consider SNA feedback by drawing comparisons to their own perceptions and this cognitive reappraisal of their normative perceptions led students to make a </w:t>
      </w:r>
      <w:r w:rsidRPr="00B1522E">
        <w:rPr>
          <w:rFonts w:cstheme="minorHAnsi"/>
        </w:rPr>
        <w:t xml:space="preserve">positive change to their unhealthy snacking consumption. </w:t>
      </w:r>
      <w:r w:rsidRPr="00B1522E">
        <w:t>This supports the idea t</w:t>
      </w:r>
      <w:r w:rsidRPr="00B1522E">
        <w:rPr>
          <w:rFonts w:eastAsia="Calibri"/>
        </w:rPr>
        <w:t xml:space="preserve">hat being surprised by Social Norms feedback could be a key part of the mechanism underlying the SNA’s effectiveness </w:t>
      </w:r>
      <w:r w:rsidRPr="00B1522E">
        <w:rPr>
          <w:rFonts w:eastAsia="Calibri"/>
        </w:rPr>
        <w:fldChar w:fldCharType="begin" w:fldLock="1"/>
      </w:r>
      <w:r w:rsidR="007463D4" w:rsidRPr="00B1522E">
        <w:rPr>
          <w:rFonts w:eastAsia="Calibri"/>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eastAsia="Calibri"/>
        </w:rPr>
        <w:fldChar w:fldCharType="separate"/>
      </w:r>
      <w:r w:rsidR="002908AE" w:rsidRPr="00B1522E">
        <w:rPr>
          <w:rFonts w:eastAsia="Calibri"/>
          <w:noProof/>
        </w:rPr>
        <w:t>(Dempsey et al., 2018)</w:t>
      </w:r>
      <w:r w:rsidRPr="00B1522E">
        <w:rPr>
          <w:rFonts w:eastAsia="Calibri"/>
        </w:rPr>
        <w:fldChar w:fldCharType="end"/>
      </w:r>
      <w:r w:rsidRPr="00B1522E">
        <w:rPr>
          <w:rFonts w:cstheme="minorHAnsi"/>
        </w:rPr>
        <w:t xml:space="preserve">. </w:t>
      </w:r>
      <w:r w:rsidRPr="00B1522E">
        <w:rPr>
          <w:rFonts w:eastAsia="Calibri"/>
        </w:rPr>
        <w:t xml:space="preserve">There is a lack of research that assesses participants’ immediate responses to normative feedback in interventions </w:t>
      </w:r>
      <w:r w:rsidRPr="00B1522E">
        <w:rPr>
          <w:rFonts w:eastAsia="Calibri"/>
        </w:rPr>
        <w:fldChar w:fldCharType="begin" w:fldLock="1"/>
      </w:r>
      <w:r w:rsidR="00660052" w:rsidRPr="00B1522E">
        <w:rPr>
          <w:rFonts w:eastAsia="Calibri"/>
        </w:rPr>
        <w:instrText>ADDIN CSL_CITATION {"citationItems":[{"id":"ITEM-1","itemData":{"ISSN":"1939-2117","abstract":"This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psychology","id":"ITEM-1","issue":"1","issued":{"date-parts":[["2009","2"]]},"language":"eng","page":"51-63","title":"Internet-based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intervention","type":"article-journal","volume":"77"},"uris":["http://www.mendeley.com/documents/?uuid=e474cd44-a8a0-4e78-bf25-b8174689a8a6"]}],"mendeley":{"formattedCitation":"(Neighbors et al., 2009)","plainTextFormattedCitation":"(Neighbors et al., 2009)","previouslyFormattedCitation":"(Neighbors et al., 2009)"},"properties":{"noteIndex":0},"schema":"https://github.com/citation-style-language/schema/raw/master/csl-citation.json"}</w:instrText>
      </w:r>
      <w:r w:rsidRPr="00B1522E">
        <w:rPr>
          <w:rFonts w:eastAsia="Calibri"/>
        </w:rPr>
        <w:fldChar w:fldCharType="separate"/>
      </w:r>
      <w:r w:rsidRPr="00B1522E">
        <w:rPr>
          <w:rFonts w:eastAsia="Calibri"/>
          <w:noProof/>
        </w:rPr>
        <w:t>(Neighbors et al., 2009)</w:t>
      </w:r>
      <w:r w:rsidRPr="00B1522E">
        <w:rPr>
          <w:rFonts w:eastAsia="Calibri"/>
        </w:rPr>
        <w:fldChar w:fldCharType="end"/>
      </w:r>
      <w:r w:rsidRPr="00B1522E">
        <w:rPr>
          <w:rFonts w:eastAsia="Calibri"/>
        </w:rPr>
        <w:t xml:space="preserve"> and more research is needed to fully understand what role participants’ reactions to SNA feedback have in changing normative perceptions and personal unhealthy behaviour. </w:t>
      </w:r>
    </w:p>
    <w:bookmarkEnd w:id="299"/>
    <w:p w14:paraId="078BE1FD" w14:textId="21F15192" w:rsidR="009674F3" w:rsidRPr="00B1522E" w:rsidRDefault="009674F3" w:rsidP="00C36D15">
      <w:pPr>
        <w:spacing w:line="480" w:lineRule="auto"/>
        <w:ind w:firstLine="720"/>
        <w:jc w:val="both"/>
        <w:rPr>
          <w:rFonts w:cstheme="minorHAnsi"/>
          <w:shd w:val="clear" w:color="auto" w:fill="FFFFFF"/>
        </w:rPr>
      </w:pPr>
      <w:r w:rsidRPr="00B1522E">
        <w:rPr>
          <w:rFonts w:cstheme="minorHAnsi"/>
          <w:shd w:val="clear" w:color="auto" w:fill="FFFFFF"/>
        </w:rPr>
        <w:t xml:space="preserve">The second research question explored </w:t>
      </w:r>
      <w:r w:rsidRPr="00B1522E">
        <w:rPr>
          <w:rFonts w:eastAsia="Calibri"/>
        </w:rPr>
        <w:t>whether the SNA intervention was delivered as intended and how the intervention could be improved</w:t>
      </w:r>
      <w:r w:rsidRPr="00B1522E">
        <w:rPr>
          <w:rFonts w:cstheme="minorHAnsi"/>
          <w:shd w:val="clear" w:color="auto" w:fill="FFFFFF"/>
        </w:rPr>
        <w:t>. There was general consistency in students’ recollections of how the in-school SNA intervention sessions were delivered, indicating that the intervention was delivered as intended. However, owing to lack of time, some students stated that they did not present their posters and vote, which may have been influenced by how well the individual sessions were organized by the teachers. Both the students and teachers felt that the in-</w:t>
      </w:r>
      <w:r w:rsidRPr="00B1522E">
        <w:rPr>
          <w:rFonts w:cstheme="minorHAnsi"/>
          <w:shd w:val="clear" w:color="auto" w:fill="FFFFFF"/>
        </w:rPr>
        <w:lastRenderedPageBreak/>
        <w:t xml:space="preserve">school SNA session should have been longer: students need to be afforded time to read and reflect on the SNA feedback messages. The exposure to, and engagement with, the SNA feedback is an important moderator of the effectiveness of SNA campaigns </w:t>
      </w:r>
      <w:r w:rsidRPr="00B1522E">
        <w:rPr>
          <w:rFonts w:cstheme="minorHAnsi"/>
          <w:shd w:val="clear" w:color="auto" w:fill="FFFFFF"/>
        </w:rPr>
        <w:fldChar w:fldCharType="begin" w:fldLock="1"/>
      </w:r>
      <w:r w:rsidR="004828B3" w:rsidRPr="00B1522E">
        <w:rPr>
          <w:rFonts w:cstheme="minorHAnsi"/>
          <w:shd w:val="clear" w:color="auto" w:fill="FFFFFF"/>
        </w:rPr>
        <w:instrText>ADDIN CSL_CITATION {"citationItems":[{"id":"ITEM-1","itemData":{"author":[{"dropping-particle":"","family":"McAlaney","given":"J","non-dropping-particle":"","parse-names":false,"suffix":""},{"dropping-particle":"","family":"Bewick","given":"B M","non-dropping-particle":"","parse-names":false,"suffix":""},{"dropping-particle":"","family":"Bauerle","given":"J","non-dropping-particle":"","parse-names":false,"suffix":""}],"container-title":"University of Bradford, University of Leeds, Department of Health: West Yorkshire, UK","id":"ITEM-1","issued":{"date-parts":[["2010"]]},"title":"Social norms guidebook: A guide to implementing the social norms approach in the UK","type":"article-journal"},"uris":["http://www.mendeley.com/documents/?uuid=cf5081f9-19e6-4ccf-aaab-a0311d1c876e"]}],"mendeley":{"formattedCitation":"(J McAlaney et al., 2010)","manualFormatting":"(McAlaney et al., 2010)","plainTextFormattedCitation":"(J McAlaney et al., 2010)","previouslyFormattedCitation":"(J McAlaney et al., 2010)"},"properties":{"noteIndex":0},"schema":"https://github.com/citation-style-language/schema/raw/master/csl-citation.json"}</w:instrText>
      </w:r>
      <w:r w:rsidRPr="00B1522E">
        <w:rPr>
          <w:rFonts w:cstheme="minorHAnsi"/>
          <w:shd w:val="clear" w:color="auto" w:fill="FFFFFF"/>
        </w:rPr>
        <w:fldChar w:fldCharType="separate"/>
      </w:r>
      <w:r w:rsidR="00795693" w:rsidRPr="00B1522E">
        <w:rPr>
          <w:rFonts w:cstheme="minorHAnsi"/>
          <w:noProof/>
          <w:shd w:val="clear" w:color="auto" w:fill="FFFFFF"/>
        </w:rPr>
        <w:t>(McAlaney et al., 2010)</w:t>
      </w:r>
      <w:r w:rsidRPr="00B1522E">
        <w:rPr>
          <w:rFonts w:cstheme="minorHAnsi"/>
          <w:shd w:val="clear" w:color="auto" w:fill="FFFFFF"/>
        </w:rPr>
        <w:fldChar w:fldCharType="end"/>
      </w:r>
      <w:r w:rsidRPr="00B1522E">
        <w:rPr>
          <w:rFonts w:cstheme="minorHAnsi"/>
          <w:shd w:val="clear" w:color="auto" w:fill="FFFFFF"/>
        </w:rPr>
        <w:t xml:space="preserve">. Teachers also expressed that a discussion prior to </w:t>
      </w:r>
      <w:r w:rsidRPr="00B1522E">
        <w:t>designing the posters would help ensure all students had understood and reflected on the SNA messages</w:t>
      </w:r>
      <w:r w:rsidRPr="00B1522E">
        <w:rPr>
          <w:rFonts w:cstheme="minorHAnsi"/>
          <w:shd w:val="clear" w:color="auto" w:fill="FFFFFF"/>
        </w:rPr>
        <w:t xml:space="preserve">. However, it is important that SNA feedback should not be perceived to come from an authority figure (e.g. a teacher) as individuals may change their behaviours and attitudes out of a sense of obedience or fear; rather, feedback should be presented as coming from the broader social group, i.e. their peers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cstheme="minorHAnsi"/>
          <w:shd w:val="clear" w:color="auto" w:fill="FFFFFF"/>
        </w:rPr>
        <w:fldChar w:fldCharType="separate"/>
      </w:r>
      <w:r w:rsidR="002908AE" w:rsidRPr="00B1522E">
        <w:rPr>
          <w:rFonts w:cstheme="minorHAnsi"/>
          <w:noProof/>
          <w:shd w:val="clear" w:color="auto" w:fill="FFFFFF"/>
        </w:rPr>
        <w:t>(Dempsey et al., 2018)</w:t>
      </w:r>
      <w:r w:rsidRPr="00B1522E">
        <w:rPr>
          <w:rFonts w:cstheme="minorHAnsi"/>
          <w:shd w:val="clear" w:color="auto" w:fill="FFFFFF"/>
        </w:rPr>
        <w:fldChar w:fldCharType="end"/>
      </w:r>
      <w:r w:rsidRPr="00B1522E">
        <w:rPr>
          <w:rFonts w:cstheme="minorHAnsi"/>
          <w:shd w:val="clear" w:color="auto" w:fill="FFFFFF"/>
        </w:rPr>
        <w:t>. It is suggested that</w:t>
      </w:r>
      <w:r w:rsidRPr="00B1522E">
        <w:t xml:space="preserve"> peer-led activities within a school-based intervention may be beneficial in helping to improve dietary behaviours, as individuals in this age group may model their behaviours according to those of their peers, and to what is perceived to be socially acceptable </w:t>
      </w:r>
      <w:r w:rsidRPr="00B1522E">
        <w:fldChar w:fldCharType="begin" w:fldLock="1"/>
      </w:r>
      <w:r w:rsidR="00660052" w:rsidRPr="00B1522E">
        <w:instrText>ADDIN CSL_CITATION {"citationItems":[{"id":"ITEM-1","itemData":{"ISSN":"1467-789X (Electronic)","PMID":"30550629","abstract":"Childhood obesity is a global health concern, which has both short- and long-term health consequences for the individual, and is a potential burden on health care services and the wider economy. The school environment is a setting where changes can be applied to dietary behaviours, as schools have direct and intensive contact with children. This systematic review evaluated school-based interventions designed to improve dietary behaviours among adolescents (11- to 16-year-olds). The aims were to review types of interventions delivered, dietary behaviours targeted, and interventions' effectiveness in improving dietary behaviour and associated intervention components. Twenty-nine school-based interventional studies with this population were identified for review. The data were synthesized by identifying and comparing individual studies' results, intervention components, and characteristics. Interventions appeared more effective when they involved peers, used educational media to deliver health messages, increased availability of healthy foods in school, and incorporated computer-based individualized feedback with normative information on eating behaviours. A limitation of the review was the lack of description in certain reviewed studies and the nonfeasibility of conducting a meta-analysis owing to study heterogeneity. Future interventions with this population could consider including the aforementioned components, gender-specific feedback, and both short- and long-term follow-ups as change may not be apparent immediately and to determine if changes are sustained.","author":[{"dropping-particle":"","family":"Calvert","given":"Sian","non-dropping-particle":"","parse-names":false,"suffix":""},{"dropping-particle":"","family":"Dempsey","given":"Robert C","non-dropping-particle":"","parse-names":false,"suffix":""},{"dropping-particle":"","family":"Povey","given":"Rachel","non-dropping-particle":"","parse-names":false,"suffix":""}],"container-title":"Obesity Reviews","id":"ITEM-1","issue":"4","issued":{"date-parts":[["2019","4"]]},"language":"eng","page":"543-553","publisher-place":"England","title":"Delivering in-school interventions to improve dietary behaviours amongst 11- to 16-year-olds: A systematic review.","type":"article-journal","volume":"20"},"uris":["http://www.mendeley.com/documents/?uuid=2a47b1c0-b7a8-4533-b072-390e15ff8b1f"]}],"mendeley":{"formattedCitation":"(Calvert et al., 2019)","plainTextFormattedCitation":"(Calvert et al., 2019)","previouslyFormattedCitation":"(Calvert et al., 2019)"},"properties":{"noteIndex":0},"schema":"https://github.com/citation-style-language/schema/raw/master/csl-citation.json"}</w:instrText>
      </w:r>
      <w:r w:rsidRPr="00B1522E">
        <w:fldChar w:fldCharType="separate"/>
      </w:r>
      <w:r w:rsidRPr="00B1522E">
        <w:rPr>
          <w:noProof/>
        </w:rPr>
        <w:t>(Calvert et al., 2019)</w:t>
      </w:r>
      <w:r w:rsidRPr="00B1522E">
        <w:fldChar w:fldCharType="end"/>
      </w:r>
      <w:r w:rsidRPr="00B1522E">
        <w:t>.</w:t>
      </w:r>
      <w:r w:rsidRPr="00B1522E">
        <w:rPr>
          <w:rFonts w:cstheme="minorHAnsi"/>
          <w:shd w:val="clear" w:color="auto" w:fill="FFFFFF"/>
        </w:rPr>
        <w:t xml:space="preserve"> In consideration of teachers’ feedback and the literature, future research could consider recruiting peers to facilitate group discussion (supported by teachers) about the SNA feedback prior to practical activities to ensure all students have reflected on the campaign messages. </w:t>
      </w:r>
    </w:p>
    <w:p w14:paraId="1C69519F" w14:textId="315330A8" w:rsidR="009674F3" w:rsidRPr="00B1522E" w:rsidRDefault="009674F3" w:rsidP="00C36D15">
      <w:pPr>
        <w:spacing w:line="480" w:lineRule="auto"/>
        <w:ind w:firstLine="720"/>
        <w:jc w:val="both"/>
        <w:rPr>
          <w:rFonts w:cstheme="minorHAnsi"/>
        </w:rPr>
      </w:pPr>
      <w:r w:rsidRPr="00B1522E">
        <w:t>The third research question explored</w:t>
      </w:r>
      <w:r w:rsidRPr="00B1522E">
        <w:rPr>
          <w:rFonts w:cstheme="minorHAnsi"/>
          <w:shd w:val="clear" w:color="auto" w:fill="FFFFFF"/>
        </w:rPr>
        <w:t xml:space="preserve"> </w:t>
      </w:r>
      <w:r w:rsidRPr="00B1522E">
        <w:rPr>
          <w:rFonts w:eastAsia="Calibri"/>
        </w:rPr>
        <w:t xml:space="preserve">students’ views about the questionnaires they completed as part of the intervention. </w:t>
      </w:r>
      <w:r w:rsidRPr="00B1522E">
        <w:rPr>
          <w:rFonts w:cstheme="minorHAnsi"/>
          <w:shd w:val="clear" w:color="auto" w:fill="FFFFFF"/>
        </w:rPr>
        <w:t xml:space="preserve">Students at baseline were asked to create a questionnaire password (self-generated participant identifier) using personal memorable information, but some expressed that they struggled to remember the password which made it difficult to identify participants using the password across time points. It is important to be able to identify participants across timepoints in SNA interventions to understand what effect receiving SNA feedback has on changing participants’ normative perceptions, attitudes and behaviour </w:t>
      </w:r>
      <w:r w:rsidRPr="00B1522E">
        <w:rPr>
          <w:rFonts w:cstheme="minorHAnsi"/>
          <w:shd w:val="clear" w:color="auto" w:fill="FFFFFF"/>
        </w:rPr>
        <w:fldChar w:fldCharType="begin" w:fldLock="1"/>
      </w:r>
      <w:r w:rsidR="007463D4" w:rsidRPr="00B1522E">
        <w:rPr>
          <w:rFonts w:cstheme="minorHAnsi"/>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cstheme="minorHAnsi"/>
          <w:shd w:val="clear" w:color="auto" w:fill="FFFFFF"/>
        </w:rPr>
        <w:fldChar w:fldCharType="separate"/>
      </w:r>
      <w:r w:rsidR="002908AE" w:rsidRPr="00B1522E">
        <w:rPr>
          <w:rFonts w:cstheme="minorHAnsi"/>
          <w:noProof/>
          <w:shd w:val="clear" w:color="auto" w:fill="FFFFFF"/>
        </w:rPr>
        <w:t>(Dempsey et al., 2018)</w:t>
      </w:r>
      <w:r w:rsidRPr="00B1522E">
        <w:rPr>
          <w:rFonts w:cstheme="minorHAnsi"/>
          <w:shd w:val="clear" w:color="auto" w:fill="FFFFFF"/>
        </w:rPr>
        <w:fldChar w:fldCharType="end"/>
      </w:r>
      <w:r w:rsidRPr="00B1522E">
        <w:rPr>
          <w:rFonts w:cstheme="minorHAnsi"/>
          <w:shd w:val="clear" w:color="auto" w:fill="FFFFFF"/>
        </w:rPr>
        <w:t xml:space="preserve">. Demographic data is proposed to be the most appropriate method for identifying participants across timepoints as it is unlikely to be recorded inaccurately </w:t>
      </w:r>
      <w:r w:rsidRPr="00B1522E">
        <w:rPr>
          <w:rFonts w:cstheme="minorHAnsi"/>
          <w:shd w:val="clear" w:color="auto" w:fill="FFFFFF"/>
        </w:rPr>
        <w:fldChar w:fldCharType="begin" w:fldLock="1"/>
      </w:r>
      <w:r w:rsidR="00DF6CCC" w:rsidRPr="00B1522E">
        <w:rPr>
          <w:rFonts w:cstheme="minorHAnsi"/>
          <w:shd w:val="clear" w:color="auto" w:fill="FFFFFF"/>
        </w:rPr>
        <w:instrText>ADDIN CSL_CITATION {"citationItems":[{"id":"ITEM-1","itemData":{"ISSN":"0013-1644","author":[{"dropping-particle":"","family":"Audette","given":"Lillian M","non-dropping-particle":"","parse-names":false,"suffix":""},{"dropping-particle":"","family":"Hammond","given":"Marie S","non-dropping-particle":"","parse-names":false,"suffix":""},{"dropping-particle":"","family":"Rochester","given":"Natalie K","non-dropping-particle":"","parse-names":false,"suffix":""}],"container-title":"Educational and Psychological Measurement","id":"ITEM-1","issue":"1","issued":{"date-parts":[["2020"]]},"page":"163-185","publisher":"Sage Publications Sage CA: Los Angeles, CA","title":"Methodological issues with coding participants in anonymous psychological longitudinal studies","type":"article-journal","volume":"80"},"uris":["http://www.mendeley.com/documents/?uuid=12d5c9ec-2401-429a-b080-f8042067e9e7"]}],"mendeley":{"formattedCitation":"(Audette et al., 2020)","plainTextFormattedCitation":"(Audette et al., 2020)","previouslyFormattedCitation":"(Audette et al., 2020)"},"properties":{"noteIndex":0},"schema":"https://github.com/citation-style-language/schema/raw/master/csl-citation.json"}</w:instrText>
      </w:r>
      <w:r w:rsidRPr="00B1522E">
        <w:rPr>
          <w:rFonts w:cstheme="minorHAnsi"/>
          <w:shd w:val="clear" w:color="auto" w:fill="FFFFFF"/>
        </w:rPr>
        <w:fldChar w:fldCharType="separate"/>
      </w:r>
      <w:r w:rsidR="004B7FAF" w:rsidRPr="00B1522E">
        <w:rPr>
          <w:rFonts w:cstheme="minorHAnsi"/>
          <w:noProof/>
          <w:shd w:val="clear" w:color="auto" w:fill="FFFFFF"/>
        </w:rPr>
        <w:t>(Audette et al., 2020)</w:t>
      </w:r>
      <w:r w:rsidRPr="00B1522E">
        <w:rPr>
          <w:rFonts w:cstheme="minorHAnsi"/>
          <w:shd w:val="clear" w:color="auto" w:fill="FFFFFF"/>
        </w:rPr>
        <w:fldChar w:fldCharType="end"/>
      </w:r>
      <w:r w:rsidRPr="00B1522E">
        <w:rPr>
          <w:rFonts w:cstheme="minorHAnsi"/>
          <w:shd w:val="clear" w:color="auto" w:fill="FFFFFF"/>
        </w:rPr>
        <w:t>.  The current study confirms that the questionnaire items were easy to understand</w:t>
      </w:r>
      <w:r w:rsidRPr="00B1522E">
        <w:rPr>
          <w:rFonts w:cstheme="minorHAnsi"/>
        </w:rPr>
        <w:t>,</w:t>
      </w:r>
      <w:r w:rsidRPr="00B1522E">
        <w:rPr>
          <w:rFonts w:cstheme="minorHAnsi"/>
          <w:shd w:val="clear" w:color="auto" w:fill="FFFFFF"/>
        </w:rPr>
        <w:t xml:space="preserve"> indicating that it was an age-appropriate method to collect information about students’ unhealthy snacking behaviour, related attitudes, intentions, and normative perceptions. Nevertheless, some students did express that they found it difficult to record</w:t>
      </w:r>
      <w:r w:rsidRPr="00B1522E">
        <w:rPr>
          <w:rFonts w:cstheme="minorHAnsi"/>
        </w:rPr>
        <w:t xml:space="preserve"> their responses using a Likert scale, which has been noted in other studies </w:t>
      </w:r>
      <w:r w:rsidRPr="00B1522E">
        <w:rPr>
          <w:rFonts w:cstheme="minorHAnsi"/>
        </w:rPr>
        <w:lastRenderedPageBreak/>
        <w:t xml:space="preserve">sampling children and adolescents, where there was a difficulty understanding how to use a numbered scale to communicate their level of agreement/disagreement </w:t>
      </w:r>
      <w:r w:rsidRPr="00B1522E">
        <w:rPr>
          <w:rFonts w:cstheme="minorHAnsi"/>
        </w:rPr>
        <w:fldChar w:fldCharType="begin" w:fldLock="1"/>
      </w:r>
      <w:r w:rsidR="007463D4" w:rsidRPr="00B1522E">
        <w:rPr>
          <w:rFonts w:cstheme="minorHAnsi"/>
        </w:rPr>
        <w:instrText>ADDIN CSL_CITATION {"citationItems":[{"id":"ITEM-1","itemData":{"ISSN":"1465-735X (Electronic)","PMID":"24163438","abstract":"OBJECTIVE: We investigated elementary school children's ability to use a variety of Likert response formats to respond to concrete and abstract items. METHODS: 111 children, aged 6-13 years, responded to 2 physical tasks that required them to make objectively verifiable judgments, using a 5-point response format. Then, using 25 items, we ascertained the consistency between responses using a \"gold standard\" yes/no format and responses using 5-point Likert formats including numeric values, as well as word-based frequencies, similarities to self, and agreeability. RESULTS: All groups responded similarly to the physical tasks. For the 25 items, the use of numbers to signify agreement yielded low concordance with the yes/no answer format across age-groups. Formats based on words provided higher, but not perfect, concordance for all groups. CONCLUSIONS: Researchers and clinicians need to be aware of the limited understanding that children have of Likert response formats.","author":[{"dropping-particle":"","family":"Mellor","given":"David","non-dropping-particle":"","parse-names":false,"suffix":""},{"dropping-particle":"","family":"Moore","given":"Kathleen A","non-dropping-particle":"","parse-names":false,"suffix":""}],"container-title":"Journal of pediatric psychology","id":"ITEM-1","issue":"3","issued":{"date-parts":[["2014","4"]]},"language":"eng","page":"369-379","publisher-place":"United States","title":"The use of Likert scales with children.","type":"article-journal","volume":"39"},"uris":["http://www.mendeley.com/documents/?uuid=ec3cd32f-060f-44af-9bd8-c415470aa49f"]}],"mendeley":{"formattedCitation":"(Mellor &amp; Moore, 2014)","plainTextFormattedCitation":"(Mellor &amp; Moore, 2014)","previouslyFormattedCitation":"(Mellor &amp; Moore, 2014)"},"properties":{"noteIndex":0},"schema":"https://github.com/citation-style-language/schema/raw/master/csl-citation.json"}</w:instrText>
      </w:r>
      <w:r w:rsidRPr="00B1522E">
        <w:rPr>
          <w:rFonts w:cstheme="minorHAnsi"/>
        </w:rPr>
        <w:fldChar w:fldCharType="separate"/>
      </w:r>
      <w:r w:rsidRPr="00B1522E">
        <w:rPr>
          <w:rFonts w:cstheme="minorHAnsi"/>
          <w:noProof/>
        </w:rPr>
        <w:t>(Mellor &amp; Moore, 2014)</w:t>
      </w:r>
      <w:r w:rsidRPr="00B1522E">
        <w:rPr>
          <w:rFonts w:cstheme="minorHAnsi"/>
        </w:rPr>
        <w:fldChar w:fldCharType="end"/>
      </w:r>
      <w:r w:rsidRPr="00B1522E">
        <w:rPr>
          <w:rFonts w:cstheme="minorHAnsi"/>
        </w:rPr>
        <w:t xml:space="preserve">. Both the item wording, and response options, need to be age-appropriate when collecting self-report data in SNA interventions. The findings from this study also provide some explanation of why there were missing data in the quantitative intervention data set as students’ responses could not be matched owing to using different passwords for each time point or as some students may have failed to answer questions that collected responses using a Likert scale. </w:t>
      </w:r>
    </w:p>
    <w:p w14:paraId="0F6D08C5" w14:textId="77777777" w:rsidR="009674F3" w:rsidRPr="00B1522E" w:rsidRDefault="009674F3" w:rsidP="00C36D15">
      <w:pPr>
        <w:spacing w:line="480" w:lineRule="auto"/>
        <w:ind w:firstLine="720"/>
        <w:jc w:val="both"/>
        <w:rPr>
          <w:rFonts w:cstheme="minorHAnsi"/>
        </w:rPr>
      </w:pPr>
      <w:r w:rsidRPr="00B1522E">
        <w:rPr>
          <w:rFonts w:cstheme="minorHAnsi"/>
          <w:shd w:val="clear" w:color="auto" w:fill="FFFFFF"/>
        </w:rPr>
        <w:t xml:space="preserve">The focus group discussions also revealed that girls, but not boys, felt judged for how they responded to the questionnaire. This was seemingly motivated by the fear that their (the girls) dietary behaviour or their perceptions about peers’ behaviour may not be perceived as being socially acceptable or desirable which is driven by the concern they could be identified by their data or peers could see their responses. </w:t>
      </w:r>
      <w:r w:rsidRPr="00B1522E">
        <w:rPr>
          <w:rFonts w:cstheme="minorHAnsi"/>
        </w:rPr>
        <w:t xml:space="preserve">Adolescents have a strong desire to belong and to be accepted by their peers and do not want to be seen to be different </w:t>
      </w:r>
      <w:r w:rsidRPr="00B1522E">
        <w:rPr>
          <w:rFonts w:cstheme="minorHAnsi"/>
        </w:rPr>
        <w:fldChar w:fldCharType="begin" w:fldLock="1"/>
      </w:r>
      <w:r w:rsidRPr="00B1522E">
        <w:rPr>
          <w:rFonts w:cstheme="minorHAnsi"/>
        </w:rPr>
        <w:instrText>ADDIN CSL_CITATION {"citationItems":[{"id":"ITEM-1","itemData":{"ISBN":"1136649468","author":[{"dropping-particle":"","family":"Coleman","given":"John","non-dropping-particle":"","parse-names":false,"suffix":""}],"id":"ITEM-1","issued":{"date-parts":[["2011"]]},"publisher":"Routledge","publisher-place":"London","title":"The nature of adolescence","type":"book"},"uris":["http://www.mendeley.com/documents/?uuid=2f77478c-db32-4802-9940-28d2e7c167d5"]}],"mendeley":{"formattedCitation":"(Coleman, 2011)","plainTextFormattedCitation":"(Coleman, 2011)","previouslyFormattedCitation":"(Coleman, 2011)"},"properties":{"noteIndex":0},"schema":"https://github.com/citation-style-language/schema/raw/master/csl-citation.json"}</w:instrText>
      </w:r>
      <w:r w:rsidRPr="00B1522E">
        <w:rPr>
          <w:rFonts w:cstheme="minorHAnsi"/>
        </w:rPr>
        <w:fldChar w:fldCharType="separate"/>
      </w:r>
      <w:r w:rsidRPr="00B1522E">
        <w:rPr>
          <w:rFonts w:cstheme="minorHAnsi"/>
          <w:noProof/>
        </w:rPr>
        <w:t>(Coleman, 2011)</w:t>
      </w:r>
      <w:r w:rsidRPr="00B1522E">
        <w:rPr>
          <w:rFonts w:cstheme="minorHAnsi"/>
        </w:rPr>
        <w:fldChar w:fldCharType="end"/>
      </w:r>
      <w:r w:rsidRPr="00B1522E">
        <w:rPr>
          <w:rFonts w:cstheme="minorHAnsi"/>
        </w:rPr>
        <w:t>. It is unclear why specifically girls but not boys felt judged for their responses; potentially the findings from Chapter 5 could offer one explanation which indicated that girls</w:t>
      </w:r>
      <w:r w:rsidRPr="00B1522E">
        <w:t xml:space="preserve"> (from both schools) felt judged by their peers (specifically by the boys) for their dietary choices and that they perceived that they may be socially excluded or teased if they ate more healthily (or differently) than peers as they were not conforming to the perceived group norm. </w:t>
      </w:r>
      <w:r w:rsidRPr="00B1522E">
        <w:rPr>
          <w:rFonts w:cstheme="minorHAnsi"/>
          <w:shd w:val="clear" w:color="auto" w:fill="FFFFFF"/>
        </w:rPr>
        <w:t>W</w:t>
      </w:r>
      <w:r w:rsidRPr="00B1522E">
        <w:rPr>
          <w:rFonts w:cstheme="minorHAnsi"/>
        </w:rPr>
        <w:t xml:space="preserve">hen collecting data about personal and perceived dietary behaviours of young adolescents, especially girls, consideration should be given to how students are identified and to the physical arrangement of the space where questionnaires are completed to give students confidence in their anonymity. </w:t>
      </w:r>
    </w:p>
    <w:p w14:paraId="64F63665" w14:textId="77777777" w:rsidR="009674F3" w:rsidRPr="00B1522E" w:rsidRDefault="009674F3" w:rsidP="009674F3">
      <w:pPr>
        <w:spacing w:line="480" w:lineRule="auto"/>
        <w:jc w:val="both"/>
        <w:rPr>
          <w:rFonts w:cstheme="minorHAnsi"/>
        </w:rPr>
      </w:pPr>
    </w:p>
    <w:bookmarkStart w:id="300" w:name="_Toc84678990"/>
    <w:p w14:paraId="41F74B3C" w14:textId="52B7F6E6" w:rsidR="00C36D15" w:rsidRPr="00B1522E" w:rsidRDefault="00A958E4" w:rsidP="00DA598E">
      <w:pPr>
        <w:spacing w:line="480" w:lineRule="auto"/>
      </w:pPr>
      <w:r w:rsidRPr="00B1522E">
        <w:fldChar w:fldCharType="begin"/>
      </w:r>
      <w:r w:rsidRPr="00B1522E">
        <w:instrText xml:space="preserve"> TC  "</w:instrText>
      </w:r>
      <w:bookmarkStart w:id="301" w:name="_Toc97310525"/>
      <w:r w:rsidRPr="00B1522E">
        <w:instrText>9.5.1 Strengths and Limitations</w:instrText>
      </w:r>
      <w:bookmarkEnd w:id="301"/>
      <w:r w:rsidRPr="00B1522E">
        <w:instrText xml:space="preserve"> " \f x\l 3 </w:instrText>
      </w:r>
      <w:r w:rsidRPr="00B1522E">
        <w:fldChar w:fldCharType="end"/>
      </w:r>
      <w:r w:rsidR="009674F3" w:rsidRPr="00B1522E">
        <w:t>9.5.1 Strengths and Limitations</w:t>
      </w:r>
      <w:bookmarkEnd w:id="300"/>
      <w:r w:rsidR="009674F3" w:rsidRPr="00B1522E">
        <w:t xml:space="preserve"> </w:t>
      </w:r>
    </w:p>
    <w:p w14:paraId="74128059" w14:textId="3210FA19" w:rsidR="009674F3" w:rsidRPr="00B1522E" w:rsidRDefault="009674F3" w:rsidP="00DA598E">
      <w:pPr>
        <w:spacing w:line="480" w:lineRule="auto"/>
        <w:jc w:val="both"/>
        <w:rPr>
          <w:rFonts w:cstheme="minorHAnsi"/>
        </w:rPr>
      </w:pPr>
      <w:r w:rsidRPr="00B1522E">
        <w:rPr>
          <w:rFonts w:eastAsia="Calibri" w:cstheme="minorHAnsi"/>
        </w:rPr>
        <w:t>This is the first study, to our knowledge, that explores younger adolescents’ perceptions of participating in an in-school SNA intervention</w:t>
      </w:r>
      <w:r w:rsidR="00C36D15" w:rsidRPr="00B1522E">
        <w:rPr>
          <w:rFonts w:eastAsia="Calibri" w:cstheme="minorHAnsi"/>
        </w:rPr>
        <w:t xml:space="preserve"> that aim</w:t>
      </w:r>
      <w:r w:rsidR="00181C58" w:rsidRPr="00B1522E">
        <w:rPr>
          <w:rFonts w:eastAsia="Calibri" w:cstheme="minorHAnsi"/>
        </w:rPr>
        <w:t>ed</w:t>
      </w:r>
      <w:r w:rsidR="00C36D15" w:rsidRPr="00B1522E">
        <w:rPr>
          <w:rFonts w:eastAsia="Calibri" w:cstheme="minorHAnsi"/>
        </w:rPr>
        <w:t xml:space="preserve"> to reduce unhealthy </w:t>
      </w:r>
      <w:r w:rsidR="00181C58" w:rsidRPr="00B1522E">
        <w:rPr>
          <w:rFonts w:eastAsia="Calibri" w:cstheme="minorHAnsi"/>
        </w:rPr>
        <w:t>dietary behaviours</w:t>
      </w:r>
      <w:r w:rsidRPr="00B1522E">
        <w:rPr>
          <w:rFonts w:cstheme="minorHAnsi"/>
        </w:rPr>
        <w:t xml:space="preserve">. </w:t>
      </w:r>
      <w:r w:rsidRPr="00B1522E">
        <w:rPr>
          <w:rFonts w:eastAsia="Calibri" w:cstheme="minorHAnsi"/>
        </w:rPr>
        <w:t xml:space="preserve">The </w:t>
      </w:r>
      <w:r w:rsidRPr="00B1522E">
        <w:rPr>
          <w:rFonts w:cstheme="minorHAnsi"/>
        </w:rPr>
        <w:t>integration of both students’ and teachers’ experiences, g</w:t>
      </w:r>
      <w:r w:rsidRPr="00B1522E">
        <w:rPr>
          <w:rFonts w:eastAsia="Calibri" w:cstheme="minorHAnsi"/>
        </w:rPr>
        <w:t xml:space="preserve">enerated a multidimensional view of the </w:t>
      </w:r>
      <w:r w:rsidRPr="00B1522E">
        <w:rPr>
          <w:rFonts w:eastAsia="Calibri" w:cstheme="minorHAnsi"/>
        </w:rPr>
        <w:lastRenderedPageBreak/>
        <w:t>delivered SNA intervention</w:t>
      </w:r>
      <w:r w:rsidRPr="00B1522E">
        <w:rPr>
          <w:rFonts w:eastAsia="Calibri"/>
        </w:rPr>
        <w:t xml:space="preserve"> helps to evaluate the intervention by identifying strengths as well as areas for improvement, which can inform future SNA interventions and address a key gap in the literature. </w:t>
      </w:r>
      <w:r w:rsidRPr="00B1522E">
        <w:rPr>
          <w:rFonts w:eastAsia="Calibri" w:cstheme="minorHAnsi"/>
        </w:rPr>
        <w:t xml:space="preserve">Nevertheless, it needs to be considered that teachers’ experiences were collected using questionnaires, and it is acknowledged that a focus group discussion would have allowed for a more in-depth exploration of their experiences. However, </w:t>
      </w:r>
      <w:r w:rsidRPr="00B1522E">
        <w:rPr>
          <w:rFonts w:cstheme="minorHAnsi"/>
        </w:rPr>
        <w:t>owing to time constraints of teachers, colle</w:t>
      </w:r>
      <w:r w:rsidRPr="00B1522E">
        <w:t xml:space="preserve">cting feedback via questionnaire was the most appropriate data collection method. Lastly, even though we were also interested in exploring the advisory group’s experiences of developing the SNA intervention, owing to students’ exams this was not possible. </w:t>
      </w:r>
    </w:p>
    <w:p w14:paraId="04D2C29B" w14:textId="77777777" w:rsidR="009674F3" w:rsidRPr="00B1522E" w:rsidRDefault="009674F3" w:rsidP="009674F3">
      <w:pPr>
        <w:spacing w:line="480" w:lineRule="auto"/>
        <w:jc w:val="both"/>
        <w:rPr>
          <w:rFonts w:eastAsia="Calibri"/>
        </w:rPr>
      </w:pPr>
    </w:p>
    <w:bookmarkStart w:id="302" w:name="_Toc84678991"/>
    <w:p w14:paraId="248079EB" w14:textId="5D1E5498" w:rsidR="009674F3" w:rsidRPr="00B1522E" w:rsidRDefault="00A958E4" w:rsidP="00DA598E">
      <w:pPr>
        <w:spacing w:line="480" w:lineRule="auto"/>
      </w:pPr>
      <w:r w:rsidRPr="00B1522E">
        <w:fldChar w:fldCharType="begin"/>
      </w:r>
      <w:r w:rsidRPr="00B1522E">
        <w:instrText xml:space="preserve"> TC  "</w:instrText>
      </w:r>
      <w:bookmarkStart w:id="303" w:name="_Toc97310526"/>
      <w:r w:rsidRPr="00B1522E">
        <w:instrText>9.5.2 Conclusion</w:instrText>
      </w:r>
      <w:bookmarkEnd w:id="303"/>
      <w:r w:rsidRPr="00B1522E">
        <w:instrText xml:space="preserve"> " \f x\l 3 </w:instrText>
      </w:r>
      <w:r w:rsidRPr="00B1522E">
        <w:fldChar w:fldCharType="end"/>
      </w:r>
      <w:r w:rsidR="009674F3" w:rsidRPr="00B1522E">
        <w:t>9.5.2 Conclusion</w:t>
      </w:r>
      <w:bookmarkEnd w:id="302"/>
    </w:p>
    <w:p w14:paraId="6FD1FC64" w14:textId="505767A0" w:rsidR="009674F3" w:rsidRPr="00B1522E" w:rsidRDefault="009674F3" w:rsidP="00DA598E">
      <w:pPr>
        <w:spacing w:line="480" w:lineRule="auto"/>
        <w:jc w:val="both"/>
      </w:pPr>
      <w:r w:rsidRPr="00B1522E">
        <w:t xml:space="preserve">In conclusion, an in-school SNA intervention can actively engage young adolescents and created an opportunity for students to reflect on their normative perceptions, leading to a positive change in students’ unhealthy snacking. The findings from this study showed that the single-session SNA feedback intervention was an enjoyable and engaging method to deliver SNA feedback to young adolescents in a school setting which promoted their engagement in the interventions. For young adolescents, receiving SNA feedback that was easy to understand, in the presence of peers, helped them attend to the content and consider the credibility of the feedback. Nevertheless, </w:t>
      </w:r>
      <w:r w:rsidRPr="00B1522E">
        <w:rPr>
          <w:rFonts w:cstheme="minorHAnsi"/>
        </w:rPr>
        <w:t xml:space="preserve">SNA interventions need to be organized so </w:t>
      </w:r>
      <w:r w:rsidRPr="00B1522E">
        <w:rPr>
          <w:rFonts w:cstheme="minorHAnsi"/>
          <w:i/>
          <w:iCs/>
        </w:rPr>
        <w:t>all</w:t>
      </w:r>
      <w:r w:rsidRPr="00B1522E">
        <w:rPr>
          <w:rFonts w:cstheme="minorHAnsi"/>
        </w:rPr>
        <w:t xml:space="preserve"> students are afforded time to read and reflect on the SNA feedback</w:t>
      </w:r>
      <w:r w:rsidRPr="00B1522E">
        <w:t>. Furthermore, when collecting data about dietary behaviours, related attitudes, and normative perceptions of young adolescents, both questions and responses need to be clear and understandable, and individuals need to feel confident in their anonymity. SNA interventions which aim to improve unhealthy snacking of young adolescents in a school setting should consider delivering SNA feedback using an age-appropriate, enjoyable, and interactive method, in a group context affording time for all students to process, discuss and understand the SNA feedback being presented.</w:t>
      </w:r>
    </w:p>
    <w:p w14:paraId="65CC883B" w14:textId="77777777" w:rsidR="009674F3" w:rsidRPr="00B1522E" w:rsidRDefault="009674F3" w:rsidP="009674F3">
      <w:pPr>
        <w:spacing w:line="480" w:lineRule="auto"/>
        <w:jc w:val="both"/>
      </w:pPr>
    </w:p>
    <w:p w14:paraId="2B153BC2" w14:textId="2D5D7F7A" w:rsidR="0006775C" w:rsidRPr="00B1522E" w:rsidRDefault="0006775C" w:rsidP="00DD5BC7">
      <w:pPr>
        <w:rPr>
          <w:b/>
          <w:bCs/>
        </w:rPr>
      </w:pPr>
    </w:p>
    <w:p w14:paraId="76F0417C" w14:textId="7A0D2DE6" w:rsidR="00A4015F" w:rsidRPr="00B1522E" w:rsidRDefault="00A4015F" w:rsidP="00DD5BC7">
      <w:pPr>
        <w:rPr>
          <w:b/>
          <w:bCs/>
        </w:rPr>
      </w:pPr>
    </w:p>
    <w:p w14:paraId="66A6DA7F" w14:textId="2A19236A" w:rsidR="00A4015F" w:rsidRPr="00B1522E" w:rsidRDefault="00A4015F" w:rsidP="00DD5BC7">
      <w:pPr>
        <w:rPr>
          <w:b/>
          <w:bCs/>
        </w:rPr>
      </w:pPr>
    </w:p>
    <w:p w14:paraId="217054DA" w14:textId="6D7403A3" w:rsidR="00A4015F" w:rsidRPr="00B1522E" w:rsidRDefault="00A4015F" w:rsidP="00DD5BC7">
      <w:pPr>
        <w:rPr>
          <w:b/>
          <w:bCs/>
        </w:rPr>
      </w:pPr>
    </w:p>
    <w:p w14:paraId="16BC7941" w14:textId="578481F6" w:rsidR="00A4015F" w:rsidRPr="00B1522E" w:rsidRDefault="00A4015F" w:rsidP="00DD5BC7">
      <w:pPr>
        <w:rPr>
          <w:b/>
          <w:bCs/>
        </w:rPr>
      </w:pPr>
    </w:p>
    <w:p w14:paraId="117AA1EC" w14:textId="28A28F43" w:rsidR="00A4015F" w:rsidRPr="00B1522E" w:rsidRDefault="00A4015F" w:rsidP="00DD5BC7">
      <w:pPr>
        <w:rPr>
          <w:b/>
          <w:bCs/>
        </w:rPr>
      </w:pPr>
    </w:p>
    <w:p w14:paraId="7F5EBD7A" w14:textId="7097DDBD" w:rsidR="00A4015F" w:rsidRPr="00B1522E" w:rsidRDefault="00A4015F" w:rsidP="00DD5BC7">
      <w:pPr>
        <w:rPr>
          <w:b/>
          <w:bCs/>
        </w:rPr>
      </w:pPr>
    </w:p>
    <w:p w14:paraId="0D229592" w14:textId="02D0C9E6" w:rsidR="00A4015F" w:rsidRPr="00B1522E" w:rsidRDefault="00A4015F" w:rsidP="00DD5BC7">
      <w:pPr>
        <w:rPr>
          <w:b/>
          <w:bCs/>
        </w:rPr>
      </w:pPr>
    </w:p>
    <w:p w14:paraId="1EDE3773" w14:textId="4E0207C7" w:rsidR="00A4015F" w:rsidRPr="00B1522E" w:rsidRDefault="00A4015F" w:rsidP="00DD5BC7">
      <w:pPr>
        <w:rPr>
          <w:b/>
          <w:bCs/>
        </w:rPr>
      </w:pPr>
    </w:p>
    <w:p w14:paraId="3EF13556" w14:textId="4697E821" w:rsidR="00A4015F" w:rsidRPr="00B1522E" w:rsidRDefault="00A4015F" w:rsidP="00DD5BC7">
      <w:pPr>
        <w:rPr>
          <w:b/>
          <w:bCs/>
        </w:rPr>
      </w:pPr>
    </w:p>
    <w:p w14:paraId="4CB10331" w14:textId="3DD45A66" w:rsidR="00A4015F" w:rsidRPr="00B1522E" w:rsidRDefault="00A4015F" w:rsidP="00DD5BC7">
      <w:pPr>
        <w:rPr>
          <w:b/>
          <w:bCs/>
        </w:rPr>
      </w:pPr>
    </w:p>
    <w:p w14:paraId="0A5F95AA" w14:textId="77777777" w:rsidR="00A4015F" w:rsidRPr="00B1522E" w:rsidRDefault="00A4015F" w:rsidP="00DD5BC7">
      <w:pPr>
        <w:rPr>
          <w:b/>
          <w:bCs/>
        </w:rPr>
      </w:pPr>
    </w:p>
    <w:p w14:paraId="36962F9C" w14:textId="3AAD3C34" w:rsidR="0006775C" w:rsidRPr="00B1522E" w:rsidRDefault="0006775C" w:rsidP="00DD5BC7">
      <w:pPr>
        <w:rPr>
          <w:b/>
          <w:bCs/>
        </w:rPr>
      </w:pPr>
    </w:p>
    <w:p w14:paraId="22EB6A23" w14:textId="3C5392FD" w:rsidR="0006775C" w:rsidRPr="00B1522E" w:rsidRDefault="0006775C" w:rsidP="00DD5BC7">
      <w:pPr>
        <w:rPr>
          <w:b/>
          <w:bCs/>
        </w:rPr>
      </w:pPr>
    </w:p>
    <w:p w14:paraId="6D3AB851" w14:textId="0DBCE9CC" w:rsidR="0006775C" w:rsidRPr="00B1522E" w:rsidRDefault="00307E6F" w:rsidP="00DD5BC7">
      <w:pPr>
        <w:rPr>
          <w:b/>
          <w:bCs/>
        </w:rPr>
      </w:pPr>
      <w:r w:rsidRPr="00B1522E">
        <w:rPr>
          <w:noProof/>
        </w:rPr>
        <mc:AlternateContent>
          <mc:Choice Requires="wps">
            <w:drawing>
              <wp:anchor distT="91440" distB="91440" distL="114300" distR="114300" simplePos="0" relativeHeight="251725824" behindDoc="0" locked="0" layoutInCell="1" allowOverlap="1" wp14:anchorId="02782DE3" wp14:editId="7FD5BE20">
                <wp:simplePos x="0" y="0"/>
                <wp:positionH relativeFrom="page">
                  <wp:posOffset>1055370</wp:posOffset>
                </wp:positionH>
                <wp:positionV relativeFrom="paragraph">
                  <wp:posOffset>85090</wp:posOffset>
                </wp:positionV>
                <wp:extent cx="5908675" cy="1049655"/>
                <wp:effectExtent l="0" t="0" r="0" b="0"/>
                <wp:wrapTopAndBottom/>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049655"/>
                        </a:xfrm>
                        <a:prstGeom prst="rect">
                          <a:avLst/>
                        </a:prstGeom>
                        <a:noFill/>
                        <a:ln w="9525">
                          <a:solidFill>
                            <a:schemeClr val="bg1"/>
                          </a:solidFill>
                          <a:miter lim="800000"/>
                          <a:headEnd/>
                          <a:tailEnd/>
                        </a:ln>
                      </wps:spPr>
                      <wps:txbx>
                        <w:txbxContent>
                          <w:p w14:paraId="5BF84879" w14:textId="1C8FD678" w:rsidR="00A26B00" w:rsidRPr="00C8067C" w:rsidRDefault="002C28FB" w:rsidP="00A26B00">
                            <w:pPr>
                              <w:pBdr>
                                <w:top w:val="single" w:sz="24" w:space="8" w:color="auto"/>
                                <w:bottom w:val="single" w:sz="24" w:space="8" w:color="auto"/>
                              </w:pBdr>
                              <w:spacing w:after="0"/>
                              <w:jc w:val="center"/>
                              <w:rPr>
                                <w:sz w:val="48"/>
                                <w:szCs w:val="48"/>
                              </w:rPr>
                            </w:pPr>
                            <w:r w:rsidRPr="00106F1A">
                              <w:fldChar w:fldCharType="begin"/>
                            </w:r>
                            <w:r w:rsidRPr="00106F1A">
                              <w:instrText xml:space="preserve"> TC  "</w:instrText>
                            </w:r>
                            <w:bookmarkStart w:id="304" w:name="_Toc97310527"/>
                            <w:r w:rsidRPr="00F805D9">
                              <w:rPr>
                                <w:b/>
                                <w:bCs/>
                              </w:rPr>
                              <w:instrText>Chapter 10</w:instrText>
                            </w:r>
                            <w:r w:rsidR="00F805D9" w:rsidRPr="00F805D9">
                              <w:rPr>
                                <w:b/>
                                <w:bCs/>
                              </w:rPr>
                              <w:instrText>. General Discussion</w:instrText>
                            </w:r>
                            <w:bookmarkEnd w:id="304"/>
                            <w:r w:rsidRPr="00F805D9">
                              <w:rPr>
                                <w:b/>
                                <w:bCs/>
                              </w:rPr>
                              <w:instrText xml:space="preserve"> </w:instrText>
                            </w:r>
                            <w:r w:rsidRPr="00106F1A">
                              <w:instrText xml:space="preserve">" \f x\l </w:instrText>
                            </w:r>
                            <w:r>
                              <w:instrText>1</w:instrText>
                            </w:r>
                            <w:r w:rsidRPr="00106F1A">
                              <w:instrText xml:space="preserve"> </w:instrText>
                            </w:r>
                            <w:r w:rsidRPr="00106F1A">
                              <w:fldChar w:fldCharType="end"/>
                            </w:r>
                            <w:r w:rsidR="00A26B00" w:rsidRPr="00C8067C">
                              <w:rPr>
                                <w:sz w:val="48"/>
                                <w:szCs w:val="48"/>
                              </w:rPr>
                              <w:t xml:space="preserve">Chapter </w:t>
                            </w:r>
                            <w:r w:rsidR="00A26B00">
                              <w:rPr>
                                <w:sz w:val="48"/>
                                <w:szCs w:val="48"/>
                              </w:rPr>
                              <w:t>10</w:t>
                            </w:r>
                          </w:p>
                          <w:p w14:paraId="5F012A77" w14:textId="77777777" w:rsidR="00A26B00" w:rsidRPr="00036448" w:rsidRDefault="00A26B00" w:rsidP="00A26B00">
                            <w:pPr>
                              <w:pBdr>
                                <w:top w:val="single" w:sz="24" w:space="8" w:color="auto"/>
                                <w:bottom w:val="single" w:sz="24" w:space="8" w:color="auto"/>
                              </w:pBdr>
                              <w:spacing w:after="0"/>
                              <w:jc w:val="center"/>
                              <w:rPr>
                                <w:sz w:val="32"/>
                                <w:szCs w:val="32"/>
                              </w:rPr>
                            </w:pPr>
                            <w:r>
                              <w:rPr>
                                <w:sz w:val="32"/>
                                <w:szCs w:val="32"/>
                              </w:rPr>
                              <w:t xml:space="preserve">General Discussion </w:t>
                            </w:r>
                          </w:p>
                          <w:p w14:paraId="4AC6EF45" w14:textId="77777777" w:rsidR="00D1262B" w:rsidRDefault="00D1262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82DE3" id="_x0000_s1045" type="#_x0000_t202" style="position:absolute;margin-left:83.1pt;margin-top:6.7pt;width:465.25pt;height:82.65pt;z-index:2517258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" filled="f" strokecolor="white [3212]">
                <v:textbox style="mso-fit-shape-to-text:t">
                  <w:txbxContent>
                    <w:p w14:paraId="5BF84879" w14:textId="1C8FD678" w:rsidR="00A26B00" w:rsidRPr="00C8067C" w:rsidRDefault="002C28FB" w:rsidP="00A26B00">
                      <w:pPr>
                        <w:pBdr>
                          <w:top w:val="single" w:sz="24" w:space="8" w:color="auto"/>
                          <w:bottom w:val="single" w:sz="24" w:space="8" w:color="auto"/>
                        </w:pBdr>
                        <w:spacing w:after="0"/>
                        <w:jc w:val="center"/>
                        <w:rPr>
                          <w:sz w:val="48"/>
                          <w:szCs w:val="48"/>
                        </w:rPr>
                      </w:pPr>
                      <w:r w:rsidRPr="00106F1A">
                        <w:fldChar w:fldCharType="begin"/>
                      </w:r>
                      <w:r w:rsidRPr="00106F1A">
                        <w:instrText xml:space="preserve"> TC  "</w:instrText>
                      </w:r>
                      <w:bookmarkStart w:id="305" w:name="_Toc97310527"/>
                      <w:r w:rsidRPr="00F805D9">
                        <w:rPr>
                          <w:b/>
                          <w:bCs/>
                        </w:rPr>
                        <w:instrText>Chapter 10</w:instrText>
                      </w:r>
                      <w:r w:rsidR="00F805D9" w:rsidRPr="00F805D9">
                        <w:rPr>
                          <w:b/>
                          <w:bCs/>
                        </w:rPr>
                        <w:instrText>. General Discussion</w:instrText>
                      </w:r>
                      <w:bookmarkEnd w:id="305"/>
                      <w:r w:rsidRPr="00F805D9">
                        <w:rPr>
                          <w:b/>
                          <w:bCs/>
                        </w:rPr>
                        <w:instrText xml:space="preserve"> </w:instrText>
                      </w:r>
                      <w:r w:rsidRPr="00106F1A">
                        <w:instrText xml:space="preserve">" \f x\l </w:instrText>
                      </w:r>
                      <w:r>
                        <w:instrText>1</w:instrText>
                      </w:r>
                      <w:r w:rsidRPr="00106F1A">
                        <w:instrText xml:space="preserve"> </w:instrText>
                      </w:r>
                      <w:r w:rsidRPr="00106F1A">
                        <w:fldChar w:fldCharType="end"/>
                      </w:r>
                      <w:r w:rsidR="00A26B00" w:rsidRPr="00C8067C">
                        <w:rPr>
                          <w:sz w:val="48"/>
                          <w:szCs w:val="48"/>
                        </w:rPr>
                        <w:t xml:space="preserve">Chapter </w:t>
                      </w:r>
                      <w:r w:rsidR="00A26B00">
                        <w:rPr>
                          <w:sz w:val="48"/>
                          <w:szCs w:val="48"/>
                        </w:rPr>
                        <w:t>10</w:t>
                      </w:r>
                    </w:p>
                    <w:p w14:paraId="5F012A77" w14:textId="77777777" w:rsidR="00A26B00" w:rsidRPr="00036448" w:rsidRDefault="00A26B00" w:rsidP="00A26B00">
                      <w:pPr>
                        <w:pBdr>
                          <w:top w:val="single" w:sz="24" w:space="8" w:color="auto"/>
                          <w:bottom w:val="single" w:sz="24" w:space="8" w:color="auto"/>
                        </w:pBdr>
                        <w:spacing w:after="0"/>
                        <w:jc w:val="center"/>
                        <w:rPr>
                          <w:sz w:val="32"/>
                          <w:szCs w:val="32"/>
                        </w:rPr>
                      </w:pPr>
                      <w:r>
                        <w:rPr>
                          <w:sz w:val="32"/>
                          <w:szCs w:val="32"/>
                        </w:rPr>
                        <w:t xml:space="preserve">General Discussion </w:t>
                      </w:r>
                    </w:p>
                    <w:p w14:paraId="4AC6EF45" w14:textId="77777777" w:rsidR="00D1262B" w:rsidRDefault="00D1262B"/>
                  </w:txbxContent>
                </v:textbox>
                <w10:wrap type="topAndBottom" anchorx="page"/>
              </v:shape>
            </w:pict>
          </mc:Fallback>
        </mc:AlternateContent>
      </w:r>
    </w:p>
    <w:p w14:paraId="127C8BE6" w14:textId="4F0FA65C" w:rsidR="0006775C" w:rsidRPr="00B1522E" w:rsidRDefault="0006775C" w:rsidP="00DD5BC7">
      <w:pPr>
        <w:rPr>
          <w:b/>
          <w:bCs/>
        </w:rPr>
      </w:pPr>
    </w:p>
    <w:p w14:paraId="266DF86B" w14:textId="63DFECB2" w:rsidR="0006775C" w:rsidRPr="00B1522E" w:rsidRDefault="0006775C" w:rsidP="00DD5BC7">
      <w:pPr>
        <w:rPr>
          <w:b/>
          <w:bCs/>
        </w:rPr>
      </w:pPr>
    </w:p>
    <w:p w14:paraId="208861FA" w14:textId="2B236A38" w:rsidR="0006775C" w:rsidRPr="00B1522E" w:rsidRDefault="0006775C" w:rsidP="00DD5BC7">
      <w:pPr>
        <w:rPr>
          <w:b/>
          <w:bCs/>
        </w:rPr>
      </w:pPr>
    </w:p>
    <w:p w14:paraId="08AEBB3E" w14:textId="3251E548" w:rsidR="0006775C" w:rsidRPr="00B1522E" w:rsidRDefault="0006775C" w:rsidP="00DD5BC7">
      <w:pPr>
        <w:rPr>
          <w:b/>
          <w:bCs/>
        </w:rPr>
      </w:pPr>
    </w:p>
    <w:p w14:paraId="501A0900" w14:textId="77777777" w:rsidR="00A26B00" w:rsidRPr="00B1522E" w:rsidRDefault="00A26B00" w:rsidP="00A26B00">
      <w:pPr>
        <w:rPr>
          <w:sz w:val="44"/>
          <w:szCs w:val="44"/>
          <w:lang w:val="nl-NL"/>
        </w:rPr>
      </w:pPr>
    </w:p>
    <w:p w14:paraId="709805E8" w14:textId="62E53206" w:rsidR="00307E6F" w:rsidRPr="00B1522E" w:rsidRDefault="00307E6F" w:rsidP="00307E6F">
      <w:pPr>
        <w:rPr>
          <w:sz w:val="44"/>
          <w:szCs w:val="44"/>
          <w:lang w:val="nl-NL"/>
        </w:rPr>
      </w:pPr>
    </w:p>
    <w:p w14:paraId="30ADA135" w14:textId="43C041F4" w:rsidR="0056434B" w:rsidRPr="00B1522E" w:rsidRDefault="0056434B" w:rsidP="00307E6F">
      <w:pPr>
        <w:rPr>
          <w:sz w:val="44"/>
          <w:szCs w:val="44"/>
          <w:lang w:val="nl-NL"/>
        </w:rPr>
      </w:pPr>
    </w:p>
    <w:p w14:paraId="3CDE962D" w14:textId="77777777" w:rsidR="00EE1780" w:rsidRPr="00B1522E" w:rsidRDefault="00EE1780" w:rsidP="0056434B">
      <w:pPr>
        <w:spacing w:line="480" w:lineRule="auto"/>
        <w:rPr>
          <w:lang w:val="nl-NL"/>
        </w:rPr>
      </w:pPr>
    </w:p>
    <w:p w14:paraId="2DCF53F4" w14:textId="77777777" w:rsidR="00756CCF" w:rsidRPr="00B1522E" w:rsidRDefault="00756CCF" w:rsidP="00EE1780">
      <w:pPr>
        <w:spacing w:line="480" w:lineRule="auto"/>
      </w:pPr>
    </w:p>
    <w:p w14:paraId="38ED770A" w14:textId="7CDFB929" w:rsidR="00A26B00" w:rsidRPr="00B1522E" w:rsidRDefault="000A514C" w:rsidP="00EE1780">
      <w:pPr>
        <w:spacing w:line="480" w:lineRule="auto"/>
        <w:rPr>
          <w:sz w:val="44"/>
          <w:szCs w:val="44"/>
          <w:lang w:val="nl-NL"/>
        </w:rPr>
      </w:pPr>
      <w:r w:rsidRPr="00B1522E">
        <w:lastRenderedPageBreak/>
        <w:fldChar w:fldCharType="begin"/>
      </w:r>
      <w:r w:rsidRPr="00B1522E">
        <w:instrText xml:space="preserve"> TC  "</w:instrText>
      </w:r>
      <w:bookmarkStart w:id="306" w:name="_Toc97310528"/>
      <w:r w:rsidRPr="00B1522E">
        <w:instrText>10.1 Introduction</w:instrText>
      </w:r>
      <w:bookmarkEnd w:id="306"/>
      <w:r w:rsidRPr="00B1522E">
        <w:instrText xml:space="preserve"> " \f x\l 2 </w:instrText>
      </w:r>
      <w:r w:rsidRPr="00B1522E">
        <w:fldChar w:fldCharType="end"/>
      </w:r>
      <w:r w:rsidR="00A26B00" w:rsidRPr="00B1522E">
        <w:rPr>
          <w:rFonts w:cstheme="minorHAnsi"/>
          <w:b/>
          <w:bCs/>
        </w:rPr>
        <w:t xml:space="preserve">10.1 Introduction </w:t>
      </w:r>
    </w:p>
    <w:p w14:paraId="08FC9620" w14:textId="77777777" w:rsidR="00A26B00" w:rsidRPr="00B1522E" w:rsidRDefault="00A26B00" w:rsidP="0056434B">
      <w:pPr>
        <w:spacing w:line="480" w:lineRule="auto"/>
        <w:jc w:val="both"/>
      </w:pPr>
      <w:r w:rsidRPr="00B1522E">
        <w:t xml:space="preserve">This Chapter will demonstrate how the findings presented in the previous Chapters link together to address the overall thesis aim and objectives, followed by a discussion of the strengths and limitations of the work. Also outlined are both the theoretical and practical implications and areas for future research, before a reflection on how the researcher influenced, and was influenced by, the research. </w:t>
      </w:r>
    </w:p>
    <w:p w14:paraId="5D17F4C8" w14:textId="77777777" w:rsidR="00A26B00" w:rsidRPr="00B1522E" w:rsidRDefault="00A26B00" w:rsidP="00A26B00">
      <w:pPr>
        <w:spacing w:line="480" w:lineRule="auto"/>
        <w:jc w:val="both"/>
        <w:rPr>
          <w:rFonts w:cstheme="minorHAnsi"/>
        </w:rPr>
      </w:pPr>
    </w:p>
    <w:p w14:paraId="7B168E78" w14:textId="32A544B3" w:rsidR="00A26B00" w:rsidRPr="00B1522E" w:rsidRDefault="000A514C" w:rsidP="00A26B00">
      <w:pPr>
        <w:spacing w:line="480" w:lineRule="auto"/>
        <w:rPr>
          <w:rFonts w:cstheme="minorHAnsi"/>
          <w:b/>
          <w:bCs/>
        </w:rPr>
      </w:pPr>
      <w:r w:rsidRPr="00B1522E">
        <w:fldChar w:fldCharType="begin"/>
      </w:r>
      <w:r w:rsidRPr="00B1522E">
        <w:instrText xml:space="preserve"> TC  "</w:instrText>
      </w:r>
      <w:bookmarkStart w:id="307" w:name="_Toc97310529"/>
      <w:r w:rsidRPr="00B1522E">
        <w:instrText>10.2 Addressing the thesis aims and objectives</w:instrText>
      </w:r>
      <w:bookmarkEnd w:id="307"/>
      <w:r w:rsidRPr="00B1522E">
        <w:instrText xml:space="preserve">" \f x\l 2 </w:instrText>
      </w:r>
      <w:r w:rsidRPr="00B1522E">
        <w:fldChar w:fldCharType="end"/>
      </w:r>
      <w:r w:rsidR="00A26B00" w:rsidRPr="00B1522E">
        <w:rPr>
          <w:rFonts w:cstheme="minorHAnsi"/>
          <w:b/>
          <w:bCs/>
        </w:rPr>
        <w:t>10.2 Addressing the thesis aims and objectives</w:t>
      </w:r>
    </w:p>
    <w:p w14:paraId="2B648E6D" w14:textId="77777777" w:rsidR="00A26B00" w:rsidRPr="00B1522E" w:rsidRDefault="00A26B00" w:rsidP="00A26B00">
      <w:pPr>
        <w:spacing w:line="480" w:lineRule="auto"/>
        <w:jc w:val="both"/>
      </w:pPr>
      <w:r w:rsidRPr="00B1522E">
        <w:t xml:space="preserve">This thesis aimed to examine whether an in-school Social Norms Approach (SNA) intervention can be applied to reduce the unhealthy dietary behaviours of secondary school students. The main aim of the thesis was addressed through five objectives. The findings are now considered in relation to the five objectives. </w:t>
      </w:r>
    </w:p>
    <w:p w14:paraId="4BB8B6C0" w14:textId="77777777" w:rsidR="00A26B00" w:rsidRPr="00B1522E" w:rsidRDefault="00A26B00" w:rsidP="00A26B00">
      <w:pPr>
        <w:spacing w:line="480" w:lineRule="auto"/>
        <w:jc w:val="both"/>
      </w:pPr>
    </w:p>
    <w:p w14:paraId="0847C4B6" w14:textId="77777777" w:rsidR="00A26B00" w:rsidRPr="00B1522E" w:rsidRDefault="00A26B00" w:rsidP="00A26B00">
      <w:pPr>
        <w:pStyle w:val="ListParagraph"/>
        <w:spacing w:line="480" w:lineRule="auto"/>
        <w:ind w:left="408"/>
        <w:jc w:val="both"/>
        <w:rPr>
          <w:rFonts w:cstheme="minorHAnsi"/>
          <w:i/>
          <w:iCs/>
        </w:rPr>
      </w:pPr>
      <w:r w:rsidRPr="00B1522E">
        <w:rPr>
          <w:rFonts w:cstheme="minorHAnsi"/>
          <w:i/>
          <w:iCs/>
        </w:rPr>
        <w:t>Objective 1. To understand the perceived influences and barriers associated with healthy and unhealthy food choices amongst secondary school students.</w:t>
      </w:r>
    </w:p>
    <w:p w14:paraId="44522F3E" w14:textId="789B24AA" w:rsidR="00A26B00" w:rsidRPr="00B1522E" w:rsidRDefault="00A26B00" w:rsidP="00A26B00">
      <w:pPr>
        <w:spacing w:line="480" w:lineRule="auto"/>
        <w:jc w:val="both"/>
      </w:pPr>
      <w:r w:rsidRPr="00B1522E">
        <w:t xml:space="preserve">Meeting the first objective, Chapter 5 (Study One) explored the perceived influences and barriers associated with healthy and unhealthy food choices amongst secondary school students through a series of focus group discussions </w:t>
      </w:r>
      <w:r w:rsidRPr="00B1522E">
        <w:fldChar w:fldCharType="begin" w:fldLock="1"/>
      </w:r>
      <w:r w:rsidR="00C654DE" w:rsidRPr="00B1522E">
        <w:instrText>ADDIN CSL_CITATION {"citationItems":[{"id":"ITEM-1","itemData":{"ISSN":"0007-070X","abstract":"Purpose Childhood obesity is a major global health concern. Understanding children's and adolescent’s eating behaviours and promoting healthier behaviours is key for reducing the negative health outcomes associated with obesity. The current study explored the perceptions of healthy eating behaviours and the influences on eating behaviours amongst 11-to-13-year-old secondary school students.Design/methodology/approach Nine semi-structured same-sex focus group discussions were conducted in schools located in deprived areas of England, with the discussions subjected to a thematic framework analysis.Findings Three main constructs were identified in the analysis as follows: (1) eating patterns and lifestyle, (2) social influences and (3) environmental influences. Participants understood what healthy eating behaviours are and the benefits of eating healthy; yet, they reported irregular mealtimes and consuming unhealthy snacks. Students reported that their parents and fellow student peers were strong influences on their own eating behaviours, with girls subjected to being teased by male students for attempting to eat healthily. Finally, students perceived that unhealthy foods were cheaper, tasted better and were readily available in their social environments compared to healthier options, making healthier behaviours less likely to occur.Originality/value Findings indicate that students had a good understanding of healthy eating behaviours but did not always practise them and are seemingly influenced by their social and environmental context. The promotion of healthier eating in this age group needs to challenge the misperceptions associated with the accessibility and social acceptability of unhealthy food items.","author":[{"dropping-particle":"","family":"Calvert","given":"Sian","non-dropping-particle":"","parse-names":false,"suffix":""},{"dropping-particle":"","family":"Dempsey","given":"Robert C","non-dropping-particle":"","parse-names":false,"suffix":""},{"dropping-particle":"","family":"Povey","given":"Rachel","non-dropping-particle":"","parse-names":false,"suffix":""}],"container-title":"British Food Journal","id":"ITEM-1","issue":"4","issued":{"date-parts":[["2020","1","1"]]},"page":"1027-1039","publisher":"Emerald Publishing Limited","title":"A qualitative study investigating food choices and perceived psychosocial influences on eating behaviours in secondary school students","type":"article-journal","volume":"122"},"uris":["http://www.mendeley.com/documents/?uuid=e1e10531-7b54-405b-bd74-1860d2310949"]}],"mendeley":{"formattedCitation":"(Calvert et al., 2020)","plainTextFormattedCitation":"(Calvert et al., 2020)","previouslyFormattedCitation":"(Calvert et al., 2020)"},"properties":{"noteIndex":0},"schema":"https://github.com/citation-style-language/schema/raw/master/csl-citation.json"}</w:instrText>
      </w:r>
      <w:r w:rsidRPr="00B1522E">
        <w:fldChar w:fldCharType="separate"/>
      </w:r>
      <w:r w:rsidR="00355350" w:rsidRPr="00B1522E">
        <w:rPr>
          <w:noProof/>
        </w:rPr>
        <w:t>(Calvert et al., 2020)</w:t>
      </w:r>
      <w:r w:rsidRPr="00B1522E">
        <w:fldChar w:fldCharType="end"/>
      </w:r>
      <w:r w:rsidRPr="00B1522E">
        <w:t xml:space="preserve">.  The findings from this study highlighted that whilst students had a good understanding of healthy dietary behaviours, and showed an awareness of the short-term lifestyle benefits of a healthy diet and the potential long-term consequences of an unhealthy diet, students would often skip meals and consume unhealthy snacks. The focus groups with 11–13-year-olds identified a number of influences and barriers to healthy dietary behaviours, with adolescents highlighting that they perceived that unhealthy foodstuffs were cheaper, tasted better, and were more readily available in their social environment compared to healthier alternatives, making healthier dietary behaviours less likely to occur. This study demonstrated that students’ dietary behaviours were determined by the influences of their social and environmental </w:t>
      </w:r>
      <w:r w:rsidRPr="00B1522E">
        <w:lastRenderedPageBreak/>
        <w:t xml:space="preserve">surroundings, particularly the perceived behaviours of their peers. Students perceived peers to engage in unhealthy dietary behaviours and did not want to be seen to be different from their peers and so would model their personal dietary consumption accordingly (i.e., they also engaged in unhealthy snacking behaviours).  If students believed that healthy dietary behaviours were perceived to be more socially acceptable and more commonplace amongst their peers, then they would be encouraged to eat more healthily. </w:t>
      </w:r>
    </w:p>
    <w:p w14:paraId="1FEB2F0C" w14:textId="77777777" w:rsidR="00A26B00" w:rsidRPr="00B1522E" w:rsidRDefault="00A26B00" w:rsidP="00A26B00">
      <w:pPr>
        <w:spacing w:line="480" w:lineRule="auto"/>
        <w:jc w:val="both"/>
      </w:pPr>
    </w:p>
    <w:p w14:paraId="1C78AAD1" w14:textId="77777777" w:rsidR="00A26B00" w:rsidRPr="00B1522E" w:rsidRDefault="00A26B00" w:rsidP="00A26B00">
      <w:pPr>
        <w:spacing w:line="480" w:lineRule="auto"/>
        <w:ind w:left="720"/>
        <w:jc w:val="both"/>
        <w:rPr>
          <w:i/>
          <w:iCs/>
        </w:rPr>
      </w:pPr>
      <w:r w:rsidRPr="00B1522E">
        <w:rPr>
          <w:i/>
          <w:iCs/>
        </w:rPr>
        <w:t>Objective 2. To develop an in-school SNA intervention which targets unhealthy dietary behaviours of students.</w:t>
      </w:r>
    </w:p>
    <w:p w14:paraId="489631E9" w14:textId="285FEA27" w:rsidR="00A26B00" w:rsidRPr="00B1522E" w:rsidRDefault="00A26B00" w:rsidP="002D57EA">
      <w:pPr>
        <w:spacing w:line="480" w:lineRule="auto"/>
        <w:jc w:val="both"/>
      </w:pPr>
      <w:r w:rsidRPr="00B1522E">
        <w:t>The insight gained from Study One (Chapter 5), along with an extensive literature review of school-based interventions which target the unhealthy dietary behaviours of adolescents (Chapter 2) and a review of the SNA literature (Chapter 3), combined with meetings with key stakeholders of teachers and input from a student advisory group, informed the design of the in-school SNA intervention which targeted the unhealthy snacking of students (Chapter 6), thus meeting the second objective.</w:t>
      </w:r>
      <w:r w:rsidR="002D57EA" w:rsidRPr="00B1522E">
        <w:t xml:space="preserve"> T</w:t>
      </w:r>
      <w:r w:rsidRPr="00B1522E">
        <w:t xml:space="preserve">he SNA intervention developed in this thesis aimed to deliver normative feedback </w:t>
      </w:r>
      <w:r w:rsidRPr="00B1522E">
        <w:rPr>
          <w:shd w:val="clear" w:color="auto" w:fill="FFFFFF"/>
        </w:rPr>
        <w:t xml:space="preserve">(outlining the </w:t>
      </w:r>
      <w:r w:rsidRPr="00B1522E">
        <w:t>discrepancies between perceived and actual unhealthy snacking</w:t>
      </w:r>
      <w:r w:rsidRPr="00B1522E">
        <w:rPr>
          <w:shd w:val="clear" w:color="auto" w:fill="FFFFFF"/>
        </w:rPr>
        <w:t xml:space="preserve"> of the majority based on baseline data) to young adolescents through an interactive in-school poster-making session facilitated by teachers (Chapter 6 provides the full details of the intervention development process).</w:t>
      </w:r>
      <w:r w:rsidRPr="00B1522E">
        <w:rPr>
          <w:lang w:eastAsia="en-GB"/>
        </w:rPr>
        <w:t xml:space="preserve"> </w:t>
      </w:r>
    </w:p>
    <w:p w14:paraId="45058AAA" w14:textId="77777777" w:rsidR="00A26B00" w:rsidRPr="00B1522E" w:rsidRDefault="00A26B00" w:rsidP="00A26B00">
      <w:pPr>
        <w:spacing w:line="480" w:lineRule="auto"/>
        <w:ind w:firstLine="720"/>
        <w:jc w:val="both"/>
      </w:pPr>
    </w:p>
    <w:p w14:paraId="00A57F7E" w14:textId="77777777" w:rsidR="00A26B00" w:rsidRPr="00B1522E" w:rsidRDefault="00A26B00" w:rsidP="00A26B00">
      <w:pPr>
        <w:spacing w:line="480" w:lineRule="auto"/>
        <w:ind w:left="720"/>
        <w:jc w:val="both"/>
        <w:rPr>
          <w:rFonts w:eastAsia="Times New Roman" w:cstheme="minorHAnsi"/>
          <w:i/>
          <w:iCs/>
          <w:lang w:eastAsia="en-GB"/>
        </w:rPr>
      </w:pPr>
      <w:r w:rsidRPr="00B1522E">
        <w:rPr>
          <w:rFonts w:eastAsia="Times New Roman" w:cstheme="minorHAnsi"/>
          <w:i/>
          <w:iCs/>
          <w:lang w:eastAsia="en-GB"/>
        </w:rPr>
        <w:t>Objective 3. To test for the existence of dietary-related misperceptions amongst students and whether these misperceptions are associated with personal behaviour.</w:t>
      </w:r>
    </w:p>
    <w:p w14:paraId="6818AF2E" w14:textId="79A2602B" w:rsidR="00A26B00" w:rsidRPr="00B1522E" w:rsidRDefault="00A26B00" w:rsidP="00A26B00">
      <w:pPr>
        <w:spacing w:line="480" w:lineRule="auto"/>
        <w:jc w:val="both"/>
      </w:pPr>
      <w:r w:rsidRPr="00B1522E">
        <w:t xml:space="preserve">Establishing whether normative misperceptions exist amongst a population is an important initial stage towards challenging inaccurate normative perceptions </w:t>
      </w:r>
      <w:r w:rsidRPr="00B1522E">
        <w:fldChar w:fldCharType="begin" w:fldLock="1"/>
      </w:r>
      <w:r w:rsidR="00994117" w:rsidRPr="00B1522E">
        <w:instrText>ADDIN CSL_CITATION {"citationItems":[{"id":"ITEM-1","itemData":{"author":[{"dropping-particle":"","family":"Berkowitz","given":"Alan D","non-dropping-particle":"","parse-names":false,"suffix":""}],"id":"ITEM-1","issued":{"date-parts":[["2004"]]},"publisher":"PaperClip Communications","title":"The social norms approach: Theory, research, and annotated bibliography","type":"report"},"uris":["http://www.mendeley.com/documents/?uuid=4bc62b98-0c27-4fe6-9a18-065622466593"]}],"mendeley":{"formattedCitation":"(Berkowitz, 2004)","plainTextFormattedCitation":"(Berkowitz, 2004)","previouslyFormattedCitation":"(Berkowitz, 2004)"},"properties":{"noteIndex":0},"schema":"https://github.com/citation-style-language/schema/raw/master/csl-citation.json"}</w:instrText>
      </w:r>
      <w:r w:rsidRPr="00B1522E">
        <w:fldChar w:fldCharType="separate"/>
      </w:r>
      <w:r w:rsidRPr="00B1522E">
        <w:rPr>
          <w:noProof/>
        </w:rPr>
        <w:t>(Berkowitz, 2004)</w:t>
      </w:r>
      <w:r w:rsidRPr="00B1522E">
        <w:fldChar w:fldCharType="end"/>
      </w:r>
      <w:r w:rsidRPr="00B1522E">
        <w:t xml:space="preserve">.  Meeting the third objective, Study Two (Chapter 7) investigated whether </w:t>
      </w:r>
      <w:r w:rsidRPr="00B1522E">
        <w:rPr>
          <w:rFonts w:eastAsia="Calibri"/>
          <w:noProof/>
        </w:rPr>
        <w:t xml:space="preserve">there were </w:t>
      </w:r>
      <w:r w:rsidRPr="00B1522E">
        <w:rPr>
          <w:noProof/>
        </w:rPr>
        <w:t>discrepancies</w:t>
      </w:r>
      <w:r w:rsidRPr="00B1522E">
        <w:rPr>
          <w:rFonts w:eastAsia="Calibri"/>
          <w:noProof/>
        </w:rPr>
        <w:t xml:space="preserve"> between actual snacking-related behaviours and attitudes with perceived snacking-related norms of students, and th</w:t>
      </w:r>
      <w:r w:rsidRPr="00B1522E">
        <w:rPr>
          <w:rFonts w:eastAsia="Calibri"/>
        </w:rPr>
        <w:t xml:space="preserve">e </w:t>
      </w:r>
      <w:r w:rsidRPr="00B1522E">
        <w:rPr>
          <w:rFonts w:eastAsia="Calibri"/>
        </w:rPr>
        <w:lastRenderedPageBreak/>
        <w:t xml:space="preserve">extent to which these </w:t>
      </w:r>
      <w:r w:rsidRPr="00B1522E">
        <w:rPr>
          <w:noProof/>
        </w:rPr>
        <w:t>discrepancies</w:t>
      </w:r>
      <w:r w:rsidRPr="00B1522E">
        <w:rPr>
          <w:rFonts w:eastAsia="Calibri"/>
        </w:rPr>
        <w:t xml:space="preserve"> are associated with students’ own snacking-related behaviours, attitudes and intentions to reduce snacking </w:t>
      </w:r>
      <w:r w:rsidRPr="00B1522E">
        <w:rPr>
          <w:rFonts w:eastAsia="Calibri"/>
        </w:rPr>
        <w:fldChar w:fldCharType="begin" w:fldLock="1"/>
      </w:r>
      <w:r w:rsidRPr="00B1522E">
        <w:rPr>
          <w:rFonts w:eastAsia="Calibri"/>
        </w:rPr>
        <w:instrText>ADDIN CSL_CITATION {"citationItems":[{"id":"ITEM-1","itemData":{"ISSN":"0195-6663","author":[{"dropping-particle":"","family":"Calvert","given":"Sian","non-dropping-particle":"","parse-names":false,"suffix":""},{"dropping-particle":"","family":"Dempsey","given":"Robert C","non-dropping-particle":"","parse-names":false,"suffix":""},{"dropping-particle":"","family":"Povey","given":"Rachel","non-dropping-particle":"","parse-names":false,"suffix":""}],"container-title":"Appetite","id":"ITEM-1","issued":{"date-parts":[["2021"]]},"page":"105462","publisher":"Elsevier","title":"Normative misperceptions of unhealthy snacking amongst 11-to 12-year-old secondary school students.","type":"article-journal","volume":"166"},"uris":["http://www.mendeley.com/documents/?uuid=910491bf-a1ec-45dd-96c2-11f54b2d3c84"]}],"mendeley":{"formattedCitation":"(Calvert et al., 2021)","plainTextFormattedCitation":"(Calvert et al., 2021)","previouslyFormattedCitation":"(Calvert et al., 2021)"},"properties":{"noteIndex":0},"schema":"https://github.com/citation-style-language/schema/raw/master/csl-citation.json"}</w:instrText>
      </w:r>
      <w:r w:rsidRPr="00B1522E">
        <w:rPr>
          <w:rFonts w:eastAsia="Calibri"/>
        </w:rPr>
        <w:fldChar w:fldCharType="separate"/>
      </w:r>
      <w:r w:rsidRPr="00B1522E">
        <w:rPr>
          <w:rFonts w:eastAsia="Calibri"/>
          <w:noProof/>
        </w:rPr>
        <w:t>(Calvert et al., 2021)</w:t>
      </w:r>
      <w:r w:rsidRPr="00B1522E">
        <w:rPr>
          <w:rFonts w:eastAsia="Calibri"/>
        </w:rPr>
        <w:fldChar w:fldCharType="end"/>
      </w:r>
      <w:r w:rsidRPr="00B1522E">
        <w:rPr>
          <w:rFonts w:eastAsia="Calibri"/>
        </w:rPr>
        <w:t>. Study Two (</w:t>
      </w:r>
      <w:r w:rsidRPr="00B1522E">
        <w:t xml:space="preserve">Chapter 7) </w:t>
      </w:r>
      <w:r w:rsidRPr="00B1522E">
        <w:rPr>
          <w:shd w:val="clear" w:color="auto" w:fill="FFFFFF"/>
        </w:rPr>
        <w:t>was a cross-sectional analysis of</w:t>
      </w:r>
      <w:r w:rsidRPr="00B1522E">
        <w:t xml:space="preserve"> the baseline data</w:t>
      </w:r>
      <w:r w:rsidRPr="00B1522E">
        <w:rPr>
          <w:rFonts w:eastAsia="Calibri"/>
        </w:rPr>
        <w:t xml:space="preserve"> </w:t>
      </w:r>
      <w:r w:rsidRPr="00B1522E">
        <w:t xml:space="preserve">collected as part of </w:t>
      </w:r>
      <w:r w:rsidRPr="00B1522E">
        <w:rPr>
          <w:shd w:val="clear" w:color="auto" w:fill="FFFFFF"/>
        </w:rPr>
        <w:t xml:space="preserve">the </w:t>
      </w:r>
      <w:r w:rsidRPr="00B1522E">
        <w:t>in-school SNA</w:t>
      </w:r>
      <w:r w:rsidRPr="00B1522E">
        <w:rPr>
          <w:shd w:val="clear" w:color="auto" w:fill="FFFFFF"/>
        </w:rPr>
        <w:t xml:space="preserve"> intervention targeting </w:t>
      </w:r>
      <w:r w:rsidRPr="00B1522E">
        <w:rPr>
          <w:rFonts w:eastAsia="Calibri"/>
          <w:noProof/>
        </w:rPr>
        <w:t>11- to 12-year-olds</w:t>
      </w:r>
      <w:r w:rsidRPr="00B1522E">
        <w:rPr>
          <w:shd w:val="clear" w:color="auto" w:fill="FFFFFF"/>
        </w:rPr>
        <w:t>-secondary school students</w:t>
      </w:r>
      <w:r w:rsidRPr="00B1522E">
        <w:t xml:space="preserve">. </w:t>
      </w:r>
      <w:r w:rsidRPr="00B1522E">
        <w:rPr>
          <w:rFonts w:eastAsia="Calibri"/>
        </w:rPr>
        <w:t xml:space="preserve">The findings from </w:t>
      </w:r>
      <w:r w:rsidRPr="00B1522E">
        <w:t>Study Two</w:t>
      </w:r>
      <w:r w:rsidRPr="00B1522E">
        <w:rPr>
          <w:rFonts w:eastAsia="Calibri"/>
        </w:rPr>
        <w:t xml:space="preserve"> (Chapter 7) provided evidence that</w:t>
      </w:r>
      <w:r w:rsidRPr="00B1522E">
        <w:t xml:space="preserve"> students overestimated peers’ daily unhealthy snack consumption by approximately 3.2 portions (22.27 portions per week), perceived peers to have more positive attitudes towards unhealthy snacking and more negative attitudes towards reducing unhealthy snacking than the reported norm. The findings confirm the existence of snacking-related misperceptions amongst young adolescents.</w:t>
      </w:r>
      <w:r w:rsidRPr="00B1522E">
        <w:rPr>
          <w:sz w:val="24"/>
          <w:szCs w:val="24"/>
        </w:rPr>
        <w:t xml:space="preserve"> </w:t>
      </w:r>
      <w:r w:rsidRPr="00B1522E">
        <w:t xml:space="preserve">The findings also indicated that the greater these misperceptions of peers’ unhealthy snacking behaviour and attitudes, the more likely students were to consume unhealthy snacks and have positive attitudes about unhealthy snacking. The identification of normative misperceptions as significant predictors of students' personal unhealthy snacking consumption is an important finding as it provides support for the influence of perceived social norms on personal behaviour amongst younger adolescents. </w:t>
      </w:r>
      <w:r w:rsidRPr="00B1522E">
        <w:rPr>
          <w:shd w:val="clear" w:color="auto" w:fill="FFFFFF"/>
        </w:rPr>
        <w:t>The findings indicate that a SNA intervention that provides feedback about accurate group level social norms w</w:t>
      </w:r>
      <w:r w:rsidRPr="00B1522E">
        <w:t xml:space="preserve">ould be a feasible strategy to help challenge commonly-held normative misperceptions of unhealthy snacking amongst younger adolescents. </w:t>
      </w:r>
    </w:p>
    <w:p w14:paraId="16057093" w14:textId="77777777" w:rsidR="00A26B00" w:rsidRPr="00B1522E" w:rsidRDefault="00A26B00" w:rsidP="00A26B00">
      <w:pPr>
        <w:spacing w:line="480" w:lineRule="auto"/>
        <w:jc w:val="both"/>
      </w:pPr>
    </w:p>
    <w:p w14:paraId="69BC75D1" w14:textId="77777777" w:rsidR="00A26B00" w:rsidRPr="00B1522E" w:rsidRDefault="00A26B00" w:rsidP="00A26B00">
      <w:pPr>
        <w:spacing w:line="480" w:lineRule="auto"/>
        <w:ind w:left="720"/>
        <w:jc w:val="both"/>
        <w:rPr>
          <w:rFonts w:cstheme="minorHAnsi"/>
          <w:i/>
          <w:iCs/>
        </w:rPr>
      </w:pPr>
      <w:r w:rsidRPr="00B1522E">
        <w:rPr>
          <w:rFonts w:cstheme="minorHAnsi"/>
          <w:i/>
          <w:iCs/>
        </w:rPr>
        <w:t>Objective 4. To test the feasibility of the in-school SNA intervention to reduce unhealthy dietary behaviours of students.</w:t>
      </w:r>
    </w:p>
    <w:p w14:paraId="7E00B886" w14:textId="77777777" w:rsidR="00A26B00" w:rsidRPr="00B1522E" w:rsidRDefault="00A26B00" w:rsidP="00A26B00">
      <w:pPr>
        <w:spacing w:line="480" w:lineRule="auto"/>
        <w:jc w:val="both"/>
      </w:pPr>
      <w:r w:rsidRPr="00B1522E">
        <w:t xml:space="preserve">Meeting the fourth objective, Study Three (Chapter 8) </w:t>
      </w:r>
      <w:r w:rsidRPr="00B1522E">
        <w:rPr>
          <w:rFonts w:eastAsia="Calibri"/>
        </w:rPr>
        <w:t xml:space="preserve">tested whether the SNA intervention </w:t>
      </w:r>
      <w:r w:rsidRPr="00B1522E">
        <w:rPr>
          <w:shd w:val="clear" w:color="auto" w:fill="FFFFFF"/>
        </w:rPr>
        <w:t>challenge</w:t>
      </w:r>
      <w:r w:rsidRPr="00B1522E">
        <w:t xml:space="preserve">d students’ </w:t>
      </w:r>
      <w:r w:rsidRPr="00B1522E">
        <w:rPr>
          <w:shd w:val="clear" w:color="auto" w:fill="FFFFFF"/>
        </w:rPr>
        <w:t>commonly-held normative misperceptions</w:t>
      </w:r>
      <w:r w:rsidRPr="00B1522E">
        <w:rPr>
          <w:rFonts w:eastAsia="Calibri"/>
        </w:rPr>
        <w:t xml:space="preserve"> and reduced their unhealthy snacking behaviours and attitudes,</w:t>
      </w:r>
      <w:r w:rsidRPr="00B1522E">
        <w:rPr>
          <w:shd w:val="clear" w:color="auto" w:fill="FFFFFF"/>
        </w:rPr>
        <w:t xml:space="preserve"> compared to a non-normative control.</w:t>
      </w:r>
      <w:r w:rsidRPr="00B1522E">
        <w:t xml:space="preserve"> </w:t>
      </w:r>
      <w:r w:rsidRPr="00B1522E">
        <w:rPr>
          <w:shd w:val="clear" w:color="auto" w:fill="FFFFFF"/>
        </w:rPr>
        <w:t xml:space="preserve"> The results indicated that s</w:t>
      </w:r>
      <w:r w:rsidRPr="00B1522E">
        <w:t xml:space="preserve">tudents who received SNA feedback were less likely to: overestimate peers’ unhealthy snacking attitudes post-intervention; and consume fewer unhealthy snacks, and have less positive attitudes towards unhealthy snacking at 3-month follow-up compared to the control group. The changes in personal snacking attitudes at 3-month follow-up were mediated by changes in normative perceptions about peers’ unhealthy </w:t>
      </w:r>
      <w:r w:rsidRPr="00B1522E">
        <w:lastRenderedPageBreak/>
        <w:t>snacking attitudes post-intervention. T</w:t>
      </w:r>
      <w:r w:rsidRPr="00B1522E">
        <w:rPr>
          <w:shd w:val="clear" w:color="auto" w:fill="FFFFFF"/>
        </w:rPr>
        <w:t>he results indicate that in-school SNA interventions which challenge normative misperceptions</w:t>
      </w:r>
      <w:r w:rsidRPr="00B1522E">
        <w:t xml:space="preserve"> is an effective behaviour change strategy</w:t>
      </w:r>
      <w:r w:rsidRPr="00B1522E">
        <w:rPr>
          <w:shd w:val="clear" w:color="auto" w:fill="FFFFFF"/>
        </w:rPr>
        <w:t xml:space="preserve"> for reducing unhealthy snacking in young adolescents</w:t>
      </w:r>
      <w:r w:rsidRPr="00B1522E">
        <w:t xml:space="preserve">. </w:t>
      </w:r>
    </w:p>
    <w:p w14:paraId="7CB3F891" w14:textId="77777777" w:rsidR="00A26B00" w:rsidRPr="00B1522E" w:rsidRDefault="00A26B00" w:rsidP="00A26B00">
      <w:pPr>
        <w:spacing w:line="480" w:lineRule="auto"/>
        <w:jc w:val="both"/>
      </w:pPr>
    </w:p>
    <w:p w14:paraId="1F53D7AD" w14:textId="77777777" w:rsidR="00A26B00" w:rsidRPr="00B1522E" w:rsidRDefault="00A26B00" w:rsidP="00A26B00">
      <w:pPr>
        <w:spacing w:line="480" w:lineRule="auto"/>
        <w:ind w:left="720"/>
        <w:jc w:val="both"/>
        <w:rPr>
          <w:i/>
          <w:iCs/>
        </w:rPr>
      </w:pPr>
      <w:r w:rsidRPr="00B1522E">
        <w:rPr>
          <w:i/>
          <w:iCs/>
        </w:rPr>
        <w:t xml:space="preserve">Objective 5. To evaluate the intervention by exploring participants' experiences and perceptions of the in-school SNA intervention. </w:t>
      </w:r>
    </w:p>
    <w:p w14:paraId="0C5D9904" w14:textId="6B002643" w:rsidR="00A26B00" w:rsidRPr="00B1522E" w:rsidRDefault="00A26B00" w:rsidP="006C6AE1">
      <w:pPr>
        <w:spacing w:line="480" w:lineRule="auto"/>
        <w:jc w:val="both"/>
      </w:pPr>
      <w:r w:rsidRPr="00B1522E">
        <w:rPr>
          <w:rFonts w:eastAsia="Calibri"/>
        </w:rPr>
        <w:t xml:space="preserve">Qualitatively appraising SNA interventions could provide valuable insight into challenges faced in delivering feedback and </w:t>
      </w:r>
      <w:r w:rsidRPr="00B1522E">
        <w:t xml:space="preserve">inform best practice for future research to maximise their effectiveness </w:t>
      </w:r>
      <w:r w:rsidRPr="00B1522E">
        <w:fldChar w:fldCharType="begin" w:fldLock="1"/>
      </w:r>
      <w:r w:rsidRPr="00B1522E">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fldChar w:fldCharType="separate"/>
      </w:r>
      <w:r w:rsidRPr="00B1522E">
        <w:rPr>
          <w:noProof/>
        </w:rPr>
        <w:t>(Dempsey et al., 2018)</w:t>
      </w:r>
      <w:r w:rsidRPr="00B1522E">
        <w:fldChar w:fldCharType="end"/>
      </w:r>
      <w:r w:rsidRPr="00B1522E">
        <w:t xml:space="preserve">. Meeting the fifth objective, Study Four (Chapter 9) provided a qualitative evaluation of the SNA intervention by exploring participants' experiences of taking part in the different phases of the intervention. The findings indicated that an in-school SNA intervention can actively engage young adolescents and create an opportunity for students to reflect on their normative perceptions, leading to a positive change in students’ unhealthy snacking. For young adolescents, receiving SNA feedback that was easy to understand whilst in the presence of peers, helped them attend to the content and consider the credibility of the feedback. Nevertheless, based on the findings from the thematic analysis, SNA interventions need to be organized so </w:t>
      </w:r>
      <w:r w:rsidRPr="00B1522E">
        <w:rPr>
          <w:i/>
          <w:iCs/>
        </w:rPr>
        <w:t>all</w:t>
      </w:r>
      <w:r w:rsidRPr="00B1522E">
        <w:t xml:space="preserve"> students are afforded time to read and reflect on the SNA feedback. Furthermore, when collecting data about dietary behaviours, related attitudes, and normative perceptions of young adolescents, both questions and responses need to be clear and understandable to minimise confusion (reducing missing data), and individuals need to feel confident in their anonymity to reduce the fear of social disapproval, so students will answer candidly. SNA interventions which aim to address unhealthy snacking of young adolescents in a school setting</w:t>
      </w:r>
      <w:r w:rsidR="00D11568" w:rsidRPr="00B1522E">
        <w:t xml:space="preserve"> </w:t>
      </w:r>
      <w:r w:rsidRPr="00B1522E">
        <w:t xml:space="preserve">should deliver SNA feedback using an age-appropriate, enjoyable, and interactive method, in a group context which affords time for students to process, discuss and understand the SNA feedback being communicated. </w:t>
      </w:r>
    </w:p>
    <w:p w14:paraId="3574D6C6" w14:textId="77777777" w:rsidR="006C6AE1" w:rsidRPr="00B1522E" w:rsidRDefault="006C6AE1" w:rsidP="006C6AE1">
      <w:pPr>
        <w:spacing w:line="480" w:lineRule="auto"/>
        <w:jc w:val="both"/>
      </w:pPr>
    </w:p>
    <w:p w14:paraId="7DC3E6F2" w14:textId="182281D5" w:rsidR="00A26B00" w:rsidRPr="00B1522E" w:rsidRDefault="009E5EB4" w:rsidP="00A26B00">
      <w:pPr>
        <w:spacing w:line="480" w:lineRule="auto"/>
        <w:jc w:val="both"/>
        <w:rPr>
          <w:rFonts w:cstheme="minorHAnsi"/>
          <w:b/>
          <w:bCs/>
        </w:rPr>
      </w:pPr>
      <w:r w:rsidRPr="00B1522E">
        <w:lastRenderedPageBreak/>
        <w:fldChar w:fldCharType="begin"/>
      </w:r>
      <w:r w:rsidRPr="00B1522E">
        <w:instrText xml:space="preserve"> TC  "</w:instrText>
      </w:r>
      <w:bookmarkStart w:id="308" w:name="_Toc97310530"/>
      <w:r w:rsidRPr="00B1522E">
        <w:instrText>10.3 Strengths and Limitations</w:instrText>
      </w:r>
      <w:bookmarkEnd w:id="308"/>
      <w:r w:rsidRPr="00B1522E">
        <w:instrText xml:space="preserve"> " \f x\l 2 </w:instrText>
      </w:r>
      <w:r w:rsidRPr="00B1522E">
        <w:fldChar w:fldCharType="end"/>
      </w:r>
      <w:r w:rsidR="00A26B00" w:rsidRPr="00B1522E">
        <w:rPr>
          <w:rFonts w:cstheme="minorHAnsi"/>
          <w:b/>
          <w:bCs/>
        </w:rPr>
        <w:t xml:space="preserve">10.3 Strengths and Limitations </w:t>
      </w:r>
    </w:p>
    <w:p w14:paraId="2A4919F4" w14:textId="218D37A2" w:rsidR="006C6AE1" w:rsidRPr="00B1522E" w:rsidRDefault="00A26B00" w:rsidP="00A26B00">
      <w:pPr>
        <w:spacing w:line="480" w:lineRule="auto"/>
        <w:rPr>
          <w:rFonts w:cstheme="minorHAnsi"/>
        </w:rPr>
      </w:pPr>
      <w:r w:rsidRPr="00B1522E">
        <w:rPr>
          <w:rFonts w:cstheme="minorHAnsi"/>
        </w:rPr>
        <w:t>This section reports the strengths and limitations of this research considering the real-world nature of the research.</w:t>
      </w:r>
    </w:p>
    <w:p w14:paraId="419C1386" w14:textId="77777777" w:rsidR="006C6AE1" w:rsidRPr="00B1522E" w:rsidRDefault="006C6AE1" w:rsidP="00A26B00">
      <w:pPr>
        <w:spacing w:line="480" w:lineRule="auto"/>
        <w:rPr>
          <w:rFonts w:cstheme="minorHAnsi"/>
        </w:rPr>
      </w:pPr>
    </w:p>
    <w:p w14:paraId="0FA872B5" w14:textId="643280A1" w:rsidR="00A26B00" w:rsidRPr="00B1522E" w:rsidRDefault="009E5EB4" w:rsidP="00A26B00">
      <w:pPr>
        <w:spacing w:line="480" w:lineRule="auto"/>
        <w:rPr>
          <w:rFonts w:cstheme="minorHAnsi"/>
        </w:rPr>
      </w:pPr>
      <w:r w:rsidRPr="00B1522E">
        <w:fldChar w:fldCharType="begin"/>
      </w:r>
      <w:r w:rsidRPr="00B1522E">
        <w:instrText xml:space="preserve"> TC  "</w:instrText>
      </w:r>
      <w:bookmarkStart w:id="309" w:name="_Toc97310531"/>
      <w:r w:rsidRPr="00B1522E">
        <w:instrText>10.3.1 Participants</w:instrText>
      </w:r>
      <w:bookmarkEnd w:id="309"/>
      <w:r w:rsidRPr="00B1522E">
        <w:instrText xml:space="preserve"> " \f x\l 3 </w:instrText>
      </w:r>
      <w:r w:rsidRPr="00B1522E">
        <w:fldChar w:fldCharType="end"/>
      </w:r>
      <w:r w:rsidR="00A26B00" w:rsidRPr="00B1522E">
        <w:rPr>
          <w:rFonts w:cstheme="minorHAnsi"/>
        </w:rPr>
        <w:t>10.3.1 Participants</w:t>
      </w:r>
    </w:p>
    <w:p w14:paraId="4C454B9E" w14:textId="3C8BDA2C" w:rsidR="00A26B00" w:rsidRPr="00B1522E" w:rsidRDefault="00A26B00" w:rsidP="00A26B00">
      <w:pPr>
        <w:pStyle w:val="CommentText"/>
        <w:spacing w:line="480" w:lineRule="auto"/>
        <w:jc w:val="both"/>
        <w:rPr>
          <w:sz w:val="22"/>
          <w:szCs w:val="22"/>
        </w:rPr>
      </w:pPr>
      <w:r w:rsidRPr="00B1522E">
        <w:rPr>
          <w:sz w:val="22"/>
          <w:szCs w:val="22"/>
        </w:rPr>
        <w:t>A key strength of this research was recruiting an advisory group of older students, as s</w:t>
      </w:r>
      <w:r w:rsidRPr="00B1522E">
        <w:rPr>
          <w:sz w:val="22"/>
          <w:szCs w:val="22"/>
          <w:shd w:val="clear" w:color="auto" w:fill="FFFFFF"/>
        </w:rPr>
        <w:t xml:space="preserve">chool-based interventions are more effective at promoting healthier dietary behaviours in adolescents if they involve peers in both the development and implementation of interventions </w:t>
      </w:r>
      <w:r w:rsidRPr="00B1522E">
        <w:rPr>
          <w:rFonts w:eastAsia="Calibri"/>
          <w:noProof/>
          <w:sz w:val="22"/>
          <w:szCs w:val="22"/>
        </w:rPr>
        <w:t>(Chapter 2)</w:t>
      </w:r>
      <w:r w:rsidRPr="00B1522E">
        <w:rPr>
          <w:sz w:val="22"/>
          <w:szCs w:val="22"/>
          <w:shd w:val="clear" w:color="auto" w:fill="FFFFFF"/>
        </w:rPr>
        <w:t xml:space="preserve">. The advisory group as members of the target population provided key insights into the type </w:t>
      </w:r>
      <w:r w:rsidRPr="00B1522E">
        <w:rPr>
          <w:sz w:val="22"/>
          <w:szCs w:val="22"/>
        </w:rPr>
        <w:t xml:space="preserve">of activities used </w:t>
      </w:r>
      <w:r w:rsidRPr="00B1522E">
        <w:rPr>
          <w:sz w:val="22"/>
          <w:szCs w:val="22"/>
          <w:shd w:val="clear" w:color="auto" w:fill="FFFFFF"/>
        </w:rPr>
        <w:t xml:space="preserve">to address unhealthy snacking behaviours </w:t>
      </w:r>
      <w:r w:rsidRPr="00B1522E">
        <w:rPr>
          <w:sz w:val="22"/>
          <w:szCs w:val="22"/>
        </w:rPr>
        <w:t>which would be effective and engaging for the</w:t>
      </w:r>
      <w:r w:rsidRPr="00B1522E">
        <w:rPr>
          <w:sz w:val="22"/>
          <w:szCs w:val="22"/>
          <w:shd w:val="clear" w:color="auto" w:fill="FFFFFF"/>
        </w:rPr>
        <w:t xml:space="preserve"> target student group. This strength builds on the </w:t>
      </w:r>
      <w:r w:rsidRPr="00B1522E">
        <w:rPr>
          <w:sz w:val="22"/>
          <w:szCs w:val="22"/>
        </w:rPr>
        <w:t>growing body of literature</w:t>
      </w:r>
      <w:r w:rsidRPr="00B1522E">
        <w:rPr>
          <w:sz w:val="22"/>
          <w:szCs w:val="22"/>
          <w:shd w:val="clear" w:color="auto" w:fill="FFFFFF"/>
        </w:rPr>
        <w:t xml:space="preserve"> that emphasises the importance of </w:t>
      </w:r>
      <w:r w:rsidRPr="00B1522E">
        <w:rPr>
          <w:sz w:val="22"/>
          <w:szCs w:val="22"/>
        </w:rPr>
        <w:t xml:space="preserve">patient and public involvement (PPI) in the design and dissemination of research as it can improve the quality and relevance of the research </w:t>
      </w:r>
      <w:r w:rsidRPr="00B1522E">
        <w:rPr>
          <w:sz w:val="22"/>
          <w:szCs w:val="22"/>
        </w:rPr>
        <w:fldChar w:fldCharType="begin" w:fldLock="1"/>
      </w:r>
      <w:r w:rsidRPr="00B1522E">
        <w:rPr>
          <w:sz w:val="22"/>
          <w:szCs w:val="22"/>
        </w:rPr>
        <w:instrText>ADDIN CSL_CITATION {"citationItems":[{"id":"ITEM-1","itemData":{"ISSN":"1369-6513","author":[{"dropping-particle":"","family":"Greenhalgh","given":"Trisha","non-dropping-particle":"","parse-names":false,"suffix":""},{"dropping-particle":"","family":"Hinton","given":"Lisa","non-dropping-particle":"","parse-names":false,"suffix":""},{"dropping-particle":"","family":"Finlay","given":"Teresa","non-dropping-particle":"","parse-names":false,"suffix":""},{"dropping-particle":"","family":"Macfarlane","given":"Alastair","non-dropping-particle":"","parse-names":false,"suffix":""},{"dropping-particle":"","family":"Fahy","given":"Nick","non-dropping-particle":"","parse-names":false,"suffix":""},{"dropping-particle":"","family":"Clyde","given":"Ben","non-dropping-particle":"","parse-names":false,"suffix":""},{"dropping-particle":"","family":"Chant","given":"Alan","non-dropping-particle":"","parse-names":false,"suffix":""}],"container-title":"Health Expectations","id":"ITEM-1","issue":"4","issued":{"date-parts":[["2019"]]},"page":"785-801","publisher":"Wiley Online Library","title":"Frameworks for supporting patient and public involvement in research: Systematic review and co‐design pilot","type":"article-journal","volume":"22"},"uris":["http://www.mendeley.com/documents/?uuid=b2784669-7dbf-46c4-bc5c-0afec059da35"]},{"id":"ITEM-2","itemData":{"ISSN":"0278-2715","author":[{"dropping-particle":"","family":"Fleurence","given":"Rachael","non-dropping-particle":"","parse-names":false,"suffix":""},{"dropping-particle":"V","family":"Selby","given":"Joe","non-dropping-particle":"","parse-names":false,"suffix":""},{"dropping-particle":"","family":"Odom-Walker","given":"Kara","non-dropping-particle":"","parse-names":false,"suffix":""},{"dropping-particle":"","family":"Hunt","given":"Gail","non-dropping-particle":"","parse-names":false,"suffix":""},{"dropping-particle":"","family":"Meltzer","given":"David","non-dropping-particle":"","parse-names":false,"suffix":""},{"dropping-particle":"","family":"Slutsky","given":"Jean R","non-dropping-particle":"","parse-names":false,"suffix":""},{"dropping-particle":"","family":"Yancy","given":"Clyde","non-dropping-particle":"","parse-names":false,"suffix":""}],"container-title":"Health Affairs","id":"ITEM-2","issue":"2","issued":{"date-parts":[["2013"]]},"page":"393-400","title":"How the Patient-Centered Outcomes Research Institute is engaging patients and others in shaping its research agenda","type":"article-journal","volume":"32"},"uris":["http://www.mendeley.com/documents/?uuid=637bb0de-293d-48ce-a185-20cbcafa41c7"]}],"mendeley":{"formattedCitation":"(Fleurence et al., 2013; Greenhalgh et al., 2019)","plainTextFormattedCitation":"(Fleurence et al., 2013; Greenhalgh et al., 2019)","previouslyFormattedCitation":"(Fleurence et al., 2013; Greenhalgh et al., 2019)"},"properties":{"noteIndex":0},"schema":"https://github.com/citation-style-language/schema/raw/master/csl-citation.json"}</w:instrText>
      </w:r>
      <w:r w:rsidRPr="00B1522E">
        <w:rPr>
          <w:sz w:val="22"/>
          <w:szCs w:val="22"/>
        </w:rPr>
        <w:fldChar w:fldCharType="separate"/>
      </w:r>
      <w:r w:rsidRPr="00B1522E">
        <w:rPr>
          <w:noProof/>
          <w:sz w:val="22"/>
          <w:szCs w:val="22"/>
        </w:rPr>
        <w:t>(Fleurence et al., 2013; Greenhalgh et al., 2019)</w:t>
      </w:r>
      <w:r w:rsidRPr="00B1522E">
        <w:rPr>
          <w:sz w:val="22"/>
          <w:szCs w:val="22"/>
        </w:rPr>
        <w:fldChar w:fldCharType="end"/>
      </w:r>
      <w:r w:rsidRPr="00B1522E">
        <w:rPr>
          <w:sz w:val="22"/>
          <w:szCs w:val="22"/>
        </w:rPr>
        <w:t xml:space="preserve">. </w:t>
      </w:r>
    </w:p>
    <w:p w14:paraId="1972B947" w14:textId="5A3B163A" w:rsidR="00A26B00" w:rsidRPr="00B1522E" w:rsidRDefault="00A26B00" w:rsidP="00A26B00">
      <w:pPr>
        <w:pStyle w:val="CommentText"/>
        <w:spacing w:line="480" w:lineRule="auto"/>
        <w:ind w:firstLine="720"/>
        <w:jc w:val="both"/>
        <w:rPr>
          <w:sz w:val="22"/>
          <w:szCs w:val="22"/>
        </w:rPr>
      </w:pPr>
      <w:r w:rsidRPr="00B1522E">
        <w:rPr>
          <w:sz w:val="22"/>
          <w:szCs w:val="22"/>
        </w:rPr>
        <w:t xml:space="preserve">A further strength of this thesis is the recruitment of adolescents from schools located in two different </w:t>
      </w:r>
      <w:r w:rsidRPr="00B1522E">
        <w:rPr>
          <w:sz w:val="22"/>
          <w:szCs w:val="22"/>
          <w:shd w:val="clear" w:color="auto" w:fill="FFFFFF"/>
        </w:rPr>
        <w:t xml:space="preserve">areas of high deprivation in England. </w:t>
      </w:r>
      <w:r w:rsidRPr="00B1522E">
        <w:rPr>
          <w:sz w:val="22"/>
          <w:szCs w:val="22"/>
        </w:rPr>
        <w:t xml:space="preserve">Adolescents from these areas are more likely to engage in unhealthy eating practices which can lead to individuals </w:t>
      </w:r>
      <w:r w:rsidRPr="00B1522E">
        <w:rPr>
          <w:sz w:val="22"/>
          <w:szCs w:val="22"/>
          <w:shd w:val="clear" w:color="auto" w:fill="FFFFFF"/>
        </w:rPr>
        <w:t>being overweight or obese</w:t>
      </w:r>
      <w:r w:rsidRPr="00B1522E">
        <w:rPr>
          <w:sz w:val="22"/>
          <w:szCs w:val="22"/>
        </w:rPr>
        <w:t xml:space="preserve"> </w:t>
      </w:r>
      <w:r w:rsidRPr="00B1522E">
        <w:rPr>
          <w:sz w:val="22"/>
          <w:szCs w:val="22"/>
        </w:rPr>
        <w:fldChar w:fldCharType="begin" w:fldLock="1"/>
      </w:r>
      <w:r w:rsidR="00C654DE" w:rsidRPr="00B1522E">
        <w:rPr>
          <w:sz w:val="22"/>
          <w:szCs w:val="22"/>
        </w:rPr>
        <w:instrText>ADDIN CSL_CITATION {"citationItems":[{"id":"ITEM-1","itemData":{"abstract":"OBJECTIVE To study the association between socioeconomic deprivation and childhood obesity. DESIGN Cross sectional study. SETTING All state primary schools in Plymouth. Plymouth is a relatively deprived city in the United Kingdom, ranking 338th of 366 local authorities on the Department of the Environment Index of Local Conditions. SUBJECTS 20 973 children between the ages of 5 and 14 years, 1994–96. MAIN OUTCOME MEASURE Numbers of obese children (body mass index (BMI) above the 98th centile) by quarters of Townsend score. RESULTS Plymouth had a rate of childhood obesity two and half times that expected nationally (5% v 2%). The obesity prevalence increased with age, being almost double in the oldest age quarter (boys 6.2%; girls 7.0%), compared with the youngest age quarter. Within Plymouth, there was a significant trend for higher rates of obesity related to increasing deprivation in both boys (p=0.017) and girls (p=0.018). The odds ratio (OR) for childhood obesity (highest-lowest quarter of Townsend scores) had borderline significance in boys (OR 1.29, 95% confidence intervals (CI) 1.00 to 1.65, p=0.049) but was larger and more significant in the girls (OR 1.39, 95% CI 1.08 to 1.80, p=0.011). Unlike boys, the association between obesity in girls and Townsend scores became stronger with age such that in the oldest age quarter (over 11.7 years), girls in the highest quarter of Townsend scores were nearly twice as likely be obese, as compared with the lowest quarter (OR 1.95, 95% CI 1.23 to 3.08, p=0.005). State of pubertal development could not be accounted for as this information was not available. CONCLUSIONS This study provides evidence for an association between deprivation and childhood obesity in this English population. The health of children from deprived households is affected by a number of adverse influences. The high prevalence of obesity in these children is yet another factor that could predispose to greater morbidity in adult life.","author":[{"dropping-particle":"","family":"Kinra","given":"Sanjay","non-dropping-particle":"","parse-names":false,"suffix":""},{"dropping-particle":"","family":"Nelder","given":"Robert P","non-dropping-particle":"","parse-names":false,"suffix":""},{"dropping-particle":"","family":"Lewendon","given":"Gill J","non-dropping-particle":"","parse-names":false,"suffix":""}],"container-title":"Journal of Epidemiology and Community Health","id":"ITEM-1","issue":"6","issued":{"date-parts":[["2000","6","1"]]},"page":"456 - 460","title":"Deprivation and childhood obesity: a cross sectional study of 20 973 children in Plymouth, United Kingdom","type":"article-journal","volume":"54"},"uris":["http://www.mendeley.com/documents/?uuid=dac4ad49-9727-4293-af8a-ad1100358859"]},{"id":"ITEM-2","itemData":{"ISSN":"2044-6055","author":[{"dropping-particle":"","family":"Thomas","given":"Fiona","non-dropping-particle":"","parse-names":false,"suffix":""},{"dropping-particle":"","family":"Thomas","given":"Christopher","non-dropping-particle":"","parse-names":false,"suffix":""},{"dropping-particle":"","family":"Hooper","given":"Lucie","non-dropping-particle":"","parse-names":false,"suffix":""},{"dropping-particle":"","family":"Rosenberg","given":"Gillian","non-dropping-particle":"","parse-names":false,"suffix":""},{"dropping-particle":"","family":"Vohra","given":"Jyotsna","non-dropping-particle":"","parse-names":false,"suffix":""},{"dropping-particle":"","family":"Bauld","given":"Linda","non-dropping-particle":"","parse-names":false,"suffix":""}],"container-title":"BMJ open","id":"ITEM-2","issue":"6","issued":{"date-parts":[["2019"]]},"page":"e027333","publisher":"British Medical Journal Publishing Group","title":"Area deprivation, screen time and consumption of food and drink high in fat salt and sugar (HFSS) in young people: results from a cross-sectional study in the UK","type":"article-journal","volume":"9"},"uris":["http://www.mendeley.com/documents/?uuid=29029d96-f32a-4242-bc54-7f3b68f6181b"]},{"id":"ITEM-3","itemData":{"URL":"https://www.gov.uk/government/publications/childhood-obesity-applying-all-our-health/childhood-obesity-applying-all-our-health","author":[{"dropping-particle":"","family":"Public Health England","given":"","non-dropping-particle":"","parse-names":false,"suffix":""}],"id":"ITEM-3","issued":{"date-parts":[["2020"]]},"publisher":"London PHE London","title":"Childhood obesity: Applying all our Health","type":"webpage"},"uris":["http://www.mendeley.com/documents/?uuid=bce80d0a-b08a-4cc7-819c-c1b79d7af988"]}],"mendeley":{"formattedCitation":"(Kinra et al., 2000; Public Health England, 2020; F. Thomas et al., 2019)","manualFormatting":"(Kinra et al., 2000; Public Health England, 2020; Thomas et al., 2019)","plainTextFormattedCitation":"(Kinra et al., 2000; Public Health England, 2020; F. Thomas et al., 2019)","previouslyFormattedCitation":"(Kinra et al., 2000; Public Health England, 2020; F. Thomas et al., 2019)"},"properties":{"noteIndex":0},"schema":"https://github.com/citation-style-language/schema/raw/master/csl-citation.json"}</w:instrText>
      </w:r>
      <w:r w:rsidRPr="00B1522E">
        <w:rPr>
          <w:sz w:val="22"/>
          <w:szCs w:val="22"/>
        </w:rPr>
        <w:fldChar w:fldCharType="separate"/>
      </w:r>
      <w:r w:rsidR="00993ABF" w:rsidRPr="00B1522E">
        <w:rPr>
          <w:noProof/>
          <w:sz w:val="22"/>
          <w:szCs w:val="22"/>
        </w:rPr>
        <w:t>(Kinra et al., 2000; Public Health England, 2020; Thomas et al., 2019)</w:t>
      </w:r>
      <w:r w:rsidRPr="00B1522E">
        <w:rPr>
          <w:sz w:val="22"/>
          <w:szCs w:val="22"/>
        </w:rPr>
        <w:fldChar w:fldCharType="end"/>
      </w:r>
      <w:r w:rsidRPr="00B1522E">
        <w:rPr>
          <w:sz w:val="22"/>
          <w:szCs w:val="22"/>
        </w:rPr>
        <w:t xml:space="preserve">. Sampling adolescents from these areas helped to explore the perceived barriers and influences which were commonly associated with healthy and unhealthy food choices amongst secondary school students living in areas of deprivation (Chapter 5). Nevertheless, it is acknowledged that even though students sampled in this thesis were from schools located in socially-deprived areas of the UK </w:t>
      </w:r>
      <w:r w:rsidRPr="00B1522E">
        <w:rPr>
          <w:sz w:val="22"/>
          <w:szCs w:val="22"/>
        </w:rPr>
        <w:fldChar w:fldCharType="begin" w:fldLock="1"/>
      </w:r>
      <w:r w:rsidRPr="00B1522E">
        <w:rPr>
          <w:sz w:val="22"/>
          <w:szCs w:val="22"/>
        </w:rPr>
        <w:instrText>ADDIN CSL_CITATION {"citationItems":[{"id":"ITEM-1","itemData":{"author":[{"dropping-particle":"","family":"Noble","given":"Stefan","non-dropping-particle":"","parse-names":false,"suffix":""},{"dropping-particle":"","family":"McLennan","given":"David","non-dropping-particle":"","parse-names":false,"suffix":""},{"dropping-particle":"","family":"Noble","given":"Michael","non-dropping-particle":"","parse-names":false,"suffix":""},{"dropping-particle":"","family":"Plunkett","given":"Emma","non-dropping-particle":"","parse-names":false,"suffix":""},{"dropping-particle":"","family":"Gutacker","given":"Nils","non-dropping-particle":"","parse-names":false,"suffix":""},{"dropping-particle":"","family":"Silk","given":"Mary","non-dropping-particle":"","parse-names":false,"suffix":""},{"dropping-particle":"","family":"Wright","given":"Gemma","non-dropping-particle":"","parse-names":false,"suffix":""}],"id":"ITEM-1","issued":{"date-parts":[["2019"]]},"publisher":"Ministry of Housing, Communities and Local Government","title":"The English indices of deprivation 2019","type":"report"},"uris":["http://www.mendeley.com/documents/?uuid=c2ffbd70-f225-4156-97a9-c107b1be01bd"]}],"mendeley":{"formattedCitation":"(Noble et al., 2019)","plainTextFormattedCitation":"(Noble et al., 2019)","previouslyFormattedCitation":"(Noble et al., 2019)"},"properties":{"noteIndex":0},"schema":"https://github.com/citation-style-language/schema/raw/master/csl-citation.json"}</w:instrText>
      </w:r>
      <w:r w:rsidRPr="00B1522E">
        <w:rPr>
          <w:sz w:val="22"/>
          <w:szCs w:val="22"/>
        </w:rPr>
        <w:fldChar w:fldCharType="separate"/>
      </w:r>
      <w:r w:rsidRPr="00B1522E">
        <w:rPr>
          <w:noProof/>
          <w:sz w:val="22"/>
          <w:szCs w:val="22"/>
        </w:rPr>
        <w:t>(Noble et al., 2019)</w:t>
      </w:r>
      <w:r w:rsidRPr="00B1522E">
        <w:rPr>
          <w:sz w:val="22"/>
          <w:szCs w:val="22"/>
        </w:rPr>
        <w:fldChar w:fldCharType="end"/>
      </w:r>
      <w:r w:rsidRPr="00B1522E">
        <w:rPr>
          <w:sz w:val="22"/>
          <w:szCs w:val="22"/>
        </w:rPr>
        <w:t xml:space="preserve">, there could be variability within the populations’ </w:t>
      </w:r>
      <w:r w:rsidRPr="00B1522E">
        <w:rPr>
          <w:sz w:val="22"/>
          <w:szCs w:val="22"/>
          <w:shd w:val="clear" w:color="auto" w:fill="FFFFFF"/>
        </w:rPr>
        <w:t>socio-economic statu</w:t>
      </w:r>
      <w:r w:rsidRPr="00B1522E">
        <w:rPr>
          <w:sz w:val="22"/>
          <w:szCs w:val="22"/>
        </w:rPr>
        <w:t>s (SES) and there could be other indicators of SES</w:t>
      </w:r>
      <w:r w:rsidR="00233A64" w:rsidRPr="00B1522E">
        <w:rPr>
          <w:sz w:val="22"/>
          <w:szCs w:val="22"/>
        </w:rPr>
        <w:t>,</w:t>
      </w:r>
      <w:r w:rsidRPr="00B1522E">
        <w:rPr>
          <w:sz w:val="22"/>
          <w:szCs w:val="22"/>
        </w:rPr>
        <w:t xml:space="preserve"> e.g. parental occupation. </w:t>
      </w:r>
    </w:p>
    <w:p w14:paraId="613A9A34" w14:textId="77777777" w:rsidR="00A26B00" w:rsidRPr="00B1522E" w:rsidRDefault="00A26B00" w:rsidP="00A26B00">
      <w:pPr>
        <w:pStyle w:val="CommentText"/>
        <w:spacing w:line="480" w:lineRule="auto"/>
        <w:ind w:firstLine="720"/>
        <w:jc w:val="both"/>
        <w:rPr>
          <w:sz w:val="22"/>
          <w:szCs w:val="22"/>
        </w:rPr>
      </w:pPr>
    </w:p>
    <w:p w14:paraId="203AACB0" w14:textId="1FCF7B58" w:rsidR="00A26B00" w:rsidRPr="00B1522E" w:rsidRDefault="009E5EB4" w:rsidP="00A26B00">
      <w:pPr>
        <w:spacing w:line="480" w:lineRule="auto"/>
        <w:rPr>
          <w:rFonts w:cstheme="minorHAnsi"/>
        </w:rPr>
      </w:pPr>
      <w:r w:rsidRPr="00B1522E">
        <w:fldChar w:fldCharType="begin"/>
      </w:r>
      <w:r w:rsidRPr="00B1522E">
        <w:instrText xml:space="preserve"> TC  "</w:instrText>
      </w:r>
      <w:bookmarkStart w:id="310" w:name="_Toc97310532"/>
      <w:r w:rsidRPr="00B1522E">
        <w:instrText>10.3.2 Methodological Approach</w:instrText>
      </w:r>
      <w:bookmarkEnd w:id="310"/>
      <w:r w:rsidRPr="00B1522E">
        <w:instrText xml:space="preserve"> " \f x\l 3 </w:instrText>
      </w:r>
      <w:r w:rsidRPr="00B1522E">
        <w:fldChar w:fldCharType="end"/>
      </w:r>
      <w:r w:rsidR="00A26B00" w:rsidRPr="00B1522E">
        <w:rPr>
          <w:rFonts w:cstheme="minorHAnsi"/>
        </w:rPr>
        <w:t>10.3.2 Methodological Approach</w:t>
      </w:r>
    </w:p>
    <w:p w14:paraId="05FF8FB8" w14:textId="77777777" w:rsidR="00A26B00" w:rsidRPr="00B1522E" w:rsidRDefault="00A26B00" w:rsidP="00A26B00">
      <w:pPr>
        <w:spacing w:line="480" w:lineRule="auto"/>
        <w:jc w:val="both"/>
      </w:pPr>
      <w:r w:rsidRPr="00B1522E">
        <w:lastRenderedPageBreak/>
        <w:t>A strength of the thesis is the combination of quantitative and qualitative methods in addressing the research aims and objectives. This research design allowed for data linkage presenting a more nuanced understanding of the complexity of developing and implementing an age-appropriate in-school SNA interventions to improve the unhealthy snacking behaviours of secondary school students.</w:t>
      </w:r>
      <w:r w:rsidRPr="00B1522E">
        <w:rPr>
          <w:shd w:val="clear" w:color="auto" w:fill="FFFFFF"/>
        </w:rPr>
        <w:t xml:space="preserve"> </w:t>
      </w:r>
      <w:r w:rsidRPr="00B1522E">
        <w:t xml:space="preserve">Whilst the quantitative findings demonstrate the effectiveness of the in-school SNA intervention (Chapter 8), </w:t>
      </w:r>
      <w:r w:rsidRPr="00B1522E">
        <w:rPr>
          <w:rFonts w:eastAsia="Calibri"/>
        </w:rPr>
        <w:t xml:space="preserve">the qualitative appraisal (Chapter 9) provided a more </w:t>
      </w:r>
      <w:r w:rsidRPr="00B1522E">
        <w:rPr>
          <w:shd w:val="clear" w:color="auto" w:fill="FFFFFF"/>
        </w:rPr>
        <w:t xml:space="preserve">thorough understanding of how </w:t>
      </w:r>
      <w:r w:rsidRPr="00B1522E">
        <w:t xml:space="preserve">the </w:t>
      </w:r>
      <w:r w:rsidRPr="00B1522E">
        <w:rPr>
          <w:shd w:val="clear" w:color="auto" w:fill="FFFFFF"/>
        </w:rPr>
        <w:t xml:space="preserve">students engaged </w:t>
      </w:r>
      <w:r w:rsidRPr="00B1522E">
        <w:t>with the SNA</w:t>
      </w:r>
      <w:r w:rsidRPr="00B1522E">
        <w:rPr>
          <w:rFonts w:eastAsia="Calibri"/>
        </w:rPr>
        <w:t xml:space="preserve"> </w:t>
      </w:r>
      <w:r w:rsidRPr="00B1522E">
        <w:t xml:space="preserve">intervention. </w:t>
      </w:r>
      <w:r w:rsidRPr="00B1522E">
        <w:rPr>
          <w:rFonts w:eastAsia="Calibri"/>
        </w:rPr>
        <w:t xml:space="preserve">Qualitatively appraising SNA interventions could provide important insights into the challenges encountered when delivering SNA feedback which can </w:t>
      </w:r>
      <w:r w:rsidRPr="00B1522E">
        <w:t xml:space="preserve">help to direct future research </w:t>
      </w:r>
      <w:r w:rsidRPr="00B1522E">
        <w:fldChar w:fldCharType="begin" w:fldLock="1"/>
      </w:r>
      <w:r w:rsidRPr="00B1522E">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fldChar w:fldCharType="separate"/>
      </w:r>
      <w:r w:rsidRPr="00B1522E">
        <w:rPr>
          <w:noProof/>
        </w:rPr>
        <w:t>(Dempsey et al., 2018)</w:t>
      </w:r>
      <w:r w:rsidRPr="00B1522E">
        <w:fldChar w:fldCharType="end"/>
      </w:r>
      <w:r w:rsidRPr="00B1522E">
        <w:t>.</w:t>
      </w:r>
    </w:p>
    <w:p w14:paraId="383926AA" w14:textId="0760DA3E" w:rsidR="00A26B00" w:rsidRPr="00B1522E" w:rsidRDefault="00A26B00" w:rsidP="00A26B00">
      <w:pPr>
        <w:spacing w:line="480" w:lineRule="auto"/>
        <w:ind w:firstLine="720"/>
        <w:jc w:val="both"/>
      </w:pPr>
      <w:r w:rsidRPr="00B1522E">
        <w:t>Given the ‘real-world’ nature of this research, there were limitations in relation to what methods could be implemented to collect information about students’ dietary behaviours. It is acknowledged that there are more accurate ways in which snacking behaviours may be measured, for example</w:t>
      </w:r>
      <w:r w:rsidR="00BD7BD4" w:rsidRPr="00B1522E">
        <w:t xml:space="preserve"> using</w:t>
      </w:r>
      <w:r w:rsidRPr="00B1522E">
        <w:t xml:space="preserve"> electronic diaries which track snacking in real-time </w:t>
      </w:r>
      <w:r w:rsidRPr="00B1522E">
        <w:fldChar w:fldCharType="begin" w:fldLock="1"/>
      </w:r>
      <w:r w:rsidR="0063396E" w:rsidRPr="00B1522E">
        <w:instrText>ADDIN CSL_CITATION {"citationItems":[{"id":"ITEM-1","itemData":{"ISSN":"0260-1060","abstract":"Background:Identifying when and where people overeat is important for intervention design, yet little is known about how unhealthy behaviours unfold in real life.Aim:To track the activities, social contexts and locations that co-occur with unhealthy snacking.Methods:Sixty-four adults (49F, mean age = 38.6 years) used electronic diaries to record snacking, location, social context and current activity every waking hour over 7 days. The proportion of snacking episodes that co-occurred with each location/activity/context was calculated by group and individual.Results:Over the group, snacking was most frequent whilst socialising (19.9% of hours spent socialising) or using the TV/computer (19.7%), when with friends (16.7%) and when at home (15.3%). All intra-class correlation statistics for cued behaviour were low, indicating the importance of within-person variability. There were marked individual differences between people in what constituted a ?typical? context for snacking.Conclusions:People show substantial differences in the contexts in which they snack. Tailoring interventions to these individual patterns of behaviour may improve intervention efficacy.","author":[{"dropping-particle":"","family":"Allan","given":"Julia","non-dropping-particle":"","parse-names":false,"suffix":""},{"dropping-particle":"","family":"McMinn","given":"David","non-dropping-particle":"","parse-names":false,"suffix":""},{"dropping-particle":"","family":"Powell","given":"Daniel","non-dropping-particle":"","parse-names":false,"suffix":""}],"container-title":"Nutrition and Health","id":"ITEM-1","issue":"3","issued":{"date-parts":[["2019","7","26"]]},"note":"doi: 10.1177/0260106019866099","page":"179-184","publisher":"SAGE Publications Ltd","title":"Tracking snacking in real time: Time to look at individualised patterns of behaviour","type":"article-journal","volume":"25"},"uris":["http://www.mendeley.com/documents/?uuid=fb33daaf-7e34-45d5-9c19-408f1fd0aaa2"]}],"mendeley":{"formattedCitation":"(Allan et al., 2019)","plainTextFormattedCitation":"(Allan et al., 2019)","previouslyFormattedCitation":"(Allan et al., 2019)"},"properties":{"noteIndex":0},"schema":"https://github.com/citation-style-language/schema/raw/master/csl-citation.json"}</w:instrText>
      </w:r>
      <w:r w:rsidRPr="00B1522E">
        <w:fldChar w:fldCharType="separate"/>
      </w:r>
      <w:r w:rsidR="004B7FAF" w:rsidRPr="00B1522E">
        <w:rPr>
          <w:noProof/>
        </w:rPr>
        <w:t>(Allan et al., 2019)</w:t>
      </w:r>
      <w:r w:rsidRPr="00B1522E">
        <w:fldChar w:fldCharType="end"/>
      </w:r>
      <w:r w:rsidRPr="00B1522E">
        <w:t xml:space="preserve"> or collecting additional </w:t>
      </w:r>
      <w:r w:rsidRPr="00B1522E">
        <w:rPr>
          <w:shd w:val="clear" w:color="auto" w:fill="FFFFFF"/>
        </w:rPr>
        <w:t xml:space="preserve">parent-reported measures of their child’s snacking behaviour </w:t>
      </w:r>
      <w:r w:rsidRPr="00B1522E">
        <w:rPr>
          <w:shd w:val="clear" w:color="auto" w:fill="FFFFFF"/>
        </w:rPr>
        <w:fldChar w:fldCharType="begin" w:fldLock="1"/>
      </w:r>
      <w:r w:rsidR="00DF6CCC" w:rsidRPr="00B1522E">
        <w:rPr>
          <w:shd w:val="clear" w:color="auto" w:fill="FFFFFF"/>
        </w:rPr>
        <w:instrText>ADDIN CSL_CITATION {"citationItems":[{"id":"ITEM-1","itemData":{"ISSN":"1539-0136","author":[{"dropping-particle":"","family":"Kral","given":"Tanja V E","non-dropping-particle":"","parse-names":false,"suffix":""},{"dropping-particle":"","family":"Chittams","given":"Jesse","non-dropping-particle":"","parse-names":false,"suffix":""},{"dropping-particle":"","family":"Moore","given":"Reneé H","non-dropping-particle":"","parse-names":false,"suffix":""}],"container-title":"Journal for Specialists in Pediatric Nursing","id":"ITEM-1","issue":"2","issued":{"date-parts":[["2017"]]},"page":"e12177","publisher":"Wiley Online Library","title":"Relationship between food insecurity, child weight status, and parent‐reported child eating and snacking behaviors","type":"article-journal","volume":"22"},"uris":["http://www.mendeley.com/documents/?uuid=6dda37e3-91a6-43c8-8d7a-308ed17e7dd6"]}],"mendeley":{"formattedCitation":"(Kral et al., 2017)","plainTextFormattedCitation":"(Kral et al., 2017)","previouslyFormattedCitation":"(Kral et al., 2017)"},"properties":{"noteIndex":0},"schema":"https://github.com/citation-style-language/schema/raw/master/csl-citation.json"}</w:instrText>
      </w:r>
      <w:r w:rsidRPr="00B1522E">
        <w:rPr>
          <w:shd w:val="clear" w:color="auto" w:fill="FFFFFF"/>
        </w:rPr>
        <w:fldChar w:fldCharType="separate"/>
      </w:r>
      <w:r w:rsidR="004B7FAF" w:rsidRPr="00B1522E">
        <w:rPr>
          <w:noProof/>
          <w:shd w:val="clear" w:color="auto" w:fill="FFFFFF"/>
        </w:rPr>
        <w:t>(Kral et al., 2017)</w:t>
      </w:r>
      <w:r w:rsidRPr="00B1522E">
        <w:rPr>
          <w:shd w:val="clear" w:color="auto" w:fill="FFFFFF"/>
        </w:rPr>
        <w:fldChar w:fldCharType="end"/>
      </w:r>
      <w:r w:rsidRPr="00B1522E">
        <w:rPr>
          <w:shd w:val="clear" w:color="auto" w:fill="FFFFFF"/>
        </w:rPr>
        <w:t xml:space="preserve">. </w:t>
      </w:r>
      <w:r w:rsidRPr="00B1522E">
        <w:t xml:space="preserve">Nevertheless, the methods employed to collect unhealthy snacking behaviours were tailored to the population under investigation as the schools involved in the intervention indicated that the literacy levels amongst their parents were below national averages and parents may have struggled to complete </w:t>
      </w:r>
      <w:r w:rsidR="00BD7BD4" w:rsidRPr="00B1522E">
        <w:t>such</w:t>
      </w:r>
      <w:r w:rsidRPr="00B1522E">
        <w:t xml:space="preserve"> measures. Furthermore, the sampled schools could not support digital data collection and students were from socially-deprived areas and may have</w:t>
      </w:r>
      <w:r w:rsidR="00B01A9D" w:rsidRPr="00B1522E">
        <w:t xml:space="preserve"> had limited</w:t>
      </w:r>
      <w:r w:rsidRPr="00B1522E">
        <w:t xml:space="preserve"> access to digital devices. </w:t>
      </w:r>
    </w:p>
    <w:p w14:paraId="038D10AB" w14:textId="77777777" w:rsidR="00A26B00" w:rsidRPr="00B1522E" w:rsidRDefault="00A26B00" w:rsidP="00A26B00">
      <w:pPr>
        <w:spacing w:line="480" w:lineRule="auto"/>
        <w:ind w:firstLine="720"/>
        <w:jc w:val="both"/>
      </w:pPr>
      <w:r w:rsidRPr="00B1522E">
        <w:rPr>
          <w:rFonts w:cstheme="minorHAnsi"/>
        </w:rPr>
        <w:t xml:space="preserve">A further limitation that needs to be considered is that </w:t>
      </w:r>
      <w:r w:rsidRPr="00B1522E">
        <w:t xml:space="preserve">even though students in both conditions received the ‘Eatwell Guide’ it is unclear whether students fully attended to and processed the information included in the leaflets. Students in the SNA condition were repeatedly exposed to the SNA feedback and the use of a poster-making activity helped to ensure students had attended to the feedback messages. Therefore, there may have been a difference in the level of information processed by the students in the SNA feedback condition compared to the control condition. Future </w:t>
      </w:r>
      <w:r w:rsidRPr="00B1522E">
        <w:lastRenderedPageBreak/>
        <w:t>research could consider asking students in both conditions to design posters (SNA feedback verses healthy eating information) to ensure there can be a direct comparison between the conditions.</w:t>
      </w:r>
    </w:p>
    <w:p w14:paraId="55C5197B" w14:textId="77777777" w:rsidR="00A26B00" w:rsidRPr="00B1522E" w:rsidRDefault="00A26B00" w:rsidP="00A26B00">
      <w:pPr>
        <w:spacing w:line="480" w:lineRule="auto"/>
        <w:ind w:firstLine="720"/>
        <w:jc w:val="both"/>
      </w:pPr>
    </w:p>
    <w:p w14:paraId="056F67B7" w14:textId="21436FAB" w:rsidR="00A26B00" w:rsidRPr="00B1522E" w:rsidRDefault="009E5EB4" w:rsidP="00A26B00">
      <w:pPr>
        <w:spacing w:line="480" w:lineRule="auto"/>
        <w:rPr>
          <w:rFonts w:cstheme="minorHAnsi"/>
        </w:rPr>
      </w:pPr>
      <w:r w:rsidRPr="00B1522E">
        <w:fldChar w:fldCharType="begin"/>
      </w:r>
      <w:r w:rsidRPr="00B1522E">
        <w:instrText xml:space="preserve"> TC  "</w:instrText>
      </w:r>
      <w:bookmarkStart w:id="311" w:name="_Toc97310533"/>
      <w:r w:rsidRPr="00B1522E">
        <w:instrText>10.3.3 Analysis</w:instrText>
      </w:r>
      <w:bookmarkEnd w:id="311"/>
      <w:r w:rsidRPr="00B1522E">
        <w:instrText xml:space="preserve"> " \f x\l 3 </w:instrText>
      </w:r>
      <w:r w:rsidRPr="00B1522E">
        <w:fldChar w:fldCharType="end"/>
      </w:r>
      <w:r w:rsidR="00A26B00" w:rsidRPr="00B1522E">
        <w:rPr>
          <w:rFonts w:cstheme="minorHAnsi"/>
        </w:rPr>
        <w:t xml:space="preserve">10.3.3 Analysis </w:t>
      </w:r>
    </w:p>
    <w:p w14:paraId="1DEA9DC4" w14:textId="24885808" w:rsidR="00A26B00" w:rsidRPr="00B1522E" w:rsidRDefault="00A26B00" w:rsidP="00A26B00">
      <w:pPr>
        <w:spacing w:line="480" w:lineRule="auto"/>
        <w:jc w:val="both"/>
      </w:pPr>
      <w:r w:rsidRPr="00B1522E">
        <w:t xml:space="preserve">A strength of the studies is that all qualitative analyses (Chapters 5 and 9) conducted by the researcher were also reviewed by one or both supervisors before any themes were finalised </w:t>
      </w:r>
      <w:r w:rsidRPr="00B1522E">
        <w:fldChar w:fldCharType="begin" w:fldLock="1"/>
      </w:r>
      <w:r w:rsidRPr="00B1522E">
        <w:instrText>ADDIN CSL_CITATION {"citationItems":[{"id":"ITEM-1","itemData":{"ISSN":"1609-4069","author":[{"dropping-particle":"","family":"Nowell","given":"Lorelli S","non-dropping-particle":"","parse-names":false,"suffix":""},{"dropping-particle":"","family":"Norris","given":"Jill M","non-dropping-particle":"","parse-names":false,"suffix":""},{"dropping-particle":"","family":"White","given":"Deborah E","non-dropping-particle":"","parse-names":false,"suffix":""},{"dropping-particle":"","family":"Moules","given":"Nancy J","non-dropping-particle":"","parse-names":false,"suffix":""}],"container-title":"International journal of qualitative methods","id":"ITEM-1","issued":{"date-parts":[["2017"]]},"page":"1-13","publisher":"SAGE Publications Sage CA: Los Angeles, CA","title":"Thematic analysis: Striving to meet the trustworthiness criteria","type":"article-journal","volume":"16"},"uris":["http://www.mendeley.com/documents/?uuid=7c3a0d17-fb1f-4ec9-8256-5795806b1811"]}],"mendeley":{"formattedCitation":"(Nowell et al., 2017)","plainTextFormattedCitation":"(Nowell et al., 2017)","previouslyFormattedCitation":"(Nowell et al., 2017)"},"properties":{"noteIndex":0},"schema":"https://github.com/citation-style-language/schema/raw/master/csl-citation.json"}</w:instrText>
      </w:r>
      <w:r w:rsidRPr="00B1522E">
        <w:fldChar w:fldCharType="separate"/>
      </w:r>
      <w:r w:rsidRPr="00B1522E">
        <w:rPr>
          <w:noProof/>
        </w:rPr>
        <w:t>(Nowell et al., 2017)</w:t>
      </w:r>
      <w:r w:rsidRPr="00B1522E">
        <w:fldChar w:fldCharType="end"/>
      </w:r>
      <w:r w:rsidRPr="00B1522E">
        <w:t xml:space="preserve">. Furthermore, an independent researcher also reviewed the broad framework (Chapter 5) to check for consistency in application of the framework and understanding of the descriptions of individual constructs. This is important as it can help the researcher to explore aspects of the research that may be overlooked if analysed alone </w:t>
      </w:r>
      <w:r w:rsidRPr="00B1522E">
        <w:fldChar w:fldCharType="begin" w:fldLock="1"/>
      </w:r>
      <w:r w:rsidR="0053594F">
        <w:instrText>ADDIN CSL_CITATION {"citationItems":[{"id":"ITEM-1","itemData":{"ISBN":"0803924313","author":[{"dropping-particle":"","family":"Lincoln","given":"Yvonna S","non-dropping-particle":"","parse-names":false,"suffix":""},{"dropping-particle":"","family":"Guba","given":"Egon G","non-dropping-particle":"","parse-names":false,"suffix":""}],"id":"ITEM-1","issued":{"date-parts":[["1985"]]},"publisher":"Sage Publications","title":"Naturalistic inquiry","type":"book"},"uris":["http://www.mendeley.com/documents/?uuid=e2a07d9b-7dc1-475a-b51b-241edf0fcc2c"]},{"id":"ITEM-2","itemData":{"ISBN":"1446296695","author":[{"dropping-particle":"","family":"Flick","given":"Uwe","non-dropping-particle":"","parse-names":false,"suffix":""}],"id":"ITEM-2","issued":{"date-parts":[["2013"]]},"publisher":"Sage","title":"The SAGE handbook of qualitative data analysis","type":"book"},"uris":["http://www.mendeley.com/documents/?uuid=f4875022-2e2a-4d0c-baa0-e1ada82065b3"]}],"mendeley":{"formattedCitation":"(Uwe Flick, 2013; Lincoln &amp; Guba, 1985)","plainTextFormattedCitation":"(Uwe Flick, 2013; Lincoln &amp; Guba, 1985)","previouslyFormattedCitation":"(Uwe Flick, 2013; Lincoln &amp; Guba, 1985)"},"properties":{"noteIndex":0},"schema":"https://github.com/citation-style-language/schema/raw/master/csl-citation.json"}</w:instrText>
      </w:r>
      <w:r w:rsidRPr="00B1522E">
        <w:fldChar w:fldCharType="separate"/>
      </w:r>
      <w:r w:rsidR="00680BF6" w:rsidRPr="00680BF6">
        <w:rPr>
          <w:noProof/>
        </w:rPr>
        <w:t>(Uwe Flick, 2013; Lincoln &amp; Guba, 1985)</w:t>
      </w:r>
      <w:r w:rsidRPr="00B1522E">
        <w:fldChar w:fldCharType="end"/>
      </w:r>
      <w:r w:rsidRPr="00B1522E">
        <w:t xml:space="preserve">, helping to enhance the rigour of the analysis and providing confidence in the findings presented </w:t>
      </w:r>
      <w:r w:rsidRPr="00B1522E">
        <w:fldChar w:fldCharType="begin" w:fldLock="1"/>
      </w:r>
      <w:r w:rsidR="00F54E4D" w:rsidRPr="00B1522E">
        <w:instrText>ADDIN CSL_CITATION {"citationItems":[{"id":"ITEM-1","itemData":{"ISSN":"0959-8138","author":[{"dropping-particle":"","family":"Mays","given":"Nicholas","non-dropping-particle":"","parse-names":false,"suffix":""},{"dropping-particle":"","family":"Pope","given":"Catherine","non-dropping-particle":"","parse-names":false,"suffix":""}],"container-title":"British Medical Journal","id":"ITEM-1","issue":"6997","issued":{"date-parts":[["1995"]]},"page":"109-112","publisher":"British Medical Journal Publishing Group","title":"Qualitative research: rigour and qualitative research","type":"article-journal","volume":"311"},"uris":["http://www.mendeley.com/documents/?uuid=570aee84-e9ab-40ae-b6d1-ed18d1642690"]}],"mendeley":{"formattedCitation":"(Mays &amp; Pope, 1995)","plainTextFormattedCitation":"(Mays &amp; Pope, 1995)","previouslyFormattedCitation":"(Mays &amp; Pope, 1995)"},"properties":{"noteIndex":0},"schema":"https://github.com/citation-style-language/schema/raw/master/csl-citation.json"}</w:instrText>
      </w:r>
      <w:r w:rsidRPr="00B1522E">
        <w:fldChar w:fldCharType="separate"/>
      </w:r>
      <w:r w:rsidRPr="00B1522E">
        <w:rPr>
          <w:noProof/>
        </w:rPr>
        <w:t>(Mays &amp; Pope, 1995)</w:t>
      </w:r>
      <w:r w:rsidRPr="00B1522E">
        <w:fldChar w:fldCharType="end"/>
      </w:r>
      <w:r w:rsidRPr="00B1522E">
        <w:rPr>
          <w:noProof/>
        </w:rPr>
        <w:t>,</w:t>
      </w:r>
      <w:r w:rsidRPr="00B1522E">
        <w:t xml:space="preserve"> thus increasing the credibility and trustworthiness of the conclusion drawn </w:t>
      </w:r>
      <w:r w:rsidRPr="00B1522E">
        <w:fldChar w:fldCharType="begin" w:fldLock="1"/>
      </w:r>
      <w:r w:rsidR="00FD502B" w:rsidRPr="00B1522E">
        <w:instrText>ADDIN CSL_CITATION {"citationItems":[{"id":"ITEM-1","itemData":{"ISSN":"1472-6963","abstract":"The main objective of this methodological manuscript was to illustrate the role of using qualitative research in emergency settings. We outline rigorous criteria applied to a qualitative study assessing perceptions and experiences of staff working in Australian emergency departments.","author":[{"dropping-particle":"","family":"Forero","given":"Roberto","non-dropping-particle":"","parse-names":false,"suffix":""},{"dropping-particle":"","family":"Nahidi","given":"Shizar","non-dropping-particle":"","parse-names":false,"suffix":""},{"dropping-particle":"","family":"Costa","given":"Josephine","non-dropping-particle":"De","parse-names":false,"suffix":""},{"dropping-particle":"","family":"Mohsin","given":"Mohammed","non-dropping-particle":"","parse-names":false,"suffix":""},{"dropping-particle":"","family":"Fitzgerald","given":"Gerry","non-dropping-particle":"","parse-names":false,"suffix":""},{"dropping-particle":"","family":"Gibson","given":"Nick","non-dropping-particle":"","parse-names":false,"suffix":""},{"dropping-particle":"","family":"McCarthy","given":"Sally","non-dropping-particle":"","parse-names":false,"suffix":""},{"dropping-particle":"","family":"Aboagye-Sarfo","given":"Patrick","non-dropping-particle":"","parse-names":false,"suffix":""}],"container-title":"BMC Health Services Research","id":"ITEM-1","issue":"1","issued":{"date-parts":[["2018"]]},"page":"120","title":"Application of four-dimension criteria to assess rigour of qualitative research in emergency medicine","type":"article-journal","volume":"18"},"uris":["http://www.mendeley.com/documents/?uuid=eaba9c48-7c38-43c9-9bde-422b4d0a4456"]}],"mendeley":{"formattedCitation":"(Forero et al., 2018)","plainTextFormattedCitation":"(Forero et al., 2018)","previouslyFormattedCitation":"(Forero et al., 2018)"},"properties":{"noteIndex":0},"schema":"https://github.com/citation-style-language/schema/raw/master/csl-citation.json"}</w:instrText>
      </w:r>
      <w:r w:rsidRPr="00B1522E">
        <w:fldChar w:fldCharType="separate"/>
      </w:r>
      <w:r w:rsidRPr="00B1522E">
        <w:rPr>
          <w:noProof/>
        </w:rPr>
        <w:t>(Forero et al., 2018)</w:t>
      </w:r>
      <w:r w:rsidRPr="00B1522E">
        <w:fldChar w:fldCharType="end"/>
      </w:r>
      <w:r w:rsidRPr="00B1522E">
        <w:t xml:space="preserve">. </w:t>
      </w:r>
    </w:p>
    <w:p w14:paraId="4CB32A37" w14:textId="77777777" w:rsidR="00A26B00" w:rsidRPr="00B1522E" w:rsidRDefault="00A26B00" w:rsidP="00A26B00">
      <w:pPr>
        <w:spacing w:line="480" w:lineRule="auto"/>
        <w:ind w:firstLine="720"/>
        <w:jc w:val="both"/>
        <w:rPr>
          <w:shd w:val="clear" w:color="auto" w:fill="FFFFFF"/>
        </w:rPr>
      </w:pPr>
      <w:r w:rsidRPr="00B1522E">
        <w:t xml:space="preserve">A further strength is measuring </w:t>
      </w:r>
      <w:r w:rsidRPr="00B1522E">
        <w:rPr>
          <w:shd w:val="clear" w:color="auto" w:fill="FFFFFF"/>
        </w:rPr>
        <w:t xml:space="preserve">dietary behaviour both at post-intervention and at 3-month follow-up (Chapter 8). Dietary behaviour change in adolescents may not be evident </w:t>
      </w:r>
      <w:r w:rsidRPr="00B1522E">
        <w:t>immediately post intervention</w:t>
      </w:r>
      <w:r w:rsidRPr="00B1522E">
        <w:rPr>
          <w:rStyle w:val="CommentReference"/>
        </w:rPr>
        <w:t>,</w:t>
      </w:r>
      <w:r w:rsidRPr="00B1522E">
        <w:rPr>
          <w:shd w:val="clear" w:color="auto" w:fill="FFFFFF"/>
        </w:rPr>
        <w:t xml:space="preserve"> as modification of well-established unhealthy dietary behaviours can be slower than anticipated since eating is in large part habitual and habits can take time to change (Chapter 2) </w:t>
      </w:r>
      <w:r w:rsidRPr="00B1522E">
        <w:rPr>
          <w:shd w:val="clear" w:color="auto" w:fill="FFFFFF"/>
        </w:rPr>
        <w:fldChar w:fldCharType="begin" w:fldLock="1"/>
      </w:r>
      <w:r w:rsidRPr="00B1522E">
        <w:rPr>
          <w:shd w:val="clear" w:color="auto" w:fill="FFFFFF"/>
        </w:rPr>
        <w:instrText>ADDIN CSL_CITATION {"citationItems":[{"id":"ITEM-1","itemData":{"ISBN":"1475-2719","ISSN":"0029-6651","PMID":"12133209","abstract":"Dietary changes can be difficult to effect both at an individual and at a population level, and even when changes do occur they are often far slower and less pronounced than might be expected. Three possible reasons for this situation will be considered: the complexity of food choice and competing influences, attitudinal ambivalence and optimistic bias. Food choice is influenced by a large number of factors, not only health considerations, and therefore it is not surprising that interventions based primarily on health concerns have been ineffective. Another concern is that people do not always have clear-cut attitudes, but rather can be ambivalent about foods and about healthy eating, and this factor might impact on the translation of beliefs and attitudes into behaviour. A third possible reason is optimistic bias, where individuals believe themselves to be at less risk from various hazards than is the average person. This effect has been demonstrated for nutritional risks, and this factor might lead people to take less note of health education messages. The stages-of-change model from health psychology has been proposed as a method for improving the effectiveness of behaviour change interventions. However, there are a number of problems in transferring such a model from smoking, where it was originally developed, to dietary behaviours, including the lack of clear-cut specific behaviours and behaviour change targets in the dietary field.","author":[{"dropping-particle":"","family":"Shepherd","given":"Richard","non-dropping-particle":"","parse-names":false,"suffix":""},{"dropping-particle":"","family":"Shepherd","given":"Richard","non-dropping-particle":"","parse-names":false,"suffix":""}],"container-title":"The Proceedings of the Nutrition Society","id":"ITEM-1","issue":"2002","issued":{"date-parts":[["2002"]]},"page":"267-272","title":"Resistance to changes in diet.","type":"article-journal","volume":"61"},"uris":["http://www.mendeley.com/documents/?uuid=060fdb9a-462f-4745-aaed-69ef5bde7435"]},{"id":"ITEM-2","itemData":{"ISSN":"0278-6133 (Print)","PMID":"11950110","abstract":"Application of the theory of planned behavior (TPB) to healthy eating in 144 health promotion clinic attendees is reported. Respondents completed self-report TPB measures after the clinic (Time 1) and 6 months later (Time 2) with a measure of perceived past behavior. Intention stability was assessed on Time 1-2 differences. Six years later (Time 3), respondents completed measures of healthy eating intentions and behavior. Intentions were predicted by attitudes, perceived behavioral control, and perceived past behavior (cross-sectionally). Healthy eating behavior (Time 3) was predicted from intentions (Time 2). As intention stability increased, intentions and perceived past behavior became stronger and weaker predictors of behavior, respectively. Implications for understanding health cognitions in long-term performance of health behavior are discussed.","author":[{"dropping-particle":"","family":"Conner","given":"Mark","non-dropping-particle":"","parse-names":false,"suffix":""},{"dropping-particle":"","family":"Norman","given":"Paul","non-dropping-particle":"","parse-names":false,"suffix":""},{"dropping-particle":"","family":"Bell","given":"Russell","non-dropping-particle":"","parse-names":false,"suffix":""}],"container-title":"Health psychology : official journal of the Division of Health Psychology, American Psychological Association","id":"ITEM-2","issue":"2","issued":{"date-parts":[["2002","3"]]},"language":"eng","page":"194-201","publisher-place":"United States","title":"The theory of planned behavior and healthy eating.","type":"article-journal","volume":"21"},"uris":["http://www.mendeley.com/documents/?uuid=fef98e0b-8f58-4015-93ab-6d28aacf9b35"]}],"mendeley":{"formattedCitation":"(Conner et al., 2002; Shepherd &amp; Shepherd, 2002)","plainTextFormattedCitation":"(Conner et al., 2002; Shepherd &amp; Shepherd, 2002)","previouslyFormattedCitation":"(Conner et al., 2002; Shepherd &amp; Shepherd, 2002)"},"properties":{"noteIndex":0},"schema":"https://github.com/citation-style-language/schema/raw/master/csl-citation.json"}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(Conner et al., 2002; Shepherd &amp; Shepherd, 2002)</w:t>
      </w:r>
      <w:r w:rsidRPr="00B1522E">
        <w:rPr>
          <w:shd w:val="clear" w:color="auto" w:fill="FFFFFF"/>
        </w:rPr>
        <w:fldChar w:fldCharType="end"/>
      </w:r>
      <w:r w:rsidRPr="00B1522E">
        <w:rPr>
          <w:shd w:val="clear" w:color="auto" w:fill="FFFFFF"/>
        </w:rPr>
        <w:t xml:space="preserve">. </w:t>
      </w:r>
      <w:r w:rsidRPr="00B1522E">
        <w:t xml:space="preserve">Students who received SNA feedback consumed significantly fewer unhealthy snacks at 3-months post-intervention compared to students in the control condition, but this change was not observed immediately post-intervention (Chapter 8).  </w:t>
      </w:r>
      <w:r w:rsidRPr="00B1522E">
        <w:rPr>
          <w:shd w:val="clear" w:color="auto" w:fill="FFFFFF"/>
        </w:rPr>
        <w:t>Studies with longer-term follow ups are needed to make it possible to draw conclusions about both the</w:t>
      </w:r>
      <w:r w:rsidRPr="00B1522E">
        <w:t xml:space="preserve"> longer-term</w:t>
      </w:r>
      <w:r w:rsidRPr="00B1522E">
        <w:rPr>
          <w:shd w:val="clear" w:color="auto" w:fill="FFFFFF"/>
        </w:rPr>
        <w:t xml:space="preserve"> effectiveness, on dietary behaviour of adolescents, and about the sustainability, of an intervention (Chapter 2) </w:t>
      </w:r>
      <w:r w:rsidRPr="00B1522E">
        <w:rPr>
          <w:shd w:val="clear" w:color="auto" w:fill="FFFFFF"/>
        </w:rPr>
        <w:fldChar w:fldCharType="begin" w:fldLock="1"/>
      </w:r>
      <w:r w:rsidRPr="00B1522E">
        <w:rPr>
          <w:shd w:val="clear" w:color="auto" w:fill="FFFFFF"/>
        </w:rPr>
        <w:instrText>ADDIN CSL_CITATION {"citationItems":[{"id":"ITEM-1","itemData":{"ISSN":"1475-2662","author":[{"dropping-particle":"","family":"Cauwenberghe","given":"Eveline","non-dropping-particle":"Van","parse-names":false,"suffix":""},{"dropping-particle":"","family":"Maes","given":"Lea","non-dropping-particle":"","parse-names":false,"suffix":""},{"dropping-particle":"","family":"Spittaels","given":"Heleen","non-dropping-particle":"","parse-names":false,"suffix":""},{"dropping-particle":"","family":"Lenthe","given":"Frank J","non-dropping-particle":"van","parse-names":false,"suffix":""},{"dropping-particle":"","family":"Brug","given":"Johannes","non-dropping-particle":"","parse-names":false,"suffix":""},{"dropping-particle":"","family":"Oppert","given":"Jean-Michel","non-dropping-particle":"","parse-names":false,"suffix":""},{"dropping-particle":"","family":"Bourdeaudhuij","given":"Ilse","non-dropping-particle":"De","parse-names":false,"suffix":""}],"container-title":"British journal of nutrition","id":"ITEM-1","issue":"6","issued":{"date-parts":[["2010"]]},"page":"781-797","publisher":"Cambridge University Press","title":"Effectiveness of school-based interventions in Europe to promote healthy nutrition in children and adolescents: systematic review of published and ‘grey’literature","type":"article-journal","volume":"103"},"uris":["http://www.mendeley.com/documents/?uuid=d589f023-0740-46e2-b458-f9599b3c8156"]}],"mendeley":{"formattedCitation":"(Van Cauwenberghe et al., 2010)","plainTextFormattedCitation":"(Van Cauwenberghe et al., 2010)","previouslyFormattedCitation":"(Van Cauwenberghe et al., 2010)"},"properties":{"noteIndex":0},"schema":"https://github.com/citation-style-language/schema/raw/master/csl-citation.json"}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(Van Cauwenberghe et al., 2010)</w:t>
      </w:r>
      <w:r w:rsidRPr="00B1522E">
        <w:rPr>
          <w:shd w:val="clear" w:color="auto" w:fill="FFFFFF"/>
        </w:rPr>
        <w:fldChar w:fldCharType="end"/>
      </w:r>
      <w:r w:rsidRPr="00B1522E">
        <w:rPr>
          <w:shd w:val="clear" w:color="auto" w:fill="FFFFFF"/>
        </w:rPr>
        <w:t>.</w:t>
      </w:r>
    </w:p>
    <w:p w14:paraId="10675ACC" w14:textId="77777777" w:rsidR="00A26B00" w:rsidRPr="00B1522E" w:rsidRDefault="00A26B00" w:rsidP="00A26B00">
      <w:pPr>
        <w:spacing w:line="480" w:lineRule="auto"/>
        <w:ind w:firstLine="720"/>
        <w:jc w:val="both"/>
      </w:pPr>
      <w:r w:rsidRPr="00B1522E">
        <w:t xml:space="preserve">A limitation often encountered when collecting data is that of incomplete data which can influence the analysis. When collecting quantitative data some students did not complete the self-report questionnaires in full (Chapters 7 and 8) leading to incomplete data, or students did not provide </w:t>
      </w:r>
      <w:r w:rsidRPr="00B1522E">
        <w:lastRenderedPageBreak/>
        <w:t xml:space="preserve">the same password (participant identifier) at each timepoint making it difficult to match students’ data across timepoints (Chapter 8). The respective chapters discuss in detail the missing data analysis conducted to help reduce bias. The qualitative analysis in Chapter 9 provides insight into why there were missing data as some students </w:t>
      </w:r>
      <w:r w:rsidRPr="00B1522E">
        <w:rPr>
          <w:shd w:val="clear" w:color="auto" w:fill="FFFFFF"/>
        </w:rPr>
        <w:t>struggled to remember their passwords</w:t>
      </w:r>
      <w:r w:rsidRPr="00B1522E">
        <w:t xml:space="preserve"> and some students </w:t>
      </w:r>
      <w:r w:rsidRPr="00B1522E">
        <w:rPr>
          <w:shd w:val="clear" w:color="auto" w:fill="FFFFFF"/>
        </w:rPr>
        <w:t>found it difficult to record</w:t>
      </w:r>
      <w:r w:rsidRPr="00B1522E">
        <w:t xml:space="preserve"> their responses using a Likert scale. </w:t>
      </w:r>
    </w:p>
    <w:p w14:paraId="6812FD47" w14:textId="77777777" w:rsidR="00A26B00" w:rsidRPr="00B1522E" w:rsidRDefault="00A26B00" w:rsidP="00A26B00">
      <w:pPr>
        <w:spacing w:line="480" w:lineRule="auto"/>
        <w:ind w:firstLine="720"/>
        <w:jc w:val="both"/>
        <w:rPr>
          <w:rFonts w:cstheme="minorHAnsi"/>
        </w:rPr>
      </w:pPr>
    </w:p>
    <w:p w14:paraId="3B8B7D56" w14:textId="22CC498B" w:rsidR="00A26B00" w:rsidRPr="00B1522E" w:rsidRDefault="009E5EB4" w:rsidP="00A26B00">
      <w:pPr>
        <w:spacing w:line="480" w:lineRule="auto"/>
        <w:jc w:val="both"/>
        <w:rPr>
          <w:b/>
          <w:bCs/>
        </w:rPr>
      </w:pPr>
      <w:r w:rsidRPr="00B1522E">
        <w:fldChar w:fldCharType="begin"/>
      </w:r>
      <w:r w:rsidRPr="00B1522E">
        <w:instrText xml:space="preserve"> TC  "</w:instrText>
      </w:r>
      <w:bookmarkStart w:id="312" w:name="_Toc97310534"/>
      <w:r w:rsidRPr="00B1522E">
        <w:instrText>10.4 Theoretical and Practical Implications</w:instrText>
      </w:r>
      <w:bookmarkEnd w:id="312"/>
      <w:r w:rsidRPr="00B1522E">
        <w:instrText xml:space="preserve"> " \f x\l 2 </w:instrText>
      </w:r>
      <w:r w:rsidRPr="00B1522E">
        <w:fldChar w:fldCharType="end"/>
      </w:r>
      <w:r w:rsidR="00A26B00" w:rsidRPr="00B1522E">
        <w:rPr>
          <w:b/>
          <w:bCs/>
        </w:rPr>
        <w:t xml:space="preserve">10.4 Theoretical and Practical Implications </w:t>
      </w:r>
    </w:p>
    <w:p w14:paraId="434310F1" w14:textId="464787E3" w:rsidR="00A26B00" w:rsidRPr="00B1522E" w:rsidRDefault="00A26B00" w:rsidP="00A26B00">
      <w:pPr>
        <w:spacing w:line="480" w:lineRule="auto"/>
        <w:jc w:val="both"/>
      </w:pPr>
      <w:r w:rsidRPr="00B1522E">
        <w:t xml:space="preserve">This section discusses the theoretical and practical implications originating from the findings of this thesis. </w:t>
      </w:r>
    </w:p>
    <w:p w14:paraId="4134EF99" w14:textId="77777777" w:rsidR="005E173E" w:rsidRPr="00B1522E" w:rsidRDefault="005E173E" w:rsidP="00A26B00">
      <w:pPr>
        <w:spacing w:line="480" w:lineRule="auto"/>
        <w:jc w:val="both"/>
      </w:pPr>
    </w:p>
    <w:p w14:paraId="7EEDBA33" w14:textId="0D84BD34" w:rsidR="00A26B00" w:rsidRPr="00B1522E" w:rsidRDefault="009E5EB4" w:rsidP="00A26B00">
      <w:pPr>
        <w:spacing w:line="480" w:lineRule="auto"/>
        <w:jc w:val="both"/>
      </w:pPr>
      <w:r w:rsidRPr="00B1522E">
        <w:fldChar w:fldCharType="begin"/>
      </w:r>
      <w:r w:rsidRPr="00B1522E">
        <w:instrText xml:space="preserve"> TC  "</w:instrText>
      </w:r>
      <w:bookmarkStart w:id="313" w:name="_Toc97310535"/>
      <w:r w:rsidRPr="00B1522E">
        <w:instrText>10.4.1 The</w:instrText>
      </w:r>
      <w:r w:rsidR="00296E8F" w:rsidRPr="00B1522E">
        <w:instrText>oretical implications</w:instrText>
      </w:r>
      <w:bookmarkEnd w:id="313"/>
      <w:r w:rsidRPr="00B1522E">
        <w:instrText xml:space="preserve"> " \f x\l </w:instrText>
      </w:r>
      <w:r w:rsidR="00296E8F" w:rsidRPr="00B1522E">
        <w:instrText>3</w:instrText>
      </w:r>
      <w:r w:rsidRPr="00B1522E">
        <w:instrText xml:space="preserve"> </w:instrText>
      </w:r>
      <w:r w:rsidRPr="00B1522E">
        <w:fldChar w:fldCharType="end"/>
      </w:r>
      <w:r w:rsidR="00A26B00" w:rsidRPr="00B1522E">
        <w:t xml:space="preserve">10.4.1 Theoretical implications </w:t>
      </w:r>
    </w:p>
    <w:p w14:paraId="010D2FC4" w14:textId="3949FAD5" w:rsidR="00A26B00" w:rsidRPr="00B1522E" w:rsidRDefault="00A26B00" w:rsidP="00A26B00">
      <w:pPr>
        <w:spacing w:line="480" w:lineRule="auto"/>
        <w:jc w:val="both"/>
      </w:pPr>
      <w:r w:rsidRPr="00B1522E">
        <w:t>Firstly, the findings of this thesis make an important contribution to our understanding of the influence of perceived dietary norms on young adolescents’ unhealthy dietary behaviours. This thesis provides the first evidence that attitudinal and behavioural unhealthy snacking misperceptions are important influencing factors in personal unhealthy snacking behaviour, related attitudes, and intentions to reduce unhealthy snacking amongst young adolescents (Chapter 7). Therefore, this evidence confirms that peers serve as an important social referent regarding unhealthy snacking</w:t>
      </w:r>
      <w:r w:rsidRPr="00B1522E">
        <w:rPr>
          <w:shd w:val="clear" w:color="auto" w:fill="FFFFFF"/>
        </w:rPr>
        <w:t xml:space="preserve"> </w:t>
      </w:r>
      <w:r w:rsidRPr="00B1522E">
        <w:t xml:space="preserve">for </w:t>
      </w:r>
      <w:r w:rsidRPr="00B1522E">
        <w:rPr>
          <w:shd w:val="clear" w:color="auto" w:fill="FFFFFF"/>
        </w:rPr>
        <w:t xml:space="preserve">this age group </w:t>
      </w:r>
      <w:r w:rsidRPr="00B1522E">
        <w:rPr>
          <w:rFonts w:eastAsia="Calibri"/>
        </w:rPr>
        <w:fldChar w:fldCharType="begin" w:fldLock="1"/>
      </w:r>
      <w:r w:rsidR="005776BC" w:rsidRPr="00B1522E">
        <w:rPr>
          <w:rFonts w:eastAsia="Calibri"/>
        </w:rPr>
        <w:instrText>ADDIN CSL_CITATION {"citationItems":[{"id":"ITEM-1","itemData":{"ISSN":"1054-8289 (Print)","PMID":"16532661","abstract":"Mary Story, Karen Kaphingst, and Simone French argue that U.S. schools offer many opportunities for developing obesity-prevention strategies by providing more nutritious food, offering greater opportunities for physical activity, and providing obesity-related health services. Meals at school are available both through the U.S. Department of Agriculture's school breakfast and lunch programs and through \"competitive foods\" sold a la carte in cafeterias, vending machines, and snack bars. School breakfasts and school lunches must meet federal nutrition standards, but competitive foods are exempt from such requirements. And budget pressures force schools to sell the popular but nutritionally poor foods a la carte. Public discomfort with the school food environment is growing. But can schools provide more healthful food options without losing money? Limited evidence shows that they can. Although federal nutrition regulations are inadequate, they permit state and local authorities to impose additional restrictions. And many are doing so. Some states limit sales of nonnutritious foods, and many large school districts restrict competitive foods. Several interventions have changed school food environments, for example, by reducing fat content of food in vending machines and making more fruits and vegetables available. Interventions are just beginning to target the availability of competitive foods. Other pressures can also compromise schools' efforts to encourage physical activity. As states use standardized tests to hold schools and students academically accountable, physical education and recess have become a lower priority. But some states are now mandating and promoting more physical activity in schools. School health services can also help address obesity by providing screening, health information, and referrals to students, especially low-income students, who are at high risk of obesity, tend to be underinsured, and may not receive health services elsewhere.","author":[{"dropping-particle":"","family":"Story","given":"Mary","non-dropping-particle":"","parse-names":false,"suffix":""},{"dropping-particle":"","family":"Kaphingst","given":"Karen M","non-dropping-particle":"","parse-names":false,"suffix":""},{"dropping-particle":"","family":"French","given":"Simone","non-dropping-particle":"","parse-names":false,"suffix":""}],"container-title":"The Future of children","id":"ITEM-1","issue":"1","issued":{"date-parts":[["2006"]]},"language":"eng","page":"109-142","publisher-place":"United States, United States","title":"The role of schools in obesity prevention.","type":"article-journal","volume":"16"},"uris":["http://www.mendeley.com/documents/?uuid=fc0f6045-929f-4566-ac70-4e40fc98e684"]},{"id":"ITEM-2","itemData":{"author":[{"dropping-particle":"","family":"Rohrbeck","given":"Cynthia A","non-dropping-particle":"","parse-names":false,"suffix":""}],"chapter-number":"Peer relat","container-title":"Encyclopedia of primary prevention and health promotion","editor":[{"dropping-particle":"","family":"Gullotta T.P. et al.","given":"","non-dropping-particle":"","parse-names":false,"suffix":""}],"id":"ITEM-2","issued":{"date-parts":[["2003"]]},"page":"808-812","publisher":"Springer","title":"Peer relationships, adolescence","type":"chapter"},"uris":["http://www.mendeley.com/documents/?uuid=2292a1cc-13e2-4438-b9e0-f6f07bc1f025"]}],"mendeley":{"formattedCitation":"(Rohrbeck, 2003; Story et al., 2006)","plainTextFormattedCitation":"(Rohrbeck, 2003; Story et al., 2006)","previouslyFormattedCitation":"(Rohrbeck, 2003; Story et al., 2006)"},"properties":{"noteIndex":0},"schema":"https://github.com/citation-style-language/schema/raw/master/csl-citation.json"}</w:instrText>
      </w:r>
      <w:r w:rsidRPr="00B1522E">
        <w:rPr>
          <w:rFonts w:eastAsia="Calibri"/>
        </w:rPr>
        <w:fldChar w:fldCharType="separate"/>
      </w:r>
      <w:r w:rsidRPr="00B1522E">
        <w:rPr>
          <w:rFonts w:eastAsia="Calibri"/>
          <w:noProof/>
        </w:rPr>
        <w:t>(Rohrbeck, 2003; Story et al., 2006)</w:t>
      </w:r>
      <w:r w:rsidRPr="00B1522E">
        <w:rPr>
          <w:rFonts w:eastAsia="Calibri"/>
        </w:rPr>
        <w:fldChar w:fldCharType="end"/>
      </w:r>
      <w:r w:rsidRPr="00B1522E">
        <w:rPr>
          <w:shd w:val="clear" w:color="auto" w:fill="FFFFFF"/>
        </w:rPr>
        <w:t xml:space="preserve">. </w:t>
      </w:r>
    </w:p>
    <w:p w14:paraId="71EE21C8" w14:textId="3DADD7A3" w:rsidR="00A26B00" w:rsidRPr="00B1522E" w:rsidRDefault="00A26B00" w:rsidP="00A26B00">
      <w:pPr>
        <w:spacing w:line="480" w:lineRule="auto"/>
        <w:ind w:firstLine="720"/>
        <w:jc w:val="both"/>
        <w:rPr>
          <w:shd w:val="clear" w:color="auto" w:fill="FFFFFF"/>
        </w:rPr>
      </w:pPr>
      <w:r w:rsidRPr="00B1522E">
        <w:t xml:space="preserve">Secondly, </w:t>
      </w:r>
      <w:r w:rsidRPr="00B1522E">
        <w:rPr>
          <w:shd w:val="clear" w:color="auto" w:fill="FFFFFF"/>
        </w:rPr>
        <w:t xml:space="preserve">the findings from this thesis provide some support for the central tenets of the SNA, that changes in normative perceptions mediate the relationship between receiving SNA feedback and intervention outcomes </w:t>
      </w:r>
      <w:r w:rsidRPr="00B1522E">
        <w:fldChar w:fldCharType="begin" w:fldLock="1"/>
      </w:r>
      <w:r w:rsidR="00993ABF" w:rsidRPr="00B1522E">
        <w:instrText>ADDIN CSL_CITATION {"citationItems":[{"id":"ITEM-1","itemData":{"ISSN":"1939-2117","abstract":"This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psychology","id":"ITEM-1","issue":"1","issued":{"date-parts":[["2009","2"]]},"language":"eng","page":"51-63","title":"Internet-based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intervention","type":"article-journal","volume":"77"},"uris":["http://www.mendeley.com/documents/?uuid=e474cd44-a8a0-4e78-bf25-b8174689a8a6"]},{"id":"ITEM-2","itemData":{"ISSN":"1939-2117","abstract":"OBJECTIVE: Social influences on gambling among adolescents and adults have been well documented and may be particularly evident among college students, who have higher rates of problem and pathological gambling relative to the general population. Personalized normative feedback (PNF) is a brief intervention designed to correct misperceptions regarding the prevalence of problematic behavior by showing individuals engaging in such behaviors that their own behavior is atypical with respect to actual norms. The current randomized controlled trial evaluated a computer-delivered PNF intervention for problem gambling college students. METHOD: Following a baseline assessment, 252 college student gamblers scoring 2+ on the South Oaks Gambling Screen (SOGS) were randomly assigned to receive PNF or attention-control feedback. Follow-up assessments were completed 3 and 6 months postintervention. RESULTS: Results indicated significant intervention effects in reducing perceived norms for quantities lost and won, and in reducing actual quantity lost and gambling problems at the 3-month follow-up. All intervention effects except reduced gambling problems remained at the 6-month follow-up. Mediation results indicated that changes in perceived norms at 3 months mediated the intervention effects. Further, the intervention effects were moderated by self-identification with other student gamblers, suggesting that PNF worked better at reducing gambling for those who more strongly identified with other student gamblers. CONCLUSIONS: Results support the use of PNF as a stand-alone brief intervention for at-risk gambling students. Extending this approach more broadly may provide an accessible, empirically supported gambling prevention option for universities and related institutions.","author":[{"dropping-particle":"","family":"Neighbors","given":"Clayton","non-dropping-particle":"","parse-names":false,"suffix":""},{"dropping-particle":"","family":"Rodriguez","given":"Lindsey M","non-dropping-particle":"","parse-names":false,"suffix":""},{"dropping-particle":"V","family":"Rinker","given":"Dipali","non-dropping-particle":"","parse-names":false,"suffix":""},{"dropping-particle":"","family":"Gonzales","given":"Rubi G","non-dropping-particle":"","parse-names":false,"suffix":""},{"dropping-particle":"","family":"Agana","given":"Maigen","non-dropping-particle":"","parse-names":false,"suffix":""},{"dropping-particle":"","family":"Tackett","given":"Jennifer L","non-dropping-particle":"","parse-names":false,"suffix":""},{"dropping-particle":"","family":"Foster","given":"Dawn W","non-dropping-particle":"","parse-names":false,"suffix":""}],"container-title":"Journal of consulting and clinical psychology","id":"ITEM-2","issue":"3","issued":{"date-parts":[["2015","6"]]},"language":"eng","page":"500-511","title":"Efficacy of personalized normative feedback as a brief intervention for college student gambling: a randomized controlled trial","type":"article-journal","volume":"83"},"uris":["http://www.mendeley.com/documents/?uuid=fcaceed2-d4d5-4058-b962-e7683d722ede"]},{"id":"ITEM-3","itemData":{"ISSN":"1664-1078","author":[{"dropping-particle":"","family":"Dempsey","given":"Robert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psychology","id":"ITEM-3","issued":{"date-parts":[["2018"]]},"page":"2180","publisher":"Frontiers","title":"A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 Neighbors et al., 2009, 2015)","plainTextFormattedCitation":"(Dempsey et al., 2018; Neighbors et al., 2009, 2015)","previouslyFormattedCitation":"(Dempsey et al., 2018; Neighbors et al., 2009, 2015)"},"properties":{"noteIndex":0},"schema":"https://github.com/citation-style-language/schema/raw/master/csl-citation.json"}</w:instrText>
      </w:r>
      <w:r w:rsidRPr="00B1522E">
        <w:fldChar w:fldCharType="separate"/>
      </w:r>
      <w:r w:rsidRPr="00B1522E">
        <w:rPr>
          <w:noProof/>
        </w:rPr>
        <w:t>(Dempsey et al., 2018; Neighbors et al., 2009, 2015)</w:t>
      </w:r>
      <w:r w:rsidRPr="00B1522E">
        <w:fldChar w:fldCharType="end"/>
      </w:r>
      <w:r w:rsidRPr="00B1522E">
        <w:t>.</w:t>
      </w:r>
      <w:r w:rsidRPr="00B1522E">
        <w:rPr>
          <w:shd w:val="clear" w:color="auto" w:fill="FFFFFF"/>
        </w:rPr>
        <w:t xml:space="preserve"> The </w:t>
      </w:r>
      <w:r w:rsidRPr="00B1522E">
        <w:t xml:space="preserve">findings demonstrated that students who received normative feedback had a greater change in normative perceptions about peers’ attitudes towards unhealthy snacking post-intervention, leading to a greater change in personal attitudes at 3-month follow up (Chapter 8). </w:t>
      </w:r>
      <w:r w:rsidRPr="00B1522E">
        <w:rPr>
          <w:shd w:val="clear" w:color="auto" w:fill="FFFFFF"/>
        </w:rPr>
        <w:t xml:space="preserve">Whilst there was a change in students’ unhealthy snacking behaviours after </w:t>
      </w:r>
      <w:r w:rsidRPr="00B1522E">
        <w:t>receiving the SNA feedback,</w:t>
      </w:r>
      <w:r w:rsidRPr="00B1522E">
        <w:rPr>
          <w:shd w:val="clear" w:color="auto" w:fill="FFFFFF"/>
        </w:rPr>
        <w:t xml:space="preserve"> the findings indicated that this </w:t>
      </w:r>
      <w:r w:rsidR="00483DCA">
        <w:rPr>
          <w:shd w:val="clear" w:color="auto" w:fill="FFFFFF"/>
        </w:rPr>
        <w:t>-</w:t>
      </w:r>
      <w:r w:rsidRPr="00B1522E">
        <w:rPr>
          <w:shd w:val="clear" w:color="auto" w:fill="FFFFFF"/>
        </w:rPr>
        <w:lastRenderedPageBreak/>
        <w:t xml:space="preserve">change was not </w:t>
      </w:r>
      <w:r w:rsidRPr="00B1522E">
        <w:t>mediated by changes in normative misperceptions</w:t>
      </w:r>
      <w:r w:rsidRPr="00B1522E">
        <w:rPr>
          <w:shd w:val="clear" w:color="auto" w:fill="FFFFFF"/>
        </w:rPr>
        <w:t>; therefore, there is the possibility that there were other factors that influenced changes in personal unhealthy snacking of students</w:t>
      </w:r>
      <w:r w:rsidRPr="00B1522E">
        <w:t>,</w:t>
      </w:r>
      <w:r w:rsidRPr="00B1522E">
        <w:rPr>
          <w:shd w:val="clear" w:color="auto" w:fill="FFFFFF"/>
        </w:rPr>
        <w:t xml:space="preserve"> e.g. changes in personal attitudes that may then lead to changes in personal behaviour </w:t>
      </w:r>
      <w:r w:rsidRPr="00B1522E">
        <w:rPr>
          <w:shd w:val="clear" w:color="auto" w:fill="FFFFFF"/>
        </w:rPr>
        <w:fldChar w:fldCharType="begin" w:fldLock="1"/>
      </w:r>
      <w:r w:rsidRPr="00B1522E">
        <w:rPr>
          <w:shd w:val="clear" w:color="auto" w:fill="FFFFFF"/>
        </w:rPr>
        <w:instrText>ADDIN CSL_CITATION {"citationItems":[{"id":"ITEM-1","itemData":{"ISSN":"0887-0446","author":[{"dropping-particle":"","family":"Marley","given":"S","non-dropping-particle":"","parse-names":false,"suffix":""},{"dropping-particle":"","family":"Bekker","given":"H L","non-dropping-particle":"","parse-names":false,"suffix":""},{"dropping-particle":"","family":"Bewick","given":"B M","non-dropping-particle":"","parse-names":false,"suffix":""}],"container-title":"Psychology &amp; health","id":"ITEM-1","issue":"9","issued":{"date-parts":[["2016"]]},"page":"1007-1024","publisher":"Taylor &amp; Francis","title":"Responding to personalised social norms feedback from a web-based alcohol reduction intervention for students: Analysis of think-aloud verbal protocols","type":"article-journal","volume":"31"},"uris":["http://www.mendeley.com/documents/?uuid=9599f905-bd47-41d1-82b0-e07dc6cc6d25"]}],"mendeley":{"formattedCitation":"(Marley et al., 2016)","plainTextFormattedCitation":"(Marley et al., 2016)","previouslyFormattedCitation":"(Marley et al., 2016)"},"properties":{"noteIndex":0},"schema":"https://github.com/citation-style-language/schema/raw/master/csl-citation.json"}</w:instrText>
      </w:r>
      <w:r w:rsidRPr="00B1522E">
        <w:rPr>
          <w:shd w:val="clear" w:color="auto" w:fill="FFFFFF"/>
        </w:rPr>
        <w:fldChar w:fldCharType="separate"/>
      </w:r>
      <w:r w:rsidRPr="00B1522E">
        <w:rPr>
          <w:noProof/>
          <w:shd w:val="clear" w:color="auto" w:fill="FFFFFF"/>
        </w:rPr>
        <w:t>(Marley et al., 2016)</w:t>
      </w:r>
      <w:r w:rsidRPr="00B1522E">
        <w:rPr>
          <w:shd w:val="clear" w:color="auto" w:fill="FFFFFF"/>
        </w:rPr>
        <w:fldChar w:fldCharType="end"/>
      </w:r>
      <w:r w:rsidRPr="00B1522E">
        <w:rPr>
          <w:shd w:val="clear" w:color="auto" w:fill="FFFFFF"/>
        </w:rPr>
        <w:t xml:space="preserve">.  </w:t>
      </w:r>
      <w:r w:rsidRPr="00B1522E">
        <w:rPr>
          <w:rFonts w:cstheme="minorHAnsi"/>
          <w:shd w:val="clear" w:color="auto" w:fill="FFFFFF"/>
        </w:rPr>
        <w:t xml:space="preserve">The brief nature of the SNA feedback may not have been sufficient to directly promote unhealthy snacking behaviour change </w:t>
      </w:r>
      <w:r w:rsidR="00A5721A" w:rsidRPr="00B1522E">
        <w:rPr>
          <w:rFonts w:cstheme="minorHAnsi"/>
          <w:shd w:val="clear" w:color="auto" w:fill="FFFFFF"/>
        </w:rPr>
        <w:t xml:space="preserve">amongst </w:t>
      </w:r>
      <w:r w:rsidRPr="00B1522E">
        <w:rPr>
          <w:rFonts w:cstheme="minorHAnsi"/>
          <w:shd w:val="clear" w:color="auto" w:fill="FFFFFF"/>
        </w:rPr>
        <w:t>young adolescents</w:t>
      </w:r>
      <w:r w:rsidR="00C20AAD" w:rsidRPr="00B1522E">
        <w:rPr>
          <w:rFonts w:cstheme="minorHAnsi"/>
          <w:shd w:val="clear" w:color="auto" w:fill="FFFFFF"/>
        </w:rPr>
        <w:t>; although,</w:t>
      </w:r>
      <w:r w:rsidRPr="00B1522E">
        <w:rPr>
          <w:rFonts w:cstheme="minorHAnsi"/>
          <w:shd w:val="clear" w:color="auto" w:fill="FFFFFF"/>
        </w:rPr>
        <w:t xml:space="preserve"> unhealthy snacking </w:t>
      </w:r>
      <w:r w:rsidRPr="00B1522E">
        <w:t>attitudes in this age group may be more amenable to change.</w:t>
      </w:r>
    </w:p>
    <w:p w14:paraId="5792DC9C" w14:textId="462715FF" w:rsidR="00A26B00" w:rsidRPr="00B1522E" w:rsidRDefault="00A26B00" w:rsidP="00A26B00">
      <w:pPr>
        <w:spacing w:line="480" w:lineRule="auto"/>
        <w:ind w:firstLine="720"/>
        <w:jc w:val="both"/>
      </w:pPr>
      <w:r w:rsidRPr="00B1522E">
        <w:t>Thirdly, the findings also support the idea t</w:t>
      </w:r>
      <w:r w:rsidRPr="00B1522E">
        <w:rPr>
          <w:rFonts w:eastAsia="Calibri"/>
        </w:rPr>
        <w:t>hat being surprised by SNA feedback</w:t>
      </w:r>
      <w:r w:rsidR="00C20AAD" w:rsidRPr="00B1522E">
        <w:rPr>
          <w:rFonts w:eastAsia="Calibri"/>
        </w:rPr>
        <w:t>, followed by a reappraisal of one’s perceptions and behaviours,</w:t>
      </w:r>
      <w:r w:rsidRPr="00B1522E">
        <w:rPr>
          <w:rFonts w:eastAsia="Calibri"/>
        </w:rPr>
        <w:t xml:space="preserve"> could be a key underlying process of the SNA’s effectiveness </w:t>
      </w:r>
      <w:r w:rsidRPr="00B1522E">
        <w:rPr>
          <w:rFonts w:eastAsia="Calibri"/>
        </w:rPr>
        <w:fldChar w:fldCharType="begin" w:fldLock="1"/>
      </w:r>
      <w:r w:rsidRPr="00B1522E">
        <w:rPr>
          <w:rFonts w:eastAsia="Calibri"/>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Pr="00B1522E">
        <w:rPr>
          <w:rFonts w:eastAsia="Calibri"/>
        </w:rPr>
        <w:fldChar w:fldCharType="separate"/>
      </w:r>
      <w:r w:rsidRPr="00B1522E">
        <w:rPr>
          <w:rFonts w:eastAsia="Calibri"/>
          <w:noProof/>
        </w:rPr>
        <w:t>(Dempsey et al., 2018)</w:t>
      </w:r>
      <w:r w:rsidRPr="00B1522E">
        <w:rPr>
          <w:rFonts w:eastAsia="Calibri"/>
        </w:rPr>
        <w:fldChar w:fldCharType="end"/>
      </w:r>
      <w:r w:rsidRPr="00B1522E">
        <w:rPr>
          <w:rFonts w:eastAsia="Calibri"/>
        </w:rPr>
        <w:t xml:space="preserve">. The qualitative findings indicated that students’ </w:t>
      </w:r>
      <w:r w:rsidRPr="00B1522E">
        <w:t xml:space="preserve">primary emotional responses to the unhealthy snacking SNA feedback was surprise which led them to actively consider their normative perceptions in relation to it (Chapter 9). </w:t>
      </w:r>
      <w:r w:rsidRPr="00B1522E">
        <w:rPr>
          <w:rFonts w:eastAsia="Calibri"/>
        </w:rPr>
        <w:t xml:space="preserve">The sense of ‘surprise’ seemingly led students to actively consider SNA feedback by drawing comparisons to their own perceptions and this cognitive reappraisal of their normative perceptions led students to make a </w:t>
      </w:r>
      <w:r w:rsidRPr="00B1522E">
        <w:t xml:space="preserve">positive change to their unhealthy snacking consumption. </w:t>
      </w:r>
    </w:p>
    <w:p w14:paraId="382621B7" w14:textId="77777777" w:rsidR="00A26B00" w:rsidRPr="00B1522E" w:rsidRDefault="00A26B00" w:rsidP="00A26B00">
      <w:pPr>
        <w:spacing w:line="480" w:lineRule="auto"/>
        <w:ind w:firstLine="720"/>
        <w:jc w:val="both"/>
      </w:pPr>
    </w:p>
    <w:p w14:paraId="29E8498A" w14:textId="45D743F3" w:rsidR="00A26B00" w:rsidRPr="00B1522E" w:rsidRDefault="00296E8F" w:rsidP="00A26B00">
      <w:pPr>
        <w:spacing w:line="480" w:lineRule="auto"/>
        <w:jc w:val="both"/>
        <w:rPr>
          <w:b/>
          <w:bCs/>
        </w:rPr>
      </w:pPr>
      <w:r w:rsidRPr="00B1522E">
        <w:fldChar w:fldCharType="begin"/>
      </w:r>
      <w:r w:rsidRPr="00B1522E">
        <w:instrText xml:space="preserve"> TC  "</w:instrText>
      </w:r>
      <w:bookmarkStart w:id="314" w:name="_Toc97310536"/>
      <w:r w:rsidRPr="00B1522E">
        <w:instrText>10.4.2 Practical implications</w:instrText>
      </w:r>
      <w:bookmarkEnd w:id="314"/>
      <w:r w:rsidRPr="00B1522E">
        <w:instrText xml:space="preserve"> " \f x\l 3 </w:instrText>
      </w:r>
      <w:r w:rsidRPr="00B1522E">
        <w:fldChar w:fldCharType="end"/>
      </w:r>
      <w:r w:rsidR="00A26B00" w:rsidRPr="00B1522E">
        <w:t>10.4.2 Practical implications</w:t>
      </w:r>
    </w:p>
    <w:p w14:paraId="4F5A07BA" w14:textId="361ED9B7" w:rsidR="00A26B00" w:rsidRPr="00B1522E" w:rsidRDefault="00A26B00" w:rsidP="00A26B00">
      <w:pPr>
        <w:spacing w:line="480" w:lineRule="auto"/>
        <w:jc w:val="both"/>
      </w:pPr>
      <w:r w:rsidRPr="00B1522E">
        <w:t xml:space="preserve">Firstly, developing  SNA interventions that are tailored to the population and setting where they will be implemented </w:t>
      </w:r>
      <w:r w:rsidRPr="00B1522E">
        <w:fldChar w:fldCharType="begin" w:fldLock="1"/>
      </w:r>
      <w:r w:rsidR="003C0625" w:rsidRPr="00B1522E">
        <w:instrText>ADDIN CSL_CITATION {"citationItems":[{"id":"ITEM-1","itemData":{"DOI":"https://doi.org/10.1016/j.copsyc.2020.06.012","ISSN":"2352-250X","abstract":"Behavioral interventions have embraced social norms as information that can be communicated in simple messages to motivate behavior change. This article argues for the value and necessity of recognizing that social-norm interventions are grounded in group processes. This approach has three major benefits that more than offset the costs of its greater theoretical and practical complexity. One, it improves the effectiveness of existing interventions, including those that target the normative beliefs of individuals. Two, it opens up new intervention strategies that broaden the range of mechanisms used to change behavior. Three, it connects research on social-norm interventions with theories and research on rallies, rebellions, riots, and other forms of collective action.","author":[{"dropping-particle":"","family":"Prentice","given":"Deborah","non-dropping-particle":"","parse-names":false,"suffix":""},{"dropping-particle":"","family":"Paluck","given":"Elizabeth Levy","non-dropping-particle":"","parse-names":false,"suffix":""}],"container-title":"Current Opinion in Psychology","id":"ITEM-1","issued":{"date-parts":[["2020"]]},"page":"138-142","title":"Engineering social change using social norms: lessons from the study of collective action","type":"article-journal","volume":"35"},"uris":["http://www.mendeley.com/documents/?uuid=2388a762-4259-4101-9106-03a455531809"]}],"mendeley":{"formattedCitation":"(D. Prentice &amp; Paluck, 2020)","manualFormatting":"(Prentice &amp; Paluck, 2020)","plainTextFormattedCitation":"(D. Prentice &amp; Paluck, 2020)","previouslyFormattedCitation":"(D. Prentice &amp; Paluck, 2020)"},"properties":{"noteIndex":0},"schema":"https://github.com/citation-style-language/schema/raw/master/csl-citation.json"}</w:instrText>
      </w:r>
      <w:r w:rsidRPr="00B1522E">
        <w:fldChar w:fldCharType="separate"/>
      </w:r>
      <w:r w:rsidR="00993ABF" w:rsidRPr="00B1522E">
        <w:rPr>
          <w:noProof/>
        </w:rPr>
        <w:t>(Prentice &amp; Paluck, 2020)</w:t>
      </w:r>
      <w:r w:rsidRPr="00B1522E">
        <w:fldChar w:fldCharType="end"/>
      </w:r>
      <w:r w:rsidRPr="00B1522E">
        <w:t xml:space="preserve">, can ensure the intervention is engaging and that SNA feedback is perceived to be relevant and credible (Chapter 9). Involving stakeholders in the formative stages of SNA intervention development is important as it can provide ideas for health promotion whilst considering social (peer influence) (Chapter 5) and environmental factors (perceived availability and cost of foodstuffs in the local area) (Chapters 5 and 6) </w:t>
      </w:r>
      <w:r w:rsidRPr="00B1522E">
        <w:fldChar w:fldCharType="begin" w:fldLock="1"/>
      </w:r>
      <w:r w:rsidR="0063396E" w:rsidRPr="00B1522E">
        <w:instrText>ADDIN CSL_CITATION {"citationItems":[{"id":"ITEM-1","itemData":{"DOI":"10.1007/978-3-030-63614-2_11","ISBN":"978-3-030-63614-2","abstract":"This chapter starts by defining social norms in entertainment-education (EE) and provides an overview of social norms constructs and theories. The chapter next presents social norms case studies from the authors’ work as EE researchers in four countries. The first case study measures changes in social norms in India as a result of the television program Kyunki…Jeena Issi Ka Naam Hai (Because… That’s What Life Is). The second case study is from Mozambique, where the authors investigated the role of social norms from the Ouro Negro (Black Gold) radio program. The third case study examined social norms from a TV drama in Bangladesh: Icchedana (On the Wings of Wishes). And the final case study is from Zambia, where social norms measurement tools were tested with hopes of scaling across EE programs. The chapter concludes with lessons learned from the authors’ collective experiences studying social norms and EE.","author":[{"dropping-particle":"","family":"Riley","given":"Amy Henderson","non-dropping-particle":"","parse-names":false,"suffix":""},{"dropping-particle":"","family":"Rodrigues","given":"Farren","non-dropping-particle":"","parse-names":false,"suffix":""},{"dropping-particle":"","family":"Sood","given":"Suruchi","non-dropping-particle":"","parse-names":false,"suffix":""}],"editor":[{"dropping-particle":"","family":"Frank","given":"Lauren B","non-dropping-particle":"","parse-names":false,"suffix":""},{"dropping-particle":"","family":"Falzone","given":"Paul","non-dropping-particle":"","parse-names":false,"suffix":""}],"id":"ITEM-1","issued":{"date-parts":[["2021"]]},"page":"175-194","publisher":"Springer International Publishing","publisher-place":"Cham","title":"Social Norms Theory and Measurement in Entertainment-Education: Insights from Case Studies in Four Countries BT  - Entertainment-Education Behind the Scenes: Case Studies for Theory and Practice","type":"chapter"},"uris":["http://www.mendeley.com/documents/?uuid=178b7c5a-513c-4dc9-b247-5f5f5baff709"]},{"id":"ITEM-2","itemData":{"ISSN":"0968-7637","author":[{"dropping-particle":"","family":"McAlaney","given":"John","non-dropping-particle":"","parse-names":false,"suffix":""},{"dropping-particle":"","family":"Bewick","given":"Bridgette","non-dropping-particle":"","parse-names":false,"suffix":""},{"dropping-particle":"","family":"Hughes","given":"Clarissa","non-dropping-particle":"","parse-names":false,"suffix":""}],"container-title":"Drugs: education, prevention and policy","id":"ITEM-2","issue":"2","issued":{"date-parts":[["2011"]]},"page":"81-89","publisher":"Taylor &amp; Francis","title":"The international development of the ‘Social Norms’ approach to drug education and prevention","type":"article-journal","volume":"18"},"uris":["http://www.mendeley.com/documents/?uuid=9d37002f-959f-4c72-9f9e-a286ad2f4539"]}],"mendeley":{"formattedCitation":"(John McAlaney et al., 2011; Riley et al., 2021)","manualFormatting":"(McAlaney et al., 2011; Riley et al., 2021)","plainTextFormattedCitation":"(John McAlaney et al., 2011; Riley et al., 2021)","previouslyFormattedCitation":"(John McAlaney et al., 2011; Riley et al., 2021)"},"properties":{"noteIndex":0},"schema":"https://github.com/citation-style-language/schema/raw/master/csl-citation.json"}</w:instrText>
      </w:r>
      <w:r w:rsidRPr="00B1522E">
        <w:fldChar w:fldCharType="separate"/>
      </w:r>
      <w:r w:rsidR="004B7FAF" w:rsidRPr="00B1522E">
        <w:rPr>
          <w:noProof/>
        </w:rPr>
        <w:t>(McAlaney et al., 2011; Riley et al., 2021)</w:t>
      </w:r>
      <w:r w:rsidRPr="00B1522E">
        <w:fldChar w:fldCharType="end"/>
      </w:r>
      <w:r w:rsidRPr="00B1522E">
        <w:t xml:space="preserve">. For SNA interventions it is also important to understand how social norms interact with other factors in sustaining the unhealthy behaviour, to consider how it can be targeted </w:t>
      </w:r>
      <w:r w:rsidRPr="00B1522E">
        <w:fldChar w:fldCharType="begin" w:fldLock="1"/>
      </w:r>
      <w:r w:rsidR="00F563DD">
        <w:instrText>ADDIN CSL_CITATION {"citationItems":[{"id":"ITEM-1","itemData":{"author":[{"dropping-particle":"","family":"Cislaghi","given":"Beniamino","non-dropping-particle":"","parse-names":false,"suffix":""},{"dropping-particle":"","family":"Berkowitz","given":"A","non-dropping-particle":"","parse-names":false,"suffix":""}],"container-title":"Journal of Global Health","id":"ITEM-1","issued":{"date-parts":[["2021"]]},"page":"03065","title":"The evolution of social norms interventions for health promotion: Distinguishing norms correction and norms transformation","type":"article-journal","volume":"11"},"uris":["http://www.mendeley.com/documents/?uuid=69b25a88-d18f-4e87-9c73-8e0c7c96db6e"]}],"mendeley":{"formattedCitation":"(Cislaghi &amp; Berkowitz, 2021)","plainTextFormattedCitation":"(Cislaghi &amp; Berkowitz, 2021)","previouslyFormattedCitation":"(Cislaghi &amp; Berkowitz, 2021)"},"properties":{"noteIndex":0},"schema":"https://github.com/citation-style-language/schema/raw/master/csl-citation.json"}</w:instrText>
      </w:r>
      <w:r w:rsidRPr="00B1522E">
        <w:fldChar w:fldCharType="separate"/>
      </w:r>
      <w:r w:rsidRPr="00B1522E">
        <w:rPr>
          <w:noProof/>
        </w:rPr>
        <w:t>(Cislaghi &amp; Berkowitz, 2021)</w:t>
      </w:r>
      <w:r w:rsidRPr="00B1522E">
        <w:fldChar w:fldCharType="end"/>
      </w:r>
      <w:r w:rsidRPr="00B1522E">
        <w:t>.</w:t>
      </w:r>
    </w:p>
    <w:p w14:paraId="4BE7472E" w14:textId="1623CAA7" w:rsidR="00A26B00" w:rsidRPr="00B1522E" w:rsidRDefault="00A26B00" w:rsidP="00A26B00">
      <w:pPr>
        <w:spacing w:line="480" w:lineRule="auto"/>
        <w:ind w:firstLine="720"/>
        <w:jc w:val="both"/>
        <w:rPr>
          <w:rFonts w:cstheme="minorHAnsi"/>
        </w:rPr>
      </w:pPr>
      <w:r w:rsidRPr="00500F3A">
        <w:lastRenderedPageBreak/>
        <w:t>Secondly, in line with the literature, the importance of involving peers in the design and delivery</w:t>
      </w:r>
      <w:r w:rsidRPr="00B1522E">
        <w:t xml:space="preserve"> of school-based interventions is clear (Chapter 2). This involvement gives y</w:t>
      </w:r>
      <w:r w:rsidRPr="00B1522E">
        <w:rPr>
          <w:rFonts w:cstheme="minorHAnsi"/>
        </w:rPr>
        <w:t xml:space="preserve">oung people a voice which can offer a different perspective and identify research issues and questions that researchers may not have considered </w:t>
      </w:r>
      <w:r w:rsidRPr="00B1522E">
        <w:rPr>
          <w:rFonts w:cstheme="minorHAnsi"/>
        </w:rPr>
        <w:fldChar w:fldCharType="begin" w:fldLock="1"/>
      </w:r>
      <w:r w:rsidR="00FD502B" w:rsidRPr="00B1522E">
        <w:rPr>
          <w:rFonts w:cstheme="minorHAnsi"/>
        </w:rPr>
        <w:instrText>ADDIN CSL_CITATION {"citationItems":[{"id":"ITEM-1","itemData":{"author":[{"dropping-particle":"","family":"Kirby","given":"Perpetua","non-dropping-particle":"","parse-names":false,"suffix":""}],"container-title":"INVOLVE Support Unit","id":"ITEM-1","issued":{"date-parts":[["2004"]]},"title":"A guide to actively involving young people in research","type":"report"},"uris":["http://www.mendeley.com/documents/?uuid=4bdd7811-34f2-4912-bd79-b5a99a81d6cc"]},{"id":"ITEM-2","itemData":{"ISSN":"1472-6963","abstract":"Greater interest is being shown in participatory approaches, especially in research on interventions that concern children and young people’s health and well-being. Although participatory approaches have user involvement in common, they differ in terms of the explicit guidance on how to actually involve and engage children and young people in health research. The aim of this scoping review was to systematically map recent research involving children and young people in the development of interventions targeting issues of health and well-being.","author":[{"dropping-particle":"","family":"Larsson","given":"Ingrid","non-dropping-particle":"","parse-names":false,"suffix":""},{"dropping-particle":"","family":"Staland-Nyman","given":"Carin","non-dropping-particle":"","parse-names":false,"suffix":""},{"dropping-particle":"","family":"Svedberg","given":"Petra","non-dropping-particle":"","parse-names":false,"suffix":""},{"dropping-particle":"","family":"Nygren","given":"Jens M","non-dropping-particle":"","parse-names":false,"suffix":""},{"dropping-particle":"","family":"Carlsson","given":"Ing-Marie","non-dropping-particle":"","parse-names":false,"suffix":""}],"container-title":"BMC Health Services Research","id":"ITEM-2","issue":"1","issued":{"date-parts":[["2018"]]},"page":"507","title":"Children and young people’s participation in developing interventions in health and well-being: a scoping review","type":"article-journal","volume":"18"},"uris":["http://www.mendeley.com/documents/?uuid=3177c68d-4849-46fe-b573-d88f46fc79f0"]}],"mendeley":{"formattedCitation":"(Kirby, 2004; Larsson et al., 2018)","plainTextFormattedCitation":"(Kirby, 2004; Larsson et al., 2018)","previouslyFormattedCitation":"(Kirby, 2004; Larsson et al., 2018)"},"properties":{"noteIndex":0},"schema":"https://github.com/citation-style-language/schema/raw/master/csl-citation.json"}</w:instrText>
      </w:r>
      <w:r w:rsidRPr="00B1522E">
        <w:rPr>
          <w:rFonts w:cstheme="minorHAnsi"/>
        </w:rPr>
        <w:fldChar w:fldCharType="separate"/>
      </w:r>
      <w:r w:rsidR="004B7FAF" w:rsidRPr="00B1522E">
        <w:rPr>
          <w:rFonts w:cstheme="minorHAnsi"/>
          <w:noProof/>
        </w:rPr>
        <w:t>(Kirby, 2004; Larsson et al., 2018)</w:t>
      </w:r>
      <w:r w:rsidRPr="00B1522E">
        <w:rPr>
          <w:rFonts w:cstheme="minorHAnsi"/>
        </w:rPr>
        <w:fldChar w:fldCharType="end"/>
      </w:r>
      <w:r w:rsidRPr="00B1522E">
        <w:t xml:space="preserve">. Furthermore, peer-led activities may be beneficial in helping to improve dietary behaviours particularly in a school-based intervention (Chapter 2), as individuals in this age group model their behaviours according to the perceived behaviour of their peers, and to what is perceived to be socially acceptable (Chapter 5) </w:t>
      </w:r>
      <w:r w:rsidRPr="00B1522E">
        <w:rPr>
          <w:rFonts w:cstheme="minorHAnsi"/>
        </w:rPr>
        <w:fldChar w:fldCharType="begin" w:fldLock="1"/>
      </w:r>
      <w:r w:rsidR="00D20B1B" w:rsidRPr="00B1522E">
        <w:rPr>
          <w:rFonts w:cstheme="minorHAnsi"/>
        </w:rPr>
        <w:instrText>ADDIN CSL_CITATION {"citationItems":[{"id":"ITEM-1","itemData":{"ISSN":"1368-4302","author":[{"dropping-particle":"","family":"Perkins","given":"H. W","non-dropping-particle":"","parse-names":false,"suffix":""},{"dropping-particle":"","family":"Craig","given":"D. W","non-dropping-particle":"","parse-names":false,"suffix":""},{"dropping-particle":"","family":"Perkins","given":"J. M","non-dropping-particle":"","parse-names":false,"suffix":""}],"container-title":"Group Processes &amp; Intergroup Relations","id":"ITEM-1","issue":"5","issued":{"date-parts":[["2011"]]},"page":"703-722","publisher":"Sage Publications Sage UK: London, England","title":"Using social norms to reduce bullying: A research intervention among adolescents in five middle schools","type":"article-journal","volume":"14"},"uris":["http://www.mendeley.com/documents/?uuid=6378a98a-771f-425a-8e50-f7c8134e913c"]},{"id":"ITEM-2","itemData":{"ISSN":"1937-1888","author":[{"dropping-particle":"","family":"Perkins","given":"J.M","non-dropping-particle":"","parse-names":false,"suffix":""},{"dropping-particle":"","family":"Perkins","given":"H. W","non-dropping-particle":"","parse-names":false,"suffix":""},{"dropping-particle":"","family":"Jurinsky","given":"J","non-dropping-particle":"","parse-names":false,"suffix":""},{"dropping-particle":"","family":"Craig","given":"D.W","non-dropping-particle":"","parse-names":false,"suffix":""}],"container-title":"Journal of Studies on Alcohol and Drugs","id":"ITEM-2","issue":"6","issued":{"date-parts":[["2019"]]},"page":"659-668","publisher":"Rutgers University","title":"Adolescent Tobacco Use and Misperceptions of Social Norms Across Schools in the United States","type":"article-journal","volume":"80"},"uris":["http://www.mendeley.com/documents/?uuid=36401d15-38e8-4f27-a26d-4e5fd7c0f718"]}],"mendeley":{"formattedCitation":"(H. W Perkins et al., 2011; J. . Perkins et al., 2019)","manualFormatting":"(Perkins et al., 2011; Perkins et al., 2019)","plainTextFormattedCitation":"(H. W Perkins et al., 2011; J. . Perkins et al., 2019)","previouslyFormattedCitation":"(H. W Perkins et al., 2011; J. . Perkins et al., 2019)"},"properties":{"noteIndex":0},"schema":"https://github.com/citation-style-language/schema/raw/master/csl-citation.json"}</w:instrText>
      </w:r>
      <w:r w:rsidRPr="00B1522E">
        <w:rPr>
          <w:rFonts w:cstheme="minorHAnsi"/>
        </w:rPr>
        <w:fldChar w:fldCharType="separate"/>
      </w:r>
      <w:r w:rsidRPr="00B1522E">
        <w:rPr>
          <w:rFonts w:cstheme="minorHAnsi"/>
          <w:noProof/>
        </w:rPr>
        <w:t>(Perkins et al., 2011; Perkins et al., 2019)</w:t>
      </w:r>
      <w:r w:rsidRPr="00B1522E">
        <w:rPr>
          <w:rFonts w:cstheme="minorHAnsi"/>
        </w:rPr>
        <w:fldChar w:fldCharType="end"/>
      </w:r>
      <w:r w:rsidRPr="00B1522E">
        <w:rPr>
          <w:rFonts w:cstheme="minorHAnsi"/>
        </w:rPr>
        <w:t>.</w:t>
      </w:r>
    </w:p>
    <w:p w14:paraId="02A29D09" w14:textId="08B73100" w:rsidR="00A26B00" w:rsidRPr="00B1522E" w:rsidRDefault="00A26B00" w:rsidP="00CE312E">
      <w:pPr>
        <w:spacing w:line="480" w:lineRule="auto"/>
        <w:ind w:firstLine="720"/>
        <w:jc w:val="both"/>
      </w:pPr>
      <w:r w:rsidRPr="00B1522E">
        <w:rPr>
          <w:rFonts w:cstheme="minorHAnsi"/>
        </w:rPr>
        <w:t xml:space="preserve">Thirdly, it should be considered how SNA feedback is communicated to younger adolescents, to ensure it is understandable, as this may influence the effectiveness of the feedback on the measured outcomes. </w:t>
      </w:r>
      <w:r w:rsidR="00EE0EC9" w:rsidRPr="00B1522E">
        <w:rPr>
          <w:rFonts w:eastAsia="Calibri"/>
        </w:rPr>
        <w:t xml:space="preserve">A previous study indicated that when adolescents (14-16 years old) did not understand the percentages being presented as part of the SNA feedback, it appeared to negatively affect their engagement with the intervention </w:t>
      </w:r>
      <w:r w:rsidR="00EE0EC9" w:rsidRPr="00B1522E">
        <w:rPr>
          <w:rFonts w:eastAsia="Calibri"/>
        </w:rPr>
        <w:fldChar w:fldCharType="begin" w:fldLock="1"/>
      </w:r>
      <w:r w:rsidR="00EE0EC9" w:rsidRPr="00B1522E">
        <w:rPr>
          <w:rFonts w:eastAsia="Calibri"/>
        </w:rPr>
        <w:instrText>ADDIN CSL_CITATION {"citationItems":[{"id":"ITEM-1","itemData":{"author":[{"dropping-particle":"","family":"Stock","given":"Christiane","non-dropping-particle":"","parse-names":false,"suffix":""},{"dropping-particle":"","family":"Lavasani Kjær","given":"Satayesh","non-dropping-particle":"","parse-names":false,"suffix":""},{"dropping-particle":"","family":"Rasmussen","given":"Birthe Marie","non-dropping-particle":"","parse-names":false,"suffix":""},{"dropping-particle":"","family":"Vallentin-Holbech","given":"Lotte","non-dropping-particle":"","parse-names":false,"suffix":""}],"container-title":"International journal of environmental research and public health","id":"ITEM-1","issue":"9","issued":{"date-parts":[["2020"]]},"page":"3200-3213","publisher":"Multidisciplinary Digital Publishing Institute","title":"Youth experiences with social norms feedback: Qualitative findings from the drug prevention trial the GOOD Life","type":"article-journal","volume":"17"},"uris":["http://www.mendeley.com/documents/?uuid=9b8554db-48ce-456f-a360-380a2a15259b"]}],"mendeley":{"formattedCitation":"(Stock et al., 2020)","plainTextFormattedCitation":"(Stock et al., 2020)","previouslyFormattedCitation":"(Stock et al., 2020)"},"properties":{"noteIndex":0},"schema":"https://github.com/citation-style-language/schema/raw/master/csl-citation.json"}</w:instrText>
      </w:r>
      <w:r w:rsidR="00EE0EC9" w:rsidRPr="00B1522E">
        <w:rPr>
          <w:rFonts w:eastAsia="Calibri"/>
        </w:rPr>
        <w:fldChar w:fldCharType="separate"/>
      </w:r>
      <w:r w:rsidR="00EE0EC9" w:rsidRPr="00B1522E">
        <w:rPr>
          <w:rFonts w:eastAsia="Calibri"/>
          <w:noProof/>
        </w:rPr>
        <w:t>(Stock et al., 2020)</w:t>
      </w:r>
      <w:r w:rsidR="00EE0EC9" w:rsidRPr="00B1522E">
        <w:rPr>
          <w:rFonts w:eastAsia="Calibri"/>
        </w:rPr>
        <w:fldChar w:fldCharType="end"/>
      </w:r>
      <w:r w:rsidR="00EE0EC9" w:rsidRPr="00B1522E">
        <w:rPr>
          <w:rFonts w:eastAsia="Calibri"/>
        </w:rPr>
        <w:t>.</w:t>
      </w:r>
      <w:r w:rsidR="00CE312E" w:rsidRPr="00B1522E">
        <w:t xml:space="preserve"> </w:t>
      </w:r>
      <w:r w:rsidRPr="00B1522E">
        <w:rPr>
          <w:rFonts w:cstheme="minorHAnsi"/>
        </w:rPr>
        <w:t xml:space="preserve">The findings from this thesis indicate that receiving </w:t>
      </w:r>
      <w:r w:rsidRPr="00B1522E">
        <w:rPr>
          <w:rFonts w:ascii="Calibri" w:hAnsi="Calibri" w:cs="Calibri"/>
          <w:shd w:val="clear" w:color="auto" w:fill="FFFFFF"/>
        </w:rPr>
        <w:t>SNA feedback led to a reduction in students’ unhealthy snacking (Chapter 8) and</w:t>
      </w:r>
      <w:r w:rsidRPr="00B1522E">
        <w:rPr>
          <w:rFonts w:eastAsia="Calibri"/>
        </w:rPr>
        <w:t xml:space="preserve"> that the visual representation of the percentages (</w:t>
      </w:r>
      <w:r w:rsidRPr="00B1522E">
        <w:rPr>
          <w:rFonts w:cstheme="minorHAnsi"/>
        </w:rPr>
        <w:t xml:space="preserve">silhouettes of stick people shaded in, which </w:t>
      </w:r>
      <w:r w:rsidRPr="00B1522E">
        <w:rPr>
          <w:rFonts w:cstheme="minorHAnsi"/>
          <w:shd w:val="clear" w:color="auto" w:fill="FFFFFF"/>
        </w:rPr>
        <w:t>correspond to the percentage being communicated)</w:t>
      </w:r>
      <w:r w:rsidRPr="00B1522E">
        <w:rPr>
          <w:rFonts w:eastAsia="Calibri"/>
        </w:rPr>
        <w:t xml:space="preserve"> presented alongside the written SNA feedback helped students to make sense of the content (Chapter 9</w:t>
      </w:r>
      <w:r w:rsidR="00551054" w:rsidRPr="00B1522E">
        <w:rPr>
          <w:rFonts w:eastAsia="Calibri"/>
        </w:rPr>
        <w:t>).</w:t>
      </w:r>
    </w:p>
    <w:p w14:paraId="47B63128" w14:textId="5FDB4825" w:rsidR="00A26B00" w:rsidRPr="00B1522E" w:rsidRDefault="00A26B00" w:rsidP="00D45793">
      <w:pPr>
        <w:spacing w:line="480" w:lineRule="auto"/>
        <w:ind w:firstLine="720"/>
        <w:jc w:val="both"/>
      </w:pPr>
      <w:r w:rsidRPr="00B1522E">
        <w:t xml:space="preserve">Fourthly, SNA feedback may be more effective when delivered in the presence of peers as it helps young adolescents to consider the personal relevance </w:t>
      </w:r>
      <w:r w:rsidRPr="00B1522E">
        <w:rPr>
          <w:shd w:val="clear" w:color="auto" w:fill="FFFFFF"/>
        </w:rPr>
        <w:t xml:space="preserve">of the normative feedback </w:t>
      </w:r>
      <w:r w:rsidRPr="00B1522E">
        <w:t>(Chapter 9)</w:t>
      </w:r>
      <w:r w:rsidRPr="00B1522E">
        <w:rPr>
          <w:shd w:val="clear" w:color="auto" w:fill="FFFFFF"/>
        </w:rPr>
        <w:t>.</w:t>
      </w:r>
      <w:r w:rsidRPr="00B1522E">
        <w:rPr>
          <w:rFonts w:eastAsiaTheme="minorEastAsia"/>
          <w:shd w:val="clear" w:color="auto" w:fill="FFFFFF"/>
        </w:rPr>
        <w:t xml:space="preserve"> </w:t>
      </w:r>
      <w:r w:rsidRPr="00B1522E">
        <w:t xml:space="preserve">A group-based discussion about the normative feedback might be especially effective at reducing unhealthy behaviours amongst young adolescents as they are especially susceptible to social influence </w:t>
      </w:r>
      <w:r w:rsidRPr="00B1522E">
        <w:fldChar w:fldCharType="begin" w:fldLock="1"/>
      </w:r>
      <w:r w:rsidRPr="00B1522E">
        <w:instrText>ADDIN CSL_CITATION {"citationItems":[{"id":"ITEM-1","itemData":{"ISSN":"0737-8262","author":[{"dropping-particle":"","family":"Rivis","given":"Amanda","non-dropping-particle":"","parse-names":false,"suffix":""},{"dropping-particle":"","family":"Sheeran","given":"Paschal","non-dropping-particle":"","parse-names":false,"suffix":""}],"container-title":"Current Psychology","id":"ITEM-1","issue":"3","issued":{"date-parts":[["2003"]]},"page":"218-233","publisher":"Springer","title":"Descriptive norms as an additional predictor in the theory of planned behaviour: A meta-analysis","type":"article-journal","volume":"22"},"uris":["http://www.mendeley.com/documents/?uuid=bc265272-4995-4458-9a7d-ae124aa891c8"]},{"id":"ITEM-2","itemData":{"ISSN":"1054-8289 (Print)","PMID":"16532661","abstract":"Mary Story, Karen Kaphingst, and Simone French argue that U.S. schools offer many opportunities for developing obesity-prevention strategies by providing more nutritious food, offering greater opportunities for physical activity, and providing obesity-related health services. Meals at school are available both through the U.S. Department of Agriculture's school breakfast and lunch programs and through \"competitive foods\" sold a la carte in cafeterias, vending machines, and snack bars. School breakfasts and school lunches must meet federal nutrition standards, but competitive foods are exempt from such requirements. And budget pressures force schools to sell the popular but nutritionally poor foods a la carte. Public discomfort with the school food environment is growing. But can schools provide more healthful food options without losing money? Limited evidence shows that they can. Although federal nutrition regulations are inadequate, they permit state and local authorities to impose additional restrictions. And many are doing so. Some states limit sales of nonnutritious foods, and many large school districts restrict competitive foods. Several interventions have changed school food environments, for example, by reducing fat content of food in vending machines and making more fruits and vegetables available. Interventions are just beginning to target the availability of competitive foods. Other pressures can also compromise schools' efforts to encourage physical activity. As states use standardized tests to hold schools and students academically accountable, physical education and recess have become a lower priority. But some states are now mandating and promoting more physical activity in schools. School health services can also help address obesity by providing screening, health information, and referrals to students, especially low-income students, who are at high risk of obesity, tend to be underinsured, and may not receive health services elsewhere.","author":[{"dropping-particle":"","family":"Story","given":"Mary","non-dropping-particle":"","parse-names":false,"suffix":""},{"dropping-particle":"","family":"Kaphingst","given":"Karen M","non-dropping-particle":"","parse-names":false,"suffix":""},{"dropping-particle":"","family":"French","given":"Simone","non-dropping-particle":"","parse-names":false,"suffix":""}],"container-title":"The Future of children","id":"ITEM-2","issue":"1","issued":{"date-parts":[["2006"]]},"language":"eng","page":"109-142","publisher-place":"United States, United States","title":"The role of schools in obesity prevention.","type":"article-journal","volume":"16"},"uris":["http://www.mendeley.com/documents/?uuid=fc0f6045-929f-4566-ac70-4e40fc98e684"]}],"mendeley":{"formattedCitation":"(Rivis &amp; Sheeran, 2003; Story et al., 2006)","plainTextFormattedCitation":"(Rivis &amp; Sheeran, 2003; Story et al., 2006)","previouslyFormattedCitation":"(Rivis &amp; Sheeran, 2003; Story et al., 2006)"},"properties":{"noteIndex":0},"schema":"https://github.com/citation-style-language/schema/raw/master/csl-citation.json"}</w:instrText>
      </w:r>
      <w:r w:rsidRPr="00B1522E">
        <w:fldChar w:fldCharType="separate"/>
      </w:r>
      <w:r w:rsidRPr="00B1522E">
        <w:rPr>
          <w:noProof/>
        </w:rPr>
        <w:t>(Rivis &amp; Sheeran, 2003; Story et al., 2006)</w:t>
      </w:r>
      <w:r w:rsidRPr="00B1522E">
        <w:fldChar w:fldCharType="end"/>
      </w:r>
      <w:r w:rsidRPr="00B1522E">
        <w:t xml:space="preserve">, and the discussion may work to reduce the strength of the perceived unhealthy snacking norm as it demonstrates that these norms are not supported by the majority </w:t>
      </w:r>
      <w:r w:rsidRPr="00B1522E">
        <w:fldChar w:fldCharType="begin" w:fldLock="1"/>
      </w:r>
      <w:r w:rsidR="0063396E" w:rsidRPr="00B1522E">
        <w:instrText>ADDIN CSL_CITATION {"citationItems":[{"id":"ITEM-1","itemData":{"DOI":"https://doi.org/10.1016/j.copsyc.2020.06.012","ISSN":"2352-250X","abstract":"Behavioral interventions have embraced social norms as information that can be communicated in simple messages to motivate behavior change. This article argues for the value and necessity of recognizing that social-norm interventions are grounded in group processes. This approach has three major benefits that more than offset the costs of its greater theoretical and practical complexity. One, it improves the effectiveness of existing interventions, including those that target the normative beliefs of individuals. Two, it opens up new intervention strategies that broaden the range of mechanisms used to change behavior. Three, it connects research on social-norm interventions with theories and research on rallies, rebellions, riots, and other forms of collective action.","author":[{"dropping-particle":"","family":"Prentice","given":"Deborah","non-dropping-particle":"","parse-names":false,"suffix":""},{"dropping-particle":"","family":"Paluck","given":"Elizabeth Levy","non-dropping-particle":"","parse-names":false,"suffix":""}],"container-title":"Current Opinion in Psychology","id":"ITEM-1","issued":{"date-parts":[["2020"]]},"page":"138-142","title":"Engineering social change using social norms: lessons from the study of collective action","type":"article-journal","volume":"35"},"uris":["http://www.mendeley.com/documents/?uuid=2388a762-4259-4101-9106-03a455531809"]}],"mendeley":{"formattedCitation":"(D. Prentice &amp; Paluck, 2020)","manualFormatting":"(Prentice &amp; Paluck, 2020)","plainTextFormattedCitation":"(D. Prentice &amp; Paluck, 2020)","previouslyFormattedCitation":"(D. Prentice &amp; Paluck, 2020)"},"properties":{"noteIndex":0},"schema":"https://github.com/citation-style-language/schema/raw/master/csl-citation.json"}</w:instrText>
      </w:r>
      <w:r w:rsidRPr="00B1522E">
        <w:fldChar w:fldCharType="separate"/>
      </w:r>
      <w:r w:rsidR="00993ABF" w:rsidRPr="00B1522E">
        <w:rPr>
          <w:noProof/>
        </w:rPr>
        <w:t>(Prentice &amp; Paluck, 2020)</w:t>
      </w:r>
      <w:r w:rsidRPr="00B1522E">
        <w:fldChar w:fldCharType="end"/>
      </w:r>
      <w:r w:rsidRPr="00B1522E">
        <w:t xml:space="preserve">. Pluralistic ignorance can lead individuals to believe that their behaviour and/or attitudes (e.g. not consuming unhealthy snacks) are not aligned with the norm (e.g. consuming unhealthy snacks) when their behaviour actually is the norm </w:t>
      </w:r>
      <w:r w:rsidRPr="00B1522E">
        <w:fldChar w:fldCharType="begin" w:fldLock="1"/>
      </w:r>
      <w:r w:rsidRPr="00B1522E">
        <w:instrText>ADDIN CSL_CITATION {"citationItems":[{"id":"ITEM-1","itemData":{"ISSN":"0021-9029","author":[{"dropping-particle":"","family":"Schroeder","given":"Christine M","non-dropping-particle":"","parse-names":false,"suffix":""},{"dropping-particle":"","family":"Prentice","given":"Deborah A","non-dropping-particle":"","parse-names":false,"suffix":""}],"container-title":"Journal of Applied Social Psychology","id":"ITEM-1","issue":"23","issued":{"date-parts":[["1998"]]},"page":"2150-2180","publisher":"Wiley Online Library","title":"Exposing Pluralistic Ignorance to Reduce Alcohol Use Among College Students 1","type":"article-journal","volume":"28"},"uris":["http://www.mendeley.com/documents/?uuid=cceb5df0-828e-496c-ba30-b1d53440ddb1"]}],"mendeley":{"formattedCitation":"(Schroeder &amp; Prentice, 1998)","plainTextFormattedCitation":"(Schroeder &amp; Prentice, 1998)","previouslyFormattedCitation":"(Schroeder &amp; Prentice, 1998)"},"properties":{"noteIndex":0},"schema":"https://github.com/citation-style-language/schema/raw/master/csl-citation.json"}</w:instrText>
      </w:r>
      <w:r w:rsidRPr="00B1522E">
        <w:fldChar w:fldCharType="separate"/>
      </w:r>
      <w:r w:rsidRPr="00B1522E">
        <w:rPr>
          <w:noProof/>
        </w:rPr>
        <w:t>(Schroeder &amp; Prentice, 1998)</w:t>
      </w:r>
      <w:r w:rsidRPr="00B1522E">
        <w:fldChar w:fldCharType="end"/>
      </w:r>
      <w:r w:rsidRPr="00B1522E">
        <w:t xml:space="preserve">. </w:t>
      </w:r>
      <w:r w:rsidRPr="00B1522E">
        <w:lastRenderedPageBreak/>
        <w:t xml:space="preserve">Therefore, employing a method that considers group-processes and creates a context in which it would be revealed to students that the norm lacks private support, may be especially effective when aiming to challenge young adolescents’ normative misperceptions in a school setting. </w:t>
      </w:r>
    </w:p>
    <w:p w14:paraId="33889F14" w14:textId="77777777" w:rsidR="00A26B00" w:rsidRPr="00B1522E" w:rsidRDefault="00A26B00" w:rsidP="00A26B00">
      <w:pPr>
        <w:ind w:firstLine="720"/>
        <w:jc w:val="both"/>
        <w:rPr>
          <w:rFonts w:cstheme="minorHAnsi"/>
          <w:shd w:val="clear" w:color="auto" w:fill="FFFFFF"/>
        </w:rPr>
      </w:pPr>
    </w:p>
    <w:p w14:paraId="1B4B8A0D" w14:textId="6179798E" w:rsidR="00A26B00" w:rsidRPr="00B1522E" w:rsidRDefault="008A6E60" w:rsidP="00A26B00">
      <w:pPr>
        <w:spacing w:line="480" w:lineRule="auto"/>
        <w:rPr>
          <w:rFonts w:cstheme="minorHAnsi"/>
          <w:b/>
          <w:bCs/>
        </w:rPr>
      </w:pPr>
      <w:r w:rsidRPr="00B1522E">
        <w:fldChar w:fldCharType="begin"/>
      </w:r>
      <w:r w:rsidRPr="00B1522E">
        <w:instrText xml:space="preserve"> TC  "</w:instrText>
      </w:r>
      <w:bookmarkStart w:id="315" w:name="_Toc97310537"/>
      <w:r w:rsidRPr="00B1522E">
        <w:instrText>10.5 Future Directions</w:instrText>
      </w:r>
      <w:bookmarkEnd w:id="315"/>
      <w:r w:rsidRPr="00B1522E">
        <w:instrText xml:space="preserve"> " \f x\l 2 </w:instrText>
      </w:r>
      <w:r w:rsidRPr="00B1522E">
        <w:fldChar w:fldCharType="end"/>
      </w:r>
      <w:r w:rsidR="00A26B00" w:rsidRPr="00B1522E">
        <w:rPr>
          <w:rFonts w:cstheme="minorHAnsi"/>
          <w:b/>
          <w:bCs/>
        </w:rPr>
        <w:t>10.5 Future Directions</w:t>
      </w:r>
    </w:p>
    <w:p w14:paraId="3BFBC8A6" w14:textId="49206AA8" w:rsidR="00A26B00" w:rsidRPr="00B1522E" w:rsidRDefault="00A26B00" w:rsidP="00A26B00">
      <w:pPr>
        <w:spacing w:line="480" w:lineRule="auto"/>
        <w:jc w:val="both"/>
      </w:pPr>
      <w:r w:rsidRPr="00B1522E">
        <w:t xml:space="preserve">This section identifies several areas for future research. Firstly, the SNA intervention implemented here focused on challenging students’ descriptive normative misperceptions of peers’ unhealthy snacking intake (i.e., eating behaviours). However, the findings from Study Two (Chapter 7) indicate that students not only overestimated peers’ unhealthy snacking behaviour (descriptive norm) but also hold inaccurate perceptions about </w:t>
      </w:r>
      <w:r w:rsidRPr="00B1522E">
        <w:rPr>
          <w:i/>
          <w:iCs/>
        </w:rPr>
        <w:t>peers’ attitudes</w:t>
      </w:r>
      <w:r w:rsidRPr="00B1522E">
        <w:t xml:space="preserve"> towards unhealthy snacking (injunctive norm). Therefore, it is unclear what effect presenting students with injunctive normative feedback would have on personal unhealthy snacking consumption. Future research could be undertaken to explore what effect challenging inaccurate perceptions about peers’ attitudes towards unhealthy snacking (injunctive norm) has on personal unhealthy snacking consumption of young adolescents. Researchers could also consider exploring whether there is an interaction between injunctive and descriptive norms on personal unhealthy snacking behaviours of young adolescents, and what effect the presentation of both injunctive and descriptive norms feedback would have on improving unhealthy snacking behaviour. </w:t>
      </w:r>
    </w:p>
    <w:p w14:paraId="7BA87B01" w14:textId="7CE6D0B7" w:rsidR="00CA16FB" w:rsidRPr="00B1522E" w:rsidRDefault="00CA16FB" w:rsidP="00CA16FB">
      <w:pPr>
        <w:spacing w:line="480" w:lineRule="auto"/>
        <w:ind w:firstLine="720"/>
        <w:jc w:val="both"/>
      </w:pPr>
      <w:r w:rsidRPr="00B1522E">
        <w:rPr>
          <w:rStyle w:val="normaltextrun"/>
          <w:rFonts w:ascii="Calibri" w:hAnsi="Calibri" w:cs="Calibri"/>
          <w:shd w:val="clear" w:color="auto" w:fill="FFFFFF"/>
        </w:rPr>
        <w:t>Secondly, the findings from this thesis demonstrate that SNA can be used to change the unhealthy snacking of young adolescents in a school setting. The unhealthy snack foods measured and targeted were identified as commonly consumed across the two schools (Chapter 5) and students received normative messages about individual snack foods (e.g., chocolate). Snacking is a com</w:t>
      </w:r>
      <w:r w:rsidRPr="00B1522E">
        <w:rPr>
          <w:rStyle w:val="normaltextrun"/>
          <w:rFonts w:ascii="Calibri" w:hAnsi="Calibri" w:cs="Calibri"/>
        </w:rPr>
        <w:t>plex behaviour, and the term ‘snacking’ can have different interpretations (Chamontin et al., 2003).</w:t>
      </w:r>
      <w:r w:rsidRPr="00B1522E">
        <w:rPr>
          <w:rStyle w:val="normaltextrun"/>
          <w:rFonts w:ascii="Calibri" w:hAnsi="Calibri" w:cs="Calibri"/>
          <w:shd w:val="clear" w:color="auto" w:fill="FFFFFF"/>
        </w:rPr>
        <w:t xml:space="preserve"> It is unclear if including SNA feedback that targets single food types (e.g., chocolate) is more or less effective than SNA feedback that uses generic unhealthy snacking messages. Future research </w:t>
      </w:r>
      <w:r w:rsidRPr="00B1522E">
        <w:rPr>
          <w:rStyle w:val="normaltextrun"/>
          <w:rFonts w:ascii="Calibri" w:hAnsi="Calibri" w:cs="Calibri"/>
          <w:shd w:val="clear" w:color="auto" w:fill="FFFFFF"/>
        </w:rPr>
        <w:lastRenderedPageBreak/>
        <w:t>could investigate the effect of presenting generic snacking norms versus specific snacking norms messages on young adolescents’ unhealthy snacking behaviours. </w:t>
      </w:r>
      <w:r w:rsidRPr="00B1522E">
        <w:rPr>
          <w:rStyle w:val="eop"/>
          <w:rFonts w:ascii="Calibri" w:hAnsi="Calibri" w:cs="Calibri"/>
          <w:shd w:val="clear" w:color="auto" w:fill="FFFFFF"/>
        </w:rPr>
        <w:t> </w:t>
      </w:r>
    </w:p>
    <w:p w14:paraId="4405DF43" w14:textId="613CFD5D" w:rsidR="00A26B00" w:rsidRPr="00B1522E" w:rsidRDefault="00CA16FB" w:rsidP="00A26B00">
      <w:pPr>
        <w:spacing w:line="480" w:lineRule="auto"/>
        <w:ind w:firstLine="720"/>
        <w:jc w:val="both"/>
      </w:pPr>
      <w:r w:rsidRPr="00B1522E">
        <w:t>Thirdly</w:t>
      </w:r>
      <w:r w:rsidR="00A26B00" w:rsidRPr="00B1522E">
        <w:t xml:space="preserve">, although this thesis focused on reducing unhealthy snacking of younger adolescents in a school setting further research could be undertaken to explore whether an SNA intervention would be effective at increasing </w:t>
      </w:r>
      <w:r w:rsidR="00A26B00" w:rsidRPr="00B1522E">
        <w:rPr>
          <w:i/>
          <w:iCs/>
        </w:rPr>
        <w:t>healthy</w:t>
      </w:r>
      <w:r w:rsidR="00A26B00" w:rsidRPr="00B1522E">
        <w:t xml:space="preserve"> dietary behaviours (e.g., regular meals, fruit and vegetable consumption) of young adolescents in a school setting. Evidence indicates that adolescents often do not consume the recommended amount of fruit and vegetables, and are less likely to consume breakfast on a regular basis, compared to other ages </w:t>
      </w:r>
      <w:r w:rsidR="00A26B00" w:rsidRPr="00B1522E">
        <w:fldChar w:fldCharType="begin" w:fldLock="1"/>
      </w:r>
      <w:r w:rsidR="00FD502B" w:rsidRPr="00B1522E">
        <w:instrText>ADDIN CSL_CITATION {"citationItems":[{"id":"ITEM-1","itemData":{"ISSN":"2072-6643","abstract":"Relevant factors involved in the creation of some children's food preferences and eating behaviours have been examined in order to highlight the topic and give paediatricians practical instruments to understand the background behind eating behaviour and to manage children's nutrition for preventive purposes. Electronic databases were searched to locate and appraise relevant studies. We carried out a search to identify papers published in English on factors that influence children's feeding behaviours. The family system that surrounds a child's domestic life will have an active role in establishing and promoting behaviours that will persist throughout his or her life. Early-life experiences with various tastes and flavours have a role in promoting healthy eating in future life. The nature of a narrative review makes it difficult to integrate complex interactions when large sets of studies are involved. In the current analysis, parental food habits and feeding strategies are the most dominant determinants of a child's eating behaviour and food choices. Parents should expose their offspring to a range of good food choices while acting as positive role models. Prevention programmes should be addressed to them, taking into account socioeconomic aspects and education.","author":[{"dropping-particle":"","family":"Scaglioni","given":"Silvia","non-dropping-particle":"","parse-names":false,"suffix":""},{"dropping-particle":"","family":"Cosmi","given":"Valentina","non-dropping-particle":"De","parse-names":false,"suffix":""},{"dropping-particle":"","family":"Ciappolino","given":"Valentina","non-dropping-particle":"","parse-names":false,"suffix":""},{"dropping-particle":"","family":"Parazzini","given":"Fabio","non-dropping-particle":"","parse-names":false,"suffix":""},{"dropping-particle":"","family":"Brambilla","given":"Paolo","non-dropping-particle":"","parse-names":false,"suffix":""},{"dropping-particle":"","family":"Agostoni","given":"Carlo","non-dropping-particle":"","parse-names":false,"suffix":""}],"container-title":"Nutrients","id":"ITEM-1","issue":"6","issued":{"date-parts":[["2018","5","31"]]},"language":"eng","page":"706","publisher":"MDPI","title":"Factors Influencing Children's Eating Behaviours","type":"article-journal","volume":"10"},"uris":["http://www.mendeley.com/documents/?uuid=baec3704-99dd-487c-aa2e-d59bd7aa616b"]}],"mendeley":{"formattedCitation":"(Scaglioni et al., 2018)","plainTextFormattedCitation":"(Scaglioni et al., 2018)","previouslyFormattedCitation":"(Scaglioni et al., 2018)"},"properties":{"noteIndex":0},"schema":"https://github.com/citation-style-language/schema/raw/master/csl-citation.json"}</w:instrText>
      </w:r>
      <w:r w:rsidR="00A26B00" w:rsidRPr="00B1522E">
        <w:fldChar w:fldCharType="separate"/>
      </w:r>
      <w:r w:rsidR="00A26B00" w:rsidRPr="00B1522E">
        <w:rPr>
          <w:noProof/>
        </w:rPr>
        <w:t>(Scaglioni et al., 2018)</w:t>
      </w:r>
      <w:r w:rsidR="00A26B00" w:rsidRPr="00B1522E">
        <w:fldChar w:fldCharType="end"/>
      </w:r>
      <w:r w:rsidR="00A26B00" w:rsidRPr="00B1522E">
        <w:t>. Prior research has indicated that SNA interventions can be used to increase positive health-related behaviours</w:t>
      </w:r>
      <w:r w:rsidR="00A255A0" w:rsidRPr="00B1522E">
        <w:t>,</w:t>
      </w:r>
      <w:r w:rsidR="00A26B00" w:rsidRPr="00B1522E">
        <w:t xml:space="preserve"> e.g. sunscreen use </w:t>
      </w:r>
      <w:r w:rsidR="00A26B00" w:rsidRPr="00B1522E">
        <w:fldChar w:fldCharType="begin" w:fldLock="1"/>
      </w:r>
      <w:r w:rsidR="00993ABF" w:rsidRPr="00B1522E">
        <w:instrText>ADDIN CSL_CITATION {"citationItems":[{"id":"ITEM-1","itemData":{"ISSN":"1930-7810 (Electronic)","PMID":"23646838","abstract":"OBJECTIVE: Despite long-standing social psychological research supporting the influence of injunctive norms (i.e., what is commonly approved or disapproved) on behavior, support for this influence on health behaviors is limited. We examined the utility of correcting misperceptions of injunctive norms for improving sun protection and whether changes in attitudes mediated the injunctive norm-intention relationship. METHOD: At baseline 263 community residing primarily White women, aged 37 to 77 years, reported their beliefs about sun protection and tanning and their perceptions of \"typical women's\" approval of sun protection versus tanning. Women underestimated approval of sun protection and overestimated approval of tanning. In a randomized trial, 189 of these women received either information about sun protection or information plus personalized normative feedback (PNF). PNF compared each woman's own perceptions of typical women's approval of tanning and sun protection with actual normative values, both measured at baseline. PNF communicated that most women approve of others who sun protect. RESULTS: PNF led to more positive sun protection injunctive norms, attitudes, and intentions at immediate posttest and more positive intentions and self-reported behavior at 4-week follow-up. Baseline discrepancy between a woman's beliefs and actual normative values related negatively to changes in sun protection in the control condition but positively in the PNF condition. As hypothesized, changes in attitudes partially mediated the influence of PNF on changes in intentions. CONCLUSIONS: The present research demonstrates the utility of correcting injunctive norm misperceptions for promoting healthy behaviors. That attitudes changed in response to PNF and mediated the norm-intention relationship suggests a method for influencing attitudes that may limit reactance.","author":[{"dropping-particle":"","family":"Reid","given":"Allecia E","non-dropping-particle":"","parse-names":false,"suffix":""},{"dropping-particle":"","family":"Aiken","given":"Leona S","non-dropping-particle":"","parse-names":false,"suffix":""}],"container-title":"Health psychology : official journal of the Division of Health Psychology, American Psychological Association","id":"ITEM-1","issue":"5","issued":{"date-parts":[["2013","5"]]},"language":"eng","page":"551-560","publisher-place":"United States","title":"Correcting injunctive norm misperceptions motivates behavior change: a randomized controlled sun protection intervention.","type":"article-journal","volume":"32"},"uris":["http://www.mendeley.com/documents/?uuid=9519fd8f-8198-4d1b-b62f-7557d4fabb51"]}],"mendeley":{"formattedCitation":"(Reid &amp; Aiken, 2013)","plainTextFormattedCitation":"(Reid &amp; Aiken, 2013)","previouslyFormattedCitation":"(Reid &amp; Aiken, 2013)"},"properties":{"noteIndex":0},"schema":"https://github.com/citation-style-language/schema/raw/master/csl-citation.json"}</w:instrText>
      </w:r>
      <w:r w:rsidR="00A26B00" w:rsidRPr="00B1522E">
        <w:fldChar w:fldCharType="separate"/>
      </w:r>
      <w:r w:rsidR="00A26B00" w:rsidRPr="00B1522E">
        <w:rPr>
          <w:noProof/>
        </w:rPr>
        <w:t>(Reid &amp; Aiken, 2013)</w:t>
      </w:r>
      <w:r w:rsidR="00A26B00" w:rsidRPr="00B1522E">
        <w:fldChar w:fldCharType="end"/>
      </w:r>
      <w:r w:rsidR="00A26B00" w:rsidRPr="00B1522E">
        <w:t xml:space="preserve">. </w:t>
      </w:r>
    </w:p>
    <w:p w14:paraId="3052DDD0" w14:textId="5328C6EE" w:rsidR="00A26B00" w:rsidRPr="00B1522E" w:rsidRDefault="00CA16FB" w:rsidP="00A26B00">
      <w:pPr>
        <w:spacing w:line="480" w:lineRule="auto"/>
        <w:ind w:firstLine="720"/>
        <w:jc w:val="both"/>
      </w:pPr>
      <w:r w:rsidRPr="00B1522E">
        <w:rPr>
          <w:shd w:val="clear" w:color="auto" w:fill="FFFFFF"/>
        </w:rPr>
        <w:t>Fourthly</w:t>
      </w:r>
      <w:r w:rsidR="00A26B00" w:rsidRPr="00B1522E">
        <w:rPr>
          <w:shd w:val="clear" w:color="auto" w:fill="FFFFFF"/>
        </w:rPr>
        <w:t xml:space="preserve">, when </w:t>
      </w:r>
      <w:r w:rsidR="00A26B00" w:rsidRPr="00B1522E">
        <w:t xml:space="preserve">exploring young adolescents’ experiences of the delivered SNA intervention (Chapter 9), students expressed being shocked by the SNA feedback which led them to actively consider their normative perceptions in relation to it. </w:t>
      </w:r>
      <w:r w:rsidR="00A26B00" w:rsidRPr="00B1522E">
        <w:rPr>
          <w:rFonts w:eastAsia="Calibri"/>
        </w:rPr>
        <w:t>A previous study aimed to reduce 21</w:t>
      </w:r>
      <w:r w:rsidR="00A26B00" w:rsidRPr="00B1522E">
        <w:rPr>
          <w:rFonts w:eastAsia="Calibri"/>
          <w:vertAlign w:val="superscript"/>
        </w:rPr>
        <w:t>st</w:t>
      </w:r>
      <w:r w:rsidR="00A26B00" w:rsidRPr="00B1522E">
        <w:rPr>
          <w:rFonts w:eastAsia="Calibri"/>
        </w:rPr>
        <w:t xml:space="preserve"> birthday alcohol consumption and also found that participants who </w:t>
      </w:r>
      <w:r w:rsidR="00A26B00" w:rsidRPr="00B1522E">
        <w:t xml:space="preserve">were </w:t>
      </w:r>
      <w:r w:rsidR="00A26B00" w:rsidRPr="00B1522E">
        <w:rPr>
          <w:rFonts w:eastAsia="Calibri"/>
        </w:rPr>
        <w:t xml:space="preserve">more surprised by the SNA feedback had lower </w:t>
      </w:r>
      <w:r w:rsidR="00A26B00" w:rsidRPr="00B1522E">
        <w:rPr>
          <w:shd w:val="clear" w:color="auto" w:fill="FFFFFF"/>
        </w:rPr>
        <w:t xml:space="preserve">estimated blood alcohol levels </w:t>
      </w:r>
      <w:r w:rsidR="00A26B00" w:rsidRPr="00B1522E">
        <w:rPr>
          <w:shd w:val="clear" w:color="auto" w:fill="FFFFFF"/>
        </w:rPr>
        <w:fldChar w:fldCharType="begin" w:fldLock="1"/>
      </w:r>
      <w:r w:rsidR="00993ABF" w:rsidRPr="00B1522E">
        <w:rPr>
          <w:shd w:val="clear" w:color="auto" w:fill="FFFFFF"/>
        </w:rPr>
        <w:instrText>ADDIN CSL_CITATION {"citationItems":[{"id":"ITEM-1","itemData":{"ISSN":"1939-2117","abstract":"This article presents an initial randomized controlled trial of an event-specific prevention intervention. Participants included 295 college students (41.69% male, 58.31% female) who intended to consume 2 or more drinks on their 21st birthday. Participants completed a screening/baseline assessment approximately 1 week before they turned 21 and were randomly assigned to receive Web-based personalized feedback or assessment only. Feedback included normative information, protective behaviors, and personalized blood alcohol concentration information. A follow-up assessment was completed approximately 1 week after a student's birthday. Results indicated a significant intervention effect in reducing estimated blood alcohol concentration (d = 0.33). The intervention effect was moderated by 21st-birthday drinking intentions, and the intervention was primarily effective among those who intended to reach higher levels of intoxication. Results provide some support for normative information as a mediator of intervention efficacy. Overall results provide support for Web-based personalized feedback as an intervention approach for specific events associated with extreme drinking.","author":[{"dropping-particle":"","family":"Neighbors","given":"Clayton","non-dropping-particle":"","parse-names":false,"suffix":""},{"dropping-particle":"","family":"Lee","given":"Christine M","non-dropping-particle":"","parse-names":false,"suffix":""},{"dropping-particle":"","family":"Lewis","given":"Melissa A","non-dropping-particle":"","parse-names":false,"suffix":""},{"dropping-particle":"","family":"Fossos","given":"Nicole","non-dropping-particle":"","parse-names":false,"suffix":""},{"dropping-particle":"","family":"Walter","given":"Theresa","non-dropping-particle":"","parse-names":false,"suffix":""}],"container-title":"Journal of consulting and clinical psychology","id":"ITEM-1","issue":"1","issued":{"date-parts":[["2009","2"]]},"language":"eng","page":"51-63","title":"Internet-based personalized feedback to reduce 21st-birthday drinking: a randomized controlled trial of an event-specific prevention intervention","type":"article-journal","volume":"77"},"uris":["http://www.mendeley.com/documents/?uuid=e474cd44-a8a0-4e78-bf25-b8174689a8a6"]}],"mendeley":{"formattedCitation":"(Neighbors et al., 2009)","plainTextFormattedCitation":"(Neighbors et al., 2009)","previouslyFormattedCitation":"(Neighbors et al., 2009)"},"properties":{"noteIndex":0},"schema":"https://github.com/citation-style-language/schema/raw/master/csl-citation.json"}</w:instrText>
      </w:r>
      <w:r w:rsidR="00A26B00" w:rsidRPr="00B1522E">
        <w:rPr>
          <w:shd w:val="clear" w:color="auto" w:fill="FFFFFF"/>
        </w:rPr>
        <w:fldChar w:fldCharType="separate"/>
      </w:r>
      <w:r w:rsidR="00A26B00" w:rsidRPr="00B1522E">
        <w:rPr>
          <w:noProof/>
          <w:shd w:val="clear" w:color="auto" w:fill="FFFFFF"/>
        </w:rPr>
        <w:t>(Neighbors et al., 2009)</w:t>
      </w:r>
      <w:r w:rsidR="00A26B00" w:rsidRPr="00B1522E">
        <w:rPr>
          <w:shd w:val="clear" w:color="auto" w:fill="FFFFFF"/>
        </w:rPr>
        <w:fldChar w:fldCharType="end"/>
      </w:r>
      <w:r w:rsidR="00A26B00" w:rsidRPr="00B1522E">
        <w:rPr>
          <w:shd w:val="clear" w:color="auto" w:fill="FFFFFF"/>
        </w:rPr>
        <w:t xml:space="preserve">. </w:t>
      </w:r>
      <w:r w:rsidR="00A26B00" w:rsidRPr="00B1522E">
        <w:t>However, there is limited research and q</w:t>
      </w:r>
      <w:r w:rsidR="00A26B00" w:rsidRPr="00B1522E">
        <w:rPr>
          <w:shd w:val="clear" w:color="auto" w:fill="FFFFFF"/>
        </w:rPr>
        <w:t>uestions remain over</w:t>
      </w:r>
      <w:r w:rsidR="00A26B00" w:rsidRPr="00B1522E">
        <w:rPr>
          <w:rFonts w:eastAsia="Calibri"/>
        </w:rPr>
        <w:t xml:space="preserve"> what role participants’ reactions to SNA feedback have in changing normative perceptions and personal unhealthy snacking behaviour</w:t>
      </w:r>
      <w:r w:rsidR="00A26B00" w:rsidRPr="00B1522E">
        <w:rPr>
          <w:shd w:val="clear" w:color="auto" w:fill="FFFFFF"/>
        </w:rPr>
        <w:t xml:space="preserve">s </w:t>
      </w:r>
      <w:r w:rsidR="00A26B00" w:rsidRPr="00B1522E">
        <w:rPr>
          <w:shd w:val="clear" w:color="auto" w:fill="FFFFFF"/>
        </w:rPr>
        <w:fldChar w:fldCharType="begin" w:fldLock="1"/>
      </w:r>
      <w:r w:rsidR="00A26B00" w:rsidRPr="00B1522E">
        <w:rPr>
          <w:shd w:val="clear" w:color="auto" w:fill="FFFFFF"/>
        </w:rPr>
        <w:instrText>ADDIN CSL_CITATION {"citationItems":[{"id":"ITEM-1","itemData":{"ISSN":"1664-1078","author":[{"dropping-particle":"","family":"Dempsey","given":"Robert C","non-dropping-particle":"","parse-names":false,"suffix":""},{"dropping-particle":"","family":"McAlaney","given":"John","non-dropping-particle":"","parse-names":false,"suffix":""},{"dropping-particle":"","family":"Bewick","given":"Bridgette","non-dropping-particle":"","parse-names":false,"suffix":""}],"container-title":"Frontiers in psychology","id":"ITEM-1","issued":{"date-parts":[["2018"]]},"page":"2180","publisher":"Frontiers","title":"A critical appraisal of the Social Norms Approach as an interventional strategy for health-related behaviour and attitude change","type":"article-journal","volume":"9"},"uris":["http://www.mendeley.com/documents/?uuid=02ca1a91-c52d-4b33-a0ad-61e3e0cb1fce"]}],"mendeley":{"formattedCitation":"(Dempsey et al., 2018)","plainTextFormattedCitation":"(Dempsey et al., 2018)","previouslyFormattedCitation":"(Dempsey et al., 2018)"},"properties":{"noteIndex":0},"schema":"https://github.com/citation-style-language/schema/raw/master/csl-citation.json"}</w:instrText>
      </w:r>
      <w:r w:rsidR="00A26B00" w:rsidRPr="00B1522E">
        <w:rPr>
          <w:shd w:val="clear" w:color="auto" w:fill="FFFFFF"/>
        </w:rPr>
        <w:fldChar w:fldCharType="separate"/>
      </w:r>
      <w:r w:rsidR="00A26B00" w:rsidRPr="00B1522E">
        <w:rPr>
          <w:noProof/>
          <w:shd w:val="clear" w:color="auto" w:fill="FFFFFF"/>
        </w:rPr>
        <w:t>(Dempsey et al., 2018)</w:t>
      </w:r>
      <w:r w:rsidR="00A26B00" w:rsidRPr="00B1522E">
        <w:rPr>
          <w:shd w:val="clear" w:color="auto" w:fill="FFFFFF"/>
        </w:rPr>
        <w:fldChar w:fldCharType="end"/>
      </w:r>
      <w:r w:rsidR="00A26B00" w:rsidRPr="00B1522E">
        <w:rPr>
          <w:shd w:val="clear" w:color="auto" w:fill="FFFFFF"/>
        </w:rPr>
        <w:t xml:space="preserve">. </w:t>
      </w:r>
      <w:r w:rsidR="00A26B00" w:rsidRPr="00B1522E">
        <w:t>Future research could further explore this by investigating participants’ immediate reaction upon receiving SNA feedback and how this relates to the measured outcomes.</w:t>
      </w:r>
    </w:p>
    <w:p w14:paraId="7614518C" w14:textId="77777777" w:rsidR="00A26B00" w:rsidRPr="00B1522E" w:rsidRDefault="00A26B00" w:rsidP="00A26B00">
      <w:pPr>
        <w:spacing w:line="480" w:lineRule="auto"/>
        <w:ind w:firstLine="720"/>
        <w:jc w:val="both"/>
      </w:pPr>
      <w:r w:rsidRPr="00B1522E">
        <w:rPr>
          <w:rFonts w:eastAsia="Calibri"/>
        </w:rPr>
        <w:t>Lastly, the systematic review (Chapter 2) indicated that school-based interventions that target unhealthy dietary behaviours of adolescents appeared to be more effective when they involved peers</w:t>
      </w:r>
      <w:r w:rsidRPr="00B1522E">
        <w:t xml:space="preserve"> in the delivery of interventional activities. The findings from the intervention evaluation (Chapter 9) highlighted that receiving SNA feedback whilst in the presence of peers appeared to help students consider the personal relevance </w:t>
      </w:r>
      <w:r w:rsidRPr="00B1522E">
        <w:rPr>
          <w:shd w:val="clear" w:color="auto" w:fill="FFFFFF"/>
        </w:rPr>
        <w:t xml:space="preserve">of the normative feedback, and </w:t>
      </w:r>
      <w:r w:rsidRPr="00B1522E">
        <w:rPr>
          <w:rFonts w:eastAsia="Calibri"/>
        </w:rPr>
        <w:t xml:space="preserve">also helped students make inferences about the </w:t>
      </w:r>
      <w:r w:rsidRPr="00B1522E">
        <w:t xml:space="preserve">credibility of the SNA feedback messages being presented. This is the first study that we are aware of that has delivered SNA feedback using this group-based activity, and further research is </w:t>
      </w:r>
      <w:r w:rsidRPr="00B1522E">
        <w:lastRenderedPageBreak/>
        <w:t xml:space="preserve">needed to explore whether encouraging participants to discuss SNA feedback with their peer group may be an effective interventional component. Future research is needed to explore whether a group-based discussion helps to </w:t>
      </w:r>
      <w:r w:rsidRPr="00B1522E">
        <w:rPr>
          <w:shd w:val="clear" w:color="auto" w:fill="FFFFFF"/>
        </w:rPr>
        <w:t>reinforce the social acceptability and credibility of SNA feedback</w:t>
      </w:r>
      <w:r w:rsidRPr="00B1522E">
        <w:t xml:space="preserve">. </w:t>
      </w:r>
    </w:p>
    <w:p w14:paraId="048951A9" w14:textId="77777777" w:rsidR="00A26B00" w:rsidRPr="00B1522E" w:rsidRDefault="00A26B00" w:rsidP="00A26B00">
      <w:pPr>
        <w:spacing w:line="480" w:lineRule="auto"/>
        <w:ind w:firstLine="720"/>
        <w:jc w:val="both"/>
        <w:rPr>
          <w:rFonts w:cstheme="minorHAnsi"/>
        </w:rPr>
      </w:pPr>
    </w:p>
    <w:p w14:paraId="230E8628" w14:textId="1DFB4CA3" w:rsidR="00A26B00" w:rsidRPr="00B1522E" w:rsidRDefault="008A6E60" w:rsidP="00A26B00">
      <w:pPr>
        <w:spacing w:line="480" w:lineRule="auto"/>
        <w:rPr>
          <w:b/>
          <w:bCs/>
        </w:rPr>
      </w:pPr>
      <w:r w:rsidRPr="00B1522E">
        <w:fldChar w:fldCharType="begin"/>
      </w:r>
      <w:r w:rsidRPr="00B1522E">
        <w:instrText xml:space="preserve"> TC  "</w:instrText>
      </w:r>
      <w:bookmarkStart w:id="316" w:name="_Toc97310538"/>
      <w:r w:rsidRPr="00B1522E">
        <w:instrText xml:space="preserve">10.6 Researcher’s </w:instrText>
      </w:r>
      <w:r w:rsidR="00DE7109" w:rsidRPr="00B1522E">
        <w:instrText>R</w:instrText>
      </w:r>
      <w:r w:rsidRPr="00B1522E">
        <w:instrText>eflections</w:instrText>
      </w:r>
      <w:bookmarkEnd w:id="316"/>
      <w:r w:rsidRPr="00B1522E">
        <w:instrText xml:space="preserve"> " \f x\l 2 </w:instrText>
      </w:r>
      <w:r w:rsidRPr="00B1522E">
        <w:fldChar w:fldCharType="end"/>
      </w:r>
      <w:r w:rsidR="00A26B00" w:rsidRPr="00B1522E">
        <w:rPr>
          <w:b/>
          <w:bCs/>
        </w:rPr>
        <w:t xml:space="preserve">10.6 Researcher’s </w:t>
      </w:r>
      <w:r w:rsidR="00DE7109" w:rsidRPr="00B1522E">
        <w:rPr>
          <w:b/>
          <w:bCs/>
        </w:rPr>
        <w:t>R</w:t>
      </w:r>
      <w:r w:rsidR="00A26B00" w:rsidRPr="00B1522E">
        <w:rPr>
          <w:b/>
          <w:bCs/>
        </w:rPr>
        <w:t>eflections</w:t>
      </w:r>
    </w:p>
    <w:p w14:paraId="7F3D6420" w14:textId="6F6D1A80" w:rsidR="00A26B00" w:rsidRPr="00B1522E" w:rsidRDefault="00A26B00" w:rsidP="00A26B00">
      <w:pPr>
        <w:spacing w:line="480" w:lineRule="auto"/>
        <w:jc w:val="both"/>
      </w:pPr>
      <w:r w:rsidRPr="00B1522E">
        <w:t xml:space="preserve">Reflexivity is an awareness of the researcher’s position and role in the process of data collection and analysis, allowing the researcher to acknowledge the way in which they affect and are affected by both the research process and outcomes </w:t>
      </w:r>
      <w:r w:rsidRPr="00B1522E">
        <w:fldChar w:fldCharType="begin" w:fldLock="1"/>
      </w:r>
      <w:r w:rsidR="00FD502B" w:rsidRPr="00B1522E">
        <w:instrText>ADDIN CSL_CITATION {"citationItems":[{"id":"ITEM-1","itemData":{"ISBN":"1526428865","author":[{"dropping-particle":"","family":"Alvesson","given":"Mats","non-dropping-particle":"","parse-names":false,"suffix":""},{"dropping-particle":"","family":"Sköldberg","given":"Kaj","non-dropping-particle":"","parse-names":false,"suffix":""}],"id":"ITEM-1","issued":{"date-parts":[["2017"]]},"publisher":"Sage Publications","title":"Reflexive methodology: New vistas for qualitative research","type":"book"},"uris":["http://www.mendeley.com/documents/?uuid=358b6a43-bf2f-4581-b480-2d3bdfc2dcc3"]}],"mendeley":{"formattedCitation":"(Alvesson &amp; Sköldberg, 2017)","plainTextFormattedCitation":"(Alvesson &amp; Sköldberg, 2017)","previouslyFormattedCitation":"(Alvesson &amp; Sköldberg, 2017)"},"properties":{"noteIndex":0},"schema":"https://github.com/citation-style-language/schema/raw/master/csl-citation.json"}</w:instrText>
      </w:r>
      <w:r w:rsidRPr="00B1522E">
        <w:fldChar w:fldCharType="separate"/>
      </w:r>
      <w:r w:rsidRPr="00B1522E">
        <w:rPr>
          <w:noProof/>
        </w:rPr>
        <w:t>(Alvesson &amp; Sköldberg, 2017)</w:t>
      </w:r>
      <w:r w:rsidRPr="00B1522E">
        <w:fldChar w:fldCharType="end"/>
      </w:r>
      <w:r w:rsidRPr="00B1522E">
        <w:t xml:space="preserve">. Researcher reflexivity is concerned with considering how current thinking arose, how this thinking is revised in view of new understandings, and how this in turn influences the research </w:t>
      </w:r>
      <w:r w:rsidRPr="00B1522E">
        <w:fldChar w:fldCharType="begin" w:fldLock="1"/>
      </w:r>
      <w:r w:rsidR="00F54E4D" w:rsidRPr="00B1522E">
        <w:instrText>ADDIN CSL_CITATION {"citationItems":[{"id":"ITEM-1","itemData":{"author":[{"dropping-particle":"","family":"Haynes","given":"Kathryn","non-dropping-particle":"","parse-names":false,"suffix":""}],"container-title":"Qualitative organizational research: Core methods and current challenges","editor":[{"dropping-particle":"","family":"Symon","given":"G","non-dropping-particle":"","parse-names":false,"suffix":""},{"dropping-particle":"","family":"Cessell","given":"C","non-dropping-particle":"","parse-names":false,"suffix":""}],"id":"ITEM-1","issued":{"date-parts":[["2012"]]},"page":"72-89","title":"Reflexivity in qualitative research","type":"chapter"},"uris":["http://www.mendeley.com/documents/?uuid=73507d79-430b-4c10-b703-48fd24b42e9b"]}],"mendeley":{"formattedCitation":"(Haynes, 2012)","plainTextFormattedCitation":"(Haynes, 2012)","previouslyFormattedCitation":"(Haynes, 2012)"},"properties":{"noteIndex":0},"schema":"https://github.com/citation-style-language/schema/raw/master/csl-citation.json"}</w:instrText>
      </w:r>
      <w:r w:rsidRPr="00B1522E">
        <w:fldChar w:fldCharType="separate"/>
      </w:r>
      <w:r w:rsidRPr="00B1522E">
        <w:rPr>
          <w:noProof/>
        </w:rPr>
        <w:t>(Haynes, 2012)</w:t>
      </w:r>
      <w:r w:rsidRPr="00B1522E">
        <w:fldChar w:fldCharType="end"/>
      </w:r>
      <w:r w:rsidRPr="00B1522E">
        <w:t xml:space="preserve">. Reflexivity is comprised of two interacting elements: prospective and retrospective reflexivity (Edge, 2011). Prospective reflexivity is concerned with the effect of the researcher on the research, whilst retrospective reflexivity is concerned with the effect of the research on the researcher </w:t>
      </w:r>
      <w:r w:rsidRPr="00B1522E">
        <w:fldChar w:fldCharType="begin" w:fldLock="1"/>
      </w:r>
      <w:r w:rsidR="0063396E" w:rsidRPr="00B1522E">
        <w:instrText>ADDIN CSL_CITATION {"citationItems":[{"id":"ITEM-1","itemData":{"ISSN":"2326-5507","author":[{"dropping-particle":"","family":"Attia","given":"Mariam","non-dropping-particle":"","parse-names":false,"suffix":""},{"dropping-particle":"","family":"Edge","given":"Julian","non-dropping-particle":"","parse-names":false,"suffix":""}],"container-title":"Open Review of Educational Research","id":"ITEM-1","issue":"1","issued":{"date-parts":[["2017"]]},"page":"33-45","publisher":"Taylor &amp; Francis","title":"Be (com) ing a reflexive researcher: a developmental approach to research methodology","type":"article-journal","volume":"4"},"uris":["http://www.mendeley.com/documents/?uuid=c988064f-8268-498c-9e74-7215a2853365"]}],"mendeley":{"formattedCitation":"(Attia &amp; Edge, 2017)","plainTextFormattedCitation":"(Attia &amp; Edge, 2017)","previouslyFormattedCitation":"(Attia &amp; Edge, 2017)"},"properties":{"noteIndex":0},"schema":"https://github.com/citation-style-language/schema/raw/master/csl-citation.json"}</w:instrText>
      </w:r>
      <w:r w:rsidRPr="00B1522E">
        <w:fldChar w:fldCharType="separate"/>
      </w:r>
      <w:r w:rsidRPr="00B1522E">
        <w:rPr>
          <w:noProof/>
        </w:rPr>
        <w:t>(Attia &amp; Edge, 2017)</w:t>
      </w:r>
      <w:r w:rsidRPr="00B1522E">
        <w:fldChar w:fldCharType="end"/>
      </w:r>
      <w:r w:rsidRPr="00B1522E">
        <w:t xml:space="preserve">. </w:t>
      </w:r>
      <w:r w:rsidRPr="00B1522E">
        <w:rPr>
          <w:shd w:val="clear" w:color="auto" w:fill="FFFFFF"/>
        </w:rPr>
        <w:t xml:space="preserve">It is important to consider both perspectives to understand the bidirectional impact of </w:t>
      </w:r>
      <w:r w:rsidRPr="00B1522E">
        <w:t xml:space="preserve">how the researcher’s characteristics and status, impact the research procedure and data analysis, but also to consider how the research process can have a positive influence on the researcher’s personal growth </w:t>
      </w:r>
      <w:r w:rsidRPr="00B1522E">
        <w:fldChar w:fldCharType="begin" w:fldLock="1"/>
      </w:r>
      <w:r w:rsidR="00F54E4D" w:rsidRPr="00B1522E">
        <w:instrText>ADDIN CSL_CITATION {"citationItems":[{"id":"ITEM-1","itemData":{"ISSN":"2326-5507","author":[{"dropping-particle":"","family":"Attia","given":"Mariam","non-dropping-particle":"","parse-names":false,"suffix":""},{"dropping-particle":"","family":"Edge","given":"Julian","non-dropping-particle":"","parse-names":false,"suffix":""}],"container-title":"Open Review of Educational Research","id":"ITEM-1","issue":"1","issued":{"date-parts":[["2017"]]},"page":"33-45","publisher":"Taylor &amp; Francis","title":"Be (com) ing a reflexive researcher: a developmental approach to research methodology","type":"article-journal","volume":"4"},"uris":["http://www.mendeley.com/documents/?uuid=c988064f-8268-498c-9e74-7215a2853365"]},{"id":"ITEM-2","itemData":{"author":[{"dropping-particle":"","family":"Haynes","given":"Kathryn","non-dropping-particle":"","parse-names":false,"suffix":""}],"container-title":"Qualitative organizational research: Core methods and current challenges","editor":[{"dropping-particle":"","family":"Symon","given":"G","non-dropping-particle":"","parse-names":false,"suffix":""},{"dropping-particle":"","family":"Cessell","given":"C","non-dropping-particle":"","parse-names":false,"suffix":""}],"id":"ITEM-2","issued":{"date-parts":[["2012"]]},"page":"72-89","title":"Reflexivity in qualitative research","type":"chapter"},"uris":["http://www.mendeley.com/documents/?uuid=73507d79-430b-4c10-b703-48fd24b42e9b"]}],"mendeley":{"formattedCitation":"(Attia &amp; Edge, 2017; Haynes, 2012)","plainTextFormattedCitation":"(Attia &amp; Edge, 2017; Haynes, 2012)","previouslyFormattedCitation":"(Attia &amp; Edge, 2017; Haynes, 2012)"},"properties":{"noteIndex":0},"schema":"https://github.com/citation-style-language/schema/raw/master/csl-citation.json"}</w:instrText>
      </w:r>
      <w:r w:rsidRPr="00B1522E">
        <w:fldChar w:fldCharType="separate"/>
      </w:r>
      <w:r w:rsidRPr="00B1522E">
        <w:rPr>
          <w:noProof/>
        </w:rPr>
        <w:t>(Attia &amp; Edge, 2017; Haynes, 2012)</w:t>
      </w:r>
      <w:r w:rsidRPr="00B1522E">
        <w:fldChar w:fldCharType="end"/>
      </w:r>
      <w:r w:rsidRPr="00B1522E">
        <w:t>. Throughout the PhD, a handwritten journal was kept facilitating the researcher’s reflection on the work presented here. The subsequent paragraphs summarise the researcher’s prospective and retrospective reflections on the research process and how the researcher has developed because of the process; the subsequent paragraphs are written in the first person.</w:t>
      </w:r>
    </w:p>
    <w:p w14:paraId="71371748" w14:textId="77777777" w:rsidR="00A26B00" w:rsidRPr="00B1522E" w:rsidRDefault="00A26B00" w:rsidP="00A26B00">
      <w:pPr>
        <w:spacing w:line="480" w:lineRule="auto"/>
        <w:ind w:firstLine="720"/>
        <w:jc w:val="both"/>
      </w:pPr>
      <w:r w:rsidRPr="00B1522E">
        <w:rPr>
          <w:shd w:val="clear" w:color="auto" w:fill="FFFFFF"/>
        </w:rPr>
        <w:t xml:space="preserve">I came to undertake the PhD with the knowledge that the topic area and theory being explored were already selected. I was familiar with children’s dietary behaviours because that became an area of interest for me when completing my </w:t>
      </w:r>
      <w:r w:rsidRPr="00B1522E">
        <w:t xml:space="preserve">BSc (Hons) degree in Psychology and Child Development; however, I was unfamiliar with the Social Norms Approach. Therefore, during the first months of the PhD I explored previous research and started to consider gaps in the literature in </w:t>
      </w:r>
      <w:r w:rsidRPr="00B1522E">
        <w:lastRenderedPageBreak/>
        <w:t xml:space="preserve">relation to the theory and the topic of interest. My background was predominantly in quantitative research, I was interested in expanding my experience of conducting qualitative research; nevertheless, it was the gaps in the literature, the topic under investigation, along with the thesis aims and objectives, that guided the research design. </w:t>
      </w:r>
    </w:p>
    <w:p w14:paraId="69852881" w14:textId="77777777" w:rsidR="00A26B00" w:rsidRPr="00B1522E" w:rsidRDefault="00A26B00" w:rsidP="00A26B00">
      <w:pPr>
        <w:spacing w:line="480" w:lineRule="auto"/>
        <w:ind w:firstLine="720"/>
        <w:jc w:val="both"/>
      </w:pPr>
      <w:r w:rsidRPr="00B1522E">
        <w:t xml:space="preserve">During data collection, the difficulties of collecting data in schools became apparent. In the first study, what I originally anticipated to be the easiest parts of the data collection process, recruiting participants, because of the size of the cohort being recruited, actually posed the biggest barrier. I had used a parent opt-in consent form and found that only a small number of parents returned consent forms. This impacted my anticipated timescale as I had to resend invitation letters to parents and return to the schools on multiple occasions.  I spend a lot of time anguishing over this and upon reflection, this was one of the steepest learning curves for me: acknowledgment that data collection does not always go as planned and to turn it into a learning experience. Therefore, as a result of discussions with my supervisors and the schools involved when I collected data in the subsequent studies, I used an opt-out parent consent form. Developing a relationship with the teachers at the schools was key to a lot of the success that I encountered, as they helped to communicate the relevance and importance of the research I was conducting. Nevertheless, each study brought unforeseen challenges that related to collecting real-world data, as previously discussed, recruitment in Study One (Chapter 5), missing data in Study Two and Three (Chapter 7 &amp; 8), and teachers having limited time to discuss their experiences in Study Four (Chapter 9). I believe this has made me more adaptive and I now do not see these challenges as barriers but as an opportunity to learn new skills and alter my perspective. </w:t>
      </w:r>
    </w:p>
    <w:p w14:paraId="346FC6BD" w14:textId="0BB71B69" w:rsidR="00A26B00" w:rsidRPr="00B1522E" w:rsidRDefault="00A26B00" w:rsidP="00A26B00">
      <w:pPr>
        <w:spacing w:line="480" w:lineRule="auto"/>
        <w:ind w:firstLine="720"/>
        <w:jc w:val="both"/>
      </w:pPr>
      <w:r w:rsidRPr="00B1522E">
        <w:t xml:space="preserve">I have worked with young people before as a research assistant and found building rapport is important in the initial stages of research to make them feel at ease and more likely to engage. When I started my PhD, I had limited experience of collecting data via focus groups but my prior experience of being able to build rapport with young people was a skill that helped me as a focus group facilitator. I felt this helped put students at ease, so they felt comfortable expressing their thoughts and beliefs </w:t>
      </w:r>
      <w:r w:rsidR="0098786A" w:rsidRPr="00B1522E">
        <w:lastRenderedPageBreak/>
        <w:t>during</w:t>
      </w:r>
      <w:r w:rsidRPr="00B1522E">
        <w:t xml:space="preserve"> the discussion period. Whilst I felt confident to engage young people within the research, I naïvely did not anticipate that facilitating discussion with children would be dissimilar to working with adults. After conducting the first focus groups I reflected on some of the differences I encountered and considered some of the practices I could employ to address these issues in subsequent discussions. For example, I repeatedly found that children struggle to stay on topic, and I felt that repeating the question was one way I could refocus the conversation. Further, I found that children often provided brief answers even when prompted and so instead of just having general conversation prompts, I developed a list of prompts for each question within the discussion. I found both methods were beneficial to help further explore the topic with students and helped me develop as a researcher.</w:t>
      </w:r>
    </w:p>
    <w:p w14:paraId="3F280D63" w14:textId="77777777" w:rsidR="00A26B00" w:rsidRPr="00B1522E" w:rsidRDefault="00A26B00" w:rsidP="00A26B00">
      <w:pPr>
        <w:spacing w:line="480" w:lineRule="auto"/>
        <w:ind w:firstLine="720"/>
        <w:jc w:val="both"/>
      </w:pPr>
      <w:r w:rsidRPr="00B1522E">
        <w:t xml:space="preserve">Although I have always been reserved about sharing my own perceptions about the topic area when collecting data, I do acknowledge there are other ways in which I could have influenced the participants’ perception of me and their responses during data collection, for example, my age, sex, ethnicity, and social class.  Whilst my knowledge of the topic allows me to be able to consider, comment on, interpret, and explore participants’ experiences, I am conscious that I will never fully understand their viewpoint or frame of reference. Whilst it was interesting to explore the thoughts and experiences of the students, it was important that individual students’ views did not influence the way I collected and analysed the data. Therefore, all data analysis was conducted once data collection had finished, this allowed me to look at the data set as a whole rather than being influenced by the perceptions of one specific focus group discussion. I transcribed all the focus group data together and this process of transcription informed the early stages of data analysis. I did struggle in the initial stages of the qualitative data analysis as it was something I had limited experience in, and became frustrated with not being able to condense the large number of codes I had created neatly into key themes to build the framework. Upon reflection I believe it was driven by my feeling unconfident in qualitative data analysis techniques and that I had limited the time I gave myself to complete the analysis. I found that reviewing the initial notes I had taken when collecting the data, and encouragement from supervisors to consider what story I believe the data was telling, helped me move past this. I believe it taught me that I need to allow time to fully explore the data and consider the story being told. I felt </w:t>
      </w:r>
      <w:r w:rsidRPr="00B1522E">
        <w:lastRenderedPageBreak/>
        <w:t xml:space="preserve">I had developed as a researcher as I was aware I felt more confident and assured of my ability when conducting focus groups and analysing the data to evaluate the SNA interventions. </w:t>
      </w:r>
    </w:p>
    <w:p w14:paraId="7E9668CD" w14:textId="77777777" w:rsidR="00A26B00" w:rsidRPr="00B1522E" w:rsidRDefault="00A26B00" w:rsidP="00A26B00">
      <w:pPr>
        <w:spacing w:line="480" w:lineRule="auto"/>
        <w:ind w:firstLine="720"/>
        <w:jc w:val="both"/>
        <w:rPr>
          <w:rFonts w:cstheme="minorHAnsi"/>
        </w:rPr>
      </w:pPr>
      <w:r w:rsidRPr="00B1522E">
        <w:rPr>
          <w:rFonts w:cstheme="minorHAnsi"/>
        </w:rPr>
        <w:t>I found the writing up of the findings a difficult but rewarding process. My first drafts were overly long and descriptive but with help and support from my supervisors, my writing has progressed to be informative and succinct. For me, I believe going through the peer review process of submitting research for publications has also helped me consider how other academics perceived the research. I have learnt so much through the process of writing, and gaining peer and supervisor feedback on how I communicate the research, has helped me to develop as a researcher.</w:t>
      </w:r>
    </w:p>
    <w:p w14:paraId="6B3F7881" w14:textId="59BF3593" w:rsidR="00A26B00" w:rsidRPr="00B1522E" w:rsidRDefault="00A26B00" w:rsidP="00A26B00">
      <w:pPr>
        <w:spacing w:line="480" w:lineRule="auto"/>
        <w:ind w:firstLine="720"/>
        <w:jc w:val="both"/>
      </w:pPr>
      <w:r w:rsidRPr="00B1522E">
        <w:t xml:space="preserve">Even though I have found the PhD journey at times challenging and frustrating, it has also been really rewarding and has helped my development. This PhD has demonstrated the challenges of real-world research and has highlighted the importance of skills such as being able to be adaptive and flexible, whilst aiming to maintain research rigour. This PhD has definitely been a journey of self-discovery and there is a clear difference now in my skills, confidence, and experience as a researcher </w:t>
      </w:r>
      <w:r w:rsidRPr="00500F3A">
        <w:t>compared to the start of my PhD journey. The PhD has given me the opportunity to not just develop as a researcher, but it has led me to grow as a person and I feel I</w:t>
      </w:r>
      <w:r w:rsidR="00D11568" w:rsidRPr="00500F3A">
        <w:t xml:space="preserve"> am</w:t>
      </w:r>
      <w:r w:rsidRPr="00500F3A">
        <w:t xml:space="preserve"> much stronger for it.</w:t>
      </w:r>
      <w:r w:rsidRPr="00B1522E">
        <w:t xml:space="preserve"> </w:t>
      </w:r>
    </w:p>
    <w:p w14:paraId="7CFEECC3" w14:textId="77777777" w:rsidR="00A26B00" w:rsidRPr="00B1522E" w:rsidRDefault="00A26B00" w:rsidP="00A26B00">
      <w:pPr>
        <w:spacing w:line="480" w:lineRule="auto"/>
        <w:ind w:firstLine="720"/>
        <w:jc w:val="both"/>
        <w:rPr>
          <w:rFonts w:cstheme="minorHAnsi"/>
        </w:rPr>
      </w:pPr>
    </w:p>
    <w:p w14:paraId="5ACDF770" w14:textId="2E9D02A5" w:rsidR="00A26B00" w:rsidRPr="00B1522E" w:rsidRDefault="00DE7109" w:rsidP="00A26B00">
      <w:pPr>
        <w:spacing w:line="480" w:lineRule="auto"/>
        <w:rPr>
          <w:b/>
          <w:bCs/>
        </w:rPr>
      </w:pPr>
      <w:r w:rsidRPr="00B1522E">
        <w:fldChar w:fldCharType="begin"/>
      </w:r>
      <w:r w:rsidRPr="00B1522E">
        <w:instrText xml:space="preserve"> TC  "</w:instrText>
      </w:r>
      <w:bookmarkStart w:id="317" w:name="_Toc97310539"/>
      <w:r w:rsidRPr="00B1522E">
        <w:instrText>10.7 General Conclusion</w:instrText>
      </w:r>
      <w:bookmarkEnd w:id="317"/>
      <w:r w:rsidRPr="00B1522E">
        <w:instrText xml:space="preserve"> " \f x\l 2 </w:instrText>
      </w:r>
      <w:r w:rsidRPr="00B1522E">
        <w:fldChar w:fldCharType="end"/>
      </w:r>
      <w:r w:rsidR="00A26B00" w:rsidRPr="00B1522E">
        <w:rPr>
          <w:b/>
          <w:bCs/>
        </w:rPr>
        <w:t>10.7 General Conclusion</w:t>
      </w:r>
    </w:p>
    <w:p w14:paraId="2A9A749B" w14:textId="51CC412D" w:rsidR="00A26B00" w:rsidRPr="00B1522E" w:rsidRDefault="00A26B00" w:rsidP="00A26B00">
      <w:pPr>
        <w:spacing w:line="480" w:lineRule="auto"/>
        <w:jc w:val="both"/>
      </w:pPr>
      <w:r w:rsidRPr="00B1522E">
        <w:t xml:space="preserve">The main aim of this thesis was to examine whether an in-school SNA intervention could be applied to reduce the unhealthy dietary behaviours of secondary school students. Taken together, the findings indicate that young adolescents overestimate (i.e., misperceive) the actual social norms of their peers’ unhealthy snacking, that these normative misperceptions are predictive of adolescents’ personal unhealthy snacking behaviours, and that an in-school SNA intervention is a feasible strategy to reduce unhealthy snacking of younger adolescents living in a socially-deprived area. The evaluation revealed that the in-school SNA intervention was an age-appropriate, engaging method to deliver SNA feedback to students, but students needed to be afforded time to process, discuss and understand the SNA </w:t>
      </w:r>
      <w:r w:rsidRPr="00B1522E">
        <w:lastRenderedPageBreak/>
        <w:t>feedback being communicated. The research in this thesis</w:t>
      </w:r>
      <w:r w:rsidR="0056456C" w:rsidRPr="00B1522E">
        <w:t xml:space="preserve"> therefore</w:t>
      </w:r>
      <w:r w:rsidRPr="00B1522E">
        <w:t xml:space="preserve"> provides an important contribution to the literature in documenting the effectiveness of an in-school SNA feedback intervention targeting the unhealthy snacking of younger adolescents. </w:t>
      </w:r>
    </w:p>
    <w:p w14:paraId="1BC47F58" w14:textId="77777777" w:rsidR="004F0A92" w:rsidRPr="009167AC" w:rsidRDefault="004F0A92" w:rsidP="00574FBE"/>
    <w:p w14:paraId="3FE9557A" w14:textId="77777777" w:rsidR="00065A51" w:rsidRPr="009167AC" w:rsidRDefault="00065A51" w:rsidP="00FD502B"/>
    <w:p w14:paraId="6E60B039" w14:textId="77777777" w:rsidR="00065A51" w:rsidRPr="009167AC" w:rsidRDefault="00065A51" w:rsidP="00FD502B"/>
    <w:p w14:paraId="7F171CDF" w14:textId="77777777" w:rsidR="00065A51" w:rsidRPr="009167AC" w:rsidRDefault="00065A51" w:rsidP="00FD502B"/>
    <w:p w14:paraId="1CCCFD7C" w14:textId="77777777" w:rsidR="00065A51" w:rsidRPr="009167AC" w:rsidRDefault="00065A51" w:rsidP="00FD502B"/>
    <w:p w14:paraId="52904057" w14:textId="77777777" w:rsidR="00065A51" w:rsidRPr="009167AC" w:rsidRDefault="00065A51" w:rsidP="00FD502B"/>
    <w:p w14:paraId="5EDED0E5" w14:textId="77777777" w:rsidR="00065A51" w:rsidRPr="009167AC" w:rsidRDefault="00065A51" w:rsidP="00FD502B"/>
    <w:p w14:paraId="28420883" w14:textId="77777777" w:rsidR="00065A51" w:rsidRPr="009167AC" w:rsidRDefault="00065A51" w:rsidP="00FD502B"/>
    <w:p w14:paraId="1C1D2270" w14:textId="77777777" w:rsidR="00065A51" w:rsidRPr="009167AC" w:rsidRDefault="00065A51" w:rsidP="00FD502B"/>
    <w:p w14:paraId="49197032" w14:textId="77777777" w:rsidR="00065A51" w:rsidRPr="009167AC" w:rsidRDefault="00065A51" w:rsidP="00FD502B"/>
    <w:p w14:paraId="33943B40" w14:textId="77777777" w:rsidR="00065A51" w:rsidRPr="009167AC" w:rsidRDefault="00065A51" w:rsidP="00FD502B"/>
    <w:p w14:paraId="3B05A2FE" w14:textId="77777777" w:rsidR="00065A51" w:rsidRPr="009167AC" w:rsidRDefault="00065A51" w:rsidP="00FD502B"/>
    <w:p w14:paraId="6A1015AB" w14:textId="77777777" w:rsidR="00065A51" w:rsidRPr="009167AC" w:rsidRDefault="00065A51" w:rsidP="00FD502B"/>
    <w:p w14:paraId="046D658E" w14:textId="77777777" w:rsidR="00065A51" w:rsidRPr="009167AC" w:rsidRDefault="00065A51" w:rsidP="00FD502B"/>
    <w:p w14:paraId="17AC0FAE" w14:textId="77777777" w:rsidR="00065A51" w:rsidRPr="009167AC" w:rsidRDefault="00065A51" w:rsidP="00FD502B"/>
    <w:p w14:paraId="0A21CBB7" w14:textId="77777777" w:rsidR="00065A51" w:rsidRPr="009167AC" w:rsidRDefault="00065A51" w:rsidP="00FD502B"/>
    <w:p w14:paraId="47BB0637" w14:textId="77777777" w:rsidR="00065A51" w:rsidRPr="009167AC" w:rsidRDefault="00065A51" w:rsidP="00FD502B"/>
    <w:p w14:paraId="6FDEF97B" w14:textId="77777777" w:rsidR="00065A51" w:rsidRPr="009167AC" w:rsidRDefault="00065A51" w:rsidP="00FD502B"/>
    <w:p w14:paraId="570E78AA" w14:textId="77777777" w:rsidR="00065A51" w:rsidRPr="009167AC" w:rsidRDefault="00065A51" w:rsidP="00FD502B"/>
    <w:p w14:paraId="3ADA2CCC" w14:textId="77777777" w:rsidR="00065A51" w:rsidRPr="009167AC" w:rsidRDefault="00065A51" w:rsidP="00FD502B"/>
    <w:p w14:paraId="04ADA8F7" w14:textId="77777777" w:rsidR="00065A51" w:rsidRPr="009167AC" w:rsidRDefault="00065A51" w:rsidP="00FD502B"/>
    <w:p w14:paraId="1810B605" w14:textId="77777777" w:rsidR="00065A51" w:rsidRPr="009167AC" w:rsidRDefault="00065A51" w:rsidP="00FD502B"/>
    <w:p w14:paraId="77FEE893" w14:textId="77777777" w:rsidR="00065A51" w:rsidRPr="009167AC" w:rsidRDefault="00065A51" w:rsidP="00FD502B"/>
    <w:p w14:paraId="268B0AB7" w14:textId="77777777" w:rsidR="00065A51" w:rsidRPr="009167AC" w:rsidRDefault="00065A51" w:rsidP="00FD502B"/>
    <w:p w14:paraId="50192113" w14:textId="77777777" w:rsidR="00065A51" w:rsidRPr="009167AC" w:rsidRDefault="00065A51" w:rsidP="00FD502B"/>
    <w:p w14:paraId="57C216C4" w14:textId="77777777" w:rsidR="00065A51" w:rsidRPr="009167AC" w:rsidRDefault="00065A51" w:rsidP="00FD502B"/>
    <w:p w14:paraId="5D424737" w14:textId="77777777" w:rsidR="00065A51" w:rsidRPr="009167AC" w:rsidRDefault="00065A51" w:rsidP="00FD502B"/>
    <w:p w14:paraId="33192AF2" w14:textId="77777777" w:rsidR="00065A51" w:rsidRPr="009167AC" w:rsidRDefault="00065A51" w:rsidP="00FD502B"/>
    <w:p w14:paraId="52798509" w14:textId="52B2DEC6" w:rsidR="00A4015F" w:rsidRPr="009167AC" w:rsidRDefault="00237304" w:rsidP="00FD502B">
      <w:pPr>
        <w:rPr>
          <w:b/>
          <w:bCs/>
        </w:rPr>
      </w:pPr>
      <w:r w:rsidRPr="009167AC">
        <w:lastRenderedPageBreak/>
        <w:fldChar w:fldCharType="begin"/>
      </w:r>
      <w:r w:rsidRPr="009167AC">
        <w:instrText xml:space="preserve"> TC  </w:instrText>
      </w:r>
      <w:r w:rsidRPr="009167AC">
        <w:rPr>
          <w:b/>
          <w:bCs/>
        </w:rPr>
        <w:instrText>"</w:instrText>
      </w:r>
      <w:bookmarkStart w:id="318" w:name="_Toc97310540"/>
      <w:r w:rsidRPr="009167AC">
        <w:rPr>
          <w:b/>
          <w:bCs/>
        </w:rPr>
        <w:instrText>References</w:instrText>
      </w:r>
      <w:bookmarkEnd w:id="318"/>
      <w:r w:rsidRPr="009167AC">
        <w:rPr>
          <w:b/>
          <w:bCs/>
        </w:rPr>
        <w:instrText xml:space="preserve"> </w:instrText>
      </w:r>
      <w:r w:rsidRPr="009167AC">
        <w:instrText xml:space="preserve">" \f x\l  </w:instrText>
      </w:r>
      <w:r w:rsidRPr="009167AC">
        <w:fldChar w:fldCharType="end"/>
      </w:r>
      <w:r w:rsidR="00A4015F" w:rsidRPr="009167AC">
        <w:rPr>
          <w:b/>
          <w:bCs/>
        </w:rPr>
        <w:t xml:space="preserve">References </w:t>
      </w:r>
    </w:p>
    <w:p w14:paraId="2E7F89D1" w14:textId="68F6DA18" w:rsidR="009A0EF9" w:rsidRPr="009A0EF9" w:rsidRDefault="00DF6CCC" w:rsidP="009A0EF9">
      <w:pPr>
        <w:widowControl w:val="0"/>
        <w:autoSpaceDE w:val="0"/>
        <w:autoSpaceDN w:val="0"/>
        <w:adjustRightInd w:val="0"/>
        <w:spacing w:line="240" w:lineRule="auto"/>
        <w:ind w:left="480" w:hanging="480"/>
        <w:rPr>
          <w:rFonts w:ascii="Calibri" w:hAnsi="Calibri" w:cs="Calibri"/>
          <w:noProof/>
          <w:szCs w:val="24"/>
        </w:rPr>
      </w:pPr>
      <w:r w:rsidRPr="009167AC">
        <w:rPr>
          <w:b/>
          <w:bCs/>
        </w:rPr>
        <w:fldChar w:fldCharType="begin" w:fldLock="1"/>
      </w:r>
      <w:r w:rsidRPr="009167AC">
        <w:rPr>
          <w:b/>
          <w:bCs/>
        </w:rPr>
        <w:instrText xml:space="preserve">ADDIN Mendeley Bibliography CSL_BIBLIOGRAPHY </w:instrText>
      </w:r>
      <w:r w:rsidRPr="009167AC">
        <w:rPr>
          <w:b/>
          <w:bCs/>
        </w:rPr>
        <w:fldChar w:fldCharType="separate"/>
      </w:r>
      <w:r w:rsidR="009A0EF9" w:rsidRPr="009A0EF9">
        <w:rPr>
          <w:rFonts w:ascii="Calibri" w:hAnsi="Calibri" w:cs="Calibri"/>
          <w:noProof/>
          <w:szCs w:val="24"/>
        </w:rPr>
        <w:t xml:space="preserve">Abdi, F., &amp; Simbar, M. (2013). The Peer Education Approach in Adolescents-Narrative Review Article. </w:t>
      </w:r>
      <w:r w:rsidR="009A0EF9" w:rsidRPr="009A0EF9">
        <w:rPr>
          <w:rFonts w:ascii="Calibri" w:hAnsi="Calibri" w:cs="Calibri"/>
          <w:i/>
          <w:iCs/>
          <w:noProof/>
          <w:szCs w:val="24"/>
        </w:rPr>
        <w:t>Iranian Journal of Public Health</w:t>
      </w:r>
      <w:r w:rsidR="009A0EF9" w:rsidRPr="009A0EF9">
        <w:rPr>
          <w:rFonts w:ascii="Calibri" w:hAnsi="Calibri" w:cs="Calibri"/>
          <w:noProof/>
          <w:szCs w:val="24"/>
        </w:rPr>
        <w:t xml:space="preserve">, </w:t>
      </w:r>
      <w:r w:rsidR="009A0EF9" w:rsidRPr="009A0EF9">
        <w:rPr>
          <w:rFonts w:ascii="Calibri" w:hAnsi="Calibri" w:cs="Calibri"/>
          <w:i/>
          <w:iCs/>
          <w:noProof/>
          <w:szCs w:val="24"/>
        </w:rPr>
        <w:t>42</w:t>
      </w:r>
      <w:r w:rsidR="009A0EF9" w:rsidRPr="009A0EF9">
        <w:rPr>
          <w:rFonts w:ascii="Calibri" w:hAnsi="Calibri" w:cs="Calibri"/>
          <w:noProof/>
          <w:szCs w:val="24"/>
        </w:rPr>
        <w:t>(11), 1200–1206.</w:t>
      </w:r>
    </w:p>
    <w:p w14:paraId="6DD6E38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Aceves-Martins, M., Llauradó, E., Tarro, L., Moriña, D., Papell-Garcia, I., Prades-Tena, J., Kettner-Høeberg, H., Puiggròs, F., Arola, L., Davies, A., Giralt, M., &amp; Solà, R. (2017). A School-Based, Peer-Led, Social Marketing Intervention To Engage Spanish Adolescents in a Healthy Lifestyle (“We Are Cool”—Som la Pera Study): A Parallel-Cluster Randomized Controlled Study. </w:t>
      </w:r>
      <w:r w:rsidRPr="009A0EF9">
        <w:rPr>
          <w:rFonts w:ascii="Calibri" w:hAnsi="Calibri" w:cs="Calibri"/>
          <w:i/>
          <w:iCs/>
          <w:noProof/>
          <w:szCs w:val="24"/>
        </w:rPr>
        <w:t>Childhood Obesity</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(4), 300–313.</w:t>
      </w:r>
    </w:p>
    <w:p w14:paraId="67E2A62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Adler, K., Salanterä, S., &amp; Zumstein-Shaha, M. (2019). Focus group interviews in child, youth, and parent research: an integrative literature review. </w:t>
      </w:r>
      <w:r w:rsidRPr="009A0EF9">
        <w:rPr>
          <w:rFonts w:ascii="Calibri" w:hAnsi="Calibri" w:cs="Calibri"/>
          <w:i/>
          <w:iCs/>
          <w:noProof/>
          <w:szCs w:val="24"/>
        </w:rPr>
        <w:t>International Journal of Qualitative Methods</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 1–15.</w:t>
      </w:r>
    </w:p>
    <w:p w14:paraId="7D0CFB5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Ajzen, I. (1991). The theory of planned behavior. </w:t>
      </w:r>
      <w:r w:rsidRPr="009A0EF9">
        <w:rPr>
          <w:rFonts w:ascii="Calibri" w:hAnsi="Calibri" w:cs="Calibri"/>
          <w:i/>
          <w:iCs/>
          <w:noProof/>
          <w:szCs w:val="24"/>
        </w:rPr>
        <w:t>Organizational Behavior and Human Decision Processes</w:t>
      </w:r>
      <w:r w:rsidRPr="009A0EF9">
        <w:rPr>
          <w:rFonts w:ascii="Calibri" w:hAnsi="Calibri" w:cs="Calibri"/>
          <w:noProof/>
          <w:szCs w:val="24"/>
        </w:rPr>
        <w:t xml:space="preserve">, </w:t>
      </w:r>
      <w:r w:rsidRPr="009A0EF9">
        <w:rPr>
          <w:rFonts w:ascii="Calibri" w:hAnsi="Calibri" w:cs="Calibri"/>
          <w:i/>
          <w:iCs/>
          <w:noProof/>
          <w:szCs w:val="24"/>
        </w:rPr>
        <w:t>50</w:t>
      </w:r>
      <w:r w:rsidRPr="009A0EF9">
        <w:rPr>
          <w:rFonts w:ascii="Calibri" w:hAnsi="Calibri" w:cs="Calibri"/>
          <w:noProof/>
          <w:szCs w:val="24"/>
        </w:rPr>
        <w:t>(2), 179–211.</w:t>
      </w:r>
    </w:p>
    <w:p w14:paraId="7613E66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Ajzen, I., &amp; Fishbein, M. (1972). Attitudes and normative beliefs as factors influencing behavioral intentions. </w:t>
      </w:r>
      <w:r w:rsidRPr="009A0EF9">
        <w:rPr>
          <w:rFonts w:ascii="Calibri" w:hAnsi="Calibri" w:cs="Calibri"/>
          <w:i/>
          <w:iCs/>
          <w:noProof/>
          <w:szCs w:val="24"/>
        </w:rPr>
        <w:t>Journal of Personality and Social Psychology</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(1), 1–9.</w:t>
      </w:r>
    </w:p>
    <w:p w14:paraId="747B633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Al-Busaidi, Z. Q. (2008). Qualitative research and its uses in health care. </w:t>
      </w:r>
      <w:r w:rsidRPr="009A0EF9">
        <w:rPr>
          <w:rFonts w:ascii="Calibri" w:hAnsi="Calibri" w:cs="Calibri"/>
          <w:i/>
          <w:iCs/>
          <w:noProof/>
          <w:szCs w:val="24"/>
        </w:rPr>
        <w:t>Sultan Qaboos University Medical Journal</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(1), 11–19.</w:t>
      </w:r>
    </w:p>
    <w:p w14:paraId="3C9A5F2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Albuquerque, D., Nóbrega, C., Manco, L., &amp; Padez, C. (2017). The contribution of genetics and environment to obesity. </w:t>
      </w:r>
      <w:r w:rsidRPr="009A0EF9">
        <w:rPr>
          <w:rFonts w:ascii="Calibri" w:hAnsi="Calibri" w:cs="Calibri"/>
          <w:i/>
          <w:iCs/>
          <w:noProof/>
          <w:szCs w:val="24"/>
        </w:rPr>
        <w:t>British Medical Bulletin</w:t>
      </w:r>
      <w:r w:rsidRPr="009A0EF9">
        <w:rPr>
          <w:rFonts w:ascii="Calibri" w:hAnsi="Calibri" w:cs="Calibri"/>
          <w:noProof/>
          <w:szCs w:val="24"/>
        </w:rPr>
        <w:t xml:space="preserve">, </w:t>
      </w:r>
      <w:r w:rsidRPr="009A0EF9">
        <w:rPr>
          <w:rFonts w:ascii="Calibri" w:hAnsi="Calibri" w:cs="Calibri"/>
          <w:i/>
          <w:iCs/>
          <w:noProof/>
          <w:szCs w:val="24"/>
        </w:rPr>
        <w:t>123</w:t>
      </w:r>
      <w:r w:rsidRPr="009A0EF9">
        <w:rPr>
          <w:rFonts w:ascii="Calibri" w:hAnsi="Calibri" w:cs="Calibri"/>
          <w:noProof/>
          <w:szCs w:val="24"/>
        </w:rPr>
        <w:t>(1), 159–173.</w:t>
      </w:r>
    </w:p>
    <w:p w14:paraId="0940D56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Allan, J., McMinn, D., &amp; Powell, D. (2019). Tracking snacking in real time: Time to look at individualised patterns of behaviour. </w:t>
      </w:r>
      <w:r w:rsidRPr="009A0EF9">
        <w:rPr>
          <w:rFonts w:ascii="Calibri" w:hAnsi="Calibri" w:cs="Calibri"/>
          <w:i/>
          <w:iCs/>
          <w:noProof/>
          <w:szCs w:val="24"/>
        </w:rPr>
        <w:t>Nutrition and Health</w:t>
      </w:r>
      <w:r w:rsidRPr="009A0EF9">
        <w:rPr>
          <w:rFonts w:ascii="Calibri" w:hAnsi="Calibri" w:cs="Calibri"/>
          <w:noProof/>
          <w:szCs w:val="24"/>
        </w:rPr>
        <w:t xml:space="preserve">, </w:t>
      </w:r>
      <w:r w:rsidRPr="009A0EF9">
        <w:rPr>
          <w:rFonts w:ascii="Calibri" w:hAnsi="Calibri" w:cs="Calibri"/>
          <w:i/>
          <w:iCs/>
          <w:noProof/>
          <w:szCs w:val="24"/>
        </w:rPr>
        <w:t>25</w:t>
      </w:r>
      <w:r w:rsidRPr="009A0EF9">
        <w:rPr>
          <w:rFonts w:ascii="Calibri" w:hAnsi="Calibri" w:cs="Calibri"/>
          <w:noProof/>
          <w:szCs w:val="24"/>
        </w:rPr>
        <w:t>(3), 179–184.</w:t>
      </w:r>
    </w:p>
    <w:p w14:paraId="1747846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Althubaiti, A. (2016). Information bias in health research: definition, pitfalls, and adjustment methods. </w:t>
      </w:r>
      <w:r w:rsidRPr="009A0EF9">
        <w:rPr>
          <w:rFonts w:ascii="Calibri" w:hAnsi="Calibri" w:cs="Calibri"/>
          <w:i/>
          <w:iCs/>
          <w:noProof/>
          <w:szCs w:val="24"/>
        </w:rPr>
        <w:t>Journal of Multidisciplinary Healthcare</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 211–217.</w:t>
      </w:r>
    </w:p>
    <w:p w14:paraId="2DAFD8F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Alvesson, M., &amp; Sköldberg, K. (2017). </w:t>
      </w:r>
      <w:r w:rsidRPr="009A0EF9">
        <w:rPr>
          <w:rFonts w:ascii="Calibri" w:hAnsi="Calibri" w:cs="Calibri"/>
          <w:i/>
          <w:iCs/>
          <w:noProof/>
          <w:szCs w:val="24"/>
        </w:rPr>
        <w:t>Reflexive methodology: New vistas for qualitative research</w:t>
      </w:r>
      <w:r w:rsidRPr="009A0EF9">
        <w:rPr>
          <w:rFonts w:ascii="Calibri" w:hAnsi="Calibri" w:cs="Calibri"/>
          <w:noProof/>
          <w:szCs w:val="24"/>
        </w:rPr>
        <w:t>. Sage Publications.</w:t>
      </w:r>
    </w:p>
    <w:p w14:paraId="4E2311E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Ames, S. L., Wurpts, I. C., Pike, J. R., MacKinnon, D. P., Reynolds, K. R., &amp; Stacy, A. W. (2016). Self-regulation interventions to reduce consumption of sugar-sweetened beverages in adolescents.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105</w:t>
      </w:r>
      <w:r w:rsidRPr="009A0EF9">
        <w:rPr>
          <w:rFonts w:ascii="Calibri" w:hAnsi="Calibri" w:cs="Calibri"/>
          <w:noProof/>
          <w:szCs w:val="24"/>
        </w:rPr>
        <w:t>, 652–662.</w:t>
      </w:r>
    </w:p>
    <w:p w14:paraId="3272E87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Amialchuk, A., Ajilore, O., &amp; Egan, K. (2019). The influence of misperceptions about social norms on substance use among school‐aged adolescents. </w:t>
      </w:r>
      <w:r w:rsidRPr="009A0EF9">
        <w:rPr>
          <w:rFonts w:ascii="Calibri" w:hAnsi="Calibri" w:cs="Calibri"/>
          <w:i/>
          <w:iCs/>
          <w:noProof/>
          <w:szCs w:val="24"/>
        </w:rPr>
        <w:t>Health Economics</w:t>
      </w:r>
      <w:r w:rsidRPr="009A0EF9">
        <w:rPr>
          <w:rFonts w:ascii="Calibri" w:hAnsi="Calibri" w:cs="Calibri"/>
          <w:noProof/>
          <w:szCs w:val="24"/>
        </w:rPr>
        <w:t xml:space="preserve">, </w:t>
      </w:r>
      <w:r w:rsidRPr="009A0EF9">
        <w:rPr>
          <w:rFonts w:ascii="Calibri" w:hAnsi="Calibri" w:cs="Calibri"/>
          <w:i/>
          <w:iCs/>
          <w:noProof/>
          <w:szCs w:val="24"/>
        </w:rPr>
        <w:t>28</w:t>
      </w:r>
      <w:r w:rsidRPr="009A0EF9">
        <w:rPr>
          <w:rFonts w:ascii="Calibri" w:hAnsi="Calibri" w:cs="Calibri"/>
          <w:noProof/>
          <w:szCs w:val="24"/>
        </w:rPr>
        <w:t>(6), 736–747.</w:t>
      </w:r>
    </w:p>
    <w:p w14:paraId="7D4E033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Anderson, J. E., &amp; Dunning, D. (2014). Behavioral norms: Variants and their identification. </w:t>
      </w:r>
      <w:r w:rsidRPr="009A0EF9">
        <w:rPr>
          <w:rFonts w:ascii="Calibri" w:hAnsi="Calibri" w:cs="Calibri"/>
          <w:i/>
          <w:iCs/>
          <w:noProof/>
          <w:szCs w:val="24"/>
        </w:rPr>
        <w:t>Social and Personality Psychology Compass</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(12), 721–738.</w:t>
      </w:r>
    </w:p>
    <w:p w14:paraId="34DF105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Antwi, S. K., &amp; Hamza, K. (2015). Qualitative and quantitative research paradigms in business research: A philosophical reflection. </w:t>
      </w:r>
      <w:r w:rsidRPr="009A0EF9">
        <w:rPr>
          <w:rFonts w:ascii="Calibri" w:hAnsi="Calibri" w:cs="Calibri"/>
          <w:i/>
          <w:iCs/>
          <w:noProof/>
          <w:szCs w:val="24"/>
        </w:rPr>
        <w:t>European Journal of Business and Management</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(3), 217–225.</w:t>
      </w:r>
    </w:p>
    <w:p w14:paraId="6C833AC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Appleton, K. M., Hemingway, A., Saulais, L., Dinnella, C., Monteleone, E., Depezay, L., Morizet, D., Armando Perez-Cueto, F. J., Bevan, A., &amp; Hartwell, H. (2016). Increasing vegetable intakes: rationale and systematic review of published interventions. </w:t>
      </w:r>
      <w:r w:rsidRPr="009A0EF9">
        <w:rPr>
          <w:rFonts w:ascii="Calibri" w:hAnsi="Calibri" w:cs="Calibri"/>
          <w:i/>
          <w:iCs/>
          <w:noProof/>
          <w:szCs w:val="24"/>
        </w:rPr>
        <w:t>European Journal of Nutrition</w:t>
      </w:r>
      <w:r w:rsidRPr="009A0EF9">
        <w:rPr>
          <w:rFonts w:ascii="Calibri" w:hAnsi="Calibri" w:cs="Calibri"/>
          <w:noProof/>
          <w:szCs w:val="24"/>
        </w:rPr>
        <w:t xml:space="preserve">, </w:t>
      </w:r>
      <w:r w:rsidRPr="009A0EF9">
        <w:rPr>
          <w:rFonts w:ascii="Calibri" w:hAnsi="Calibri" w:cs="Calibri"/>
          <w:i/>
          <w:iCs/>
          <w:noProof/>
          <w:szCs w:val="24"/>
        </w:rPr>
        <w:t>55</w:t>
      </w:r>
      <w:r w:rsidRPr="009A0EF9">
        <w:rPr>
          <w:rFonts w:ascii="Calibri" w:hAnsi="Calibri" w:cs="Calibri"/>
          <w:noProof/>
          <w:szCs w:val="24"/>
        </w:rPr>
        <w:t>, 869–896.</w:t>
      </w:r>
    </w:p>
    <w:p w14:paraId="0172448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Arbour-Nicitopoulos, K. P., Kwan, M. Y. W., Lowe, D., Taman, S., &amp; Faulkner, G. E. J. (2010). Social norms of alcohol, smoking, and marijuana use within a Canadian university setting. </w:t>
      </w:r>
      <w:r w:rsidRPr="009A0EF9">
        <w:rPr>
          <w:rFonts w:ascii="Calibri" w:hAnsi="Calibri" w:cs="Calibri"/>
          <w:i/>
          <w:iCs/>
          <w:noProof/>
          <w:szCs w:val="24"/>
        </w:rPr>
        <w:t>Journal of American College Health</w:t>
      </w:r>
      <w:r w:rsidRPr="009A0EF9">
        <w:rPr>
          <w:rFonts w:ascii="Calibri" w:hAnsi="Calibri" w:cs="Calibri"/>
          <w:noProof/>
          <w:szCs w:val="24"/>
        </w:rPr>
        <w:t xml:space="preserve">, </w:t>
      </w:r>
      <w:r w:rsidRPr="009A0EF9">
        <w:rPr>
          <w:rFonts w:ascii="Calibri" w:hAnsi="Calibri" w:cs="Calibri"/>
          <w:i/>
          <w:iCs/>
          <w:noProof/>
          <w:szCs w:val="24"/>
        </w:rPr>
        <w:t>59</w:t>
      </w:r>
      <w:r w:rsidRPr="009A0EF9">
        <w:rPr>
          <w:rFonts w:ascii="Calibri" w:hAnsi="Calibri" w:cs="Calibri"/>
          <w:noProof/>
          <w:szCs w:val="24"/>
        </w:rPr>
        <w:t>(3), 191–196.</w:t>
      </w:r>
    </w:p>
    <w:p w14:paraId="17BBA1E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Attia, M., &amp; Edge, J. (2017). Be (com) ing a reflexive researcher: a developmental approach to </w:t>
      </w:r>
      <w:r w:rsidRPr="009A0EF9">
        <w:rPr>
          <w:rFonts w:ascii="Calibri" w:hAnsi="Calibri" w:cs="Calibri"/>
          <w:noProof/>
          <w:szCs w:val="24"/>
        </w:rPr>
        <w:lastRenderedPageBreak/>
        <w:t xml:space="preserve">research methodology. </w:t>
      </w:r>
      <w:r w:rsidRPr="009A0EF9">
        <w:rPr>
          <w:rFonts w:ascii="Calibri" w:hAnsi="Calibri" w:cs="Calibri"/>
          <w:i/>
          <w:iCs/>
          <w:noProof/>
          <w:szCs w:val="24"/>
        </w:rPr>
        <w:t>Open Review of Educational Research</w:t>
      </w:r>
      <w:r w:rsidRPr="009A0EF9">
        <w:rPr>
          <w:rFonts w:ascii="Calibri" w:hAnsi="Calibri" w:cs="Calibri"/>
          <w:noProof/>
          <w:szCs w:val="24"/>
        </w:rPr>
        <w:t xml:space="preserve">, </w:t>
      </w:r>
      <w:r w:rsidRPr="009A0EF9">
        <w:rPr>
          <w:rFonts w:ascii="Calibri" w:hAnsi="Calibri" w:cs="Calibri"/>
          <w:i/>
          <w:iCs/>
          <w:noProof/>
          <w:szCs w:val="24"/>
        </w:rPr>
        <w:t>4</w:t>
      </w:r>
      <w:r w:rsidRPr="009A0EF9">
        <w:rPr>
          <w:rFonts w:ascii="Calibri" w:hAnsi="Calibri" w:cs="Calibri"/>
          <w:noProof/>
          <w:szCs w:val="24"/>
        </w:rPr>
        <w:t>(1), 33–45.</w:t>
      </w:r>
    </w:p>
    <w:p w14:paraId="143F9B0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Audette, L. M., Hammond, M. S., &amp; Rochester, N. K. (2020). Methodological issues with coding participants in anonymous psychological longitudinal studies. </w:t>
      </w:r>
      <w:r w:rsidRPr="009A0EF9">
        <w:rPr>
          <w:rFonts w:ascii="Calibri" w:hAnsi="Calibri" w:cs="Calibri"/>
          <w:i/>
          <w:iCs/>
          <w:noProof/>
          <w:szCs w:val="24"/>
        </w:rPr>
        <w:t>Educational and Psychological Measurement</w:t>
      </w:r>
      <w:r w:rsidRPr="009A0EF9">
        <w:rPr>
          <w:rFonts w:ascii="Calibri" w:hAnsi="Calibri" w:cs="Calibri"/>
          <w:noProof/>
          <w:szCs w:val="24"/>
        </w:rPr>
        <w:t xml:space="preserve">, </w:t>
      </w:r>
      <w:r w:rsidRPr="009A0EF9">
        <w:rPr>
          <w:rFonts w:ascii="Calibri" w:hAnsi="Calibri" w:cs="Calibri"/>
          <w:i/>
          <w:iCs/>
          <w:noProof/>
          <w:szCs w:val="24"/>
        </w:rPr>
        <w:t>80</w:t>
      </w:r>
      <w:r w:rsidRPr="009A0EF9">
        <w:rPr>
          <w:rFonts w:ascii="Calibri" w:hAnsi="Calibri" w:cs="Calibri"/>
          <w:noProof/>
          <w:szCs w:val="24"/>
        </w:rPr>
        <w:t>(1), 163–185.</w:t>
      </w:r>
    </w:p>
    <w:p w14:paraId="672B14A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Ayala, G. X., &amp; Elder, J. P. (2011). Qualitative methods to ensure acceptability of behavioral and social interventions to the target population. </w:t>
      </w:r>
      <w:r w:rsidRPr="009A0EF9">
        <w:rPr>
          <w:rFonts w:ascii="Calibri" w:hAnsi="Calibri" w:cs="Calibri"/>
          <w:i/>
          <w:iCs/>
          <w:noProof/>
          <w:szCs w:val="24"/>
        </w:rPr>
        <w:t>Journal of Public Health Dentistry</w:t>
      </w:r>
      <w:r w:rsidRPr="009A0EF9">
        <w:rPr>
          <w:rFonts w:ascii="Calibri" w:hAnsi="Calibri" w:cs="Calibri"/>
          <w:noProof/>
          <w:szCs w:val="24"/>
        </w:rPr>
        <w:t xml:space="preserve">, </w:t>
      </w:r>
      <w:r w:rsidRPr="009A0EF9">
        <w:rPr>
          <w:rFonts w:ascii="Calibri" w:hAnsi="Calibri" w:cs="Calibri"/>
          <w:i/>
          <w:iCs/>
          <w:noProof/>
          <w:szCs w:val="24"/>
        </w:rPr>
        <w:t>71</w:t>
      </w:r>
      <w:r w:rsidRPr="009A0EF9">
        <w:rPr>
          <w:rFonts w:ascii="Calibri" w:hAnsi="Calibri" w:cs="Calibri"/>
          <w:noProof/>
          <w:szCs w:val="24"/>
        </w:rPr>
        <w:t>(1), 69–79.</w:t>
      </w:r>
    </w:p>
    <w:p w14:paraId="7AC50AB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Bailey, R. L., Fulgoni, V. L., Cowan, A. E., &amp; Gaine, P. C. (2018). Sources of added sugars in young children, adolescents, and adults with low and high intakes of added sugars. </w:t>
      </w:r>
      <w:r w:rsidRPr="009A0EF9">
        <w:rPr>
          <w:rFonts w:ascii="Calibri" w:hAnsi="Calibri" w:cs="Calibri"/>
          <w:i/>
          <w:iCs/>
          <w:noProof/>
          <w:szCs w:val="24"/>
        </w:rPr>
        <w:t>Nutrients</w:t>
      </w:r>
      <w:r w:rsidRPr="009A0EF9">
        <w:rPr>
          <w:rFonts w:ascii="Calibri" w:hAnsi="Calibri" w:cs="Calibri"/>
          <w:noProof/>
          <w:szCs w:val="24"/>
        </w:rPr>
        <w:t xml:space="preserve">, </w:t>
      </w:r>
      <w:r w:rsidRPr="009A0EF9">
        <w:rPr>
          <w:rFonts w:ascii="Calibri" w:hAnsi="Calibri" w:cs="Calibri"/>
          <w:i/>
          <w:iCs/>
          <w:noProof/>
          <w:szCs w:val="24"/>
        </w:rPr>
        <w:t>10</w:t>
      </w:r>
      <w:r w:rsidRPr="009A0EF9">
        <w:rPr>
          <w:rFonts w:ascii="Calibri" w:hAnsi="Calibri" w:cs="Calibri"/>
          <w:noProof/>
          <w:szCs w:val="24"/>
        </w:rPr>
        <w:t>(1), 102–113.</w:t>
      </w:r>
    </w:p>
    <w:p w14:paraId="7439438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Ball, K., Jeffery, R. W., Abbott, G., McNaughton, S. A., &amp; Crawford, D. (2010). Is healthy behavior contagious: Associations of social norms with physical activity and healthy eating. </w:t>
      </w:r>
      <w:r w:rsidRPr="009A0EF9">
        <w:rPr>
          <w:rFonts w:ascii="Calibri" w:hAnsi="Calibri" w:cs="Calibri"/>
          <w:i/>
          <w:iCs/>
          <w:noProof/>
          <w:szCs w:val="24"/>
        </w:rPr>
        <w:t>The 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 86–95.</w:t>
      </w:r>
    </w:p>
    <w:p w14:paraId="53DFA61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Balvig, F., &amp; Holmberg, L. (2011). The ripple effect: a randomized trial of a social norms intervention in a Danish middle school setting. </w:t>
      </w:r>
      <w:r w:rsidRPr="009A0EF9">
        <w:rPr>
          <w:rFonts w:ascii="Calibri" w:hAnsi="Calibri" w:cs="Calibri"/>
          <w:i/>
          <w:iCs/>
          <w:noProof/>
          <w:szCs w:val="24"/>
        </w:rPr>
        <w:t>Journal of Scandinavian Studies in Criminology and Crime Prevention</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(1), 3–19.</w:t>
      </w:r>
    </w:p>
    <w:p w14:paraId="45F2E44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Bandura, A. (1977). </w:t>
      </w:r>
      <w:r w:rsidRPr="009A0EF9">
        <w:rPr>
          <w:rFonts w:ascii="Calibri" w:hAnsi="Calibri" w:cs="Calibri"/>
          <w:i/>
          <w:iCs/>
          <w:noProof/>
          <w:szCs w:val="24"/>
        </w:rPr>
        <w:t>Social learning theory</w:t>
      </w:r>
      <w:r w:rsidRPr="009A0EF9">
        <w:rPr>
          <w:rFonts w:ascii="Calibri" w:hAnsi="Calibri" w:cs="Calibri"/>
          <w:noProof/>
          <w:szCs w:val="24"/>
        </w:rPr>
        <w:t>. Prentice-Hall.</w:t>
      </w:r>
    </w:p>
    <w:p w14:paraId="122BFBD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Barnett, V., &amp; Lewis, T. (1984). </w:t>
      </w:r>
      <w:r w:rsidRPr="009A0EF9">
        <w:rPr>
          <w:rFonts w:ascii="Calibri" w:hAnsi="Calibri" w:cs="Calibri"/>
          <w:i/>
          <w:iCs/>
          <w:noProof/>
          <w:szCs w:val="24"/>
        </w:rPr>
        <w:t>Outliers in statistical data</w:t>
      </w:r>
      <w:r w:rsidRPr="009A0EF9">
        <w:rPr>
          <w:rFonts w:ascii="Calibri" w:hAnsi="Calibri" w:cs="Calibri"/>
          <w:noProof/>
          <w:szCs w:val="24"/>
        </w:rPr>
        <w:t>. Wiley.</w:t>
      </w:r>
    </w:p>
    <w:p w14:paraId="3C69399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Basch, C. E., Sliepcevich, E. M., Gold, R. S., Duncan, D. F., &amp; Kolbe, L. J. (1985). Avoiding type III errors in health education program evaluations: a case study. </w:t>
      </w:r>
      <w:r w:rsidRPr="009A0EF9">
        <w:rPr>
          <w:rFonts w:ascii="Calibri" w:hAnsi="Calibri" w:cs="Calibri"/>
          <w:i/>
          <w:iCs/>
          <w:noProof/>
          <w:szCs w:val="24"/>
        </w:rPr>
        <w:t>Health Education Quarterly</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(4), 315–331.</w:t>
      </w:r>
    </w:p>
    <w:p w14:paraId="2BD3A24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Bassett, R., Chapman, G. E., &amp; Beagan, B. L. (2008). Autonomy and control: the co-construction of adolescent food choice.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50</w:t>
      </w:r>
      <w:r w:rsidRPr="009A0EF9">
        <w:rPr>
          <w:rFonts w:ascii="Calibri" w:hAnsi="Calibri" w:cs="Calibri"/>
          <w:noProof/>
          <w:szCs w:val="24"/>
        </w:rPr>
        <w:t>(2–3), 325–332.</w:t>
      </w:r>
    </w:p>
    <w:p w14:paraId="7104AB9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Bauer, K. W., Larson, N. I., Nelson, M. C., Story, M., &amp; Neumark-Sztainer, D. (2009). Socio-environmental, personal and behavioural predictors of fast-food intake among adolescents. </w:t>
      </w:r>
      <w:r w:rsidRPr="009A0EF9">
        <w:rPr>
          <w:rFonts w:ascii="Calibri" w:hAnsi="Calibri" w:cs="Calibri"/>
          <w:i/>
          <w:iCs/>
          <w:noProof/>
          <w:szCs w:val="24"/>
        </w:rPr>
        <w:t>Public Health Nutrition</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(10), 1767–1774.</w:t>
      </w:r>
    </w:p>
    <w:p w14:paraId="5B37DC7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Beardsworth, A., Bryman, A., Keil, T., Goode, J., Haslam, C., &amp; Lancashire, E. (2002). Women, men and food: the significance of gender for nutritional attitudes and choices. </w:t>
      </w:r>
      <w:r w:rsidRPr="009A0EF9">
        <w:rPr>
          <w:rFonts w:ascii="Calibri" w:hAnsi="Calibri" w:cs="Calibri"/>
          <w:i/>
          <w:iCs/>
          <w:noProof/>
          <w:szCs w:val="24"/>
        </w:rPr>
        <w:t>British Food Journal</w:t>
      </w:r>
      <w:r w:rsidRPr="009A0EF9">
        <w:rPr>
          <w:rFonts w:ascii="Calibri" w:hAnsi="Calibri" w:cs="Calibri"/>
          <w:noProof/>
          <w:szCs w:val="24"/>
        </w:rPr>
        <w:t xml:space="preserve">, </w:t>
      </w:r>
      <w:r w:rsidRPr="009A0EF9">
        <w:rPr>
          <w:rFonts w:ascii="Calibri" w:hAnsi="Calibri" w:cs="Calibri"/>
          <w:i/>
          <w:iCs/>
          <w:noProof/>
          <w:szCs w:val="24"/>
        </w:rPr>
        <w:t>104</w:t>
      </w:r>
      <w:r w:rsidRPr="009A0EF9">
        <w:rPr>
          <w:rFonts w:ascii="Calibri" w:hAnsi="Calibri" w:cs="Calibri"/>
          <w:noProof/>
          <w:szCs w:val="24"/>
        </w:rPr>
        <w:t>(7), 470–491.</w:t>
      </w:r>
    </w:p>
    <w:p w14:paraId="0911404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Beer-Borst, S., Hercberg, S., Morabia, A., Bernstein, M. S., Galan, P., Galasso, R., Giampaoli, S., McCrum, E., Panico, S., &amp; Preziosi, P. (2000). Dietary patterns in six European populations: results from EURALIM, a collaborative European data harmonization and information campaign. </w:t>
      </w:r>
      <w:r w:rsidRPr="009A0EF9">
        <w:rPr>
          <w:rFonts w:ascii="Calibri" w:hAnsi="Calibri" w:cs="Calibri"/>
          <w:i/>
          <w:iCs/>
          <w:noProof/>
          <w:szCs w:val="24"/>
        </w:rPr>
        <w:t>European Journal of Clinical Nutrition</w:t>
      </w:r>
      <w:r w:rsidRPr="009A0EF9">
        <w:rPr>
          <w:rFonts w:ascii="Calibri" w:hAnsi="Calibri" w:cs="Calibri"/>
          <w:noProof/>
          <w:szCs w:val="24"/>
        </w:rPr>
        <w:t xml:space="preserve">, </w:t>
      </w:r>
      <w:r w:rsidRPr="009A0EF9">
        <w:rPr>
          <w:rFonts w:ascii="Calibri" w:hAnsi="Calibri" w:cs="Calibri"/>
          <w:i/>
          <w:iCs/>
          <w:noProof/>
          <w:szCs w:val="24"/>
        </w:rPr>
        <w:t>54</w:t>
      </w:r>
      <w:r w:rsidRPr="009A0EF9">
        <w:rPr>
          <w:rFonts w:ascii="Calibri" w:hAnsi="Calibri" w:cs="Calibri"/>
          <w:noProof/>
          <w:szCs w:val="24"/>
        </w:rPr>
        <w:t>(3), 253–262.</w:t>
      </w:r>
    </w:p>
    <w:p w14:paraId="75DAEFF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Bem, D. J. (1972). Self-perception theory. </w:t>
      </w:r>
      <w:r w:rsidRPr="009A0EF9">
        <w:rPr>
          <w:rFonts w:ascii="Calibri" w:hAnsi="Calibri" w:cs="Calibri"/>
          <w:i/>
          <w:iCs/>
          <w:noProof/>
          <w:szCs w:val="24"/>
        </w:rPr>
        <w:t>Advances in Experimental Social Psychology</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(1), 1–62.</w:t>
      </w:r>
    </w:p>
    <w:p w14:paraId="6B34448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Bere, E., Veierød, M. B., Bjelland, M., &amp; Klepp, K.-I. (2006). Free school fruit--sustained effect 1 year later.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(2), 268–275.</w:t>
      </w:r>
    </w:p>
    <w:p w14:paraId="4F359D46" w14:textId="77777777" w:rsidR="009A0EF9" w:rsidRPr="00500F3A"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Bere, E., Veierød, M., Skare, Ø., &amp; Klepp, K. (2007). Free school fruit -- sustained effect three years </w:t>
      </w:r>
      <w:r w:rsidRPr="00500F3A">
        <w:rPr>
          <w:rFonts w:ascii="Calibri" w:hAnsi="Calibri" w:cs="Calibri"/>
          <w:noProof/>
          <w:szCs w:val="24"/>
        </w:rPr>
        <w:t xml:space="preserve">later. </w:t>
      </w:r>
      <w:r w:rsidRPr="00500F3A">
        <w:rPr>
          <w:rFonts w:ascii="Calibri" w:hAnsi="Calibri" w:cs="Calibri"/>
          <w:i/>
          <w:iCs/>
          <w:noProof/>
          <w:szCs w:val="24"/>
        </w:rPr>
        <w:t>International Journal of Behavioral Nutrition and Physical Activity</w:t>
      </w:r>
      <w:r w:rsidRPr="00500F3A">
        <w:rPr>
          <w:rFonts w:ascii="Calibri" w:hAnsi="Calibri" w:cs="Calibri"/>
          <w:noProof/>
          <w:szCs w:val="24"/>
        </w:rPr>
        <w:t xml:space="preserve">, </w:t>
      </w:r>
      <w:r w:rsidRPr="00500F3A">
        <w:rPr>
          <w:rFonts w:ascii="Calibri" w:hAnsi="Calibri" w:cs="Calibri"/>
          <w:i/>
          <w:iCs/>
          <w:noProof/>
          <w:szCs w:val="24"/>
        </w:rPr>
        <w:t>4</w:t>
      </w:r>
      <w:r w:rsidRPr="00500F3A">
        <w:rPr>
          <w:rFonts w:ascii="Calibri" w:hAnsi="Calibri" w:cs="Calibri"/>
          <w:noProof/>
          <w:szCs w:val="24"/>
        </w:rPr>
        <w:t>(1), 5–11.</w:t>
      </w:r>
    </w:p>
    <w:p w14:paraId="56DF631D" w14:textId="77777777" w:rsidR="009A0EF9" w:rsidRPr="00500F3A"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Berkowitz, A. D. (2004). </w:t>
      </w:r>
      <w:r w:rsidRPr="00500F3A">
        <w:rPr>
          <w:rFonts w:ascii="Calibri" w:hAnsi="Calibri" w:cs="Calibri"/>
          <w:i/>
          <w:iCs/>
          <w:noProof/>
          <w:szCs w:val="24"/>
        </w:rPr>
        <w:t>The social norms approach: Theory, research, and annotated bibliography</w:t>
      </w:r>
      <w:r w:rsidRPr="00500F3A">
        <w:rPr>
          <w:rFonts w:ascii="Calibri" w:hAnsi="Calibri" w:cs="Calibri"/>
          <w:noProof/>
          <w:szCs w:val="24"/>
        </w:rPr>
        <w:t>. PaperClip Communications. https://citeseerx.ist.psu.edu/viewdoc/download?doi=10.1.1.192.5256&amp;rep=rep1&amp;type=pdf</w:t>
      </w:r>
    </w:p>
    <w:p w14:paraId="52EA43D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Berko</w:t>
      </w:r>
      <w:r w:rsidRPr="009A0EF9">
        <w:rPr>
          <w:rFonts w:ascii="Calibri" w:hAnsi="Calibri" w:cs="Calibri"/>
          <w:noProof/>
          <w:szCs w:val="24"/>
        </w:rPr>
        <w:t xml:space="preserve">witz, A. D. (2005). An overview of the social norms approach. In L. Lederman, L. Stewart, F. Goodhart, &amp; L. Latham (Eds.), </w:t>
      </w:r>
      <w:r w:rsidRPr="009A0EF9">
        <w:rPr>
          <w:rFonts w:ascii="Calibri" w:hAnsi="Calibri" w:cs="Calibri"/>
          <w:i/>
          <w:iCs/>
          <w:noProof/>
          <w:szCs w:val="24"/>
        </w:rPr>
        <w:t>Changing the culture of college drinking: A socially situated health communication campaign</w:t>
      </w:r>
      <w:r w:rsidRPr="009A0EF9">
        <w:rPr>
          <w:rFonts w:ascii="Calibri" w:hAnsi="Calibri" w:cs="Calibri"/>
          <w:noProof/>
          <w:szCs w:val="24"/>
        </w:rPr>
        <w:t xml:space="preserve"> (pp. 193–214).</w:t>
      </w:r>
    </w:p>
    <w:p w14:paraId="0038CBE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Bewick, B. M., Bell, D., Crosby, S., Edlin, B., Keenan, S., Marshall, K., &amp; Savva, G. (2013). Promoting improvements in public health: Using a Social Norms Approach to reduce use of alcohol, tobacco and other drugs. </w:t>
      </w:r>
      <w:r w:rsidRPr="009A0EF9">
        <w:rPr>
          <w:rFonts w:ascii="Calibri" w:hAnsi="Calibri" w:cs="Calibri"/>
          <w:i/>
          <w:iCs/>
          <w:noProof/>
          <w:szCs w:val="24"/>
        </w:rPr>
        <w:t>Drugs: Education, Prevention and Policy</w:t>
      </w:r>
      <w:r w:rsidRPr="009A0EF9">
        <w:rPr>
          <w:rFonts w:ascii="Calibri" w:hAnsi="Calibri" w:cs="Calibri"/>
          <w:noProof/>
          <w:szCs w:val="24"/>
        </w:rPr>
        <w:t xml:space="preserve">, </w:t>
      </w:r>
      <w:r w:rsidRPr="009A0EF9">
        <w:rPr>
          <w:rFonts w:ascii="Calibri" w:hAnsi="Calibri" w:cs="Calibri"/>
          <w:i/>
          <w:iCs/>
          <w:noProof/>
          <w:szCs w:val="24"/>
        </w:rPr>
        <w:t>20</w:t>
      </w:r>
      <w:r w:rsidRPr="009A0EF9">
        <w:rPr>
          <w:rFonts w:ascii="Calibri" w:hAnsi="Calibri" w:cs="Calibri"/>
          <w:noProof/>
          <w:szCs w:val="24"/>
        </w:rPr>
        <w:t>(4), 322–330.</w:t>
      </w:r>
    </w:p>
    <w:p w14:paraId="1DF2ECA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Bicchieri, C. (2016). </w:t>
      </w:r>
      <w:r w:rsidRPr="009A0EF9">
        <w:rPr>
          <w:rFonts w:ascii="Calibri" w:hAnsi="Calibri" w:cs="Calibri"/>
          <w:i/>
          <w:iCs/>
          <w:noProof/>
          <w:szCs w:val="24"/>
        </w:rPr>
        <w:t>Norms in the wild: How to diagnose, measure, and change social norms</w:t>
      </w:r>
      <w:r w:rsidRPr="009A0EF9">
        <w:rPr>
          <w:rFonts w:ascii="Calibri" w:hAnsi="Calibri" w:cs="Calibri"/>
          <w:noProof/>
          <w:szCs w:val="24"/>
        </w:rPr>
        <w:t>. Oxford University Press.</w:t>
      </w:r>
    </w:p>
    <w:p w14:paraId="0B6DA20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Bicchieri, C., &amp; Muldoon, R. (2011). Trustworthiness is a social norm, but trusting is not. </w:t>
      </w:r>
      <w:r w:rsidRPr="009A0EF9">
        <w:rPr>
          <w:rFonts w:ascii="Calibri" w:hAnsi="Calibri" w:cs="Calibri"/>
          <w:i/>
          <w:iCs/>
          <w:noProof/>
          <w:szCs w:val="24"/>
        </w:rPr>
        <w:t>Politics, Philosophy &amp; Economics</w:t>
      </w:r>
      <w:r w:rsidRPr="009A0EF9">
        <w:rPr>
          <w:rFonts w:ascii="Calibri" w:hAnsi="Calibri" w:cs="Calibri"/>
          <w:noProof/>
          <w:szCs w:val="24"/>
        </w:rPr>
        <w:t xml:space="preserve">, </w:t>
      </w:r>
      <w:r w:rsidRPr="009A0EF9">
        <w:rPr>
          <w:rFonts w:ascii="Calibri" w:hAnsi="Calibri" w:cs="Calibri"/>
          <w:i/>
          <w:iCs/>
          <w:noProof/>
          <w:szCs w:val="24"/>
        </w:rPr>
        <w:t>10</w:t>
      </w:r>
      <w:r w:rsidRPr="009A0EF9">
        <w:rPr>
          <w:rFonts w:ascii="Calibri" w:hAnsi="Calibri" w:cs="Calibri"/>
          <w:noProof/>
          <w:szCs w:val="24"/>
        </w:rPr>
        <w:t>(2), 170–187.</w:t>
      </w:r>
    </w:p>
    <w:p w14:paraId="07EEBDB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Birch, L., Arbor, A., Savage, J. S., &amp; Ventura, A. (2009). Influences on the Development of Children’s Eating Behaviours: From Infancy to Adolescence. </w:t>
      </w:r>
      <w:r w:rsidRPr="00500F3A">
        <w:rPr>
          <w:rFonts w:ascii="Calibri" w:hAnsi="Calibri" w:cs="Calibri"/>
          <w:i/>
          <w:iCs/>
          <w:noProof/>
          <w:szCs w:val="24"/>
        </w:rPr>
        <w:t>Canadian Journal of Dietetic Practice and Research</w:t>
      </w:r>
      <w:r w:rsidRPr="00500F3A">
        <w:rPr>
          <w:rFonts w:ascii="Calibri" w:hAnsi="Calibri" w:cs="Calibri"/>
          <w:noProof/>
          <w:szCs w:val="24"/>
        </w:rPr>
        <w:t xml:space="preserve">, </w:t>
      </w:r>
      <w:r w:rsidRPr="00500F3A">
        <w:rPr>
          <w:rFonts w:ascii="Calibri" w:hAnsi="Calibri" w:cs="Calibri"/>
          <w:i/>
          <w:iCs/>
          <w:noProof/>
          <w:szCs w:val="24"/>
        </w:rPr>
        <w:t>68</w:t>
      </w:r>
      <w:r w:rsidRPr="00500F3A">
        <w:rPr>
          <w:rFonts w:ascii="Calibri" w:hAnsi="Calibri" w:cs="Calibri"/>
          <w:noProof/>
          <w:szCs w:val="24"/>
        </w:rPr>
        <w:t>(1), 1–11.</w:t>
      </w:r>
    </w:p>
    <w:p w14:paraId="6CF0EC0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Birch, L., Savage, J. S., &amp; Ventura, A. (2007). Influences on the Development of Children’s Eating Behaviours: From Infancy to Adolescence. </w:t>
      </w:r>
      <w:r w:rsidRPr="009A0EF9">
        <w:rPr>
          <w:rFonts w:ascii="Calibri" w:hAnsi="Calibri" w:cs="Calibri"/>
          <w:i/>
          <w:iCs/>
          <w:noProof/>
          <w:szCs w:val="24"/>
        </w:rPr>
        <w:t>Canadian Journal of Dietetic Practice and Research</w:t>
      </w:r>
      <w:r w:rsidRPr="009A0EF9">
        <w:rPr>
          <w:rFonts w:ascii="Calibri" w:hAnsi="Calibri" w:cs="Calibri"/>
          <w:noProof/>
          <w:szCs w:val="24"/>
        </w:rPr>
        <w:t xml:space="preserve">, </w:t>
      </w:r>
      <w:r w:rsidRPr="009A0EF9">
        <w:rPr>
          <w:rFonts w:ascii="Calibri" w:hAnsi="Calibri" w:cs="Calibri"/>
          <w:i/>
          <w:iCs/>
          <w:noProof/>
          <w:szCs w:val="24"/>
        </w:rPr>
        <w:t>68</w:t>
      </w:r>
      <w:r w:rsidRPr="009A0EF9">
        <w:rPr>
          <w:rFonts w:ascii="Calibri" w:hAnsi="Calibri" w:cs="Calibri"/>
          <w:noProof/>
          <w:szCs w:val="24"/>
        </w:rPr>
        <w:t>(1), 1–56.</w:t>
      </w:r>
    </w:p>
    <w:p w14:paraId="719B742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Birnbaum, A. S., Lytle, L. A., Story, M., Perry, C. L., &amp; Murray, D. M. (2002). Are differences in exposure to a multicomponent school-based intervention associated with varying dietary outcomes in adolescents? </w:t>
      </w:r>
      <w:r w:rsidRPr="009A0EF9">
        <w:rPr>
          <w:rFonts w:ascii="Calibri" w:hAnsi="Calibri" w:cs="Calibri"/>
          <w:i/>
          <w:iCs/>
          <w:noProof/>
          <w:szCs w:val="24"/>
        </w:rPr>
        <w:t>Health Education &amp; Behavior</w:t>
      </w:r>
      <w:r w:rsidRPr="009A0EF9">
        <w:rPr>
          <w:rFonts w:ascii="Calibri" w:hAnsi="Calibri" w:cs="Calibri"/>
          <w:noProof/>
          <w:szCs w:val="24"/>
        </w:rPr>
        <w:t xml:space="preserve">, </w:t>
      </w:r>
      <w:r w:rsidRPr="009A0EF9">
        <w:rPr>
          <w:rFonts w:ascii="Calibri" w:hAnsi="Calibri" w:cs="Calibri"/>
          <w:i/>
          <w:iCs/>
          <w:noProof/>
          <w:szCs w:val="24"/>
        </w:rPr>
        <w:t>29</w:t>
      </w:r>
      <w:r w:rsidRPr="009A0EF9">
        <w:rPr>
          <w:rFonts w:ascii="Calibri" w:hAnsi="Calibri" w:cs="Calibri"/>
          <w:noProof/>
          <w:szCs w:val="24"/>
        </w:rPr>
        <w:t>(4), 427–443.</w:t>
      </w:r>
    </w:p>
    <w:p w14:paraId="73C3CB3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Black, D. R., Tobler, N. S., &amp; Sciacca, J. P. (1998). Peer Helping/Involvement: An Efficacious Way to Meet the Challenge of Reducing Alcohol, Tobacco, and Other Drug Use Among Youth. </w:t>
      </w:r>
      <w:r w:rsidRPr="009A0EF9">
        <w:rPr>
          <w:rFonts w:ascii="Calibri" w:hAnsi="Calibri" w:cs="Calibri"/>
          <w:i/>
          <w:iCs/>
          <w:noProof/>
          <w:szCs w:val="24"/>
        </w:rPr>
        <w:t>Journal of School Health</w:t>
      </w:r>
      <w:r w:rsidRPr="009A0EF9">
        <w:rPr>
          <w:rFonts w:ascii="Calibri" w:hAnsi="Calibri" w:cs="Calibri"/>
          <w:noProof/>
          <w:szCs w:val="24"/>
        </w:rPr>
        <w:t xml:space="preserve">, </w:t>
      </w:r>
      <w:r w:rsidRPr="009A0EF9">
        <w:rPr>
          <w:rFonts w:ascii="Calibri" w:hAnsi="Calibri" w:cs="Calibri"/>
          <w:i/>
          <w:iCs/>
          <w:noProof/>
          <w:szCs w:val="24"/>
        </w:rPr>
        <w:t>68</w:t>
      </w:r>
      <w:r w:rsidRPr="009A0EF9">
        <w:rPr>
          <w:rFonts w:ascii="Calibri" w:hAnsi="Calibri" w:cs="Calibri"/>
          <w:noProof/>
          <w:szCs w:val="24"/>
        </w:rPr>
        <w:t>(3), 87–93.</w:t>
      </w:r>
    </w:p>
    <w:p w14:paraId="3957EF1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Blake, V., &amp; Patel, K. (2015). Treatment of adolescent obesity. </w:t>
      </w:r>
      <w:r w:rsidRPr="009A0EF9">
        <w:rPr>
          <w:rFonts w:ascii="Calibri" w:hAnsi="Calibri" w:cs="Calibri"/>
          <w:i/>
          <w:iCs/>
          <w:noProof/>
          <w:szCs w:val="24"/>
        </w:rPr>
        <w:t>British Journal of Obesity</w:t>
      </w:r>
      <w:r w:rsidRPr="009A0EF9">
        <w:rPr>
          <w:rFonts w:ascii="Calibri" w:hAnsi="Calibri" w:cs="Calibri"/>
          <w:noProof/>
          <w:szCs w:val="24"/>
        </w:rPr>
        <w:t xml:space="preserve">, </w:t>
      </w:r>
      <w:r w:rsidRPr="009A0EF9">
        <w:rPr>
          <w:rFonts w:ascii="Calibri" w:hAnsi="Calibri" w:cs="Calibri"/>
          <w:i/>
          <w:iCs/>
          <w:noProof/>
          <w:szCs w:val="24"/>
        </w:rPr>
        <w:t>1</w:t>
      </w:r>
      <w:r w:rsidRPr="009A0EF9">
        <w:rPr>
          <w:rFonts w:ascii="Calibri" w:hAnsi="Calibri" w:cs="Calibri"/>
          <w:noProof/>
          <w:szCs w:val="24"/>
        </w:rPr>
        <w:t>(1), 142–147.</w:t>
      </w:r>
    </w:p>
    <w:p w14:paraId="7D7C5E2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Borsari, B., &amp; Carey, K. B. (2003). Descriptive and injunctive norms in college drinking: a meta-analytic integration. </w:t>
      </w:r>
      <w:r w:rsidRPr="009A0EF9">
        <w:rPr>
          <w:rFonts w:ascii="Calibri" w:hAnsi="Calibri" w:cs="Calibri"/>
          <w:i/>
          <w:iCs/>
          <w:noProof/>
          <w:szCs w:val="24"/>
        </w:rPr>
        <w:t>Journal of Studies on Alcohol</w:t>
      </w:r>
      <w:r w:rsidRPr="009A0EF9">
        <w:rPr>
          <w:rFonts w:ascii="Calibri" w:hAnsi="Calibri" w:cs="Calibri"/>
          <w:noProof/>
          <w:szCs w:val="24"/>
        </w:rPr>
        <w:t xml:space="preserve">, </w:t>
      </w:r>
      <w:r w:rsidRPr="009A0EF9">
        <w:rPr>
          <w:rFonts w:ascii="Calibri" w:hAnsi="Calibri" w:cs="Calibri"/>
          <w:i/>
          <w:iCs/>
          <w:noProof/>
          <w:szCs w:val="24"/>
        </w:rPr>
        <w:t>64</w:t>
      </w:r>
      <w:r w:rsidRPr="009A0EF9">
        <w:rPr>
          <w:rFonts w:ascii="Calibri" w:hAnsi="Calibri" w:cs="Calibri"/>
          <w:noProof/>
          <w:szCs w:val="24"/>
        </w:rPr>
        <w:t>(3), 331–341.</w:t>
      </w:r>
    </w:p>
    <w:p w14:paraId="2734263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Borzekowski, D. L. G., &amp; Robinson, T. N. (2001). The 30-second effect: an experiment revealing the impact of television commercials on food preferences of preschoolers.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101</w:t>
      </w:r>
      <w:r w:rsidRPr="009A0EF9">
        <w:rPr>
          <w:rFonts w:ascii="Calibri" w:hAnsi="Calibri" w:cs="Calibri"/>
          <w:noProof/>
          <w:szCs w:val="24"/>
        </w:rPr>
        <w:t>(1), 42–46.</w:t>
      </w:r>
    </w:p>
    <w:p w14:paraId="16AA697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Bowen, M. (2013, March 18). </w:t>
      </w:r>
      <w:r w:rsidRPr="00500F3A">
        <w:rPr>
          <w:rFonts w:ascii="Calibri" w:hAnsi="Calibri" w:cs="Calibri"/>
          <w:i/>
          <w:iCs/>
          <w:noProof/>
          <w:szCs w:val="24"/>
        </w:rPr>
        <w:t>The Problem with People: The Complex Nature of Human Behavior [conference paper].</w:t>
      </w:r>
      <w:r w:rsidRPr="00500F3A">
        <w:rPr>
          <w:rFonts w:ascii="Calibri" w:hAnsi="Calibri" w:cs="Calibri"/>
          <w:noProof/>
          <w:szCs w:val="24"/>
        </w:rPr>
        <w:t xml:space="preserve"> SPE Americas E&amp;P Health, Safety, Security and Environmental Conference, Texas, USA. https://onepetro.org/SPEHSSE/proceedings-abstract/13HSSE/All-13HSSE/SPE-163798-MS/178719</w:t>
      </w:r>
    </w:p>
    <w:p w14:paraId="229BD1A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Brannigan, A., &amp; Zwerman, W. (2001). The real “hawthorne effect.” </w:t>
      </w:r>
      <w:r w:rsidRPr="009A0EF9">
        <w:rPr>
          <w:rFonts w:ascii="Calibri" w:hAnsi="Calibri" w:cs="Calibri"/>
          <w:i/>
          <w:iCs/>
          <w:noProof/>
          <w:szCs w:val="24"/>
        </w:rPr>
        <w:t>Society</w:t>
      </w:r>
      <w:r w:rsidRPr="009A0EF9">
        <w:rPr>
          <w:rFonts w:ascii="Calibri" w:hAnsi="Calibri" w:cs="Calibri"/>
          <w:noProof/>
          <w:szCs w:val="24"/>
        </w:rPr>
        <w:t xml:space="preserve">, </w:t>
      </w:r>
      <w:r w:rsidRPr="009A0EF9">
        <w:rPr>
          <w:rFonts w:ascii="Calibri" w:hAnsi="Calibri" w:cs="Calibri"/>
          <w:i/>
          <w:iCs/>
          <w:noProof/>
          <w:szCs w:val="24"/>
        </w:rPr>
        <w:t>38</w:t>
      </w:r>
      <w:r w:rsidRPr="009A0EF9">
        <w:rPr>
          <w:rFonts w:ascii="Calibri" w:hAnsi="Calibri" w:cs="Calibri"/>
          <w:noProof/>
          <w:szCs w:val="24"/>
        </w:rPr>
        <w:t>, 55–60.</w:t>
      </w:r>
    </w:p>
    <w:p w14:paraId="4EC6664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Braun, V., &amp; Clarke, V. (2006). Using thematic analysis in psychology. </w:t>
      </w:r>
      <w:r w:rsidRPr="009A0EF9">
        <w:rPr>
          <w:rFonts w:ascii="Calibri" w:hAnsi="Calibri" w:cs="Calibri"/>
          <w:i/>
          <w:iCs/>
          <w:noProof/>
          <w:szCs w:val="24"/>
        </w:rPr>
        <w:t>Qualitative Research in Psychology</w:t>
      </w:r>
      <w:r w:rsidRPr="009A0EF9">
        <w:rPr>
          <w:rFonts w:ascii="Calibri" w:hAnsi="Calibri" w:cs="Calibri"/>
          <w:noProof/>
          <w:szCs w:val="24"/>
        </w:rPr>
        <w:t xml:space="preserve">, </w:t>
      </w:r>
      <w:r w:rsidRPr="009A0EF9">
        <w:rPr>
          <w:rFonts w:ascii="Calibri" w:hAnsi="Calibri" w:cs="Calibri"/>
          <w:i/>
          <w:iCs/>
          <w:noProof/>
          <w:szCs w:val="24"/>
        </w:rPr>
        <w:t>3</w:t>
      </w:r>
      <w:r w:rsidRPr="009A0EF9">
        <w:rPr>
          <w:rFonts w:ascii="Calibri" w:hAnsi="Calibri" w:cs="Calibri"/>
          <w:noProof/>
          <w:szCs w:val="24"/>
        </w:rPr>
        <w:t>(2), 77–101.</w:t>
      </w:r>
    </w:p>
    <w:p w14:paraId="2C4DB81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Braun, V., &amp; Clarke, V. (2019). Reflecting on reflexive thematic analysis. </w:t>
      </w:r>
      <w:r w:rsidRPr="009A0EF9">
        <w:rPr>
          <w:rFonts w:ascii="Calibri" w:hAnsi="Calibri" w:cs="Calibri"/>
          <w:i/>
          <w:iCs/>
          <w:noProof/>
          <w:szCs w:val="24"/>
        </w:rPr>
        <w:t>Qualitative Research in Sport, Exercise and Health</w:t>
      </w:r>
      <w:r w:rsidRPr="009A0EF9">
        <w:rPr>
          <w:rFonts w:ascii="Calibri" w:hAnsi="Calibri" w:cs="Calibri"/>
          <w:noProof/>
          <w:szCs w:val="24"/>
        </w:rPr>
        <w:t xml:space="preserve">, </w:t>
      </w:r>
      <w:r w:rsidRPr="009A0EF9">
        <w:rPr>
          <w:rFonts w:ascii="Calibri" w:hAnsi="Calibri" w:cs="Calibri"/>
          <w:i/>
          <w:iCs/>
          <w:noProof/>
          <w:szCs w:val="24"/>
        </w:rPr>
        <w:t>11</w:t>
      </w:r>
      <w:r w:rsidRPr="009A0EF9">
        <w:rPr>
          <w:rFonts w:ascii="Calibri" w:hAnsi="Calibri" w:cs="Calibri"/>
          <w:noProof/>
          <w:szCs w:val="24"/>
        </w:rPr>
        <w:t>(4), 589–597.</w:t>
      </w:r>
    </w:p>
    <w:p w14:paraId="3C9CE49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Briefel, R. R., Wilson, A., &amp; Gleason, P. M. (2009). Consumption of low-nutrient, energy-dense foods and beverages at school, home, and other locations among school lunch participants and nonparticipants.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109</w:t>
      </w:r>
      <w:r w:rsidRPr="009A0EF9">
        <w:rPr>
          <w:rFonts w:ascii="Calibri" w:hAnsi="Calibri" w:cs="Calibri"/>
          <w:noProof/>
          <w:szCs w:val="24"/>
        </w:rPr>
        <w:t>(2), S79–S90.</w:t>
      </w:r>
    </w:p>
    <w:p w14:paraId="69FB17B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Brierley, J. A. (2017). The role of a pragmatist paradigm when adopting mixed methods in behavioural accounting research. </w:t>
      </w:r>
      <w:r w:rsidRPr="009A0EF9">
        <w:rPr>
          <w:rFonts w:ascii="Calibri" w:hAnsi="Calibri" w:cs="Calibri"/>
          <w:i/>
          <w:iCs/>
          <w:noProof/>
          <w:szCs w:val="24"/>
        </w:rPr>
        <w:t>International Journal of Behavioural Accounting and Finance</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(2), 140–154.</w:t>
      </w:r>
    </w:p>
    <w:p w14:paraId="60CA195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British Nutrition Foundation. (2015). </w:t>
      </w:r>
      <w:r w:rsidRPr="00500F3A">
        <w:rPr>
          <w:rFonts w:ascii="Calibri" w:hAnsi="Calibri" w:cs="Calibri"/>
          <w:i/>
          <w:iCs/>
          <w:noProof/>
          <w:szCs w:val="24"/>
        </w:rPr>
        <w:t>National Pupil and Teacher Survey 2015: UK Survey Results</w:t>
      </w:r>
      <w:r w:rsidRPr="00500F3A">
        <w:rPr>
          <w:rFonts w:ascii="Calibri" w:hAnsi="Calibri" w:cs="Calibri"/>
          <w:noProof/>
          <w:szCs w:val="24"/>
        </w:rPr>
        <w:t>. 1–24. https://www.nutrition.org.uk/attachments/article/846/UK Pupil and Teacher Survey Results 2015.pdf</w:t>
      </w:r>
    </w:p>
    <w:p w14:paraId="443B894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Brooks, F., Magnusson, J., Klemera, E., Chester, K., Spencer, N., &amp; Smeeton, N. (2015). </w:t>
      </w:r>
      <w:r w:rsidRPr="009A0EF9">
        <w:rPr>
          <w:rFonts w:ascii="Calibri" w:hAnsi="Calibri" w:cs="Calibri"/>
          <w:i/>
          <w:iCs/>
          <w:noProof/>
          <w:szCs w:val="24"/>
        </w:rPr>
        <w:t>HBSC England National Report: Health Behaviour in School-aged Children (HBSC): World Health Organization Collaborative Cross National Study.</w:t>
      </w:r>
      <w:r w:rsidRPr="009A0EF9">
        <w:rPr>
          <w:rFonts w:ascii="Calibri" w:hAnsi="Calibri" w:cs="Calibri"/>
          <w:noProof/>
          <w:szCs w:val="24"/>
        </w:rPr>
        <w:t xml:space="preserve"> http://www.hbsc.org/news/index.aspx?ni=3256</w:t>
      </w:r>
    </w:p>
    <w:p w14:paraId="3B0E651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Brug, J. (2008). Determinants of healthy eating: motivation, abilities and environmental opportunities. </w:t>
      </w:r>
      <w:r w:rsidRPr="009A0EF9">
        <w:rPr>
          <w:rFonts w:ascii="Calibri" w:hAnsi="Calibri" w:cs="Calibri"/>
          <w:i/>
          <w:iCs/>
          <w:noProof/>
          <w:szCs w:val="24"/>
        </w:rPr>
        <w:t>Family Practice</w:t>
      </w:r>
      <w:r w:rsidRPr="009A0EF9">
        <w:rPr>
          <w:rFonts w:ascii="Calibri" w:hAnsi="Calibri" w:cs="Calibri"/>
          <w:noProof/>
          <w:szCs w:val="24"/>
        </w:rPr>
        <w:t xml:space="preserve">, </w:t>
      </w:r>
      <w:r w:rsidRPr="009A0EF9">
        <w:rPr>
          <w:rFonts w:ascii="Calibri" w:hAnsi="Calibri" w:cs="Calibri"/>
          <w:i/>
          <w:iCs/>
          <w:noProof/>
          <w:szCs w:val="24"/>
        </w:rPr>
        <w:t>25</w:t>
      </w:r>
      <w:r w:rsidRPr="009A0EF9">
        <w:rPr>
          <w:rFonts w:ascii="Calibri" w:hAnsi="Calibri" w:cs="Calibri"/>
          <w:noProof/>
          <w:szCs w:val="24"/>
        </w:rPr>
        <w:t>, 50–55.</w:t>
      </w:r>
    </w:p>
    <w:p w14:paraId="3249570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Budd, G. M., &amp; Hayman, L. L. (2008). Addressing the childhood obesity crisis: a call to action. </w:t>
      </w:r>
      <w:r w:rsidRPr="009A0EF9">
        <w:rPr>
          <w:rFonts w:ascii="Calibri" w:hAnsi="Calibri" w:cs="Calibri"/>
          <w:i/>
          <w:iCs/>
          <w:noProof/>
          <w:szCs w:val="24"/>
        </w:rPr>
        <w:t>Mcn. The American Journal of Maternal Child Nursing</w:t>
      </w:r>
      <w:r w:rsidRPr="009A0EF9">
        <w:rPr>
          <w:rFonts w:ascii="Calibri" w:hAnsi="Calibri" w:cs="Calibri"/>
          <w:noProof/>
          <w:szCs w:val="24"/>
        </w:rPr>
        <w:t xml:space="preserve">, </w:t>
      </w:r>
      <w:r w:rsidRPr="009A0EF9">
        <w:rPr>
          <w:rFonts w:ascii="Calibri" w:hAnsi="Calibri" w:cs="Calibri"/>
          <w:i/>
          <w:iCs/>
          <w:noProof/>
          <w:szCs w:val="24"/>
        </w:rPr>
        <w:t>33</w:t>
      </w:r>
      <w:r w:rsidRPr="009A0EF9">
        <w:rPr>
          <w:rFonts w:ascii="Calibri" w:hAnsi="Calibri" w:cs="Calibri"/>
          <w:noProof/>
          <w:szCs w:val="24"/>
        </w:rPr>
        <w:t>(2), 111–118.</w:t>
      </w:r>
    </w:p>
    <w:p w14:paraId="429CBDC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Bukhari, A., Fredericks, L., &amp; Wylie-Rosett, J. (2011). Strategies to promote high school students’ healthful food choices. </w:t>
      </w:r>
      <w:r w:rsidRPr="009A0EF9">
        <w:rPr>
          <w:rFonts w:ascii="Calibri" w:hAnsi="Calibri" w:cs="Calibri"/>
          <w:i/>
          <w:iCs/>
          <w:noProof/>
          <w:szCs w:val="24"/>
        </w:rPr>
        <w:t>Journal of Nutrition Education and Behavior</w:t>
      </w:r>
      <w:r w:rsidRPr="009A0EF9">
        <w:rPr>
          <w:rFonts w:ascii="Calibri" w:hAnsi="Calibri" w:cs="Calibri"/>
          <w:noProof/>
          <w:szCs w:val="24"/>
        </w:rPr>
        <w:t xml:space="preserve">, </w:t>
      </w:r>
      <w:r w:rsidRPr="009A0EF9">
        <w:rPr>
          <w:rFonts w:ascii="Calibri" w:hAnsi="Calibri" w:cs="Calibri"/>
          <w:i/>
          <w:iCs/>
          <w:noProof/>
          <w:szCs w:val="24"/>
        </w:rPr>
        <w:t>43</w:t>
      </w:r>
      <w:r w:rsidRPr="009A0EF9">
        <w:rPr>
          <w:rFonts w:ascii="Calibri" w:hAnsi="Calibri" w:cs="Calibri"/>
          <w:noProof/>
          <w:szCs w:val="24"/>
        </w:rPr>
        <w:t>(5), 414–418.</w:t>
      </w:r>
    </w:p>
    <w:p w14:paraId="1229360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Bulbulia R, Bowman L, Wallendszus K, Parish S, Armitage J, Peto R, Collins R, Collins R, Meade T, Sleight P, Armitage J, Parish S, Peto R, Youngman L, Buxton M, De Bono D, George C, Fuller J, Keech A, Mansfield A, Pentecost B, Simpson D, Warlow C, McNamar, S. P. (2011). Effects on 11-year mortality and morbidity of lowering LDL cholesterol with simvastatin for about 5 years in 20 536 high-risk individuals: a randomised controlled trial. </w:t>
      </w:r>
      <w:r w:rsidRPr="009A0EF9">
        <w:rPr>
          <w:rFonts w:ascii="Calibri" w:hAnsi="Calibri" w:cs="Calibri"/>
          <w:i/>
          <w:iCs/>
          <w:noProof/>
          <w:szCs w:val="24"/>
        </w:rPr>
        <w:t>Lancet</w:t>
      </w:r>
      <w:r w:rsidRPr="009A0EF9">
        <w:rPr>
          <w:rFonts w:ascii="Calibri" w:hAnsi="Calibri" w:cs="Calibri"/>
          <w:noProof/>
          <w:szCs w:val="24"/>
        </w:rPr>
        <w:t xml:space="preserve">, </w:t>
      </w:r>
      <w:r w:rsidRPr="009A0EF9">
        <w:rPr>
          <w:rFonts w:ascii="Calibri" w:hAnsi="Calibri" w:cs="Calibri"/>
          <w:i/>
          <w:iCs/>
          <w:noProof/>
          <w:szCs w:val="24"/>
        </w:rPr>
        <w:t>378</w:t>
      </w:r>
      <w:r w:rsidRPr="009A0EF9">
        <w:rPr>
          <w:rFonts w:ascii="Calibri" w:hAnsi="Calibri" w:cs="Calibri"/>
          <w:noProof/>
          <w:szCs w:val="24"/>
        </w:rPr>
        <w:t>(9808), 2013–2020.</w:t>
      </w:r>
    </w:p>
    <w:p w14:paraId="520AE0B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Burger, J. M., Bell, H., Harvey, K., Johnson, J., Stewart, C., Dorian, K., &amp; Swedroe, M. (2010). Nutritious or delicious? The effect of descriptive norm information on food choice. </w:t>
      </w:r>
      <w:r w:rsidRPr="009A0EF9">
        <w:rPr>
          <w:rFonts w:ascii="Calibri" w:hAnsi="Calibri" w:cs="Calibri"/>
          <w:i/>
          <w:iCs/>
          <w:noProof/>
          <w:szCs w:val="24"/>
        </w:rPr>
        <w:t>Journal of Social and Clinical Psychology</w:t>
      </w:r>
      <w:r w:rsidRPr="009A0EF9">
        <w:rPr>
          <w:rFonts w:ascii="Calibri" w:hAnsi="Calibri" w:cs="Calibri"/>
          <w:noProof/>
          <w:szCs w:val="24"/>
        </w:rPr>
        <w:t xml:space="preserve">, </w:t>
      </w:r>
      <w:r w:rsidRPr="009A0EF9">
        <w:rPr>
          <w:rFonts w:ascii="Calibri" w:hAnsi="Calibri" w:cs="Calibri"/>
          <w:i/>
          <w:iCs/>
          <w:noProof/>
          <w:szCs w:val="24"/>
        </w:rPr>
        <w:t>29</w:t>
      </w:r>
      <w:r w:rsidRPr="009A0EF9">
        <w:rPr>
          <w:rFonts w:ascii="Calibri" w:hAnsi="Calibri" w:cs="Calibri"/>
          <w:noProof/>
          <w:szCs w:val="24"/>
        </w:rPr>
        <w:t>(2), 228–242.</w:t>
      </w:r>
    </w:p>
    <w:p w14:paraId="065AD5F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Busetto, L., Wick, W., &amp; Gumbinger, C. (2020). How to use and assess qualitative research methods. </w:t>
      </w:r>
      <w:r w:rsidRPr="009A0EF9">
        <w:rPr>
          <w:rFonts w:ascii="Calibri" w:hAnsi="Calibri" w:cs="Calibri"/>
          <w:i/>
          <w:iCs/>
          <w:noProof/>
          <w:szCs w:val="24"/>
        </w:rPr>
        <w:t>Neurological Research and Practice</w:t>
      </w:r>
      <w:r w:rsidRPr="009A0EF9">
        <w:rPr>
          <w:rFonts w:ascii="Calibri" w:hAnsi="Calibri" w:cs="Calibri"/>
          <w:noProof/>
          <w:szCs w:val="24"/>
        </w:rPr>
        <w:t xml:space="preserve">, </w:t>
      </w:r>
      <w:r w:rsidRPr="009A0EF9">
        <w:rPr>
          <w:rFonts w:ascii="Calibri" w:hAnsi="Calibri" w:cs="Calibri"/>
          <w:i/>
          <w:iCs/>
          <w:noProof/>
          <w:szCs w:val="24"/>
        </w:rPr>
        <w:t>2</w:t>
      </w:r>
      <w:r w:rsidRPr="009A0EF9">
        <w:rPr>
          <w:rFonts w:ascii="Calibri" w:hAnsi="Calibri" w:cs="Calibri"/>
          <w:noProof/>
          <w:szCs w:val="24"/>
        </w:rPr>
        <w:t>(1), 14–24.</w:t>
      </w:r>
    </w:p>
    <w:p w14:paraId="65CE711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Byrne, D. (2021). A worked example of Braun and Clarke’s approach to reflexive thematic analysis. </w:t>
      </w:r>
      <w:r w:rsidRPr="009A0EF9">
        <w:rPr>
          <w:rFonts w:ascii="Calibri" w:hAnsi="Calibri" w:cs="Calibri"/>
          <w:i/>
          <w:iCs/>
          <w:noProof/>
          <w:szCs w:val="24"/>
        </w:rPr>
        <w:t>Quality &amp; Quantity</w:t>
      </w:r>
      <w:r w:rsidRPr="009A0EF9">
        <w:rPr>
          <w:rFonts w:ascii="Calibri" w:hAnsi="Calibri" w:cs="Calibri"/>
          <w:noProof/>
          <w:szCs w:val="24"/>
        </w:rPr>
        <w:t xml:space="preserve">, </w:t>
      </w:r>
      <w:r w:rsidRPr="009A0EF9">
        <w:rPr>
          <w:rFonts w:ascii="Calibri" w:hAnsi="Calibri" w:cs="Calibri"/>
          <w:i/>
          <w:iCs/>
          <w:noProof/>
          <w:szCs w:val="24"/>
        </w:rPr>
        <w:t>5</w:t>
      </w:r>
      <w:r w:rsidRPr="009A0EF9">
        <w:rPr>
          <w:rFonts w:ascii="Calibri" w:hAnsi="Calibri" w:cs="Calibri"/>
          <w:noProof/>
          <w:szCs w:val="24"/>
        </w:rPr>
        <w:t>, 1–22.</w:t>
      </w:r>
    </w:p>
    <w:p w14:paraId="3BD65B5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Calvert, S., Dempsey, R. C., &amp; Povey, R. (2019). Delivering in-school interventions to improve dietary behaviours amongst 11- to 16-year-olds: A systematic review. </w:t>
      </w:r>
      <w:r w:rsidRPr="009A0EF9">
        <w:rPr>
          <w:rFonts w:ascii="Calibri" w:hAnsi="Calibri" w:cs="Calibri"/>
          <w:i/>
          <w:iCs/>
          <w:noProof/>
          <w:szCs w:val="24"/>
        </w:rPr>
        <w:t>Obesity Reviews</w:t>
      </w:r>
      <w:r w:rsidRPr="009A0EF9">
        <w:rPr>
          <w:rFonts w:ascii="Calibri" w:hAnsi="Calibri" w:cs="Calibri"/>
          <w:noProof/>
          <w:szCs w:val="24"/>
        </w:rPr>
        <w:t xml:space="preserve">, </w:t>
      </w:r>
      <w:r w:rsidRPr="009A0EF9">
        <w:rPr>
          <w:rFonts w:ascii="Calibri" w:hAnsi="Calibri" w:cs="Calibri"/>
          <w:i/>
          <w:iCs/>
          <w:noProof/>
          <w:szCs w:val="24"/>
        </w:rPr>
        <w:t>20</w:t>
      </w:r>
      <w:r w:rsidRPr="009A0EF9">
        <w:rPr>
          <w:rFonts w:ascii="Calibri" w:hAnsi="Calibri" w:cs="Calibri"/>
          <w:noProof/>
          <w:szCs w:val="24"/>
        </w:rPr>
        <w:t>(4), 543–553.</w:t>
      </w:r>
    </w:p>
    <w:p w14:paraId="297A474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Calvert, S., Dempsey, R. C., &amp; Povey, R. (2020). A qualitative study investigating food choices and perceived psychosocial influences on eating behaviours in secondary school students. </w:t>
      </w:r>
      <w:r w:rsidRPr="009A0EF9">
        <w:rPr>
          <w:rFonts w:ascii="Calibri" w:hAnsi="Calibri" w:cs="Calibri"/>
          <w:i/>
          <w:iCs/>
          <w:noProof/>
          <w:szCs w:val="24"/>
        </w:rPr>
        <w:t>British Food Journal</w:t>
      </w:r>
      <w:r w:rsidRPr="009A0EF9">
        <w:rPr>
          <w:rFonts w:ascii="Calibri" w:hAnsi="Calibri" w:cs="Calibri"/>
          <w:noProof/>
          <w:szCs w:val="24"/>
        </w:rPr>
        <w:t xml:space="preserve">, </w:t>
      </w:r>
      <w:r w:rsidRPr="009A0EF9">
        <w:rPr>
          <w:rFonts w:ascii="Calibri" w:hAnsi="Calibri" w:cs="Calibri"/>
          <w:i/>
          <w:iCs/>
          <w:noProof/>
          <w:szCs w:val="24"/>
        </w:rPr>
        <w:t>122</w:t>
      </w:r>
      <w:r w:rsidRPr="009A0EF9">
        <w:rPr>
          <w:rFonts w:ascii="Calibri" w:hAnsi="Calibri" w:cs="Calibri"/>
          <w:noProof/>
          <w:szCs w:val="24"/>
        </w:rPr>
        <w:t>(4), 1027–1039.</w:t>
      </w:r>
    </w:p>
    <w:p w14:paraId="530E787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Calvert, S., Dempsey, R. C., &amp; Povey, R. (2021). Normative misperceptions of unhealthy snacking amongst 11-to 12-year-old secondary school students.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166</w:t>
      </w:r>
      <w:r w:rsidRPr="009A0EF9">
        <w:rPr>
          <w:rFonts w:ascii="Calibri" w:hAnsi="Calibri" w:cs="Calibri"/>
          <w:noProof/>
          <w:szCs w:val="24"/>
        </w:rPr>
        <w:t>, 105462.</w:t>
      </w:r>
    </w:p>
    <w:p w14:paraId="6D30541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Carter, C. A., &amp; Kahnweiler, W. M. (2000). The efficacy of the social norms approach to substance abuse prevention applied to fraternity men. </w:t>
      </w:r>
      <w:r w:rsidRPr="009A0EF9">
        <w:rPr>
          <w:rFonts w:ascii="Calibri" w:hAnsi="Calibri" w:cs="Calibri"/>
          <w:i/>
          <w:iCs/>
          <w:noProof/>
          <w:szCs w:val="24"/>
        </w:rPr>
        <w:t>Journal of American College Health</w:t>
      </w:r>
      <w:r w:rsidRPr="009A0EF9">
        <w:rPr>
          <w:rFonts w:ascii="Calibri" w:hAnsi="Calibri" w:cs="Calibri"/>
          <w:noProof/>
          <w:szCs w:val="24"/>
        </w:rPr>
        <w:t xml:space="preserve">, </w:t>
      </w:r>
      <w:r w:rsidRPr="009A0EF9">
        <w:rPr>
          <w:rFonts w:ascii="Calibri" w:hAnsi="Calibri" w:cs="Calibri"/>
          <w:i/>
          <w:iCs/>
          <w:noProof/>
          <w:szCs w:val="24"/>
        </w:rPr>
        <w:t>49</w:t>
      </w:r>
      <w:r w:rsidRPr="009A0EF9">
        <w:rPr>
          <w:rFonts w:ascii="Calibri" w:hAnsi="Calibri" w:cs="Calibri"/>
          <w:noProof/>
          <w:szCs w:val="24"/>
        </w:rPr>
        <w:t>(2), 66–71.</w:t>
      </w:r>
    </w:p>
    <w:p w14:paraId="721778B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Cecchini, M., Sassi, F., Lauer, J. A., Lee, Y. Y., Guajardo-Barron, V., &amp; Chisholm, D. (2010). Tackling of unhealthy diets, physical inactivity, and obesity: health effects and cost-effectiveness. </w:t>
      </w:r>
      <w:r w:rsidRPr="009A0EF9">
        <w:rPr>
          <w:rFonts w:ascii="Calibri" w:hAnsi="Calibri" w:cs="Calibri"/>
          <w:i/>
          <w:iCs/>
          <w:noProof/>
          <w:szCs w:val="24"/>
        </w:rPr>
        <w:t>The Lancet</w:t>
      </w:r>
      <w:r w:rsidRPr="009A0EF9">
        <w:rPr>
          <w:rFonts w:ascii="Calibri" w:hAnsi="Calibri" w:cs="Calibri"/>
          <w:noProof/>
          <w:szCs w:val="24"/>
        </w:rPr>
        <w:t xml:space="preserve">, </w:t>
      </w:r>
      <w:r w:rsidRPr="009A0EF9">
        <w:rPr>
          <w:rFonts w:ascii="Calibri" w:hAnsi="Calibri" w:cs="Calibri"/>
          <w:i/>
          <w:iCs/>
          <w:noProof/>
          <w:szCs w:val="24"/>
        </w:rPr>
        <w:t>376</w:t>
      </w:r>
      <w:r w:rsidRPr="009A0EF9">
        <w:rPr>
          <w:rFonts w:ascii="Calibri" w:hAnsi="Calibri" w:cs="Calibri"/>
          <w:noProof/>
          <w:szCs w:val="24"/>
        </w:rPr>
        <w:t>(9754), 1775–1784.</w:t>
      </w:r>
    </w:p>
    <w:p w14:paraId="097E9CF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Chamontin, A., Pretzer, G., &amp; Booth, D. A. (2003). Ambiguity of ‘snack’in British usage.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41</w:t>
      </w:r>
      <w:r w:rsidRPr="009A0EF9">
        <w:rPr>
          <w:rFonts w:ascii="Calibri" w:hAnsi="Calibri" w:cs="Calibri"/>
          <w:noProof/>
          <w:szCs w:val="24"/>
        </w:rPr>
        <w:t>(1), 21–29.</w:t>
      </w:r>
    </w:p>
    <w:p w14:paraId="5959324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Chaudhary, A., Sudzina, F., &amp; Mikkelsen, B. E. (2020). Promoting Healthy Eating among Young People-A Review of the Evidence of the Impact of School-Based Interventions. </w:t>
      </w:r>
      <w:r w:rsidRPr="009A0EF9">
        <w:rPr>
          <w:rFonts w:ascii="Calibri" w:hAnsi="Calibri" w:cs="Calibri"/>
          <w:i/>
          <w:iCs/>
          <w:noProof/>
          <w:szCs w:val="24"/>
        </w:rPr>
        <w:t>Nutrients</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(9), 2894–2928.</w:t>
      </w:r>
    </w:p>
    <w:p w14:paraId="4DEBD47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Chin A Paw, M. J. M., Singh, A. S., Brug, J., &amp; van Mechelen, W. (2008). Why did soft drink consumption decrease but screen time not? Mediating mechanisms in a school-based obesity prevention program. </w:t>
      </w:r>
      <w:r w:rsidRPr="009A0EF9">
        <w:rPr>
          <w:rFonts w:ascii="Calibri" w:hAnsi="Calibri" w:cs="Calibri"/>
          <w:i/>
          <w:iCs/>
          <w:noProof/>
          <w:szCs w:val="24"/>
        </w:rPr>
        <w:t>The 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5</w:t>
      </w:r>
      <w:r w:rsidRPr="009A0EF9">
        <w:rPr>
          <w:rFonts w:ascii="Calibri" w:hAnsi="Calibri" w:cs="Calibri"/>
          <w:noProof/>
          <w:szCs w:val="24"/>
        </w:rPr>
        <w:t>(41), 1–11.</w:t>
      </w:r>
    </w:p>
    <w:p w14:paraId="6B42DC4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Chung, A., &amp; Rimal, R. N. (2016). Social norms: A review. </w:t>
      </w:r>
      <w:r w:rsidRPr="009A0EF9">
        <w:rPr>
          <w:rFonts w:ascii="Calibri" w:hAnsi="Calibri" w:cs="Calibri"/>
          <w:i/>
          <w:iCs/>
          <w:noProof/>
          <w:szCs w:val="24"/>
        </w:rPr>
        <w:t>Review of Communication Research</w:t>
      </w:r>
      <w:r w:rsidRPr="009A0EF9">
        <w:rPr>
          <w:rFonts w:ascii="Calibri" w:hAnsi="Calibri" w:cs="Calibri"/>
          <w:noProof/>
          <w:szCs w:val="24"/>
        </w:rPr>
        <w:t xml:space="preserve">, </w:t>
      </w:r>
      <w:r w:rsidRPr="009A0EF9">
        <w:rPr>
          <w:rFonts w:ascii="Calibri" w:hAnsi="Calibri" w:cs="Calibri"/>
          <w:i/>
          <w:iCs/>
          <w:noProof/>
          <w:szCs w:val="24"/>
        </w:rPr>
        <w:t>4</w:t>
      </w:r>
      <w:r w:rsidRPr="009A0EF9">
        <w:rPr>
          <w:rFonts w:ascii="Calibri" w:hAnsi="Calibri" w:cs="Calibri"/>
          <w:noProof/>
          <w:szCs w:val="24"/>
        </w:rPr>
        <w:t>, 1–28.</w:t>
      </w:r>
    </w:p>
    <w:p w14:paraId="7F09841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Cialdini, R. B., Reno, R. R., &amp; Kallgren, C. A. (1990). A focus theory of normative conduct: Recycling the concept of norms to reduce littering in public places. </w:t>
      </w:r>
      <w:r w:rsidRPr="009A0EF9">
        <w:rPr>
          <w:rFonts w:ascii="Calibri" w:hAnsi="Calibri" w:cs="Calibri"/>
          <w:i/>
          <w:iCs/>
          <w:noProof/>
          <w:szCs w:val="24"/>
        </w:rPr>
        <w:t>Journal of Personality and Social Psychology</w:t>
      </w:r>
      <w:r w:rsidRPr="009A0EF9">
        <w:rPr>
          <w:rFonts w:ascii="Calibri" w:hAnsi="Calibri" w:cs="Calibri"/>
          <w:noProof/>
          <w:szCs w:val="24"/>
        </w:rPr>
        <w:t xml:space="preserve">, </w:t>
      </w:r>
      <w:r w:rsidRPr="009A0EF9">
        <w:rPr>
          <w:rFonts w:ascii="Calibri" w:hAnsi="Calibri" w:cs="Calibri"/>
          <w:i/>
          <w:iCs/>
          <w:noProof/>
          <w:szCs w:val="24"/>
        </w:rPr>
        <w:t>58</w:t>
      </w:r>
      <w:r w:rsidRPr="009A0EF9">
        <w:rPr>
          <w:rFonts w:ascii="Calibri" w:hAnsi="Calibri" w:cs="Calibri"/>
          <w:noProof/>
          <w:szCs w:val="24"/>
        </w:rPr>
        <w:t>(6), 1015–1026.</w:t>
      </w:r>
    </w:p>
    <w:p w14:paraId="2B1CEFD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Cialdini, R. B., &amp; Trost, M. R. (1998). Social influence: Social norms, conformity and compliance. In D. . Gilbert, S. . Fiske, &amp; G. Lindzey (Eds.), </w:t>
      </w:r>
      <w:r w:rsidRPr="009A0EF9">
        <w:rPr>
          <w:rFonts w:ascii="Calibri" w:hAnsi="Calibri" w:cs="Calibri"/>
          <w:i/>
          <w:iCs/>
          <w:noProof/>
          <w:szCs w:val="24"/>
        </w:rPr>
        <w:t>The handbook of social psychology</w:t>
      </w:r>
      <w:r w:rsidRPr="009A0EF9">
        <w:rPr>
          <w:rFonts w:ascii="Calibri" w:hAnsi="Calibri" w:cs="Calibri"/>
          <w:noProof/>
          <w:szCs w:val="24"/>
        </w:rPr>
        <w:t xml:space="preserve"> (pp. 151–192). McGraw-Hill.</w:t>
      </w:r>
    </w:p>
    <w:p w14:paraId="102B1A8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Cislaghi, B., &amp; Berkowitz, A. (2021). The evolution of social norms interventions for health promotion: Distinguishing norms correction and norms transformation. </w:t>
      </w:r>
      <w:r w:rsidRPr="009A0EF9">
        <w:rPr>
          <w:rFonts w:ascii="Calibri" w:hAnsi="Calibri" w:cs="Calibri"/>
          <w:i/>
          <w:iCs/>
          <w:noProof/>
          <w:szCs w:val="24"/>
        </w:rPr>
        <w:t>Journal of Global Health</w:t>
      </w:r>
      <w:r w:rsidRPr="009A0EF9">
        <w:rPr>
          <w:rFonts w:ascii="Calibri" w:hAnsi="Calibri" w:cs="Calibri"/>
          <w:noProof/>
          <w:szCs w:val="24"/>
        </w:rPr>
        <w:t xml:space="preserve">, </w:t>
      </w:r>
      <w:r w:rsidRPr="009A0EF9">
        <w:rPr>
          <w:rFonts w:ascii="Calibri" w:hAnsi="Calibri" w:cs="Calibri"/>
          <w:i/>
          <w:iCs/>
          <w:noProof/>
          <w:szCs w:val="24"/>
        </w:rPr>
        <w:t>11</w:t>
      </w:r>
      <w:r w:rsidRPr="009A0EF9">
        <w:rPr>
          <w:rFonts w:ascii="Calibri" w:hAnsi="Calibri" w:cs="Calibri"/>
          <w:noProof/>
          <w:szCs w:val="24"/>
        </w:rPr>
        <w:t>, 03065.</w:t>
      </w:r>
    </w:p>
    <w:p w14:paraId="60A6533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Cislaghi, B., &amp; Heise, L. (2018). Theory and practice of social norms interventions: eight common pitfalls. </w:t>
      </w:r>
      <w:r w:rsidRPr="009A0EF9">
        <w:rPr>
          <w:rFonts w:ascii="Calibri" w:hAnsi="Calibri" w:cs="Calibri"/>
          <w:i/>
          <w:iCs/>
          <w:noProof/>
          <w:szCs w:val="24"/>
        </w:rPr>
        <w:t>Globalization and Health</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(1), 83–93.</w:t>
      </w:r>
    </w:p>
    <w:p w14:paraId="67D31D1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Clark-Carter, D. (2018). </w:t>
      </w:r>
      <w:r w:rsidRPr="009A0EF9">
        <w:rPr>
          <w:rFonts w:ascii="Calibri" w:hAnsi="Calibri" w:cs="Calibri"/>
          <w:i/>
          <w:iCs/>
          <w:noProof/>
          <w:szCs w:val="24"/>
        </w:rPr>
        <w:t>Quantitative psychological research: The complete student’s companion</w:t>
      </w:r>
      <w:r w:rsidRPr="009A0EF9">
        <w:rPr>
          <w:rFonts w:ascii="Calibri" w:hAnsi="Calibri" w:cs="Calibri"/>
          <w:noProof/>
          <w:szCs w:val="24"/>
        </w:rPr>
        <w:t xml:space="preserve"> (4th ed.). Routledge.</w:t>
      </w:r>
    </w:p>
    <w:p w14:paraId="29104A2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Claus, N., Marzano, L., Loechner, J., Starman, K., Voggt, A., Loy, F., Wermuth, I., Haemmerle, S., Engelmann, L., Bley, M., Schulte-Koerne, G., &amp; Platt, B. (2019). Qualitative evaluation of a preventive intervention for the offspring of parents with a history of depression. </w:t>
      </w:r>
      <w:r w:rsidRPr="009A0EF9">
        <w:rPr>
          <w:rFonts w:ascii="Calibri" w:hAnsi="Calibri" w:cs="Calibri"/>
          <w:i/>
          <w:iCs/>
          <w:noProof/>
          <w:szCs w:val="24"/>
        </w:rPr>
        <w:t>BMC Psychiatry</w:t>
      </w:r>
      <w:r w:rsidRPr="009A0EF9">
        <w:rPr>
          <w:rFonts w:ascii="Calibri" w:hAnsi="Calibri" w:cs="Calibri"/>
          <w:noProof/>
          <w:szCs w:val="24"/>
        </w:rPr>
        <w:t xml:space="preserve">, </w:t>
      </w:r>
      <w:r w:rsidRPr="009A0EF9">
        <w:rPr>
          <w:rFonts w:ascii="Calibri" w:hAnsi="Calibri" w:cs="Calibri"/>
          <w:i/>
          <w:iCs/>
          <w:noProof/>
          <w:szCs w:val="24"/>
        </w:rPr>
        <w:t>19</w:t>
      </w:r>
      <w:r w:rsidRPr="009A0EF9">
        <w:rPr>
          <w:rFonts w:ascii="Calibri" w:hAnsi="Calibri" w:cs="Calibri"/>
          <w:noProof/>
          <w:szCs w:val="24"/>
        </w:rPr>
        <w:t>(1), 290.</w:t>
      </w:r>
    </w:p>
    <w:p w14:paraId="70F9C6F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Clow, K. E., &amp; James, K. E. (2013). </w:t>
      </w:r>
      <w:r w:rsidRPr="009A0EF9">
        <w:rPr>
          <w:rFonts w:ascii="Calibri" w:hAnsi="Calibri" w:cs="Calibri"/>
          <w:i/>
          <w:iCs/>
          <w:noProof/>
          <w:szCs w:val="24"/>
        </w:rPr>
        <w:t>Essentials of marketing research: Putting research into practice</w:t>
      </w:r>
      <w:r w:rsidRPr="009A0EF9">
        <w:rPr>
          <w:rFonts w:ascii="Calibri" w:hAnsi="Calibri" w:cs="Calibri"/>
          <w:noProof/>
          <w:szCs w:val="24"/>
        </w:rPr>
        <w:t>. Sage Publications.</w:t>
      </w:r>
    </w:p>
    <w:p w14:paraId="39528A7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Cohen, J. (1992). A power primer. </w:t>
      </w:r>
      <w:r w:rsidRPr="009A0EF9">
        <w:rPr>
          <w:rFonts w:ascii="Calibri" w:hAnsi="Calibri" w:cs="Calibri"/>
          <w:i/>
          <w:iCs/>
          <w:noProof/>
          <w:szCs w:val="24"/>
        </w:rPr>
        <w:t>Psychological Bulletin</w:t>
      </w:r>
      <w:r w:rsidRPr="009A0EF9">
        <w:rPr>
          <w:rFonts w:ascii="Calibri" w:hAnsi="Calibri" w:cs="Calibri"/>
          <w:noProof/>
          <w:szCs w:val="24"/>
        </w:rPr>
        <w:t xml:space="preserve">, </w:t>
      </w:r>
      <w:r w:rsidRPr="009A0EF9">
        <w:rPr>
          <w:rFonts w:ascii="Calibri" w:hAnsi="Calibri" w:cs="Calibri"/>
          <w:i/>
          <w:iCs/>
          <w:noProof/>
          <w:szCs w:val="24"/>
        </w:rPr>
        <w:t>112</w:t>
      </w:r>
      <w:r w:rsidRPr="009A0EF9">
        <w:rPr>
          <w:rFonts w:ascii="Calibri" w:hAnsi="Calibri" w:cs="Calibri"/>
          <w:noProof/>
          <w:szCs w:val="24"/>
        </w:rPr>
        <w:t>(1), 155–159.</w:t>
      </w:r>
    </w:p>
    <w:p w14:paraId="2E96823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Coleman, J. (2011). </w:t>
      </w:r>
      <w:r w:rsidRPr="009A0EF9">
        <w:rPr>
          <w:rFonts w:ascii="Calibri" w:hAnsi="Calibri" w:cs="Calibri"/>
          <w:i/>
          <w:iCs/>
          <w:noProof/>
          <w:szCs w:val="24"/>
        </w:rPr>
        <w:t>The nature of adolescence</w:t>
      </w:r>
      <w:r w:rsidRPr="009A0EF9">
        <w:rPr>
          <w:rFonts w:ascii="Calibri" w:hAnsi="Calibri" w:cs="Calibri"/>
          <w:noProof/>
          <w:szCs w:val="24"/>
        </w:rPr>
        <w:t>. Routledge.</w:t>
      </w:r>
    </w:p>
    <w:p w14:paraId="5F0F794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Collins, C. E., Dewar, D. L., Schumacher, T. L., Finn, T., Morgan, P. J., &amp; Lubans, D. R. (2014). 12 Month changes in dietary intake of adolescent girls attending schools in low-income communities following the NEAT Girls cluster randomized controlled trial.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73</w:t>
      </w:r>
      <w:r w:rsidRPr="009A0EF9">
        <w:rPr>
          <w:rFonts w:ascii="Calibri" w:hAnsi="Calibri" w:cs="Calibri"/>
          <w:noProof/>
          <w:szCs w:val="24"/>
        </w:rPr>
        <w:t>, 147–155.</w:t>
      </w:r>
    </w:p>
    <w:p w14:paraId="6FABD90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Collins, E. I. M., Thomas, J. M., Robinson, E., Aveyard, P., Jebb, S. A., Herman, C. P., &amp; Higgs, S. (2019). Two observational studies examining the effect of a social norm and a health message on the purchase of vegetables in student canteen settings.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132</w:t>
      </w:r>
      <w:r w:rsidRPr="009A0EF9">
        <w:rPr>
          <w:rFonts w:ascii="Calibri" w:hAnsi="Calibri" w:cs="Calibri"/>
          <w:noProof/>
          <w:szCs w:val="24"/>
        </w:rPr>
        <w:t>, 122–130.</w:t>
      </w:r>
    </w:p>
    <w:p w14:paraId="2EB1CBA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Conner, M., Norman, P., &amp; Bell, R. (2002). The theory of planned behavior and healthy eating. </w:t>
      </w:r>
      <w:r w:rsidRPr="009A0EF9">
        <w:rPr>
          <w:rFonts w:ascii="Calibri" w:hAnsi="Calibri" w:cs="Calibri"/>
          <w:i/>
          <w:iCs/>
          <w:noProof/>
          <w:szCs w:val="24"/>
        </w:rPr>
        <w:t>Health Psychology : Official Journal of the Division of Health Psychology, American Psychological Association</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(2), 194–201.</w:t>
      </w:r>
    </w:p>
    <w:p w14:paraId="75DE343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Conolly, A., &amp; Davies, B. (2018). Health Survey for England 2017—Adult and Child Overweight and Obesity. In </w:t>
      </w:r>
      <w:r w:rsidRPr="009A0EF9">
        <w:rPr>
          <w:rFonts w:ascii="Calibri" w:hAnsi="Calibri" w:cs="Calibri"/>
          <w:i/>
          <w:iCs/>
          <w:noProof/>
          <w:szCs w:val="24"/>
        </w:rPr>
        <w:t>NHS Digital, NHS: Leeds, UK</w:t>
      </w:r>
      <w:r w:rsidRPr="009A0EF9">
        <w:rPr>
          <w:rFonts w:ascii="Calibri" w:hAnsi="Calibri" w:cs="Calibri"/>
          <w:noProof/>
          <w:szCs w:val="24"/>
        </w:rPr>
        <w:t>. https://digital.nhs.uk/data-and-information/publications/statistical/health-survey-for-england/2017</w:t>
      </w:r>
    </w:p>
    <w:p w14:paraId="6885C91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Conrad, D., &amp; Capewell, S. (2012). Associations between deprivation and rates of childhood overweight and obesity in England, 2007–2010: an ecological study. </w:t>
      </w:r>
      <w:r w:rsidRPr="009A0EF9">
        <w:rPr>
          <w:rFonts w:ascii="Calibri" w:hAnsi="Calibri" w:cs="Calibri"/>
          <w:i/>
          <w:iCs/>
          <w:noProof/>
          <w:szCs w:val="24"/>
        </w:rPr>
        <w:t>BMJ Open</w:t>
      </w:r>
      <w:r w:rsidRPr="009A0EF9">
        <w:rPr>
          <w:rFonts w:ascii="Calibri" w:hAnsi="Calibri" w:cs="Calibri"/>
          <w:noProof/>
          <w:szCs w:val="24"/>
        </w:rPr>
        <w:t xml:space="preserve">, </w:t>
      </w:r>
      <w:r w:rsidRPr="009A0EF9">
        <w:rPr>
          <w:rFonts w:ascii="Calibri" w:hAnsi="Calibri" w:cs="Calibri"/>
          <w:i/>
          <w:iCs/>
          <w:noProof/>
          <w:szCs w:val="24"/>
        </w:rPr>
        <w:t>2</w:t>
      </w:r>
      <w:r w:rsidRPr="009A0EF9">
        <w:rPr>
          <w:rFonts w:ascii="Calibri" w:hAnsi="Calibri" w:cs="Calibri"/>
          <w:noProof/>
          <w:szCs w:val="24"/>
        </w:rPr>
        <w:t>(2), e000463.</w:t>
      </w:r>
    </w:p>
    <w:p w14:paraId="6F8070A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Contento, I. R. (2010). </w:t>
      </w:r>
      <w:r w:rsidRPr="009A0EF9">
        <w:rPr>
          <w:rFonts w:ascii="Calibri" w:hAnsi="Calibri" w:cs="Calibri"/>
          <w:i/>
          <w:iCs/>
          <w:noProof/>
          <w:szCs w:val="24"/>
        </w:rPr>
        <w:t>Nutrition education: linking research, theory, and practice</w:t>
      </w:r>
      <w:r w:rsidRPr="009A0EF9">
        <w:rPr>
          <w:rFonts w:ascii="Calibri" w:hAnsi="Calibri" w:cs="Calibri"/>
          <w:noProof/>
          <w:szCs w:val="24"/>
        </w:rPr>
        <w:t>. Jones &amp; Bartlett Publishers.</w:t>
      </w:r>
    </w:p>
    <w:p w14:paraId="2D6F068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Cornish, F., &amp; Gillespie, A. (2009). A pragmatist approach to the problem of knowledge in health psychology. </w:t>
      </w:r>
      <w:r w:rsidRPr="009A0EF9">
        <w:rPr>
          <w:rFonts w:ascii="Calibri" w:hAnsi="Calibri" w:cs="Calibri"/>
          <w:i/>
          <w:iCs/>
          <w:noProof/>
          <w:szCs w:val="24"/>
        </w:rPr>
        <w:t>Journal of Health Psychology</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(6), 800–809.</w:t>
      </w:r>
    </w:p>
    <w:p w14:paraId="1759F15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Cornwall, A., &amp; Jewkes, R. (1995). What is participatory research? </w:t>
      </w:r>
      <w:r w:rsidRPr="009A0EF9">
        <w:rPr>
          <w:rFonts w:ascii="Calibri" w:hAnsi="Calibri" w:cs="Calibri"/>
          <w:i/>
          <w:iCs/>
          <w:noProof/>
          <w:szCs w:val="24"/>
        </w:rPr>
        <w:t>Social Science &amp; Medicine</w:t>
      </w:r>
      <w:r w:rsidRPr="009A0EF9">
        <w:rPr>
          <w:rFonts w:ascii="Calibri" w:hAnsi="Calibri" w:cs="Calibri"/>
          <w:noProof/>
          <w:szCs w:val="24"/>
        </w:rPr>
        <w:t xml:space="preserve">, </w:t>
      </w:r>
      <w:r w:rsidRPr="009A0EF9">
        <w:rPr>
          <w:rFonts w:ascii="Calibri" w:hAnsi="Calibri" w:cs="Calibri"/>
          <w:i/>
          <w:iCs/>
          <w:noProof/>
          <w:szCs w:val="24"/>
        </w:rPr>
        <w:t>41</w:t>
      </w:r>
      <w:r w:rsidRPr="009A0EF9">
        <w:rPr>
          <w:rFonts w:ascii="Calibri" w:hAnsi="Calibri" w:cs="Calibri"/>
          <w:noProof/>
          <w:szCs w:val="24"/>
        </w:rPr>
        <w:t>(12), 1667–1676.</w:t>
      </w:r>
    </w:p>
    <w:p w14:paraId="708D367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Craig, P., Dieppe, P., Macintyre, S., Michie, S., Nazareth, I., &amp; Petticrew, M. (2008). Developing and evaluating complex interventions: the new Medical Research Council guidance. </w:t>
      </w:r>
      <w:r w:rsidRPr="009A0EF9">
        <w:rPr>
          <w:rFonts w:ascii="Calibri" w:hAnsi="Calibri" w:cs="Calibri"/>
          <w:i/>
          <w:iCs/>
          <w:noProof/>
          <w:szCs w:val="24"/>
        </w:rPr>
        <w:t xml:space="preserve">British Medical </w:t>
      </w:r>
      <w:r w:rsidRPr="009A0EF9">
        <w:rPr>
          <w:rFonts w:ascii="Calibri" w:hAnsi="Calibri" w:cs="Calibri"/>
          <w:i/>
          <w:iCs/>
          <w:noProof/>
          <w:szCs w:val="24"/>
        </w:rPr>
        <w:lastRenderedPageBreak/>
        <w:t>Journal</w:t>
      </w:r>
      <w:r w:rsidRPr="009A0EF9">
        <w:rPr>
          <w:rFonts w:ascii="Calibri" w:hAnsi="Calibri" w:cs="Calibri"/>
          <w:noProof/>
          <w:szCs w:val="24"/>
        </w:rPr>
        <w:t xml:space="preserve">, </w:t>
      </w:r>
      <w:r w:rsidRPr="009A0EF9">
        <w:rPr>
          <w:rFonts w:ascii="Calibri" w:hAnsi="Calibri" w:cs="Calibri"/>
          <w:i/>
          <w:iCs/>
          <w:noProof/>
          <w:szCs w:val="24"/>
        </w:rPr>
        <w:t>337</w:t>
      </w:r>
      <w:r w:rsidRPr="009A0EF9">
        <w:rPr>
          <w:rFonts w:ascii="Calibri" w:hAnsi="Calibri" w:cs="Calibri"/>
          <w:noProof/>
          <w:szCs w:val="24"/>
        </w:rPr>
        <w:t>.</w:t>
      </w:r>
    </w:p>
    <w:p w14:paraId="746FE14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Craigie, A. M., Lake, A. A., Kelly, S. A., Adamson, A. J., &amp; Mathers, J. C. (2011). Tracking of obesity-related behaviours from childhood to adulthood: a systematic review. </w:t>
      </w:r>
      <w:r w:rsidRPr="009A0EF9">
        <w:rPr>
          <w:rFonts w:ascii="Calibri" w:hAnsi="Calibri" w:cs="Calibri"/>
          <w:i/>
          <w:iCs/>
          <w:noProof/>
          <w:szCs w:val="24"/>
        </w:rPr>
        <w:t>Maturitas</w:t>
      </w:r>
      <w:r w:rsidRPr="009A0EF9">
        <w:rPr>
          <w:rFonts w:ascii="Calibri" w:hAnsi="Calibri" w:cs="Calibri"/>
          <w:noProof/>
          <w:szCs w:val="24"/>
        </w:rPr>
        <w:t xml:space="preserve">, </w:t>
      </w:r>
      <w:r w:rsidRPr="009A0EF9">
        <w:rPr>
          <w:rFonts w:ascii="Calibri" w:hAnsi="Calibri" w:cs="Calibri"/>
          <w:i/>
          <w:iCs/>
          <w:noProof/>
          <w:szCs w:val="24"/>
        </w:rPr>
        <w:t>70</w:t>
      </w:r>
      <w:r w:rsidRPr="009A0EF9">
        <w:rPr>
          <w:rFonts w:ascii="Calibri" w:hAnsi="Calibri" w:cs="Calibri"/>
          <w:noProof/>
          <w:szCs w:val="24"/>
        </w:rPr>
        <w:t>(3), 266–284.</w:t>
      </w:r>
    </w:p>
    <w:p w14:paraId="03223D7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Creswell, J. W., Klassen, A. C., Plano Clark, V. L., &amp; Smith, K. C. (2011). Best practices for mixed methods research in the health sciences. </w:t>
      </w:r>
      <w:r w:rsidRPr="009A0EF9">
        <w:rPr>
          <w:rFonts w:ascii="Calibri" w:hAnsi="Calibri" w:cs="Calibri"/>
          <w:i/>
          <w:iCs/>
          <w:noProof/>
          <w:szCs w:val="24"/>
        </w:rPr>
        <w:t>Bethesda (Maryland): National Institutes of Health</w:t>
      </w:r>
      <w:r w:rsidRPr="009A0EF9">
        <w:rPr>
          <w:rFonts w:ascii="Calibri" w:hAnsi="Calibri" w:cs="Calibri"/>
          <w:noProof/>
          <w:szCs w:val="24"/>
        </w:rPr>
        <w:t xml:space="preserve">, </w:t>
      </w:r>
      <w:r w:rsidRPr="009A0EF9">
        <w:rPr>
          <w:rFonts w:ascii="Calibri" w:hAnsi="Calibri" w:cs="Calibri"/>
          <w:i/>
          <w:iCs/>
          <w:noProof/>
          <w:szCs w:val="24"/>
        </w:rPr>
        <w:t>2013</w:t>
      </w:r>
      <w:r w:rsidRPr="009A0EF9">
        <w:rPr>
          <w:rFonts w:ascii="Calibri" w:hAnsi="Calibri" w:cs="Calibri"/>
          <w:noProof/>
          <w:szCs w:val="24"/>
        </w:rPr>
        <w:t>, 541–545.</w:t>
      </w:r>
    </w:p>
    <w:p w14:paraId="539D65A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Creswell, J. W., &amp; Plano Clark, V. L. (2011). Choosing a mixed methods design. </w:t>
      </w:r>
      <w:r w:rsidRPr="009A0EF9">
        <w:rPr>
          <w:rFonts w:ascii="Calibri" w:hAnsi="Calibri" w:cs="Calibri"/>
          <w:i/>
          <w:iCs/>
          <w:noProof/>
          <w:szCs w:val="24"/>
        </w:rPr>
        <w:t>Designing and Conducting Mixed Methods Research</w:t>
      </w:r>
      <w:r w:rsidRPr="009A0EF9">
        <w:rPr>
          <w:rFonts w:ascii="Calibri" w:hAnsi="Calibri" w:cs="Calibri"/>
          <w:noProof/>
          <w:szCs w:val="24"/>
        </w:rPr>
        <w:t xml:space="preserve">, </w:t>
      </w:r>
      <w:r w:rsidRPr="009A0EF9">
        <w:rPr>
          <w:rFonts w:ascii="Calibri" w:hAnsi="Calibri" w:cs="Calibri"/>
          <w:i/>
          <w:iCs/>
          <w:noProof/>
          <w:szCs w:val="24"/>
        </w:rPr>
        <w:t>2</w:t>
      </w:r>
      <w:r w:rsidRPr="009A0EF9">
        <w:rPr>
          <w:rFonts w:ascii="Calibri" w:hAnsi="Calibri" w:cs="Calibri"/>
          <w:noProof/>
          <w:szCs w:val="24"/>
        </w:rPr>
        <w:t>, 53–106.</w:t>
      </w:r>
    </w:p>
    <w:p w14:paraId="5852C7C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Croll, J. K., Neumark-Sztainer, D., &amp; Story, M. (2001). Healthy eating: what does it mean to adolescents? </w:t>
      </w:r>
      <w:r w:rsidRPr="009A0EF9">
        <w:rPr>
          <w:rFonts w:ascii="Calibri" w:hAnsi="Calibri" w:cs="Calibri"/>
          <w:i/>
          <w:iCs/>
          <w:noProof/>
          <w:szCs w:val="24"/>
        </w:rPr>
        <w:t>Journal of Nutrition Education</w:t>
      </w:r>
      <w:r w:rsidRPr="009A0EF9">
        <w:rPr>
          <w:rFonts w:ascii="Calibri" w:hAnsi="Calibri" w:cs="Calibri"/>
          <w:noProof/>
          <w:szCs w:val="24"/>
        </w:rPr>
        <w:t xml:space="preserve">, </w:t>
      </w:r>
      <w:r w:rsidRPr="009A0EF9">
        <w:rPr>
          <w:rFonts w:ascii="Calibri" w:hAnsi="Calibri" w:cs="Calibri"/>
          <w:i/>
          <w:iCs/>
          <w:noProof/>
          <w:szCs w:val="24"/>
        </w:rPr>
        <w:t>33</w:t>
      </w:r>
      <w:r w:rsidRPr="009A0EF9">
        <w:rPr>
          <w:rFonts w:ascii="Calibri" w:hAnsi="Calibri" w:cs="Calibri"/>
          <w:noProof/>
          <w:szCs w:val="24"/>
        </w:rPr>
        <w:t>(4), 193–198.</w:t>
      </w:r>
    </w:p>
    <w:p w14:paraId="7AC7595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Crosby, S., Bell, D., Savva, G., Edlin, B., &amp; Bewick, B. M. (2018). The impact of a social norms approach on reducing levels of misperceptions around smokefree hospital entrances amongst patients, staff, and visitors of a NHS hospital: a repeated cross-sectional survey study. </w:t>
      </w:r>
      <w:r w:rsidRPr="009A0EF9">
        <w:rPr>
          <w:rFonts w:ascii="Calibri" w:hAnsi="Calibri" w:cs="Calibri"/>
          <w:i/>
          <w:iCs/>
          <w:noProof/>
          <w:szCs w:val="24"/>
        </w:rPr>
        <w:t>BMC Public Health</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(1), 1365.</w:t>
      </w:r>
    </w:p>
    <w:p w14:paraId="4CBC1B7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Crow, G., Wiles, R., Heath, S., &amp; Charles, V. (2006). Research ethics and data quality: The implications of informed consent. </w:t>
      </w:r>
      <w:r w:rsidRPr="009A0EF9">
        <w:rPr>
          <w:rFonts w:ascii="Calibri" w:hAnsi="Calibri" w:cs="Calibri"/>
          <w:i/>
          <w:iCs/>
          <w:noProof/>
          <w:szCs w:val="24"/>
        </w:rPr>
        <w:t>International Journal of Social Research Methodology</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(2), 83–95.</w:t>
      </w:r>
    </w:p>
    <w:p w14:paraId="6776F74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Cruwys, T., Bevelander, K. E., &amp; Hermans, R. C. J. (2015). Social modeling of eating: A review of when and why social influence affects food intake and choice.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86</w:t>
      </w:r>
      <w:r w:rsidRPr="009A0EF9">
        <w:rPr>
          <w:rFonts w:ascii="Calibri" w:hAnsi="Calibri" w:cs="Calibri"/>
          <w:noProof/>
          <w:szCs w:val="24"/>
        </w:rPr>
        <w:t>, 3–18.</w:t>
      </w:r>
    </w:p>
    <w:p w14:paraId="59FA38F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Cuijpers, P. (2002). Effective ingredients of school-based drug prevention programs: A systematic review. </w:t>
      </w:r>
      <w:r w:rsidRPr="009A0EF9">
        <w:rPr>
          <w:rFonts w:ascii="Calibri" w:hAnsi="Calibri" w:cs="Calibri"/>
          <w:i/>
          <w:iCs/>
          <w:noProof/>
          <w:szCs w:val="24"/>
        </w:rPr>
        <w:t>Addictive Behaviors</w:t>
      </w:r>
      <w:r w:rsidRPr="009A0EF9">
        <w:rPr>
          <w:rFonts w:ascii="Calibri" w:hAnsi="Calibri" w:cs="Calibri"/>
          <w:noProof/>
          <w:szCs w:val="24"/>
        </w:rPr>
        <w:t xml:space="preserve">, </w:t>
      </w:r>
      <w:r w:rsidRPr="009A0EF9">
        <w:rPr>
          <w:rFonts w:ascii="Calibri" w:hAnsi="Calibri" w:cs="Calibri"/>
          <w:i/>
          <w:iCs/>
          <w:noProof/>
          <w:szCs w:val="24"/>
        </w:rPr>
        <w:t>27</w:t>
      </w:r>
      <w:r w:rsidRPr="009A0EF9">
        <w:rPr>
          <w:rFonts w:ascii="Calibri" w:hAnsi="Calibri" w:cs="Calibri"/>
          <w:noProof/>
          <w:szCs w:val="24"/>
        </w:rPr>
        <w:t>(6), 1009–1023.</w:t>
      </w:r>
    </w:p>
    <w:p w14:paraId="6F68161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Davison, K. K., &amp; Birch, L. L. (2001). Childhood overweight: a contextual model and recommendations for future research. </w:t>
      </w:r>
      <w:r w:rsidRPr="009A0EF9">
        <w:rPr>
          <w:rFonts w:ascii="Calibri" w:hAnsi="Calibri" w:cs="Calibri"/>
          <w:i/>
          <w:iCs/>
          <w:noProof/>
          <w:szCs w:val="24"/>
        </w:rPr>
        <w:t>Obesity Reviews : An Official Journal of the International Association for the Study of Obesity</w:t>
      </w:r>
      <w:r w:rsidRPr="009A0EF9">
        <w:rPr>
          <w:rFonts w:ascii="Calibri" w:hAnsi="Calibri" w:cs="Calibri"/>
          <w:noProof/>
          <w:szCs w:val="24"/>
        </w:rPr>
        <w:t xml:space="preserve">, </w:t>
      </w:r>
      <w:r w:rsidRPr="009A0EF9">
        <w:rPr>
          <w:rFonts w:ascii="Calibri" w:hAnsi="Calibri" w:cs="Calibri"/>
          <w:i/>
          <w:iCs/>
          <w:noProof/>
          <w:szCs w:val="24"/>
        </w:rPr>
        <w:t>2</w:t>
      </w:r>
      <w:r w:rsidRPr="009A0EF9">
        <w:rPr>
          <w:rFonts w:ascii="Calibri" w:hAnsi="Calibri" w:cs="Calibri"/>
          <w:noProof/>
          <w:szCs w:val="24"/>
        </w:rPr>
        <w:t>(3), 159–171.</w:t>
      </w:r>
    </w:p>
    <w:p w14:paraId="0724AA0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De Bourdeaudhuij, I., Van Cauwenberghe, E., Spittaels, H., Oppert, J., Rostami, C., Brug, J., Van Lenthe, F., Lobstein, T., &amp; Maes, L. (2011). School‐based interventions promoting both physical activity and healthy eating in Europe: a systematic review within the HOPE project. </w:t>
      </w:r>
      <w:r w:rsidRPr="009A0EF9">
        <w:rPr>
          <w:rFonts w:ascii="Calibri" w:hAnsi="Calibri" w:cs="Calibri"/>
          <w:i/>
          <w:iCs/>
          <w:noProof/>
          <w:szCs w:val="24"/>
        </w:rPr>
        <w:t>Obesity Reviews</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(3), 205–216.</w:t>
      </w:r>
    </w:p>
    <w:p w14:paraId="249BAC9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de Visser, R., Sylvester, R., Rogers, R., Kline-Rogers, E., DuRussel-Weston, J., Eagle, K. A., &amp; Jackson, E. A. (2016). Changes in school health program improve middle school students’ behaviors. </w:t>
      </w:r>
      <w:r w:rsidRPr="009A0EF9">
        <w:rPr>
          <w:rFonts w:ascii="Calibri" w:hAnsi="Calibri" w:cs="Calibri"/>
          <w:i/>
          <w:iCs/>
          <w:noProof/>
          <w:szCs w:val="24"/>
        </w:rPr>
        <w:t>American Journal of Health Behavior</w:t>
      </w:r>
      <w:r w:rsidRPr="009A0EF9">
        <w:rPr>
          <w:rFonts w:ascii="Calibri" w:hAnsi="Calibri" w:cs="Calibri"/>
          <w:noProof/>
          <w:szCs w:val="24"/>
        </w:rPr>
        <w:t xml:space="preserve">, </w:t>
      </w:r>
      <w:r w:rsidRPr="009A0EF9">
        <w:rPr>
          <w:rFonts w:ascii="Calibri" w:hAnsi="Calibri" w:cs="Calibri"/>
          <w:i/>
          <w:iCs/>
          <w:noProof/>
          <w:szCs w:val="24"/>
        </w:rPr>
        <w:t>40</w:t>
      </w:r>
      <w:r w:rsidRPr="009A0EF9">
        <w:rPr>
          <w:rFonts w:ascii="Calibri" w:hAnsi="Calibri" w:cs="Calibri"/>
          <w:noProof/>
          <w:szCs w:val="24"/>
        </w:rPr>
        <w:t>(5), 568–577.</w:t>
      </w:r>
    </w:p>
    <w:p w14:paraId="0338820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DeCosta, P., Møller, P., Frøst, M. B., &amp; Olsen, A. (2017). Changing children’s eating behaviour - A review of experimental research.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113</w:t>
      </w:r>
      <w:r w:rsidRPr="009A0EF9">
        <w:rPr>
          <w:rFonts w:ascii="Calibri" w:hAnsi="Calibri" w:cs="Calibri"/>
          <w:noProof/>
          <w:szCs w:val="24"/>
        </w:rPr>
        <w:t>, 327–357.</w:t>
      </w:r>
    </w:p>
    <w:p w14:paraId="29E145B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Del Re, A. C., Maisel, N. C., Blodgett, J. C., &amp; Finney, J. W. (2013). Intention-to-treat analyses and missing data approaches in pharmacotherapy trials for alcohol use disorders. </w:t>
      </w:r>
      <w:r w:rsidRPr="009A0EF9">
        <w:rPr>
          <w:rFonts w:ascii="Calibri" w:hAnsi="Calibri" w:cs="Calibri"/>
          <w:i/>
          <w:iCs/>
          <w:noProof/>
          <w:szCs w:val="24"/>
        </w:rPr>
        <w:t>BMJ Open</w:t>
      </w:r>
      <w:r w:rsidRPr="009A0EF9">
        <w:rPr>
          <w:rFonts w:ascii="Calibri" w:hAnsi="Calibri" w:cs="Calibri"/>
          <w:noProof/>
          <w:szCs w:val="24"/>
        </w:rPr>
        <w:t xml:space="preserve">, </w:t>
      </w:r>
      <w:r w:rsidRPr="009A0EF9">
        <w:rPr>
          <w:rFonts w:ascii="Calibri" w:hAnsi="Calibri" w:cs="Calibri"/>
          <w:i/>
          <w:iCs/>
          <w:noProof/>
          <w:szCs w:val="24"/>
        </w:rPr>
        <w:t>3</w:t>
      </w:r>
      <w:r w:rsidRPr="009A0EF9">
        <w:rPr>
          <w:rFonts w:ascii="Calibri" w:hAnsi="Calibri" w:cs="Calibri"/>
          <w:noProof/>
          <w:szCs w:val="24"/>
        </w:rPr>
        <w:t>(11), e003464.</w:t>
      </w:r>
    </w:p>
    <w:p w14:paraId="423BA0D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Dempsey, R. C., McAlaney, J., &amp; Bewick, B. (2018). A critical appraisal of the Social Norms Approach as an interventional strategy for health-related behaviour and attitude change. </w:t>
      </w:r>
      <w:r w:rsidRPr="009A0EF9">
        <w:rPr>
          <w:rFonts w:ascii="Calibri" w:hAnsi="Calibri" w:cs="Calibri"/>
          <w:i/>
          <w:iCs/>
          <w:noProof/>
          <w:szCs w:val="24"/>
        </w:rPr>
        <w:t>Frontiers in Psychology</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 2180.</w:t>
      </w:r>
    </w:p>
    <w:p w14:paraId="0497686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Dempsey, R. C., McAlaney, J., Helmer, S. M., Pischke, C. R., Akvardar, Y., Bewick, B. M., Fawkner, H. J., Guillen-Grima, F., Stock, C., Vriesacker, B., Van Hal, G., Salonna, F., Kalina, O., Orosova, O., &amp; Mikolajczyk, R. T. (2016). Normative Perceptions of Cannabis Use Among European University Students: Associations of Perceived Peer Use and Peer Attitudes With Personal Use and Attitudes. </w:t>
      </w:r>
      <w:r w:rsidRPr="009A0EF9">
        <w:rPr>
          <w:rFonts w:ascii="Calibri" w:hAnsi="Calibri" w:cs="Calibri"/>
          <w:i/>
          <w:iCs/>
          <w:noProof/>
          <w:szCs w:val="24"/>
        </w:rPr>
        <w:t>Journal of Studies on Alcohol and Drugs</w:t>
      </w:r>
      <w:r w:rsidRPr="009A0EF9">
        <w:rPr>
          <w:rFonts w:ascii="Calibri" w:hAnsi="Calibri" w:cs="Calibri"/>
          <w:noProof/>
          <w:szCs w:val="24"/>
        </w:rPr>
        <w:t xml:space="preserve">, </w:t>
      </w:r>
      <w:r w:rsidRPr="009A0EF9">
        <w:rPr>
          <w:rFonts w:ascii="Calibri" w:hAnsi="Calibri" w:cs="Calibri"/>
          <w:i/>
          <w:iCs/>
          <w:noProof/>
          <w:szCs w:val="24"/>
        </w:rPr>
        <w:t>77</w:t>
      </w:r>
      <w:r w:rsidRPr="009A0EF9">
        <w:rPr>
          <w:rFonts w:ascii="Calibri" w:hAnsi="Calibri" w:cs="Calibri"/>
          <w:noProof/>
          <w:szCs w:val="24"/>
        </w:rPr>
        <w:t>(5), 740–748.</w:t>
      </w:r>
    </w:p>
    <w:p w14:paraId="3F8BEAC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Deutsch, M., &amp; Gerard, H. B. (1955). A study of normative and informational social influences upon individual judgment. </w:t>
      </w:r>
      <w:r w:rsidRPr="009A0EF9">
        <w:rPr>
          <w:rFonts w:ascii="Calibri" w:hAnsi="Calibri" w:cs="Calibri"/>
          <w:i/>
          <w:iCs/>
          <w:noProof/>
          <w:szCs w:val="24"/>
        </w:rPr>
        <w:t>The Journal of Abnormal and Social Psychology</w:t>
      </w:r>
      <w:r w:rsidRPr="009A0EF9">
        <w:rPr>
          <w:rFonts w:ascii="Calibri" w:hAnsi="Calibri" w:cs="Calibri"/>
          <w:noProof/>
          <w:szCs w:val="24"/>
        </w:rPr>
        <w:t xml:space="preserve">, </w:t>
      </w:r>
      <w:r w:rsidRPr="009A0EF9">
        <w:rPr>
          <w:rFonts w:ascii="Calibri" w:hAnsi="Calibri" w:cs="Calibri"/>
          <w:i/>
          <w:iCs/>
          <w:noProof/>
          <w:szCs w:val="24"/>
        </w:rPr>
        <w:t>51</w:t>
      </w:r>
      <w:r w:rsidRPr="009A0EF9">
        <w:rPr>
          <w:rFonts w:ascii="Calibri" w:hAnsi="Calibri" w:cs="Calibri"/>
          <w:noProof/>
          <w:szCs w:val="24"/>
        </w:rPr>
        <w:t>(3), 629–631.</w:t>
      </w:r>
    </w:p>
    <w:p w14:paraId="75BB1EE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Dixon‐Woods, M., Fitzpatrick, R., &amp; Roberts, K. (2001). Including qualitative research in systematic reviews: opportunities and problems. </w:t>
      </w:r>
      <w:r w:rsidRPr="009A0EF9">
        <w:rPr>
          <w:rFonts w:ascii="Calibri" w:hAnsi="Calibri" w:cs="Calibri"/>
          <w:i/>
          <w:iCs/>
          <w:noProof/>
          <w:szCs w:val="24"/>
        </w:rPr>
        <w:t>Journal of Evaluation in Clinical Practice</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(2), 125–133.</w:t>
      </w:r>
    </w:p>
    <w:p w14:paraId="269D3D6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Doumas, D. M., Esp, S., &amp; Hausheer, R. (2015). Parental consent procedures: Impact on response rates and nonresponse bias. </w:t>
      </w:r>
      <w:r w:rsidRPr="009A0EF9">
        <w:rPr>
          <w:rFonts w:ascii="Calibri" w:hAnsi="Calibri" w:cs="Calibri"/>
          <w:i/>
          <w:iCs/>
          <w:noProof/>
          <w:szCs w:val="24"/>
        </w:rPr>
        <w:t>Journal of Substance Abuse and Alcoholism</w:t>
      </w:r>
      <w:r w:rsidRPr="009A0EF9">
        <w:rPr>
          <w:rFonts w:ascii="Calibri" w:hAnsi="Calibri" w:cs="Calibri"/>
          <w:noProof/>
          <w:szCs w:val="24"/>
        </w:rPr>
        <w:t xml:space="preserve">, </w:t>
      </w:r>
      <w:r w:rsidRPr="009A0EF9">
        <w:rPr>
          <w:rFonts w:ascii="Calibri" w:hAnsi="Calibri" w:cs="Calibri"/>
          <w:i/>
          <w:iCs/>
          <w:noProof/>
          <w:szCs w:val="24"/>
        </w:rPr>
        <w:t>3</w:t>
      </w:r>
      <w:r w:rsidRPr="009A0EF9">
        <w:rPr>
          <w:rFonts w:ascii="Calibri" w:hAnsi="Calibri" w:cs="Calibri"/>
          <w:noProof/>
          <w:szCs w:val="24"/>
        </w:rPr>
        <w:t>, 1031–1035.</w:t>
      </w:r>
    </w:p>
    <w:p w14:paraId="7948E51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Dowd, A. J., Chen, M. Y., Jung, M. E., &amp; Beauchamp, M. R. (2015). “Go girls!”: Psychological and behavioral outcomes associated with a group-based healthy lifestyle program for adolescent girls. </w:t>
      </w:r>
      <w:r w:rsidRPr="009A0EF9">
        <w:rPr>
          <w:rFonts w:ascii="Calibri" w:hAnsi="Calibri" w:cs="Calibri"/>
          <w:i/>
          <w:iCs/>
          <w:noProof/>
          <w:szCs w:val="24"/>
        </w:rPr>
        <w:t>Translational Behavioral Medicine</w:t>
      </w:r>
      <w:r w:rsidRPr="009A0EF9">
        <w:rPr>
          <w:rFonts w:ascii="Calibri" w:hAnsi="Calibri" w:cs="Calibri"/>
          <w:noProof/>
          <w:szCs w:val="24"/>
        </w:rPr>
        <w:t xml:space="preserve">, </w:t>
      </w:r>
      <w:r w:rsidRPr="009A0EF9">
        <w:rPr>
          <w:rFonts w:ascii="Calibri" w:hAnsi="Calibri" w:cs="Calibri"/>
          <w:i/>
          <w:iCs/>
          <w:noProof/>
          <w:szCs w:val="24"/>
        </w:rPr>
        <w:t>5</w:t>
      </w:r>
      <w:r w:rsidRPr="009A0EF9">
        <w:rPr>
          <w:rFonts w:ascii="Calibri" w:hAnsi="Calibri" w:cs="Calibri"/>
          <w:noProof/>
          <w:szCs w:val="24"/>
        </w:rPr>
        <w:t>(1), 77–86.</w:t>
      </w:r>
    </w:p>
    <w:p w14:paraId="7C89934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Driessen, C. E., Cameron, A. J., Thornton, L. E., Lai, S. K., &amp; Barnett, L. M. (2014). Effect of changes to the school food environment on eating behaviours and/or body weight in children: a systematic review. </w:t>
      </w:r>
      <w:r w:rsidRPr="009A0EF9">
        <w:rPr>
          <w:rFonts w:ascii="Calibri" w:hAnsi="Calibri" w:cs="Calibri"/>
          <w:i/>
          <w:iCs/>
          <w:noProof/>
          <w:szCs w:val="24"/>
        </w:rPr>
        <w:t>Obesity Reviews</w:t>
      </w:r>
      <w:r w:rsidRPr="009A0EF9">
        <w:rPr>
          <w:rFonts w:ascii="Calibri" w:hAnsi="Calibri" w:cs="Calibri"/>
          <w:noProof/>
          <w:szCs w:val="24"/>
        </w:rPr>
        <w:t xml:space="preserve">, </w:t>
      </w:r>
      <w:r w:rsidRPr="009A0EF9">
        <w:rPr>
          <w:rFonts w:ascii="Calibri" w:hAnsi="Calibri" w:cs="Calibri"/>
          <w:i/>
          <w:iCs/>
          <w:noProof/>
          <w:szCs w:val="24"/>
        </w:rPr>
        <w:t>15</w:t>
      </w:r>
      <w:r w:rsidRPr="009A0EF9">
        <w:rPr>
          <w:rFonts w:ascii="Calibri" w:hAnsi="Calibri" w:cs="Calibri"/>
          <w:noProof/>
          <w:szCs w:val="24"/>
        </w:rPr>
        <w:t>(12), 968–982.</w:t>
      </w:r>
    </w:p>
    <w:p w14:paraId="44E4B2D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Dzewaltowski, D. A., Estabrooks, P. A., Welk, G., Hill, J., Milliken, G., Karteroliotis, K., &amp; Johnston, J. A. (2009). Healthy youth places: A randomized controlled trial to determine the effectiveness of facilitating adult and youth leaders to promote physical activity and fruit and vegetable consumption in middle schools. </w:t>
      </w:r>
      <w:r w:rsidRPr="009A0EF9">
        <w:rPr>
          <w:rFonts w:ascii="Calibri" w:hAnsi="Calibri" w:cs="Calibri"/>
          <w:i/>
          <w:iCs/>
          <w:noProof/>
          <w:szCs w:val="24"/>
        </w:rPr>
        <w:t>Health Education &amp; Behavior</w:t>
      </w:r>
      <w:r w:rsidRPr="009A0EF9">
        <w:rPr>
          <w:rFonts w:ascii="Calibri" w:hAnsi="Calibri" w:cs="Calibri"/>
          <w:noProof/>
          <w:szCs w:val="24"/>
        </w:rPr>
        <w:t xml:space="preserve">, </w:t>
      </w:r>
      <w:r w:rsidRPr="009A0EF9">
        <w:rPr>
          <w:rFonts w:ascii="Calibri" w:hAnsi="Calibri" w:cs="Calibri"/>
          <w:i/>
          <w:iCs/>
          <w:noProof/>
          <w:szCs w:val="24"/>
        </w:rPr>
        <w:t>36</w:t>
      </w:r>
      <w:r w:rsidRPr="009A0EF9">
        <w:rPr>
          <w:rFonts w:ascii="Calibri" w:hAnsi="Calibri" w:cs="Calibri"/>
          <w:noProof/>
          <w:szCs w:val="24"/>
        </w:rPr>
        <w:t>(3), 583–600.</w:t>
      </w:r>
    </w:p>
    <w:p w14:paraId="14AD88B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El-Sayed, A. M., Scarborough, P., &amp; Galea, S. (2012). Socioeconomic Inequalities in Childhood Obesity in the United Kingdom: A Systematic Review of the Literature. </w:t>
      </w:r>
      <w:r w:rsidRPr="009A0EF9">
        <w:rPr>
          <w:rFonts w:ascii="Calibri" w:hAnsi="Calibri" w:cs="Calibri"/>
          <w:i/>
          <w:iCs/>
          <w:noProof/>
          <w:szCs w:val="24"/>
        </w:rPr>
        <w:t>Obesity Facts</w:t>
      </w:r>
      <w:r w:rsidRPr="009A0EF9">
        <w:rPr>
          <w:rFonts w:ascii="Calibri" w:hAnsi="Calibri" w:cs="Calibri"/>
          <w:noProof/>
          <w:szCs w:val="24"/>
        </w:rPr>
        <w:t xml:space="preserve">, </w:t>
      </w:r>
      <w:r w:rsidRPr="009A0EF9">
        <w:rPr>
          <w:rFonts w:ascii="Calibri" w:hAnsi="Calibri" w:cs="Calibri"/>
          <w:i/>
          <w:iCs/>
          <w:noProof/>
          <w:szCs w:val="24"/>
        </w:rPr>
        <w:t>5</w:t>
      </w:r>
      <w:r w:rsidRPr="009A0EF9">
        <w:rPr>
          <w:rFonts w:ascii="Calibri" w:hAnsi="Calibri" w:cs="Calibri"/>
          <w:noProof/>
          <w:szCs w:val="24"/>
        </w:rPr>
        <w:t>(5), 671–692.</w:t>
      </w:r>
    </w:p>
    <w:p w14:paraId="6061DD0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Ermetici, F., Zelaschi, R. F., Briganti, S., Dozio, E., Gaeta, M., Ambrogi, F., Pelissero, G., Tettamanti, G., Romanelli, M. M. C., Carruba, M., Morricone, L., &amp; Malavazos, A. E. (2016). Association between a school‐based intervention and adiposity outcomes in adolescents: The Italian “EAT” project. </w:t>
      </w:r>
      <w:r w:rsidRPr="009A0EF9">
        <w:rPr>
          <w:rFonts w:ascii="Calibri" w:hAnsi="Calibri" w:cs="Calibri"/>
          <w:i/>
          <w:iCs/>
          <w:noProof/>
          <w:szCs w:val="24"/>
        </w:rPr>
        <w:t>Obesity</w:t>
      </w:r>
      <w:r w:rsidRPr="009A0EF9">
        <w:rPr>
          <w:rFonts w:ascii="Calibri" w:hAnsi="Calibri" w:cs="Calibri"/>
          <w:noProof/>
          <w:szCs w:val="24"/>
        </w:rPr>
        <w:t xml:space="preserve">, </w:t>
      </w:r>
      <w:r w:rsidRPr="009A0EF9">
        <w:rPr>
          <w:rFonts w:ascii="Calibri" w:hAnsi="Calibri" w:cs="Calibri"/>
          <w:i/>
          <w:iCs/>
          <w:noProof/>
          <w:szCs w:val="24"/>
        </w:rPr>
        <w:t>24</w:t>
      </w:r>
      <w:r w:rsidRPr="009A0EF9">
        <w:rPr>
          <w:rFonts w:ascii="Calibri" w:hAnsi="Calibri" w:cs="Calibri"/>
          <w:noProof/>
          <w:szCs w:val="24"/>
        </w:rPr>
        <w:t>(3), 687–695.</w:t>
      </w:r>
    </w:p>
    <w:p w14:paraId="2569DAA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Fang, W.-T., Ng, E., Wang, C.-M., &amp; Hsu, M.-L. (2017). Normative beliefs, attitudes, and social norms: People reduce waste as an index of social relationships when spending leisure time. </w:t>
      </w:r>
      <w:r w:rsidRPr="009A0EF9">
        <w:rPr>
          <w:rFonts w:ascii="Calibri" w:hAnsi="Calibri" w:cs="Calibri"/>
          <w:i/>
          <w:iCs/>
          <w:noProof/>
          <w:szCs w:val="24"/>
        </w:rPr>
        <w:t>Sustainability</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(10), 1696–1714.</w:t>
      </w:r>
    </w:p>
    <w:p w14:paraId="68F6ACA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Far, J. M., &amp; Miller, J. A. (2003). The Small Groups Norms-Challenging Model: Social norms interventions with targeted high-risk groups. In </w:t>
      </w:r>
      <w:r w:rsidRPr="009A0EF9">
        <w:rPr>
          <w:rFonts w:ascii="Calibri" w:hAnsi="Calibri" w:cs="Calibri"/>
          <w:i/>
          <w:iCs/>
          <w:noProof/>
          <w:szCs w:val="24"/>
        </w:rPr>
        <w:t>In H. W. Perkins (Ed.),The social norms approach to preventing school and college age substance abuse: A handbook for educators, counselors, and clinicians</w:t>
      </w:r>
      <w:r w:rsidRPr="009A0EF9">
        <w:rPr>
          <w:rFonts w:ascii="Calibri" w:hAnsi="Calibri" w:cs="Calibri"/>
          <w:noProof/>
          <w:szCs w:val="24"/>
        </w:rPr>
        <w:t xml:space="preserve"> (pp. 111–132). Jossey-Bass/Wiley.</w:t>
      </w:r>
    </w:p>
    <w:p w14:paraId="5A49ACE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Feeney, E. L., O’Brien, S. A., Scannell, A. G. M., Markey, A., &amp; Gibney, E. R. (2014). Genetic and environmental influences on liking and reported intakes of vegetables in Irish children. </w:t>
      </w:r>
      <w:r w:rsidRPr="009A0EF9">
        <w:rPr>
          <w:rFonts w:ascii="Calibri" w:hAnsi="Calibri" w:cs="Calibri"/>
          <w:i/>
          <w:iCs/>
          <w:noProof/>
          <w:szCs w:val="24"/>
        </w:rPr>
        <w:t>Food Quality and Preference</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 253–263.</w:t>
      </w:r>
    </w:p>
    <w:p w14:paraId="5779E80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Field, A. (2013). </w:t>
      </w:r>
      <w:r w:rsidRPr="009A0EF9">
        <w:rPr>
          <w:rFonts w:ascii="Calibri" w:hAnsi="Calibri" w:cs="Calibri"/>
          <w:i/>
          <w:iCs/>
          <w:noProof/>
          <w:szCs w:val="24"/>
        </w:rPr>
        <w:t>Discovering statistics using IBM SPSS statistics</w:t>
      </w:r>
      <w:r w:rsidRPr="009A0EF9">
        <w:rPr>
          <w:rFonts w:ascii="Calibri" w:hAnsi="Calibri" w:cs="Calibri"/>
          <w:noProof/>
          <w:szCs w:val="24"/>
        </w:rPr>
        <w:t>. Sage.</w:t>
      </w:r>
    </w:p>
    <w:p w14:paraId="7AC7993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Flemming, K., Booth, A., Garside, R., Tunçalp, Ö., &amp; Noyes, J. (2019). Qualitative evidence synthesis for complex interventions and guideline development: clarification of the purpose, designs and relevant methods. </w:t>
      </w:r>
      <w:r w:rsidRPr="009A0EF9">
        <w:rPr>
          <w:rFonts w:ascii="Calibri" w:hAnsi="Calibri" w:cs="Calibri"/>
          <w:i/>
          <w:iCs/>
          <w:noProof/>
          <w:szCs w:val="24"/>
        </w:rPr>
        <w:t>BMJ Global Health</w:t>
      </w:r>
      <w:r w:rsidRPr="009A0EF9">
        <w:rPr>
          <w:rFonts w:ascii="Calibri" w:hAnsi="Calibri" w:cs="Calibri"/>
          <w:noProof/>
          <w:szCs w:val="24"/>
        </w:rPr>
        <w:t xml:space="preserve">, </w:t>
      </w:r>
      <w:r w:rsidRPr="009A0EF9">
        <w:rPr>
          <w:rFonts w:ascii="Calibri" w:hAnsi="Calibri" w:cs="Calibri"/>
          <w:i/>
          <w:iCs/>
          <w:noProof/>
          <w:szCs w:val="24"/>
        </w:rPr>
        <w:t>4</w:t>
      </w:r>
      <w:r w:rsidRPr="009A0EF9">
        <w:rPr>
          <w:rFonts w:ascii="Calibri" w:hAnsi="Calibri" w:cs="Calibri"/>
          <w:noProof/>
          <w:szCs w:val="24"/>
        </w:rPr>
        <w:t>(1), e000882.</w:t>
      </w:r>
    </w:p>
    <w:p w14:paraId="564E3ED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Fleurence, R., Selby, J. V, Odom-Walker, K., Hunt, G., Meltzer, D., Slutsky, J. R., &amp; Yancy, C. (2013). How the Patient-Centered Outcomes Research Institute is engaging patients and others in shaping its research agenda. </w:t>
      </w:r>
      <w:r w:rsidRPr="009A0EF9">
        <w:rPr>
          <w:rFonts w:ascii="Calibri" w:hAnsi="Calibri" w:cs="Calibri"/>
          <w:i/>
          <w:iCs/>
          <w:noProof/>
          <w:szCs w:val="24"/>
        </w:rPr>
        <w:t>Health Affairs</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(2), 393–400.</w:t>
      </w:r>
    </w:p>
    <w:p w14:paraId="12CE29E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Flick, Uwe. (2013). </w:t>
      </w:r>
      <w:r w:rsidRPr="009A0EF9">
        <w:rPr>
          <w:rFonts w:ascii="Calibri" w:hAnsi="Calibri" w:cs="Calibri"/>
          <w:i/>
          <w:iCs/>
          <w:noProof/>
          <w:szCs w:val="24"/>
        </w:rPr>
        <w:t>The SAGE handbook of qualitative data analysis</w:t>
      </w:r>
      <w:r w:rsidRPr="009A0EF9">
        <w:rPr>
          <w:rFonts w:ascii="Calibri" w:hAnsi="Calibri" w:cs="Calibri"/>
          <w:noProof/>
          <w:szCs w:val="24"/>
        </w:rPr>
        <w:t>. Sage.</w:t>
      </w:r>
    </w:p>
    <w:p w14:paraId="0A2A74A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Flynn, M. (1997). Fear of fatness and adolescent girls: Implications for obesity prevention. </w:t>
      </w:r>
      <w:r w:rsidRPr="009A0EF9">
        <w:rPr>
          <w:rFonts w:ascii="Calibri" w:hAnsi="Calibri" w:cs="Calibri"/>
          <w:i/>
          <w:iCs/>
          <w:noProof/>
          <w:szCs w:val="24"/>
        </w:rPr>
        <w:t>Proceedings of the Nutrition Society</w:t>
      </w:r>
      <w:r w:rsidRPr="009A0EF9">
        <w:rPr>
          <w:rFonts w:ascii="Calibri" w:hAnsi="Calibri" w:cs="Calibri"/>
          <w:noProof/>
          <w:szCs w:val="24"/>
        </w:rPr>
        <w:t xml:space="preserve">, </w:t>
      </w:r>
      <w:r w:rsidRPr="009A0EF9">
        <w:rPr>
          <w:rFonts w:ascii="Calibri" w:hAnsi="Calibri" w:cs="Calibri"/>
          <w:i/>
          <w:iCs/>
          <w:noProof/>
          <w:szCs w:val="24"/>
        </w:rPr>
        <w:t>56</w:t>
      </w:r>
      <w:r w:rsidRPr="009A0EF9">
        <w:rPr>
          <w:rFonts w:ascii="Calibri" w:hAnsi="Calibri" w:cs="Calibri"/>
          <w:noProof/>
          <w:szCs w:val="24"/>
        </w:rPr>
        <w:t>(1B), 305–317.</w:t>
      </w:r>
    </w:p>
    <w:p w14:paraId="19CA46E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Flynn, M., McNeil, D. A., Maloff, B., Mutasingwa, D., Wu, M., Ford, C., &amp; Tough, S. C. (2006). Reducing obesity and related chronic disease risk in children and youth: a synthesis of evidence </w:t>
      </w:r>
      <w:r w:rsidRPr="009A0EF9">
        <w:rPr>
          <w:rFonts w:ascii="Calibri" w:hAnsi="Calibri" w:cs="Calibri"/>
          <w:noProof/>
          <w:szCs w:val="24"/>
        </w:rPr>
        <w:lastRenderedPageBreak/>
        <w:t xml:space="preserve">with “best practice” recommendations. </w:t>
      </w:r>
      <w:r w:rsidRPr="009A0EF9">
        <w:rPr>
          <w:rFonts w:ascii="Calibri" w:hAnsi="Calibri" w:cs="Calibri"/>
          <w:i/>
          <w:iCs/>
          <w:noProof/>
          <w:szCs w:val="24"/>
        </w:rPr>
        <w:t>Obesity Reviews</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(1), 7–66.</w:t>
      </w:r>
    </w:p>
    <w:p w14:paraId="000E8E5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Foley, B. C., Shrewsbury, V. A., Hardy, L. L., Flood, V. M., Byth, K., &amp; Shah, S. (2017). Evaluation of a peer education program on student leaders’ energy balance-related behaviors. </w:t>
      </w:r>
      <w:r w:rsidRPr="009A0EF9">
        <w:rPr>
          <w:rFonts w:ascii="Calibri" w:hAnsi="Calibri" w:cs="Calibri"/>
          <w:i/>
          <w:iCs/>
          <w:noProof/>
          <w:szCs w:val="24"/>
        </w:rPr>
        <w:t>BMC Public Health</w:t>
      </w:r>
      <w:r w:rsidRPr="009A0EF9">
        <w:rPr>
          <w:rFonts w:ascii="Calibri" w:hAnsi="Calibri" w:cs="Calibri"/>
          <w:noProof/>
          <w:szCs w:val="24"/>
        </w:rPr>
        <w:t xml:space="preserve">, </w:t>
      </w:r>
      <w:r w:rsidRPr="009A0EF9">
        <w:rPr>
          <w:rFonts w:ascii="Calibri" w:hAnsi="Calibri" w:cs="Calibri"/>
          <w:i/>
          <w:iCs/>
          <w:noProof/>
          <w:szCs w:val="24"/>
        </w:rPr>
        <w:t>17</w:t>
      </w:r>
      <w:r w:rsidRPr="009A0EF9">
        <w:rPr>
          <w:rFonts w:ascii="Calibri" w:hAnsi="Calibri" w:cs="Calibri"/>
          <w:noProof/>
          <w:szCs w:val="24"/>
        </w:rPr>
        <w:t>(1), 695.</w:t>
      </w:r>
    </w:p>
    <w:p w14:paraId="49768C1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Forero, R., Nahidi, S., De Costa, J., Mohsin, M., Fitzgerald, G., Gibson, N., McCarthy, S., &amp; Aboagye-Sarfo, P. (2018). Application of four-dimension criteria to assess rigour of qualitative research in emergency medicine. </w:t>
      </w:r>
      <w:r w:rsidRPr="009A0EF9">
        <w:rPr>
          <w:rFonts w:ascii="Calibri" w:hAnsi="Calibri" w:cs="Calibri"/>
          <w:i/>
          <w:iCs/>
          <w:noProof/>
          <w:szCs w:val="24"/>
        </w:rPr>
        <w:t>BMC Health Services Research</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(1), 120.</w:t>
      </w:r>
    </w:p>
    <w:p w14:paraId="63E875C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Foulkes, L., Leung, J. T., Fuhrmann, D., Knoll, L. J., &amp; Blakemore, S. (2018). Age differences in the prosocial influence effect. </w:t>
      </w:r>
      <w:r w:rsidRPr="009A0EF9">
        <w:rPr>
          <w:rFonts w:ascii="Calibri" w:hAnsi="Calibri" w:cs="Calibri"/>
          <w:i/>
          <w:iCs/>
          <w:noProof/>
          <w:szCs w:val="24"/>
        </w:rPr>
        <w:t>Developmental Science</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(6), e12666.</w:t>
      </w:r>
    </w:p>
    <w:p w14:paraId="67FBB96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Gardner, M., &amp; Steinberg, L. (2005). Peer influence on risk taking, risk preference, and risky decision making in adolescence and adulthood: an experimental study. </w:t>
      </w:r>
      <w:r w:rsidRPr="009A0EF9">
        <w:rPr>
          <w:rFonts w:ascii="Calibri" w:hAnsi="Calibri" w:cs="Calibri"/>
          <w:i/>
          <w:iCs/>
          <w:noProof/>
          <w:szCs w:val="24"/>
        </w:rPr>
        <w:t>Developmental Psychology</w:t>
      </w:r>
      <w:r w:rsidRPr="009A0EF9">
        <w:rPr>
          <w:rFonts w:ascii="Calibri" w:hAnsi="Calibri" w:cs="Calibri"/>
          <w:noProof/>
          <w:szCs w:val="24"/>
        </w:rPr>
        <w:t xml:space="preserve">, </w:t>
      </w:r>
      <w:r w:rsidRPr="009A0EF9">
        <w:rPr>
          <w:rFonts w:ascii="Calibri" w:hAnsi="Calibri" w:cs="Calibri"/>
          <w:i/>
          <w:iCs/>
          <w:noProof/>
          <w:szCs w:val="24"/>
        </w:rPr>
        <w:t>41</w:t>
      </w:r>
      <w:r w:rsidRPr="009A0EF9">
        <w:rPr>
          <w:rFonts w:ascii="Calibri" w:hAnsi="Calibri" w:cs="Calibri"/>
          <w:noProof/>
          <w:szCs w:val="24"/>
        </w:rPr>
        <w:t>(4), 625.</w:t>
      </w:r>
    </w:p>
    <w:p w14:paraId="3F0450E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Gatineau, M., &amp; Dent, M. (2011). </w:t>
      </w:r>
      <w:r w:rsidRPr="009A0EF9">
        <w:rPr>
          <w:rFonts w:ascii="Calibri" w:hAnsi="Calibri" w:cs="Calibri"/>
          <w:i/>
          <w:iCs/>
          <w:noProof/>
          <w:szCs w:val="24"/>
        </w:rPr>
        <w:t>Obesity and Mental Health. National Obesity Observatory</w:t>
      </w:r>
      <w:r w:rsidRPr="009A0EF9">
        <w:rPr>
          <w:rFonts w:ascii="Calibri" w:hAnsi="Calibri" w:cs="Calibri"/>
          <w:noProof/>
          <w:szCs w:val="24"/>
        </w:rPr>
        <w:t>. Oxford.</w:t>
      </w:r>
    </w:p>
    <w:p w14:paraId="23A169E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Glaser, B. G., Strauss, A. L., &amp; Strutzel, E. (1967). </w:t>
      </w:r>
      <w:r w:rsidRPr="009A0EF9">
        <w:rPr>
          <w:rFonts w:ascii="Calibri" w:hAnsi="Calibri" w:cs="Calibri"/>
          <w:i/>
          <w:iCs/>
          <w:noProof/>
          <w:szCs w:val="24"/>
        </w:rPr>
        <w:t>The discovery of grounded theory; strategies for qualitative research</w:t>
      </w:r>
      <w:r w:rsidRPr="009A0EF9">
        <w:rPr>
          <w:rFonts w:ascii="Calibri" w:hAnsi="Calibri" w:cs="Calibri"/>
          <w:noProof/>
          <w:szCs w:val="24"/>
        </w:rPr>
        <w:t>. Sociology Press.</w:t>
      </w:r>
    </w:p>
    <w:p w14:paraId="026828D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Goldstein, N. J., Cialdini, R. B., &amp; Griskevicius, V. (2008). A room with a viewpoint: Using social norms to motivate environmental conservation in hotels. </w:t>
      </w:r>
      <w:r w:rsidRPr="009A0EF9">
        <w:rPr>
          <w:rFonts w:ascii="Calibri" w:hAnsi="Calibri" w:cs="Calibri"/>
          <w:i/>
          <w:iCs/>
          <w:noProof/>
          <w:szCs w:val="24"/>
        </w:rPr>
        <w:t>Journal of Consumer Research</w:t>
      </w:r>
      <w:r w:rsidRPr="009A0EF9">
        <w:rPr>
          <w:rFonts w:ascii="Calibri" w:hAnsi="Calibri" w:cs="Calibri"/>
          <w:noProof/>
          <w:szCs w:val="24"/>
        </w:rPr>
        <w:t xml:space="preserve">, </w:t>
      </w:r>
      <w:r w:rsidRPr="009A0EF9">
        <w:rPr>
          <w:rFonts w:ascii="Calibri" w:hAnsi="Calibri" w:cs="Calibri"/>
          <w:i/>
          <w:iCs/>
          <w:noProof/>
          <w:szCs w:val="24"/>
        </w:rPr>
        <w:t>35</w:t>
      </w:r>
      <w:r w:rsidRPr="009A0EF9">
        <w:rPr>
          <w:rFonts w:ascii="Calibri" w:hAnsi="Calibri" w:cs="Calibri"/>
          <w:noProof/>
          <w:szCs w:val="24"/>
        </w:rPr>
        <w:t>(3), 472–482.</w:t>
      </w:r>
    </w:p>
    <w:p w14:paraId="70F3B83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Granfield, R. (2002). Can you believe it? Assessing the credibility of a social norms campaign. In </w:t>
      </w:r>
      <w:r w:rsidRPr="009A0EF9">
        <w:rPr>
          <w:rFonts w:ascii="Calibri" w:hAnsi="Calibri" w:cs="Calibri"/>
          <w:i/>
          <w:iCs/>
          <w:noProof/>
          <w:szCs w:val="24"/>
        </w:rPr>
        <w:t>The Report on Social Norms</w:t>
      </w:r>
      <w:r w:rsidRPr="009A0EF9">
        <w:rPr>
          <w:rFonts w:ascii="Calibri" w:hAnsi="Calibri" w:cs="Calibri"/>
          <w:noProof/>
          <w:szCs w:val="24"/>
        </w:rPr>
        <w:t xml:space="preserve"> (Vol. 2). PaperClip Communications. https://citeseerx.ist.psu.edu/viewdoc/download?doi=10.1.1.602.194&amp;rep=rep1&amp;type=pdf</w:t>
      </w:r>
    </w:p>
    <w:p w14:paraId="50EEF65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Gratton, L., Povey, R., &amp; Clark-Carter, D. (2007). Promoting children’s fruit and vegetable consumption: Interventions using the theory of planned behaviour as a framework. </w:t>
      </w:r>
      <w:r w:rsidRPr="009A0EF9">
        <w:rPr>
          <w:rFonts w:ascii="Calibri" w:hAnsi="Calibri" w:cs="Calibri"/>
          <w:i/>
          <w:iCs/>
          <w:noProof/>
          <w:szCs w:val="24"/>
        </w:rPr>
        <w:t>British Journal of Health Psychology</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(4), 639–650.</w:t>
      </w:r>
    </w:p>
    <w:p w14:paraId="7A6D48C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Greaves, C. J., Sheppard, K. E., Abraham, C., Hardeman, W., Roden, M., Evans, P. H., &amp; Schwarz, P. (2011). Systematic review of reviews of intervention components associated with increased effectiveness in dietary and physical activity interventions. </w:t>
      </w:r>
      <w:r w:rsidRPr="009A0EF9">
        <w:rPr>
          <w:rFonts w:ascii="Calibri" w:hAnsi="Calibri" w:cs="Calibri"/>
          <w:i/>
          <w:iCs/>
          <w:noProof/>
          <w:szCs w:val="24"/>
        </w:rPr>
        <w:t>BMC Public Health</w:t>
      </w:r>
      <w:r w:rsidRPr="009A0EF9">
        <w:rPr>
          <w:rFonts w:ascii="Calibri" w:hAnsi="Calibri" w:cs="Calibri"/>
          <w:noProof/>
          <w:szCs w:val="24"/>
        </w:rPr>
        <w:t xml:space="preserve">, </w:t>
      </w:r>
      <w:r w:rsidRPr="009A0EF9">
        <w:rPr>
          <w:rFonts w:ascii="Calibri" w:hAnsi="Calibri" w:cs="Calibri"/>
          <w:i/>
          <w:iCs/>
          <w:noProof/>
          <w:szCs w:val="24"/>
        </w:rPr>
        <w:t>11</w:t>
      </w:r>
      <w:r w:rsidRPr="009A0EF9">
        <w:rPr>
          <w:rFonts w:ascii="Calibri" w:hAnsi="Calibri" w:cs="Calibri"/>
          <w:noProof/>
          <w:szCs w:val="24"/>
        </w:rPr>
        <w:t>(1), 119.</w:t>
      </w:r>
    </w:p>
    <w:p w14:paraId="4D8E376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Greenhalgh, T., Hinton, L., Finlay, T., Macfarlane, A., Fahy, N., Clyde, B., &amp; Chant, A. (2019). Frameworks for supporting patient and public involvement in research: Systematic review and co‐design pilot. </w:t>
      </w:r>
      <w:r w:rsidRPr="009A0EF9">
        <w:rPr>
          <w:rFonts w:ascii="Calibri" w:hAnsi="Calibri" w:cs="Calibri"/>
          <w:i/>
          <w:iCs/>
          <w:noProof/>
          <w:szCs w:val="24"/>
        </w:rPr>
        <w:t>Health Expectations</w:t>
      </w:r>
      <w:r w:rsidRPr="009A0EF9">
        <w:rPr>
          <w:rFonts w:ascii="Calibri" w:hAnsi="Calibri" w:cs="Calibri"/>
          <w:noProof/>
          <w:szCs w:val="24"/>
        </w:rPr>
        <w:t xml:space="preserve">, </w:t>
      </w:r>
      <w:r w:rsidRPr="009A0EF9">
        <w:rPr>
          <w:rFonts w:ascii="Calibri" w:hAnsi="Calibri" w:cs="Calibri"/>
          <w:i/>
          <w:iCs/>
          <w:noProof/>
          <w:szCs w:val="24"/>
        </w:rPr>
        <w:t>22</w:t>
      </w:r>
      <w:r w:rsidRPr="009A0EF9">
        <w:rPr>
          <w:rFonts w:ascii="Calibri" w:hAnsi="Calibri" w:cs="Calibri"/>
          <w:noProof/>
          <w:szCs w:val="24"/>
        </w:rPr>
        <w:t>(4), 785–801.</w:t>
      </w:r>
    </w:p>
    <w:p w14:paraId="63F0A2A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Gupta, S. K. (2011). Intention-to-treat concept: A review. </w:t>
      </w:r>
      <w:r w:rsidRPr="009A0EF9">
        <w:rPr>
          <w:rFonts w:ascii="Calibri" w:hAnsi="Calibri" w:cs="Calibri"/>
          <w:i/>
          <w:iCs/>
          <w:noProof/>
          <w:szCs w:val="24"/>
        </w:rPr>
        <w:t>Perspectives in Clinical Research</w:t>
      </w:r>
      <w:r w:rsidRPr="009A0EF9">
        <w:rPr>
          <w:rFonts w:ascii="Calibri" w:hAnsi="Calibri" w:cs="Calibri"/>
          <w:noProof/>
          <w:szCs w:val="24"/>
        </w:rPr>
        <w:t xml:space="preserve">, </w:t>
      </w:r>
      <w:r w:rsidRPr="009A0EF9">
        <w:rPr>
          <w:rFonts w:ascii="Calibri" w:hAnsi="Calibri" w:cs="Calibri"/>
          <w:i/>
          <w:iCs/>
          <w:noProof/>
          <w:szCs w:val="24"/>
        </w:rPr>
        <w:t>2</w:t>
      </w:r>
      <w:r w:rsidRPr="009A0EF9">
        <w:rPr>
          <w:rFonts w:ascii="Calibri" w:hAnsi="Calibri" w:cs="Calibri"/>
          <w:noProof/>
          <w:szCs w:val="24"/>
        </w:rPr>
        <w:t>(3), 109–112.</w:t>
      </w:r>
    </w:p>
    <w:p w14:paraId="219D46B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Gupta, S., Kalra, S., Kaushik, J. S., &amp; Gupta, P. (2017). Content of food advertising for young adolescents on television. </w:t>
      </w:r>
      <w:r w:rsidRPr="009A0EF9">
        <w:rPr>
          <w:rFonts w:ascii="Calibri" w:hAnsi="Calibri" w:cs="Calibri"/>
          <w:i/>
          <w:iCs/>
          <w:noProof/>
          <w:szCs w:val="24"/>
        </w:rPr>
        <w:t>Indian Journal of Community Medicine: Official Publication of Indian Association of Preventive &amp; Social Medicine</w:t>
      </w:r>
      <w:r w:rsidRPr="009A0EF9">
        <w:rPr>
          <w:rFonts w:ascii="Calibri" w:hAnsi="Calibri" w:cs="Calibri"/>
          <w:noProof/>
          <w:szCs w:val="24"/>
        </w:rPr>
        <w:t xml:space="preserve">, </w:t>
      </w:r>
      <w:r w:rsidRPr="009A0EF9">
        <w:rPr>
          <w:rFonts w:ascii="Calibri" w:hAnsi="Calibri" w:cs="Calibri"/>
          <w:i/>
          <w:iCs/>
          <w:noProof/>
          <w:szCs w:val="24"/>
        </w:rPr>
        <w:t>42</w:t>
      </w:r>
      <w:r w:rsidRPr="009A0EF9">
        <w:rPr>
          <w:rFonts w:ascii="Calibri" w:hAnsi="Calibri" w:cs="Calibri"/>
          <w:noProof/>
          <w:szCs w:val="24"/>
        </w:rPr>
        <w:t>(1), 43–45.</w:t>
      </w:r>
    </w:p>
    <w:p w14:paraId="29AE0CE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Gupta, V., Khanna, K., &amp; Gupta, R. K. (2018). A study on the street food dimensions and its effects on consumer attitude and behavioural intentions. </w:t>
      </w:r>
      <w:r w:rsidRPr="009A0EF9">
        <w:rPr>
          <w:rFonts w:ascii="Calibri" w:hAnsi="Calibri" w:cs="Calibri"/>
          <w:i/>
          <w:iCs/>
          <w:noProof/>
          <w:szCs w:val="24"/>
        </w:rPr>
        <w:t>Tourism Review</w:t>
      </w:r>
      <w:r w:rsidRPr="009A0EF9">
        <w:rPr>
          <w:rFonts w:ascii="Calibri" w:hAnsi="Calibri" w:cs="Calibri"/>
          <w:noProof/>
          <w:szCs w:val="24"/>
        </w:rPr>
        <w:t xml:space="preserve">, </w:t>
      </w:r>
      <w:r w:rsidRPr="009A0EF9">
        <w:rPr>
          <w:rFonts w:ascii="Calibri" w:hAnsi="Calibri" w:cs="Calibri"/>
          <w:i/>
          <w:iCs/>
          <w:noProof/>
          <w:szCs w:val="24"/>
        </w:rPr>
        <w:t>73</w:t>
      </w:r>
      <w:r w:rsidRPr="009A0EF9">
        <w:rPr>
          <w:rFonts w:ascii="Calibri" w:hAnsi="Calibri" w:cs="Calibri"/>
          <w:noProof/>
          <w:szCs w:val="24"/>
        </w:rPr>
        <w:t>(3), 374–388.</w:t>
      </w:r>
    </w:p>
    <w:p w14:paraId="1532E06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Haerens, L., Deforche, B., Maes, L., Cardon, G., Stevens, V., &amp; De Bourdeaudhuij, I. (2006). Evaluation of a 2-year physical activity and healthy eating intervention in middle school children.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(6), 911–921.</w:t>
      </w:r>
    </w:p>
    <w:p w14:paraId="5BD69B8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Hagell, A., Coleman, J., &amp; Brooks, F. (2013). Key data on adolescence 2013. </w:t>
      </w:r>
      <w:r w:rsidRPr="009A0EF9">
        <w:rPr>
          <w:rFonts w:ascii="Calibri" w:hAnsi="Calibri" w:cs="Calibri"/>
          <w:i/>
          <w:iCs/>
          <w:noProof/>
          <w:szCs w:val="24"/>
        </w:rPr>
        <w:t>London: Association for Young People’s Health</w:t>
      </w:r>
      <w:r w:rsidRPr="009A0EF9">
        <w:rPr>
          <w:rFonts w:ascii="Calibri" w:hAnsi="Calibri" w:cs="Calibri"/>
          <w:noProof/>
          <w:szCs w:val="24"/>
        </w:rPr>
        <w:t>.</w:t>
      </w:r>
    </w:p>
    <w:p w14:paraId="5318EC3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Haines, M. P. (1996). </w:t>
      </w:r>
      <w:r w:rsidRPr="00500F3A">
        <w:rPr>
          <w:rFonts w:ascii="Calibri" w:hAnsi="Calibri" w:cs="Calibri"/>
          <w:i/>
          <w:iCs/>
          <w:noProof/>
          <w:szCs w:val="24"/>
        </w:rPr>
        <w:t xml:space="preserve">A social norms approach to preventing binge drinking at colleges and </w:t>
      </w:r>
      <w:r w:rsidRPr="00500F3A">
        <w:rPr>
          <w:rFonts w:ascii="Calibri" w:hAnsi="Calibri" w:cs="Calibri"/>
          <w:i/>
          <w:iCs/>
          <w:noProof/>
          <w:szCs w:val="24"/>
        </w:rPr>
        <w:lastRenderedPageBreak/>
        <w:t>universities.</w:t>
      </w:r>
      <w:r w:rsidRPr="00500F3A">
        <w:rPr>
          <w:rFonts w:ascii="Calibri" w:hAnsi="Calibri" w:cs="Calibri"/>
          <w:noProof/>
          <w:szCs w:val="24"/>
        </w:rPr>
        <w:t xml:space="preserve"> The Higher Education Center for Alcohol and Other Drug Prevention. https://files.eric.ed.gov/fulltext/ED421930.pdf</w:t>
      </w:r>
    </w:p>
    <w:p w14:paraId="7E2B154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Haines, M. P., Barker, G. P., &amp; Rice, R. (2003). Using social norms to reduce alcohol and tobacco use in two midwestern high schools. In H. W Perkins (Ed.), </w:t>
      </w:r>
      <w:r w:rsidRPr="009A0EF9">
        <w:rPr>
          <w:rFonts w:ascii="Calibri" w:hAnsi="Calibri" w:cs="Calibri"/>
          <w:i/>
          <w:iCs/>
          <w:noProof/>
          <w:szCs w:val="24"/>
        </w:rPr>
        <w:t>The social norms approach to preventing school and college age substance abuse: A handbook for educators, counselors, and clinicians</w:t>
      </w:r>
      <w:r w:rsidRPr="009A0EF9">
        <w:rPr>
          <w:rFonts w:ascii="Calibri" w:hAnsi="Calibri" w:cs="Calibri"/>
          <w:noProof/>
          <w:szCs w:val="24"/>
        </w:rPr>
        <w:t xml:space="preserve"> (pp. 235–244). Jossey-Bass.</w:t>
      </w:r>
    </w:p>
    <w:p w14:paraId="55DD3FE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Haines, M. P., Perkins, H. W., Rice, R. M., &amp; Barker, G. (2005). </w:t>
      </w:r>
      <w:r w:rsidRPr="009A0EF9">
        <w:rPr>
          <w:rFonts w:ascii="Calibri" w:hAnsi="Calibri" w:cs="Calibri"/>
          <w:i/>
          <w:iCs/>
          <w:noProof/>
          <w:szCs w:val="24"/>
        </w:rPr>
        <w:t>A guide to marketing social norms for health promotion in schools and communities</w:t>
      </w:r>
      <w:r w:rsidRPr="009A0EF9">
        <w:rPr>
          <w:rFonts w:ascii="Calibri" w:hAnsi="Calibri" w:cs="Calibri"/>
          <w:noProof/>
          <w:szCs w:val="24"/>
        </w:rPr>
        <w:t>. National Social Norms Resource Center. https://files.eric.ed.gov/fulltext/ED421930.pdf</w:t>
      </w:r>
    </w:p>
    <w:p w14:paraId="23EA6B3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Hammarberg, K., Kirkman, M., &amp; de Lacey, S. (2016). Qualitative research methods: when to use them and how to judge them. </w:t>
      </w:r>
      <w:r w:rsidRPr="009A0EF9">
        <w:rPr>
          <w:rFonts w:ascii="Calibri" w:hAnsi="Calibri" w:cs="Calibri"/>
          <w:i/>
          <w:iCs/>
          <w:noProof/>
          <w:szCs w:val="24"/>
        </w:rPr>
        <w:t>Human Reproduction</w:t>
      </w:r>
      <w:r w:rsidRPr="009A0EF9">
        <w:rPr>
          <w:rFonts w:ascii="Calibri" w:hAnsi="Calibri" w:cs="Calibri"/>
          <w:noProof/>
          <w:szCs w:val="24"/>
        </w:rPr>
        <w:t xml:space="preserve">, </w:t>
      </w:r>
      <w:r w:rsidRPr="009A0EF9">
        <w:rPr>
          <w:rFonts w:ascii="Calibri" w:hAnsi="Calibri" w:cs="Calibri"/>
          <w:i/>
          <w:iCs/>
          <w:noProof/>
          <w:szCs w:val="24"/>
        </w:rPr>
        <w:t>31</w:t>
      </w:r>
      <w:r w:rsidRPr="009A0EF9">
        <w:rPr>
          <w:rFonts w:ascii="Calibri" w:hAnsi="Calibri" w:cs="Calibri"/>
          <w:noProof/>
          <w:szCs w:val="24"/>
        </w:rPr>
        <w:t>(3), 498–501.</w:t>
      </w:r>
    </w:p>
    <w:p w14:paraId="731F3FE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Hang, H., Davies, I., &amp; Schüring, J. (2020). Children’s conformity to social norms to eat healthy: A developmental perspective. </w:t>
      </w:r>
      <w:r w:rsidRPr="009A0EF9">
        <w:rPr>
          <w:rFonts w:ascii="Calibri" w:hAnsi="Calibri" w:cs="Calibri"/>
          <w:i/>
          <w:iCs/>
          <w:noProof/>
          <w:szCs w:val="24"/>
        </w:rPr>
        <w:t>Social Science &amp; Medicine</w:t>
      </w:r>
      <w:r w:rsidRPr="009A0EF9">
        <w:rPr>
          <w:rFonts w:ascii="Calibri" w:hAnsi="Calibri" w:cs="Calibri"/>
          <w:noProof/>
          <w:szCs w:val="24"/>
        </w:rPr>
        <w:t xml:space="preserve">, </w:t>
      </w:r>
      <w:r w:rsidRPr="009A0EF9">
        <w:rPr>
          <w:rFonts w:ascii="Calibri" w:hAnsi="Calibri" w:cs="Calibri"/>
          <w:i/>
          <w:iCs/>
          <w:noProof/>
          <w:szCs w:val="24"/>
        </w:rPr>
        <w:t>244</w:t>
      </w:r>
      <w:r w:rsidRPr="009A0EF9">
        <w:rPr>
          <w:rFonts w:ascii="Calibri" w:hAnsi="Calibri" w:cs="Calibri"/>
          <w:noProof/>
          <w:szCs w:val="24"/>
        </w:rPr>
        <w:t>, 112666.</w:t>
      </w:r>
    </w:p>
    <w:p w14:paraId="10E403A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Haq, M. (2014). </w:t>
      </w:r>
      <w:r w:rsidRPr="009A0EF9">
        <w:rPr>
          <w:rFonts w:ascii="Calibri" w:hAnsi="Calibri" w:cs="Calibri"/>
          <w:i/>
          <w:iCs/>
          <w:noProof/>
          <w:szCs w:val="24"/>
        </w:rPr>
        <w:t xml:space="preserve">A Comparative Analysis of Qualitative and Quantitative Research Methods and a Justification for Adopting Mixed Methods in Social Research [conference paper]. </w:t>
      </w:r>
      <w:r w:rsidRPr="00612D61">
        <w:rPr>
          <w:rFonts w:ascii="Calibri" w:hAnsi="Calibri" w:cs="Calibri"/>
          <w:noProof/>
          <w:szCs w:val="24"/>
        </w:rPr>
        <w:t xml:space="preserve">Annual PhD Conference, University of Bradford School of Management. Bradford, UK. </w:t>
      </w:r>
      <w:r w:rsidRPr="009A0EF9">
        <w:rPr>
          <w:rFonts w:ascii="Calibri" w:hAnsi="Calibri" w:cs="Calibri"/>
          <w:noProof/>
          <w:szCs w:val="24"/>
        </w:rPr>
        <w:t>https://www.academia.edu/19924564/A_Comparative_Analysis_of_Qualitative_and_Quantitative_Research_Methods_and_a_Justification_for_Adopting_Mixed_Methods_in_Social_Research</w:t>
      </w:r>
    </w:p>
    <w:p w14:paraId="166CB2B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Haqq, A. M., Kebbe, M., Tan, Q., Manco, M., &amp; Salas, X. R. (2021). Complexity and Stigma of Pediatric Obesity. </w:t>
      </w:r>
      <w:r w:rsidRPr="00500F3A">
        <w:rPr>
          <w:rFonts w:ascii="Calibri" w:hAnsi="Calibri" w:cs="Calibri"/>
          <w:i/>
          <w:iCs/>
          <w:noProof/>
          <w:szCs w:val="24"/>
        </w:rPr>
        <w:t>Childhood Obesity</w:t>
      </w:r>
      <w:r w:rsidRPr="00500F3A">
        <w:rPr>
          <w:rFonts w:ascii="Calibri" w:hAnsi="Calibri" w:cs="Calibri"/>
          <w:noProof/>
          <w:szCs w:val="24"/>
        </w:rPr>
        <w:t xml:space="preserve">, </w:t>
      </w:r>
      <w:r w:rsidRPr="00500F3A">
        <w:rPr>
          <w:rFonts w:ascii="Calibri" w:hAnsi="Calibri" w:cs="Calibri"/>
          <w:i/>
          <w:iCs/>
          <w:noProof/>
          <w:szCs w:val="24"/>
        </w:rPr>
        <w:t>17</w:t>
      </w:r>
      <w:r w:rsidRPr="00500F3A">
        <w:rPr>
          <w:rFonts w:ascii="Calibri" w:hAnsi="Calibri" w:cs="Calibri"/>
          <w:noProof/>
          <w:szCs w:val="24"/>
        </w:rPr>
        <w:t>(4), 229–240.</w:t>
      </w:r>
    </w:p>
    <w:p w14:paraId="63113E9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Harachi, T. W., Abbott, R. D., Catalano, R. F., Haggerty, K. P., &amp; Fleming, C. B. (1999). Opening the black box: using process evaluation measures to assess implementation and theory building. </w:t>
      </w:r>
      <w:r w:rsidRPr="009A0EF9">
        <w:rPr>
          <w:rFonts w:ascii="Calibri" w:hAnsi="Calibri" w:cs="Calibri"/>
          <w:i/>
          <w:iCs/>
          <w:noProof/>
          <w:szCs w:val="24"/>
        </w:rPr>
        <w:t>American Journal of Community Psychology</w:t>
      </w:r>
      <w:r w:rsidRPr="009A0EF9">
        <w:rPr>
          <w:rFonts w:ascii="Calibri" w:hAnsi="Calibri" w:cs="Calibri"/>
          <w:noProof/>
          <w:szCs w:val="24"/>
        </w:rPr>
        <w:t xml:space="preserve">, </w:t>
      </w:r>
      <w:r w:rsidRPr="009A0EF9">
        <w:rPr>
          <w:rFonts w:ascii="Calibri" w:hAnsi="Calibri" w:cs="Calibri"/>
          <w:i/>
          <w:iCs/>
          <w:noProof/>
          <w:szCs w:val="24"/>
        </w:rPr>
        <w:t>27</w:t>
      </w:r>
      <w:r w:rsidRPr="009A0EF9">
        <w:rPr>
          <w:rFonts w:ascii="Calibri" w:hAnsi="Calibri" w:cs="Calibri"/>
          <w:noProof/>
          <w:szCs w:val="24"/>
        </w:rPr>
        <w:t>(5), 711–731.</w:t>
      </w:r>
    </w:p>
    <w:p w14:paraId="279C245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Harding, G., &amp; Gantley, M. (1998). Qualitative methods: beyond the cookbook. </w:t>
      </w:r>
      <w:r w:rsidRPr="009A0EF9">
        <w:rPr>
          <w:rFonts w:ascii="Calibri" w:hAnsi="Calibri" w:cs="Calibri"/>
          <w:i/>
          <w:iCs/>
          <w:noProof/>
          <w:szCs w:val="24"/>
        </w:rPr>
        <w:t>Family Practice</w:t>
      </w:r>
      <w:r w:rsidRPr="009A0EF9">
        <w:rPr>
          <w:rFonts w:ascii="Calibri" w:hAnsi="Calibri" w:cs="Calibri"/>
          <w:noProof/>
          <w:szCs w:val="24"/>
        </w:rPr>
        <w:t xml:space="preserve">, </w:t>
      </w:r>
      <w:r w:rsidRPr="009A0EF9">
        <w:rPr>
          <w:rFonts w:ascii="Calibri" w:hAnsi="Calibri" w:cs="Calibri"/>
          <w:i/>
          <w:iCs/>
          <w:noProof/>
          <w:szCs w:val="24"/>
        </w:rPr>
        <w:t>15</w:t>
      </w:r>
      <w:r w:rsidRPr="009A0EF9">
        <w:rPr>
          <w:rFonts w:ascii="Calibri" w:hAnsi="Calibri" w:cs="Calibri"/>
          <w:noProof/>
          <w:szCs w:val="24"/>
        </w:rPr>
        <w:t>(1), 76–79.</w:t>
      </w:r>
    </w:p>
    <w:p w14:paraId="2C2A070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Hathaway, R. S. (1995). Assumptions underlying quantitative and qualitative research: Implications for institutional research. </w:t>
      </w:r>
      <w:r w:rsidRPr="009A0EF9">
        <w:rPr>
          <w:rFonts w:ascii="Calibri" w:hAnsi="Calibri" w:cs="Calibri"/>
          <w:i/>
          <w:iCs/>
          <w:noProof/>
          <w:szCs w:val="24"/>
        </w:rPr>
        <w:t>Research in Higher Education</w:t>
      </w:r>
      <w:r w:rsidRPr="009A0EF9">
        <w:rPr>
          <w:rFonts w:ascii="Calibri" w:hAnsi="Calibri" w:cs="Calibri"/>
          <w:noProof/>
          <w:szCs w:val="24"/>
        </w:rPr>
        <w:t xml:space="preserve">, </w:t>
      </w:r>
      <w:r w:rsidRPr="009A0EF9">
        <w:rPr>
          <w:rFonts w:ascii="Calibri" w:hAnsi="Calibri" w:cs="Calibri"/>
          <w:i/>
          <w:iCs/>
          <w:noProof/>
          <w:szCs w:val="24"/>
        </w:rPr>
        <w:t>36</w:t>
      </w:r>
      <w:r w:rsidRPr="009A0EF9">
        <w:rPr>
          <w:rFonts w:ascii="Calibri" w:hAnsi="Calibri" w:cs="Calibri"/>
          <w:noProof/>
          <w:szCs w:val="24"/>
        </w:rPr>
        <w:t>(5), 535–562.</w:t>
      </w:r>
    </w:p>
    <w:p w14:paraId="635B611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Hayes, A. F., &amp; Preacher, K. J. (2013). Conditional process modeling: Using structural equation modeling to examine contingent causal processes. In G. R. Hancock &amp; R. O. Mueller (Ed.), </w:t>
      </w:r>
      <w:r w:rsidRPr="009A0EF9">
        <w:rPr>
          <w:rFonts w:ascii="Calibri" w:hAnsi="Calibri" w:cs="Calibri"/>
          <w:i/>
          <w:iCs/>
          <w:noProof/>
          <w:szCs w:val="24"/>
        </w:rPr>
        <w:t>Quantitative methods in education and the behavioral sciences: Issues, research, and teaching. Structural equation modeling: A second course.</w:t>
      </w:r>
      <w:r w:rsidRPr="009A0EF9">
        <w:rPr>
          <w:rFonts w:ascii="Calibri" w:hAnsi="Calibri" w:cs="Calibri"/>
          <w:noProof/>
          <w:szCs w:val="24"/>
        </w:rPr>
        <w:t xml:space="preserve"> (pp. 219–266). IAP Information Age Publishing.</w:t>
      </w:r>
    </w:p>
    <w:p w14:paraId="43A8A43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Haynes, K. (2012). Reflexivity in qualitative research. In G. Symon &amp; C. Cessell (Eds.), </w:t>
      </w:r>
      <w:r w:rsidRPr="009A0EF9">
        <w:rPr>
          <w:rFonts w:ascii="Calibri" w:hAnsi="Calibri" w:cs="Calibri"/>
          <w:i/>
          <w:iCs/>
          <w:noProof/>
          <w:szCs w:val="24"/>
        </w:rPr>
        <w:t>Qualitative organizational research: Core methods and current challenges</w:t>
      </w:r>
      <w:r w:rsidRPr="009A0EF9">
        <w:rPr>
          <w:rFonts w:ascii="Calibri" w:hAnsi="Calibri" w:cs="Calibri"/>
          <w:noProof/>
          <w:szCs w:val="24"/>
        </w:rPr>
        <w:t xml:space="preserve"> (pp. 72–89).</w:t>
      </w:r>
    </w:p>
    <w:p w14:paraId="37B1C62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Hearty, A. P., McCarthy, S. N., Kearney, J. M., &amp; Gibney, M. J. (2007). Relationship between attitudes towards healthy eating and dietary behaviour, lifestyle and demographic factors in a representative sample of Irish adults.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48</w:t>
      </w:r>
      <w:r w:rsidRPr="009A0EF9">
        <w:rPr>
          <w:rFonts w:ascii="Calibri" w:hAnsi="Calibri" w:cs="Calibri"/>
          <w:noProof/>
          <w:szCs w:val="24"/>
        </w:rPr>
        <w:t>(1), 1–11.</w:t>
      </w:r>
    </w:p>
    <w:p w14:paraId="3A0B81A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Hechter, M., &amp; Opp, K.-D. (2001). </w:t>
      </w:r>
      <w:r w:rsidRPr="009A0EF9">
        <w:rPr>
          <w:rFonts w:ascii="Calibri" w:hAnsi="Calibri" w:cs="Calibri"/>
          <w:i/>
          <w:iCs/>
          <w:noProof/>
          <w:szCs w:val="24"/>
        </w:rPr>
        <w:t>Social norms</w:t>
      </w:r>
      <w:r w:rsidRPr="009A0EF9">
        <w:rPr>
          <w:rFonts w:ascii="Calibri" w:hAnsi="Calibri" w:cs="Calibri"/>
          <w:noProof/>
          <w:szCs w:val="24"/>
        </w:rPr>
        <w:t>. Russell Sage Foundation.</w:t>
      </w:r>
    </w:p>
    <w:p w14:paraId="667A12C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Heinsch, M., Agllias, K., Sampson, D., Howard, A., Blakemore, T., &amp; Cootes, H. (2020). Peer connectedness during the transition to secondary school: a collaborative opportunity for education and social work. </w:t>
      </w:r>
      <w:r w:rsidRPr="009A0EF9">
        <w:rPr>
          <w:rFonts w:ascii="Calibri" w:hAnsi="Calibri" w:cs="Calibri"/>
          <w:i/>
          <w:iCs/>
          <w:noProof/>
          <w:szCs w:val="24"/>
        </w:rPr>
        <w:t>The Australian Educational Researcher</w:t>
      </w:r>
      <w:r w:rsidRPr="009A0EF9">
        <w:rPr>
          <w:rFonts w:ascii="Calibri" w:hAnsi="Calibri" w:cs="Calibri"/>
          <w:noProof/>
          <w:szCs w:val="24"/>
        </w:rPr>
        <w:t xml:space="preserve">, </w:t>
      </w:r>
      <w:r w:rsidRPr="009A0EF9">
        <w:rPr>
          <w:rFonts w:ascii="Calibri" w:hAnsi="Calibri" w:cs="Calibri"/>
          <w:i/>
          <w:iCs/>
          <w:noProof/>
          <w:szCs w:val="24"/>
        </w:rPr>
        <w:t>47</w:t>
      </w:r>
      <w:r w:rsidRPr="009A0EF9">
        <w:rPr>
          <w:rFonts w:ascii="Calibri" w:hAnsi="Calibri" w:cs="Calibri"/>
          <w:noProof/>
          <w:szCs w:val="24"/>
        </w:rPr>
        <w:t>(2), 339–356.</w:t>
      </w:r>
    </w:p>
    <w:p w14:paraId="742F22B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Helmer, S M, Pischke, C. R., Van Hal, G., Vriesacker, B., Dempsey, R. C., Akvardar, Y., Guillen-Grima, F., Salonna, F., Stock, C., &amp; Zeeb, H. (2016). Personal and perceived peer use and attitudes towards the use of nonmedical prescription stimulants to improve academic performance </w:t>
      </w:r>
      <w:r w:rsidRPr="009A0EF9">
        <w:rPr>
          <w:rFonts w:ascii="Calibri" w:hAnsi="Calibri" w:cs="Calibri"/>
          <w:noProof/>
          <w:szCs w:val="24"/>
        </w:rPr>
        <w:lastRenderedPageBreak/>
        <w:t xml:space="preserve">among university students in seven European countries. </w:t>
      </w:r>
      <w:r w:rsidRPr="009A0EF9">
        <w:rPr>
          <w:rFonts w:ascii="Calibri" w:hAnsi="Calibri" w:cs="Calibri"/>
          <w:i/>
          <w:iCs/>
          <w:noProof/>
          <w:szCs w:val="24"/>
        </w:rPr>
        <w:t>Drug and Alcohol Dependence</w:t>
      </w:r>
      <w:r w:rsidRPr="009A0EF9">
        <w:rPr>
          <w:rFonts w:ascii="Calibri" w:hAnsi="Calibri" w:cs="Calibri"/>
          <w:noProof/>
          <w:szCs w:val="24"/>
        </w:rPr>
        <w:t xml:space="preserve">, </w:t>
      </w:r>
      <w:r w:rsidRPr="009A0EF9">
        <w:rPr>
          <w:rFonts w:ascii="Calibri" w:hAnsi="Calibri" w:cs="Calibri"/>
          <w:i/>
          <w:iCs/>
          <w:noProof/>
          <w:szCs w:val="24"/>
        </w:rPr>
        <w:t>168</w:t>
      </w:r>
      <w:r w:rsidRPr="009A0EF9">
        <w:rPr>
          <w:rFonts w:ascii="Calibri" w:hAnsi="Calibri" w:cs="Calibri"/>
          <w:noProof/>
          <w:szCs w:val="24"/>
        </w:rPr>
        <w:t>(1), 128–134.</w:t>
      </w:r>
    </w:p>
    <w:p w14:paraId="4F54098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Helmer, Stefanie M, Mikolajczyk, R. T., McAlaney, J., Vriesacker, B., Van Hal, G., Akvardar, Y., Guillen-Grima, F., Salonna, F., Stock, C., &amp; Dempsey, R. C. (2014). Illicit substance use among university students from seven European countries: A comparison of personal and perceived peer use and attitudes towards illicit substance use. </w:t>
      </w:r>
      <w:r w:rsidRPr="009A0EF9">
        <w:rPr>
          <w:rFonts w:ascii="Calibri" w:hAnsi="Calibri" w:cs="Calibri"/>
          <w:i/>
          <w:iCs/>
          <w:noProof/>
          <w:szCs w:val="24"/>
        </w:rPr>
        <w:t>Preventive Medicine</w:t>
      </w:r>
      <w:r w:rsidRPr="009A0EF9">
        <w:rPr>
          <w:rFonts w:ascii="Calibri" w:hAnsi="Calibri" w:cs="Calibri"/>
          <w:noProof/>
          <w:szCs w:val="24"/>
        </w:rPr>
        <w:t xml:space="preserve">, </w:t>
      </w:r>
      <w:r w:rsidRPr="009A0EF9">
        <w:rPr>
          <w:rFonts w:ascii="Calibri" w:hAnsi="Calibri" w:cs="Calibri"/>
          <w:i/>
          <w:iCs/>
          <w:noProof/>
          <w:szCs w:val="24"/>
        </w:rPr>
        <w:t>67</w:t>
      </w:r>
      <w:r w:rsidRPr="009A0EF9">
        <w:rPr>
          <w:rFonts w:ascii="Calibri" w:hAnsi="Calibri" w:cs="Calibri"/>
          <w:noProof/>
          <w:szCs w:val="24"/>
        </w:rPr>
        <w:t>, 204–209.</w:t>
      </w:r>
    </w:p>
    <w:p w14:paraId="65FE05F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Hess, J. M., Jonnalagadda, S. S., &amp; Slavin, J. L. (2016). What is a snack, why do we snack, and how can we choose better snacks? A review of the definitions of snacking, motivations to snack, contributions to dietary intake, and recommendations for improvement. </w:t>
      </w:r>
      <w:r w:rsidRPr="009A0EF9">
        <w:rPr>
          <w:rFonts w:ascii="Calibri" w:hAnsi="Calibri" w:cs="Calibri"/>
          <w:i/>
          <w:iCs/>
          <w:noProof/>
          <w:szCs w:val="24"/>
        </w:rPr>
        <w:t>Advances in Nutrition</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(3), 466–475.</w:t>
      </w:r>
    </w:p>
    <w:p w14:paraId="5D37959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Higgins, J., &amp; Altman, D. G. (2008). Assessing risk of bias in included studies. </w:t>
      </w:r>
      <w:r w:rsidRPr="009A0EF9">
        <w:rPr>
          <w:rFonts w:ascii="Calibri" w:hAnsi="Calibri" w:cs="Calibri"/>
          <w:i/>
          <w:iCs/>
          <w:noProof/>
          <w:szCs w:val="24"/>
        </w:rPr>
        <w:t>Cochrane Handbook for Systematic Reviews of Interventions: Cochrane Book Series</w:t>
      </w:r>
      <w:r w:rsidRPr="009A0EF9">
        <w:rPr>
          <w:rFonts w:ascii="Calibri" w:hAnsi="Calibri" w:cs="Calibri"/>
          <w:noProof/>
          <w:szCs w:val="24"/>
        </w:rPr>
        <w:t>, 187–241.</w:t>
      </w:r>
    </w:p>
    <w:p w14:paraId="3873B3C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Hitt, R., &amp; Massi Lindsey, L. L. (2020). Military Members’ Perceptions of Social Norms About Mental Health for Combat Stress. </w:t>
      </w:r>
      <w:r w:rsidRPr="009A0EF9">
        <w:rPr>
          <w:rFonts w:ascii="Calibri" w:hAnsi="Calibri" w:cs="Calibri"/>
          <w:i/>
          <w:iCs/>
          <w:noProof/>
          <w:szCs w:val="24"/>
        </w:rPr>
        <w:t>Military Behavioral Health</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(2), 181–190.</w:t>
      </w:r>
    </w:p>
    <w:p w14:paraId="49C4A9E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Hoelscher, D. M., Kirk, S., Ritchie, L., &amp; Cunningham-Sabo, L. (2013). Position of the Academy of Nutrition and Dietetics: Interventions for the Prevention and Treatment of Pediatric Overweight and Obesity. </w:t>
      </w:r>
      <w:r w:rsidRPr="009A0EF9">
        <w:rPr>
          <w:rFonts w:ascii="Calibri" w:hAnsi="Calibri" w:cs="Calibri"/>
          <w:i/>
          <w:iCs/>
          <w:noProof/>
          <w:szCs w:val="24"/>
        </w:rPr>
        <w:t>Journal of the Academy of Nutrition and Dietetics</w:t>
      </w:r>
      <w:r w:rsidRPr="009A0EF9">
        <w:rPr>
          <w:rFonts w:ascii="Calibri" w:hAnsi="Calibri" w:cs="Calibri"/>
          <w:noProof/>
          <w:szCs w:val="24"/>
        </w:rPr>
        <w:t xml:space="preserve">, </w:t>
      </w:r>
      <w:r w:rsidRPr="009A0EF9">
        <w:rPr>
          <w:rFonts w:ascii="Calibri" w:hAnsi="Calibri" w:cs="Calibri"/>
          <w:i/>
          <w:iCs/>
          <w:noProof/>
          <w:szCs w:val="24"/>
        </w:rPr>
        <w:t>113</w:t>
      </w:r>
      <w:r w:rsidRPr="009A0EF9">
        <w:rPr>
          <w:rFonts w:ascii="Calibri" w:hAnsi="Calibri" w:cs="Calibri"/>
          <w:noProof/>
          <w:szCs w:val="24"/>
        </w:rPr>
        <w:t>(10), 1375–1394.</w:t>
      </w:r>
    </w:p>
    <w:p w14:paraId="18B760E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Hoelscher, D. M., Moag-Stahlberg, A., Ellis, K., Vandewater, E. A., &amp; Malkani, R. (2016). Evaluation of a student participatory, low-intensity program to improve school wellness environment and students’ eating and activity behaviors. </w:t>
      </w:r>
      <w:r w:rsidRPr="009A0EF9">
        <w:rPr>
          <w:rFonts w:ascii="Calibri" w:hAnsi="Calibri" w:cs="Calibri"/>
          <w:i/>
          <w:iCs/>
          <w:noProof/>
          <w:szCs w:val="24"/>
        </w:rPr>
        <w:t>The 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 59–68.</w:t>
      </w:r>
    </w:p>
    <w:p w14:paraId="4E0E6C0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Hogg, M. A., &amp; Reid, S. A. (2006). Social Identity, Self-Categorization, and the Communication of Group Norms. </w:t>
      </w:r>
      <w:r w:rsidRPr="009A0EF9">
        <w:rPr>
          <w:rFonts w:ascii="Calibri" w:hAnsi="Calibri" w:cs="Calibri"/>
          <w:i/>
          <w:iCs/>
          <w:noProof/>
          <w:szCs w:val="24"/>
        </w:rPr>
        <w:t>Communication Theory</w:t>
      </w:r>
      <w:r w:rsidRPr="009A0EF9">
        <w:rPr>
          <w:rFonts w:ascii="Calibri" w:hAnsi="Calibri" w:cs="Calibri"/>
          <w:noProof/>
          <w:szCs w:val="24"/>
        </w:rPr>
        <w:t xml:space="preserve">, </w:t>
      </w:r>
      <w:r w:rsidRPr="009A0EF9">
        <w:rPr>
          <w:rFonts w:ascii="Calibri" w:hAnsi="Calibri" w:cs="Calibri"/>
          <w:i/>
          <w:iCs/>
          <w:noProof/>
          <w:szCs w:val="24"/>
        </w:rPr>
        <w:t>16</w:t>
      </w:r>
      <w:r w:rsidRPr="009A0EF9">
        <w:rPr>
          <w:rFonts w:ascii="Calibri" w:hAnsi="Calibri" w:cs="Calibri"/>
          <w:noProof/>
          <w:szCs w:val="24"/>
        </w:rPr>
        <w:t>(1), 7–30.</w:t>
      </w:r>
    </w:p>
    <w:p w14:paraId="1A52C25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Hölund, U. (1990). Promoting change of adolescents’ sugar consumption: The “learning by teaching” study.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5</w:t>
      </w:r>
      <w:r w:rsidRPr="009A0EF9">
        <w:rPr>
          <w:rFonts w:ascii="Calibri" w:hAnsi="Calibri" w:cs="Calibri"/>
          <w:noProof/>
          <w:szCs w:val="24"/>
        </w:rPr>
        <w:t>(4), 451–458.</w:t>
      </w:r>
    </w:p>
    <w:p w14:paraId="73F5C11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Hughes, J. N. (2003). Commentary: Participatory action research leads to sustainable school and community improvement. </w:t>
      </w:r>
      <w:r w:rsidRPr="009A0EF9">
        <w:rPr>
          <w:rFonts w:ascii="Calibri" w:hAnsi="Calibri" w:cs="Calibri"/>
          <w:i/>
          <w:iCs/>
          <w:noProof/>
          <w:szCs w:val="24"/>
        </w:rPr>
        <w:t>School Psychology Review</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(1), 38–43.</w:t>
      </w:r>
    </w:p>
    <w:p w14:paraId="35FC9DF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Hummer, J. F., LaBrie, J. W., Lac, A., Sessoms, A., &amp; Cail, J. (2012). Estimates and influences of reflective opposite-sex norms on alcohol use among a high-risk sample of college students: Exploring Greek-affiliation and gender effects. </w:t>
      </w:r>
      <w:r w:rsidRPr="009A0EF9">
        <w:rPr>
          <w:rFonts w:ascii="Calibri" w:hAnsi="Calibri" w:cs="Calibri"/>
          <w:i/>
          <w:iCs/>
          <w:noProof/>
          <w:szCs w:val="24"/>
        </w:rPr>
        <w:t>Addictive Behaviors</w:t>
      </w:r>
      <w:r w:rsidRPr="009A0EF9">
        <w:rPr>
          <w:rFonts w:ascii="Calibri" w:hAnsi="Calibri" w:cs="Calibri"/>
          <w:noProof/>
          <w:szCs w:val="24"/>
        </w:rPr>
        <w:t xml:space="preserve">, </w:t>
      </w:r>
      <w:r w:rsidRPr="009A0EF9">
        <w:rPr>
          <w:rFonts w:ascii="Calibri" w:hAnsi="Calibri" w:cs="Calibri"/>
          <w:i/>
          <w:iCs/>
          <w:noProof/>
          <w:szCs w:val="24"/>
        </w:rPr>
        <w:t>37</w:t>
      </w:r>
      <w:r w:rsidRPr="009A0EF9">
        <w:rPr>
          <w:rFonts w:ascii="Calibri" w:hAnsi="Calibri" w:cs="Calibri"/>
          <w:noProof/>
          <w:szCs w:val="24"/>
        </w:rPr>
        <w:t>(5), 596–604.</w:t>
      </w:r>
    </w:p>
    <w:p w14:paraId="3745D3A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IBM SPSS Statistics. (2020). In </w:t>
      </w:r>
      <w:r w:rsidRPr="009A0EF9">
        <w:rPr>
          <w:rFonts w:ascii="Calibri" w:hAnsi="Calibri" w:cs="Calibri"/>
          <w:i/>
          <w:iCs/>
          <w:noProof/>
          <w:szCs w:val="24"/>
        </w:rPr>
        <w:t>IBM corp</w:t>
      </w:r>
      <w:r w:rsidRPr="009A0EF9">
        <w:rPr>
          <w:rFonts w:ascii="Calibri" w:hAnsi="Calibri" w:cs="Calibri"/>
          <w:noProof/>
          <w:szCs w:val="24"/>
        </w:rPr>
        <w:t xml:space="preserve"> (No. 27).</w:t>
      </w:r>
    </w:p>
    <w:p w14:paraId="0CD5278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Ipsos, M. (2014). </w:t>
      </w:r>
      <w:r w:rsidRPr="009A0EF9">
        <w:rPr>
          <w:rFonts w:ascii="Calibri" w:hAnsi="Calibri" w:cs="Calibri"/>
          <w:i/>
          <w:iCs/>
          <w:noProof/>
          <w:szCs w:val="24"/>
        </w:rPr>
        <w:t>Health and Wellbeing of 15 year olds in England: Smoking prevalence–findings from the What About YOUth</w:t>
      </w:r>
      <w:r w:rsidRPr="009A0EF9">
        <w:rPr>
          <w:rFonts w:ascii="Calibri" w:hAnsi="Calibri" w:cs="Calibri"/>
          <w:noProof/>
          <w:szCs w:val="24"/>
        </w:rPr>
        <w:t>. Survey. https://data.london.gov.uk/dataset/health-and-wellbeing-of-15-year-olds--what-about-youth-survey---borough</w:t>
      </w:r>
    </w:p>
    <w:p w14:paraId="685A1D9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Ivankova, N. V, Creswell, J. W., &amp; Stick, S. L. (2006). Using mixed-methods sequential explanatory design: From theory to practice. </w:t>
      </w:r>
      <w:r w:rsidRPr="009A0EF9">
        <w:rPr>
          <w:rFonts w:ascii="Calibri" w:hAnsi="Calibri" w:cs="Calibri"/>
          <w:i/>
          <w:iCs/>
          <w:noProof/>
          <w:szCs w:val="24"/>
        </w:rPr>
        <w:t>Field Methods</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(1), 3–20.</w:t>
      </w:r>
    </w:p>
    <w:p w14:paraId="642D0E0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Jackson, C., Smith, R. A., &amp; Conner, M. (2003). Applying an extended version of the theory of planned behaviour to physical activity. </w:t>
      </w:r>
      <w:r w:rsidRPr="009A0EF9">
        <w:rPr>
          <w:rFonts w:ascii="Calibri" w:hAnsi="Calibri" w:cs="Calibri"/>
          <w:i/>
          <w:iCs/>
          <w:noProof/>
          <w:szCs w:val="24"/>
        </w:rPr>
        <w:t>Journal of Sports Sciences</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(2), 119–133.</w:t>
      </w:r>
    </w:p>
    <w:p w14:paraId="2F7F1D6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Jacobson, R. P., Mortensen, C. R., &amp; Cialdini, R. B. (2011). Bodies obliged and unbound: Differentiated response tendencies for injunctive and descriptive social norms. </w:t>
      </w:r>
      <w:r w:rsidRPr="009A0EF9">
        <w:rPr>
          <w:rFonts w:ascii="Calibri" w:hAnsi="Calibri" w:cs="Calibri"/>
          <w:i/>
          <w:iCs/>
          <w:noProof/>
          <w:szCs w:val="24"/>
        </w:rPr>
        <w:t>Journal of Personality and Social Psychology</w:t>
      </w:r>
      <w:r w:rsidRPr="009A0EF9">
        <w:rPr>
          <w:rFonts w:ascii="Calibri" w:hAnsi="Calibri" w:cs="Calibri"/>
          <w:noProof/>
          <w:szCs w:val="24"/>
        </w:rPr>
        <w:t xml:space="preserve">, </w:t>
      </w:r>
      <w:r w:rsidRPr="009A0EF9">
        <w:rPr>
          <w:rFonts w:ascii="Calibri" w:hAnsi="Calibri" w:cs="Calibri"/>
          <w:i/>
          <w:iCs/>
          <w:noProof/>
          <w:szCs w:val="24"/>
        </w:rPr>
        <w:t>100</w:t>
      </w:r>
      <w:r w:rsidRPr="009A0EF9">
        <w:rPr>
          <w:rFonts w:ascii="Calibri" w:hAnsi="Calibri" w:cs="Calibri"/>
          <w:noProof/>
          <w:szCs w:val="24"/>
        </w:rPr>
        <w:t>(3), 433.</w:t>
      </w:r>
    </w:p>
    <w:p w14:paraId="3A978E2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James, J., &amp; Kerr, D. (2005). Prevention of childhood obesity by reducing soft drinks. </w:t>
      </w:r>
      <w:r w:rsidRPr="009A0EF9">
        <w:rPr>
          <w:rFonts w:ascii="Calibri" w:hAnsi="Calibri" w:cs="Calibri"/>
          <w:i/>
          <w:iCs/>
          <w:noProof/>
          <w:szCs w:val="24"/>
        </w:rPr>
        <w:t>International Journal of Obesity</w:t>
      </w:r>
      <w:r w:rsidRPr="009A0EF9">
        <w:rPr>
          <w:rFonts w:ascii="Calibri" w:hAnsi="Calibri" w:cs="Calibri"/>
          <w:noProof/>
          <w:szCs w:val="24"/>
        </w:rPr>
        <w:t xml:space="preserve">, </w:t>
      </w:r>
      <w:r w:rsidRPr="009A0EF9">
        <w:rPr>
          <w:rFonts w:ascii="Calibri" w:hAnsi="Calibri" w:cs="Calibri"/>
          <w:i/>
          <w:iCs/>
          <w:noProof/>
          <w:szCs w:val="24"/>
        </w:rPr>
        <w:t>29</w:t>
      </w:r>
      <w:r w:rsidRPr="009A0EF9">
        <w:rPr>
          <w:rFonts w:ascii="Calibri" w:hAnsi="Calibri" w:cs="Calibri"/>
          <w:noProof/>
          <w:szCs w:val="24"/>
        </w:rPr>
        <w:t>(2), 54–57.</w:t>
      </w:r>
    </w:p>
    <w:p w14:paraId="6335153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Jebb, S. A., Rennie, K. L., &amp; Cole, T. J. (2004). Prevalence of overweight and obesity among young people in Great Britain. </w:t>
      </w:r>
      <w:r w:rsidRPr="009A0EF9">
        <w:rPr>
          <w:rFonts w:ascii="Calibri" w:hAnsi="Calibri" w:cs="Calibri"/>
          <w:i/>
          <w:iCs/>
          <w:noProof/>
          <w:szCs w:val="24"/>
        </w:rPr>
        <w:t>Public Health Nutrition</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(3), 461–465.</w:t>
      </w:r>
    </w:p>
    <w:p w14:paraId="067B5E1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Jelalian, E., &amp; Evans, E. W. (2017). Behavioral intervention in the treatment of obesity in children and adolescents: implications for Mexico. </w:t>
      </w:r>
      <w:r w:rsidRPr="009A0EF9">
        <w:rPr>
          <w:rFonts w:ascii="Calibri" w:hAnsi="Calibri" w:cs="Calibri"/>
          <w:i/>
          <w:iCs/>
          <w:noProof/>
          <w:szCs w:val="24"/>
        </w:rPr>
        <w:t>Nutrition Reviews</w:t>
      </w:r>
      <w:r w:rsidRPr="009A0EF9">
        <w:rPr>
          <w:rFonts w:ascii="Calibri" w:hAnsi="Calibri" w:cs="Calibri"/>
          <w:noProof/>
          <w:szCs w:val="24"/>
        </w:rPr>
        <w:t xml:space="preserve">, </w:t>
      </w:r>
      <w:r w:rsidRPr="009A0EF9">
        <w:rPr>
          <w:rFonts w:ascii="Calibri" w:hAnsi="Calibri" w:cs="Calibri"/>
          <w:i/>
          <w:iCs/>
          <w:noProof/>
          <w:szCs w:val="24"/>
        </w:rPr>
        <w:t>75</w:t>
      </w:r>
      <w:r w:rsidRPr="009A0EF9">
        <w:rPr>
          <w:rFonts w:ascii="Calibri" w:hAnsi="Calibri" w:cs="Calibri"/>
          <w:noProof/>
          <w:szCs w:val="24"/>
        </w:rPr>
        <w:t>, 79–84.</w:t>
      </w:r>
    </w:p>
    <w:p w14:paraId="45D51E9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Jensen, B. W., Nichols, M., Allender, S., de Silva‐Sanigorski, A., Millar, L., Kremer, P., Lacy, K., &amp; Swinburn, B. (2013). Inconsistent associations between sweet drink intake and 2‐year change in BMI among Victorian children and adolescents. </w:t>
      </w:r>
      <w:r w:rsidRPr="009A0EF9">
        <w:rPr>
          <w:rFonts w:ascii="Calibri" w:hAnsi="Calibri" w:cs="Calibri"/>
          <w:i/>
          <w:iCs/>
          <w:noProof/>
          <w:szCs w:val="24"/>
        </w:rPr>
        <w:t>Pediatric Obesity</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(4), 271–283.</w:t>
      </w:r>
    </w:p>
    <w:p w14:paraId="1C02CA2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Jepson, R., Platt, S., &amp; Cox, J. (2006). </w:t>
      </w:r>
      <w:r w:rsidRPr="009A0EF9">
        <w:rPr>
          <w:rFonts w:ascii="Calibri" w:hAnsi="Calibri" w:cs="Calibri"/>
          <w:i/>
          <w:iCs/>
          <w:noProof/>
          <w:szCs w:val="24"/>
        </w:rPr>
        <w:t>A review of the effectiveness of interventions, approaches and models at individual, community and population level that are aimed at changing health outcomes through changing knowledge, attitudes and behaviour</w:t>
      </w:r>
      <w:r w:rsidRPr="009A0EF9">
        <w:rPr>
          <w:rFonts w:ascii="Calibri" w:hAnsi="Calibri" w:cs="Calibri"/>
          <w:noProof/>
          <w:szCs w:val="24"/>
        </w:rPr>
        <w:t xml:space="preserve"> (Issue May). https://www.nice.org.uk/guidance/ph6/evidence/behaviour-change-review-1-effectiveness-review-pdf-369664525</w:t>
      </w:r>
    </w:p>
    <w:p w14:paraId="3212822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John, J. H., &amp; Ziebland, S. (2004). Reported barriers to eating more fruit and vegetables before and after participation in a randomized controlled trial: A qualitative study.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19</w:t>
      </w:r>
      <w:r w:rsidRPr="009A0EF9">
        <w:rPr>
          <w:rFonts w:ascii="Calibri" w:hAnsi="Calibri" w:cs="Calibri"/>
          <w:noProof/>
          <w:szCs w:val="24"/>
        </w:rPr>
        <w:t>(2), 165–174.</w:t>
      </w:r>
    </w:p>
    <w:p w14:paraId="0B17E44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Johns, D. J., Hartmann-Boyce, J., Jebb, S. A., &amp; Aveyard, P. (2014). Diet or Exercise Interventions vs Combined Behavioral Weight Management Programs: A Systematic Review and Meta-Analysis of Direct Comparisons. </w:t>
      </w:r>
      <w:r w:rsidRPr="009A0EF9">
        <w:rPr>
          <w:rFonts w:ascii="Calibri" w:hAnsi="Calibri" w:cs="Calibri"/>
          <w:i/>
          <w:iCs/>
          <w:noProof/>
          <w:szCs w:val="24"/>
        </w:rPr>
        <w:t>Journal of the Academy of Nutrition and Dietetics</w:t>
      </w:r>
      <w:r w:rsidRPr="009A0EF9">
        <w:rPr>
          <w:rFonts w:ascii="Calibri" w:hAnsi="Calibri" w:cs="Calibri"/>
          <w:noProof/>
          <w:szCs w:val="24"/>
        </w:rPr>
        <w:t xml:space="preserve">, </w:t>
      </w:r>
      <w:r w:rsidRPr="009A0EF9">
        <w:rPr>
          <w:rFonts w:ascii="Calibri" w:hAnsi="Calibri" w:cs="Calibri"/>
          <w:i/>
          <w:iCs/>
          <w:noProof/>
          <w:szCs w:val="24"/>
        </w:rPr>
        <w:t>114</w:t>
      </w:r>
      <w:r w:rsidRPr="009A0EF9">
        <w:rPr>
          <w:rFonts w:ascii="Calibri" w:hAnsi="Calibri" w:cs="Calibri"/>
          <w:noProof/>
          <w:szCs w:val="24"/>
        </w:rPr>
        <w:t>(10), 1557–1568.</w:t>
      </w:r>
    </w:p>
    <w:p w14:paraId="2E9DC7B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Johnson, W., Li, L., Kuh, D., &amp; Hardy, R. (2015). How has the age-related process of overweight or obesity development changed over time? Co-ordinated analyses of individual participant data from five United Kingdom birth cohorts. </w:t>
      </w:r>
      <w:r w:rsidRPr="009A0EF9">
        <w:rPr>
          <w:rFonts w:ascii="Calibri" w:hAnsi="Calibri" w:cs="Calibri"/>
          <w:i/>
          <w:iCs/>
          <w:noProof/>
          <w:szCs w:val="24"/>
        </w:rPr>
        <w:t>PLoS Medicine</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(5), e1001828.</w:t>
      </w:r>
    </w:p>
    <w:p w14:paraId="7603B9B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Kang, H. (2013). The prevention and handling of the missing data. </w:t>
      </w:r>
      <w:r w:rsidRPr="009A0EF9">
        <w:rPr>
          <w:rFonts w:ascii="Calibri" w:hAnsi="Calibri" w:cs="Calibri"/>
          <w:i/>
          <w:iCs/>
          <w:noProof/>
          <w:szCs w:val="24"/>
        </w:rPr>
        <w:t>Korean Journal of Anesthesiology</w:t>
      </w:r>
      <w:r w:rsidRPr="009A0EF9">
        <w:rPr>
          <w:rFonts w:ascii="Calibri" w:hAnsi="Calibri" w:cs="Calibri"/>
          <w:noProof/>
          <w:szCs w:val="24"/>
        </w:rPr>
        <w:t xml:space="preserve">, </w:t>
      </w:r>
      <w:r w:rsidRPr="009A0EF9">
        <w:rPr>
          <w:rFonts w:ascii="Calibri" w:hAnsi="Calibri" w:cs="Calibri"/>
          <w:i/>
          <w:iCs/>
          <w:noProof/>
          <w:szCs w:val="24"/>
        </w:rPr>
        <w:t>64</w:t>
      </w:r>
      <w:r w:rsidRPr="009A0EF9">
        <w:rPr>
          <w:rFonts w:ascii="Calibri" w:hAnsi="Calibri" w:cs="Calibri"/>
          <w:noProof/>
          <w:szCs w:val="24"/>
        </w:rPr>
        <w:t>(5), 402–406.</w:t>
      </w:r>
    </w:p>
    <w:p w14:paraId="07F822C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Kaplan, R. M., Chambers, D. A., &amp; Glasgow, R. E. (2014). Big data and large sample size: a cautionary note on the potential for bias. </w:t>
      </w:r>
      <w:r w:rsidRPr="009A0EF9">
        <w:rPr>
          <w:rFonts w:ascii="Calibri" w:hAnsi="Calibri" w:cs="Calibri"/>
          <w:i/>
          <w:iCs/>
          <w:noProof/>
          <w:szCs w:val="24"/>
        </w:rPr>
        <w:t>Clinical and Translational Science</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(4), 342–346.</w:t>
      </w:r>
    </w:p>
    <w:p w14:paraId="555A236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Katz, D. L. (2012). Improving school food: for the good of kids, with the help of kids. </w:t>
      </w:r>
      <w:r w:rsidRPr="009A0EF9">
        <w:rPr>
          <w:rFonts w:ascii="Calibri" w:hAnsi="Calibri" w:cs="Calibri"/>
          <w:i/>
          <w:iCs/>
          <w:noProof/>
          <w:szCs w:val="24"/>
        </w:rPr>
        <w:t>Childhood Obesity (Formerly Obesity and Weight Management)</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(4), 273–275.</w:t>
      </w:r>
    </w:p>
    <w:p w14:paraId="7E0CDF5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Kaushik, V., &amp; Walsh, C. A. (2019). Pragmatism as a research paradigm and its implications for social work research. </w:t>
      </w:r>
      <w:r w:rsidRPr="009A0EF9">
        <w:rPr>
          <w:rFonts w:ascii="Calibri" w:hAnsi="Calibri" w:cs="Calibri"/>
          <w:i/>
          <w:iCs/>
          <w:noProof/>
          <w:szCs w:val="24"/>
        </w:rPr>
        <w:t>Social Sciences</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(9), 255.</w:t>
      </w:r>
    </w:p>
    <w:p w14:paraId="4EE1CE6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Kelishadi, R., Mozafarian, N., Qorbani, M., Motlagh, M. E., Safiri, S., Ardalan, G., Keikhah, M., Rezaei, F., &amp; Heshmat, R. (2017). Is snack consumption associated with meal skipping in children and adolescents? The CASPIAN-IV study. </w:t>
      </w:r>
      <w:r w:rsidRPr="009A0EF9">
        <w:rPr>
          <w:rFonts w:ascii="Calibri" w:hAnsi="Calibri" w:cs="Calibri"/>
          <w:i/>
          <w:iCs/>
          <w:noProof/>
          <w:szCs w:val="24"/>
        </w:rPr>
        <w:t>Eating and Weight Disorders-Studies on Anorexia, Bulimia and Obesity</w:t>
      </w:r>
      <w:r w:rsidRPr="009A0EF9">
        <w:rPr>
          <w:rFonts w:ascii="Calibri" w:hAnsi="Calibri" w:cs="Calibri"/>
          <w:noProof/>
          <w:szCs w:val="24"/>
        </w:rPr>
        <w:t xml:space="preserve">, </w:t>
      </w:r>
      <w:r w:rsidRPr="009A0EF9">
        <w:rPr>
          <w:rFonts w:ascii="Calibri" w:hAnsi="Calibri" w:cs="Calibri"/>
          <w:i/>
          <w:iCs/>
          <w:noProof/>
          <w:szCs w:val="24"/>
        </w:rPr>
        <w:t>22</w:t>
      </w:r>
      <w:r w:rsidRPr="009A0EF9">
        <w:rPr>
          <w:rFonts w:ascii="Calibri" w:hAnsi="Calibri" w:cs="Calibri"/>
          <w:noProof/>
          <w:szCs w:val="24"/>
        </w:rPr>
        <w:t>(2), 321–328.</w:t>
      </w:r>
    </w:p>
    <w:p w14:paraId="47B8E4C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Kell, E. (2015). </w:t>
      </w:r>
      <w:r w:rsidRPr="009A0EF9">
        <w:rPr>
          <w:rFonts w:ascii="Calibri" w:hAnsi="Calibri" w:cs="Calibri"/>
          <w:i/>
          <w:iCs/>
          <w:noProof/>
          <w:szCs w:val="24"/>
        </w:rPr>
        <w:t>Food for thought: promoting healthy diets among children and young people</w:t>
      </w:r>
      <w:r w:rsidRPr="009A0EF9">
        <w:rPr>
          <w:rFonts w:ascii="Calibri" w:hAnsi="Calibri" w:cs="Calibri"/>
          <w:noProof/>
          <w:szCs w:val="24"/>
        </w:rPr>
        <w:t>. British Medical Association. https://www.actiononsugar.org/media/actiononsugar/news-centre/sugar-in-the-news/2015/PO-FoodForThoughtreport-09-07-2015-(1).pdf</w:t>
      </w:r>
    </w:p>
    <w:p w14:paraId="1B2D23B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Kelley, K., Clarke, B., Brown, V., &amp; Sitzai, J. (2003). Good practice in the conduct and reporting of survey research. </w:t>
      </w:r>
      <w:r w:rsidRPr="009A0EF9">
        <w:rPr>
          <w:rFonts w:ascii="Calibri" w:hAnsi="Calibri" w:cs="Calibri"/>
          <w:i/>
          <w:iCs/>
          <w:noProof/>
          <w:szCs w:val="24"/>
        </w:rPr>
        <w:t>International Journal for Quality in Health Care</w:t>
      </w:r>
      <w:r w:rsidRPr="009A0EF9">
        <w:rPr>
          <w:rFonts w:ascii="Calibri" w:hAnsi="Calibri" w:cs="Calibri"/>
          <w:noProof/>
          <w:szCs w:val="24"/>
        </w:rPr>
        <w:t xml:space="preserve">, </w:t>
      </w:r>
      <w:r w:rsidRPr="009A0EF9">
        <w:rPr>
          <w:rFonts w:ascii="Calibri" w:hAnsi="Calibri" w:cs="Calibri"/>
          <w:i/>
          <w:iCs/>
          <w:noProof/>
          <w:szCs w:val="24"/>
        </w:rPr>
        <w:t>15</w:t>
      </w:r>
      <w:r w:rsidRPr="009A0EF9">
        <w:rPr>
          <w:rFonts w:ascii="Calibri" w:hAnsi="Calibri" w:cs="Calibri"/>
          <w:noProof/>
          <w:szCs w:val="24"/>
        </w:rPr>
        <w:t>(3), 261–266.</w:t>
      </w:r>
    </w:p>
    <w:p w14:paraId="2DC1297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Kelly, M. P., &amp; Barker, M. (2016). Why is changing health-related behaviour so difficult? </w:t>
      </w:r>
      <w:r w:rsidRPr="009A0EF9">
        <w:rPr>
          <w:rFonts w:ascii="Calibri" w:hAnsi="Calibri" w:cs="Calibri"/>
          <w:i/>
          <w:iCs/>
          <w:noProof/>
          <w:szCs w:val="24"/>
        </w:rPr>
        <w:t>Public Health</w:t>
      </w:r>
      <w:r w:rsidRPr="009A0EF9">
        <w:rPr>
          <w:rFonts w:ascii="Calibri" w:hAnsi="Calibri" w:cs="Calibri"/>
          <w:noProof/>
          <w:szCs w:val="24"/>
        </w:rPr>
        <w:t xml:space="preserve">, </w:t>
      </w:r>
      <w:r w:rsidRPr="009A0EF9">
        <w:rPr>
          <w:rFonts w:ascii="Calibri" w:hAnsi="Calibri" w:cs="Calibri"/>
          <w:i/>
          <w:iCs/>
          <w:noProof/>
          <w:szCs w:val="24"/>
        </w:rPr>
        <w:t>136</w:t>
      </w:r>
      <w:r w:rsidRPr="009A0EF9">
        <w:rPr>
          <w:rFonts w:ascii="Calibri" w:hAnsi="Calibri" w:cs="Calibri"/>
          <w:noProof/>
          <w:szCs w:val="24"/>
        </w:rPr>
        <w:t>, 109–116.</w:t>
      </w:r>
    </w:p>
    <w:p w14:paraId="66613E6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Kerr, M. A., Rennie, K. L., McCaffrey, T. A., Wallace, J. M. W., Hannon-Fletcher, M. P., &amp; Livingstone, M. B. E. (2008). Snacking patterns among adolescents: a comparison of type, frequency and portion size between Britain in 1997 and Northern Ireland in 2005. </w:t>
      </w:r>
      <w:r w:rsidRPr="009A0EF9">
        <w:rPr>
          <w:rFonts w:ascii="Calibri" w:hAnsi="Calibri" w:cs="Calibri"/>
          <w:i/>
          <w:iCs/>
          <w:noProof/>
          <w:szCs w:val="24"/>
        </w:rPr>
        <w:t>British Journal of Nutrition</w:t>
      </w:r>
      <w:r w:rsidRPr="009A0EF9">
        <w:rPr>
          <w:rFonts w:ascii="Calibri" w:hAnsi="Calibri" w:cs="Calibri"/>
          <w:noProof/>
          <w:szCs w:val="24"/>
        </w:rPr>
        <w:t xml:space="preserve">, </w:t>
      </w:r>
      <w:r w:rsidRPr="009A0EF9">
        <w:rPr>
          <w:rFonts w:ascii="Calibri" w:hAnsi="Calibri" w:cs="Calibri"/>
          <w:i/>
          <w:iCs/>
          <w:noProof/>
          <w:szCs w:val="24"/>
        </w:rPr>
        <w:t>101</w:t>
      </w:r>
      <w:r w:rsidRPr="009A0EF9">
        <w:rPr>
          <w:rFonts w:ascii="Calibri" w:hAnsi="Calibri" w:cs="Calibri"/>
          <w:noProof/>
          <w:szCs w:val="24"/>
        </w:rPr>
        <w:t>(1), 122–131.</w:t>
      </w:r>
    </w:p>
    <w:p w14:paraId="3BA3024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Kiger, M. E., &amp; Varpio, L. (2020). Thematic analysis of qualitative data: AMEE Guide No. 131. </w:t>
      </w:r>
      <w:r w:rsidRPr="009A0EF9">
        <w:rPr>
          <w:rFonts w:ascii="Calibri" w:hAnsi="Calibri" w:cs="Calibri"/>
          <w:i/>
          <w:iCs/>
          <w:noProof/>
          <w:szCs w:val="24"/>
        </w:rPr>
        <w:t>Medical Teacher</w:t>
      </w:r>
      <w:r w:rsidRPr="009A0EF9">
        <w:rPr>
          <w:rFonts w:ascii="Calibri" w:hAnsi="Calibri" w:cs="Calibri"/>
          <w:noProof/>
          <w:szCs w:val="24"/>
        </w:rPr>
        <w:t xml:space="preserve">, </w:t>
      </w:r>
      <w:r w:rsidRPr="009A0EF9">
        <w:rPr>
          <w:rFonts w:ascii="Calibri" w:hAnsi="Calibri" w:cs="Calibri"/>
          <w:i/>
          <w:iCs/>
          <w:noProof/>
          <w:szCs w:val="24"/>
        </w:rPr>
        <w:t>42</w:t>
      </w:r>
      <w:r w:rsidRPr="009A0EF9">
        <w:rPr>
          <w:rFonts w:ascii="Calibri" w:hAnsi="Calibri" w:cs="Calibri"/>
          <w:noProof/>
          <w:szCs w:val="24"/>
        </w:rPr>
        <w:t>(8), 846–854.</w:t>
      </w:r>
    </w:p>
    <w:p w14:paraId="779A4A7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Kim, J., Lee, Z., &amp; Yoon, S. (2005). Pluralistic ignorance in the personal use of the Internet and system monitoring. </w:t>
      </w:r>
      <w:r w:rsidRPr="009A0EF9">
        <w:rPr>
          <w:rFonts w:ascii="Calibri" w:hAnsi="Calibri" w:cs="Calibri"/>
          <w:i/>
          <w:iCs/>
          <w:noProof/>
          <w:szCs w:val="24"/>
        </w:rPr>
        <w:t>AMCIS 2005 Proceedings</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 446–452.</w:t>
      </w:r>
    </w:p>
    <w:p w14:paraId="75284CD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Kim, J. S. (2005). The effects of a constructivist teaching approach on student academic achievement, self-concept, and learning strategies. </w:t>
      </w:r>
      <w:r w:rsidRPr="009A0EF9">
        <w:rPr>
          <w:rFonts w:ascii="Calibri" w:hAnsi="Calibri" w:cs="Calibri"/>
          <w:i/>
          <w:iCs/>
          <w:noProof/>
          <w:szCs w:val="24"/>
        </w:rPr>
        <w:t>Asia Pacific Education Review</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(1), 7–19.</w:t>
      </w:r>
    </w:p>
    <w:p w14:paraId="2618AD3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Kinra, S., Nelder, R. P., &amp; Lewendon, G. J. (2000). Deprivation and childhood obesity: a cross sectional study of 20 973 children in Plymouth, United Kingdom. </w:t>
      </w:r>
      <w:r w:rsidRPr="009A0EF9">
        <w:rPr>
          <w:rFonts w:ascii="Calibri" w:hAnsi="Calibri" w:cs="Calibri"/>
          <w:i/>
          <w:iCs/>
          <w:noProof/>
          <w:szCs w:val="24"/>
        </w:rPr>
        <w:t>Journal of Epidemiology and Community Health</w:t>
      </w:r>
      <w:r w:rsidRPr="009A0EF9">
        <w:rPr>
          <w:rFonts w:ascii="Calibri" w:hAnsi="Calibri" w:cs="Calibri"/>
          <w:noProof/>
          <w:szCs w:val="24"/>
        </w:rPr>
        <w:t xml:space="preserve">, </w:t>
      </w:r>
      <w:r w:rsidRPr="009A0EF9">
        <w:rPr>
          <w:rFonts w:ascii="Calibri" w:hAnsi="Calibri" w:cs="Calibri"/>
          <w:i/>
          <w:iCs/>
          <w:noProof/>
          <w:szCs w:val="24"/>
        </w:rPr>
        <w:t>54</w:t>
      </w:r>
      <w:r w:rsidRPr="009A0EF9">
        <w:rPr>
          <w:rFonts w:ascii="Calibri" w:hAnsi="Calibri" w:cs="Calibri"/>
          <w:noProof/>
          <w:szCs w:val="24"/>
        </w:rPr>
        <w:t>(6), 456–460.</w:t>
      </w:r>
    </w:p>
    <w:p w14:paraId="1BB92FF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Kirby, P. (2004). A guide to actively involving young people in research. In </w:t>
      </w:r>
      <w:r w:rsidRPr="009A0EF9">
        <w:rPr>
          <w:rFonts w:ascii="Calibri" w:hAnsi="Calibri" w:cs="Calibri"/>
          <w:i/>
          <w:iCs/>
          <w:noProof/>
          <w:szCs w:val="24"/>
        </w:rPr>
        <w:t>INVOLVE Support Unit</w:t>
      </w:r>
      <w:r w:rsidRPr="009A0EF9">
        <w:rPr>
          <w:rFonts w:ascii="Calibri" w:hAnsi="Calibri" w:cs="Calibri"/>
          <w:noProof/>
          <w:szCs w:val="24"/>
        </w:rPr>
        <w:t>. https://www.invo.org.uk/wp-content/uploads/2012/01/InvolvingYoungPeople2004.pdf</w:t>
      </w:r>
    </w:p>
    <w:p w14:paraId="2A7186D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Knai, C., Pomerleau, J., Lock, K., &amp; McKee, M. (2006). Getting children to eat more fruit and vegetables: a systematic review. </w:t>
      </w:r>
      <w:r w:rsidRPr="00500F3A">
        <w:rPr>
          <w:rFonts w:ascii="Calibri" w:hAnsi="Calibri" w:cs="Calibri"/>
          <w:i/>
          <w:iCs/>
          <w:noProof/>
          <w:szCs w:val="24"/>
        </w:rPr>
        <w:t>Preventive Medicine</w:t>
      </w:r>
      <w:r w:rsidRPr="00500F3A">
        <w:rPr>
          <w:rFonts w:ascii="Calibri" w:hAnsi="Calibri" w:cs="Calibri"/>
          <w:noProof/>
          <w:szCs w:val="24"/>
        </w:rPr>
        <w:t xml:space="preserve">, </w:t>
      </w:r>
      <w:r w:rsidRPr="00500F3A">
        <w:rPr>
          <w:rFonts w:ascii="Calibri" w:hAnsi="Calibri" w:cs="Calibri"/>
          <w:i/>
          <w:iCs/>
          <w:noProof/>
          <w:szCs w:val="24"/>
        </w:rPr>
        <w:t>42</w:t>
      </w:r>
      <w:r w:rsidRPr="00500F3A">
        <w:rPr>
          <w:rFonts w:ascii="Calibri" w:hAnsi="Calibri" w:cs="Calibri"/>
          <w:noProof/>
          <w:szCs w:val="24"/>
        </w:rPr>
        <w:t>(2), 85–95.</w:t>
      </w:r>
    </w:p>
    <w:p w14:paraId="604EF93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Korcuska, J. S., &amp; Thombs, D. L. (2003). Gender role conflict and sex-specific drinking norms: Relationships to alcohol use in undergraduate women and men. </w:t>
      </w:r>
      <w:r w:rsidRPr="009A0EF9">
        <w:rPr>
          <w:rFonts w:ascii="Calibri" w:hAnsi="Calibri" w:cs="Calibri"/>
          <w:i/>
          <w:iCs/>
          <w:noProof/>
          <w:szCs w:val="24"/>
        </w:rPr>
        <w:t>Journal of College Student Development</w:t>
      </w:r>
      <w:r w:rsidRPr="009A0EF9">
        <w:rPr>
          <w:rFonts w:ascii="Calibri" w:hAnsi="Calibri" w:cs="Calibri"/>
          <w:noProof/>
          <w:szCs w:val="24"/>
        </w:rPr>
        <w:t xml:space="preserve">, </w:t>
      </w:r>
      <w:r w:rsidRPr="009A0EF9">
        <w:rPr>
          <w:rFonts w:ascii="Calibri" w:hAnsi="Calibri" w:cs="Calibri"/>
          <w:i/>
          <w:iCs/>
          <w:noProof/>
          <w:szCs w:val="24"/>
        </w:rPr>
        <w:t>44</w:t>
      </w:r>
      <w:r w:rsidRPr="009A0EF9">
        <w:rPr>
          <w:rFonts w:ascii="Calibri" w:hAnsi="Calibri" w:cs="Calibri"/>
          <w:noProof/>
          <w:szCs w:val="24"/>
        </w:rPr>
        <w:t>(2), 204–216.</w:t>
      </w:r>
    </w:p>
    <w:p w14:paraId="50BA95C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Kral, T. V. E., Chittams, J., &amp; Moore, R. H. (2017). Relationship between food insecurity, child weight status, and parent‐reported child eating and snacking behaviors. </w:t>
      </w:r>
      <w:r w:rsidRPr="009A0EF9">
        <w:rPr>
          <w:rFonts w:ascii="Calibri" w:hAnsi="Calibri" w:cs="Calibri"/>
          <w:i/>
          <w:iCs/>
          <w:noProof/>
          <w:szCs w:val="24"/>
        </w:rPr>
        <w:t>Journal for Specialists in Pediatric Nursing</w:t>
      </w:r>
      <w:r w:rsidRPr="009A0EF9">
        <w:rPr>
          <w:rFonts w:ascii="Calibri" w:hAnsi="Calibri" w:cs="Calibri"/>
          <w:noProof/>
          <w:szCs w:val="24"/>
        </w:rPr>
        <w:t xml:space="preserve">, </w:t>
      </w:r>
      <w:r w:rsidRPr="009A0EF9">
        <w:rPr>
          <w:rFonts w:ascii="Calibri" w:hAnsi="Calibri" w:cs="Calibri"/>
          <w:i/>
          <w:iCs/>
          <w:noProof/>
          <w:szCs w:val="24"/>
        </w:rPr>
        <w:t>22</w:t>
      </w:r>
      <w:r w:rsidRPr="009A0EF9">
        <w:rPr>
          <w:rFonts w:ascii="Calibri" w:hAnsi="Calibri" w:cs="Calibri"/>
          <w:noProof/>
          <w:szCs w:val="24"/>
        </w:rPr>
        <w:t>(2), e12177.</w:t>
      </w:r>
    </w:p>
    <w:p w14:paraId="2110F05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Kreuter, M. W., Farrell, D. W., Olevitch, L. R., &amp; Brennan, L. K. (2013). </w:t>
      </w:r>
      <w:r w:rsidRPr="009A0EF9">
        <w:rPr>
          <w:rFonts w:ascii="Calibri" w:hAnsi="Calibri" w:cs="Calibri"/>
          <w:i/>
          <w:iCs/>
          <w:noProof/>
          <w:szCs w:val="24"/>
        </w:rPr>
        <w:t>Tailoring health messages: Customizing communication with computer technology</w:t>
      </w:r>
      <w:r w:rsidRPr="009A0EF9">
        <w:rPr>
          <w:rFonts w:ascii="Calibri" w:hAnsi="Calibri" w:cs="Calibri"/>
          <w:noProof/>
          <w:szCs w:val="24"/>
        </w:rPr>
        <w:t>. Routledge.</w:t>
      </w:r>
    </w:p>
    <w:p w14:paraId="21E1663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Krippendorff, K. (2018). </w:t>
      </w:r>
      <w:r w:rsidRPr="009A0EF9">
        <w:rPr>
          <w:rFonts w:ascii="Calibri" w:hAnsi="Calibri" w:cs="Calibri"/>
          <w:i/>
          <w:iCs/>
          <w:noProof/>
          <w:szCs w:val="24"/>
        </w:rPr>
        <w:t>Content analysis: An introduction to its methodology</w:t>
      </w:r>
      <w:r w:rsidRPr="009A0EF9">
        <w:rPr>
          <w:rFonts w:ascii="Calibri" w:hAnsi="Calibri" w:cs="Calibri"/>
          <w:noProof/>
          <w:szCs w:val="24"/>
        </w:rPr>
        <w:t>. Sage publications.</w:t>
      </w:r>
    </w:p>
    <w:p w14:paraId="5F1C1F2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Kropski, J. A., Keckley, P. H., &amp; Jensen, G. L. (2008). School‐based Obesity Prevention Programs: An Evidence‐based Review. </w:t>
      </w:r>
      <w:r w:rsidRPr="009A0EF9">
        <w:rPr>
          <w:rFonts w:ascii="Calibri" w:hAnsi="Calibri" w:cs="Calibri"/>
          <w:i/>
          <w:iCs/>
          <w:noProof/>
          <w:szCs w:val="24"/>
        </w:rPr>
        <w:t>Obesity</w:t>
      </w:r>
      <w:r w:rsidRPr="009A0EF9">
        <w:rPr>
          <w:rFonts w:ascii="Calibri" w:hAnsi="Calibri" w:cs="Calibri"/>
          <w:noProof/>
          <w:szCs w:val="24"/>
        </w:rPr>
        <w:t xml:space="preserve">, </w:t>
      </w:r>
      <w:r w:rsidRPr="009A0EF9">
        <w:rPr>
          <w:rFonts w:ascii="Calibri" w:hAnsi="Calibri" w:cs="Calibri"/>
          <w:i/>
          <w:iCs/>
          <w:noProof/>
          <w:szCs w:val="24"/>
        </w:rPr>
        <w:t>16</w:t>
      </w:r>
      <w:r w:rsidRPr="009A0EF9">
        <w:rPr>
          <w:rFonts w:ascii="Calibri" w:hAnsi="Calibri" w:cs="Calibri"/>
          <w:noProof/>
          <w:szCs w:val="24"/>
        </w:rPr>
        <w:t>(5), 1009–1018.</w:t>
      </w:r>
    </w:p>
    <w:p w14:paraId="54E50C9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Krueger, R. A., &amp; Casey, M. A. (2002). </w:t>
      </w:r>
      <w:r w:rsidRPr="009A0EF9">
        <w:rPr>
          <w:rFonts w:ascii="Calibri" w:hAnsi="Calibri" w:cs="Calibri"/>
          <w:i/>
          <w:iCs/>
          <w:noProof/>
          <w:szCs w:val="24"/>
        </w:rPr>
        <w:t>Designing and conducting focus group interviews</w:t>
      </w:r>
      <w:r w:rsidRPr="009A0EF9">
        <w:rPr>
          <w:rFonts w:ascii="Calibri" w:hAnsi="Calibri" w:cs="Calibri"/>
          <w:noProof/>
          <w:szCs w:val="24"/>
        </w:rPr>
        <w:t>. https://www.eiu.edu/ihec/Krueger-FocusGroupInterviews.pdf</w:t>
      </w:r>
    </w:p>
    <w:p w14:paraId="721FDCE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Kumar, J., Adhikari, K., Li, Y., Lindshield, E., Muturi, N., &amp; Kidd, T. (2016). Identifying barriers, perceptions and motivations related to healthy eating and physical activity among 6th to 8th grade, rural, limited-resource adolescents. </w:t>
      </w:r>
      <w:r w:rsidRPr="009A0EF9">
        <w:rPr>
          <w:rFonts w:ascii="Calibri" w:hAnsi="Calibri" w:cs="Calibri"/>
          <w:i/>
          <w:iCs/>
          <w:noProof/>
          <w:szCs w:val="24"/>
        </w:rPr>
        <w:t>Health Education</w:t>
      </w:r>
      <w:r w:rsidRPr="009A0EF9">
        <w:rPr>
          <w:rFonts w:ascii="Calibri" w:hAnsi="Calibri" w:cs="Calibri"/>
          <w:noProof/>
          <w:szCs w:val="24"/>
        </w:rPr>
        <w:t xml:space="preserve">, </w:t>
      </w:r>
      <w:r w:rsidRPr="009A0EF9">
        <w:rPr>
          <w:rFonts w:ascii="Calibri" w:hAnsi="Calibri" w:cs="Calibri"/>
          <w:i/>
          <w:iCs/>
          <w:noProof/>
          <w:szCs w:val="24"/>
        </w:rPr>
        <w:t>116</w:t>
      </w:r>
      <w:r w:rsidRPr="009A0EF9">
        <w:rPr>
          <w:rFonts w:ascii="Calibri" w:hAnsi="Calibri" w:cs="Calibri"/>
          <w:noProof/>
          <w:szCs w:val="24"/>
        </w:rPr>
        <w:t>(2), 123–137.</w:t>
      </w:r>
    </w:p>
    <w:p w14:paraId="4B69AB8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LaBrie, J. W., Cail, J., Hummer, J. F., Lac, A., &amp; Neighbors, C. (2009). What Men Want: The Role of Reflective Opposite-Sex Normative Preferences in Alcohol Use Among College Women. </w:t>
      </w:r>
      <w:r w:rsidRPr="009A0EF9">
        <w:rPr>
          <w:rFonts w:ascii="Calibri" w:hAnsi="Calibri" w:cs="Calibri"/>
          <w:i/>
          <w:iCs/>
          <w:noProof/>
          <w:szCs w:val="24"/>
        </w:rPr>
        <w:t>Psychology of Addictive Behaviors : Journal of the Society of Psychologists in Addictive Behaviors</w:t>
      </w:r>
      <w:r w:rsidRPr="009A0EF9">
        <w:rPr>
          <w:rFonts w:ascii="Calibri" w:hAnsi="Calibri" w:cs="Calibri"/>
          <w:noProof/>
          <w:szCs w:val="24"/>
        </w:rPr>
        <w:t xml:space="preserve">, </w:t>
      </w:r>
      <w:r w:rsidRPr="009A0EF9">
        <w:rPr>
          <w:rFonts w:ascii="Calibri" w:hAnsi="Calibri" w:cs="Calibri"/>
          <w:i/>
          <w:iCs/>
          <w:noProof/>
          <w:szCs w:val="24"/>
        </w:rPr>
        <w:t>23</w:t>
      </w:r>
      <w:r w:rsidRPr="009A0EF9">
        <w:rPr>
          <w:rFonts w:ascii="Calibri" w:hAnsi="Calibri" w:cs="Calibri"/>
          <w:noProof/>
          <w:szCs w:val="24"/>
        </w:rPr>
        <w:t>(1), 157–162.</w:t>
      </w:r>
    </w:p>
    <w:p w14:paraId="2FE5792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LaBrie, J. W., Lewis, M. A., Atkins, D. C., Neighbors, C., Zheng, C., Kenney, S. R., Napper, L. E., Walter, T., Kilmer, J. R., Hummer, J. F., Grossbard, J., Ghaidarov, T. M., Desai, S., Lee, C. M., &amp; Larimer, M. E. (2013). RCT of web-based personalized normative feedback for college drinking prevention: Are typical student norms good enough? </w:t>
      </w:r>
      <w:r w:rsidRPr="009A0EF9">
        <w:rPr>
          <w:rFonts w:ascii="Calibri" w:hAnsi="Calibri" w:cs="Calibri"/>
          <w:i/>
          <w:iCs/>
          <w:noProof/>
          <w:szCs w:val="24"/>
        </w:rPr>
        <w:t>Journal of Consulting and Clinical Psychology</w:t>
      </w:r>
      <w:r w:rsidRPr="009A0EF9">
        <w:rPr>
          <w:rFonts w:ascii="Calibri" w:hAnsi="Calibri" w:cs="Calibri"/>
          <w:noProof/>
          <w:szCs w:val="24"/>
        </w:rPr>
        <w:t xml:space="preserve">, </w:t>
      </w:r>
      <w:r w:rsidRPr="009A0EF9">
        <w:rPr>
          <w:rFonts w:ascii="Calibri" w:hAnsi="Calibri" w:cs="Calibri"/>
          <w:i/>
          <w:iCs/>
          <w:noProof/>
          <w:szCs w:val="24"/>
        </w:rPr>
        <w:t>81</w:t>
      </w:r>
      <w:r w:rsidRPr="009A0EF9">
        <w:rPr>
          <w:rFonts w:ascii="Calibri" w:hAnsi="Calibri" w:cs="Calibri"/>
          <w:noProof/>
          <w:szCs w:val="24"/>
        </w:rPr>
        <w:t>(6), 1074–1086.</w:t>
      </w:r>
    </w:p>
    <w:p w14:paraId="1165F90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Lake, A., &amp; Townshend, T. (2006). Obesogenic environments: exploring the built and food environments. </w:t>
      </w:r>
      <w:r w:rsidRPr="009A0EF9">
        <w:rPr>
          <w:rFonts w:ascii="Calibri" w:hAnsi="Calibri" w:cs="Calibri"/>
          <w:i/>
          <w:iCs/>
          <w:noProof/>
          <w:szCs w:val="24"/>
        </w:rPr>
        <w:t>The Journal of the Royal Society for the Promotion of Health</w:t>
      </w:r>
      <w:r w:rsidRPr="009A0EF9">
        <w:rPr>
          <w:rFonts w:ascii="Calibri" w:hAnsi="Calibri" w:cs="Calibri"/>
          <w:noProof/>
          <w:szCs w:val="24"/>
        </w:rPr>
        <w:t xml:space="preserve">, </w:t>
      </w:r>
      <w:r w:rsidRPr="009A0EF9">
        <w:rPr>
          <w:rFonts w:ascii="Calibri" w:hAnsi="Calibri" w:cs="Calibri"/>
          <w:i/>
          <w:iCs/>
          <w:noProof/>
          <w:szCs w:val="24"/>
        </w:rPr>
        <w:t>126</w:t>
      </w:r>
      <w:r w:rsidRPr="009A0EF9">
        <w:rPr>
          <w:rFonts w:ascii="Calibri" w:hAnsi="Calibri" w:cs="Calibri"/>
          <w:noProof/>
          <w:szCs w:val="24"/>
        </w:rPr>
        <w:t>(6), 262–267.</w:t>
      </w:r>
    </w:p>
    <w:p w14:paraId="10105BC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Lally, P, Bartle, N., &amp; Wardle, J. (2011). Social norms and diet in adolescents.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57</w:t>
      </w:r>
      <w:r w:rsidRPr="009A0EF9">
        <w:rPr>
          <w:rFonts w:ascii="Calibri" w:hAnsi="Calibri" w:cs="Calibri"/>
          <w:noProof/>
          <w:szCs w:val="24"/>
        </w:rPr>
        <w:t>(3), 623–627.</w:t>
      </w:r>
    </w:p>
    <w:p w14:paraId="5E9E15B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Lally, Phillippa, Cooke, L., McGowan, L., Croker, H., Bartle, N., &amp; Wardle, J. (2012). Parents’ </w:t>
      </w:r>
      <w:r w:rsidRPr="009A0EF9">
        <w:rPr>
          <w:rFonts w:ascii="Calibri" w:hAnsi="Calibri" w:cs="Calibri"/>
          <w:noProof/>
          <w:szCs w:val="24"/>
        </w:rPr>
        <w:lastRenderedPageBreak/>
        <w:t xml:space="preserve">misperceptions of social norms for pre-school children’s snacking behaviour. </w:t>
      </w:r>
      <w:r w:rsidRPr="009A0EF9">
        <w:rPr>
          <w:rFonts w:ascii="Calibri" w:hAnsi="Calibri" w:cs="Calibri"/>
          <w:i/>
          <w:iCs/>
          <w:noProof/>
          <w:szCs w:val="24"/>
        </w:rPr>
        <w:t>Public Health Nutrition</w:t>
      </w:r>
      <w:r w:rsidRPr="009A0EF9">
        <w:rPr>
          <w:rFonts w:ascii="Calibri" w:hAnsi="Calibri" w:cs="Calibri"/>
          <w:noProof/>
          <w:szCs w:val="24"/>
        </w:rPr>
        <w:t xml:space="preserve">, </w:t>
      </w:r>
      <w:r w:rsidRPr="009A0EF9">
        <w:rPr>
          <w:rFonts w:ascii="Calibri" w:hAnsi="Calibri" w:cs="Calibri"/>
          <w:i/>
          <w:iCs/>
          <w:noProof/>
          <w:szCs w:val="24"/>
        </w:rPr>
        <w:t>15</w:t>
      </w:r>
      <w:r w:rsidRPr="009A0EF9">
        <w:rPr>
          <w:rFonts w:ascii="Calibri" w:hAnsi="Calibri" w:cs="Calibri"/>
          <w:noProof/>
          <w:szCs w:val="24"/>
        </w:rPr>
        <w:t>(9), 1678–1682.</w:t>
      </w:r>
    </w:p>
    <w:p w14:paraId="71B41CA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Lane, H., Porter, K. J., Hecht, E., Harris, P., Kraak, V., &amp; Zoellner, J. (2018). Kids SIPsmartER: A feasibility study to reduce sugar-sweetened beverage consumption among middle school youth in Central Appalachia. </w:t>
      </w:r>
      <w:r w:rsidRPr="009A0EF9">
        <w:rPr>
          <w:rFonts w:ascii="Calibri" w:hAnsi="Calibri" w:cs="Calibri"/>
          <w:i/>
          <w:iCs/>
          <w:noProof/>
          <w:szCs w:val="24"/>
        </w:rPr>
        <w:t>American Journal of Health Promotion</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(6), 1386–1401.</w:t>
      </w:r>
    </w:p>
    <w:p w14:paraId="25BCAA6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Larson, N. I., Neumark-Sztainer, D., Hannan, P. J., &amp; Story, M. (2007). Family meals during adolescence are associated with higher diet quality and healthful meal patterns during young adulthood.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107</w:t>
      </w:r>
      <w:r w:rsidRPr="009A0EF9">
        <w:rPr>
          <w:rFonts w:ascii="Calibri" w:hAnsi="Calibri" w:cs="Calibri"/>
          <w:noProof/>
          <w:szCs w:val="24"/>
        </w:rPr>
        <w:t>(9), 1502–1510.</w:t>
      </w:r>
    </w:p>
    <w:p w14:paraId="51E1388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Larson, N., &amp; Story, M. (2013). A review of snacking patterns among children and adolescents: what are the implications of snacking for weight status? </w:t>
      </w:r>
      <w:r w:rsidRPr="009A0EF9">
        <w:rPr>
          <w:rFonts w:ascii="Calibri" w:hAnsi="Calibri" w:cs="Calibri"/>
          <w:i/>
          <w:iCs/>
          <w:noProof/>
          <w:szCs w:val="24"/>
        </w:rPr>
        <w:t>Childhood Obesity</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(2), 104–115.</w:t>
      </w:r>
    </w:p>
    <w:p w14:paraId="4843A05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Larsson, I., Staland-Nyman, C., Svedberg, P., Nygren, J. M., &amp; Carlsson, I.-M. (2018). Children and young people’s participation in developing interventions in health and well-being: a scoping review. </w:t>
      </w:r>
      <w:r w:rsidRPr="009A0EF9">
        <w:rPr>
          <w:rFonts w:ascii="Calibri" w:hAnsi="Calibri" w:cs="Calibri"/>
          <w:i/>
          <w:iCs/>
          <w:noProof/>
          <w:szCs w:val="24"/>
        </w:rPr>
        <w:t>BMC Health Services Research</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(1), 507.</w:t>
      </w:r>
    </w:p>
    <w:p w14:paraId="6569F92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Lavrakas, P. (2008). </w:t>
      </w:r>
      <w:r w:rsidRPr="009A0EF9">
        <w:rPr>
          <w:rFonts w:ascii="Calibri" w:hAnsi="Calibri" w:cs="Calibri"/>
          <w:i/>
          <w:iCs/>
          <w:noProof/>
          <w:szCs w:val="24"/>
        </w:rPr>
        <w:t>Encyclopedia of Survey Research Methods</w:t>
      </w:r>
      <w:r w:rsidRPr="009A0EF9">
        <w:rPr>
          <w:rFonts w:ascii="Calibri" w:hAnsi="Calibri" w:cs="Calibri"/>
          <w:noProof/>
          <w:szCs w:val="24"/>
        </w:rPr>
        <w:t>. Sage Publications.</w:t>
      </w:r>
    </w:p>
    <w:p w14:paraId="2D8809B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Lazzeri, G., Pammolli, A., Azzolini, E., Simi, R., Meoni, V., de Wet, D. R., &amp; Giacchi, M. V. (2013). Association between fruits and vegetables intake and frequency of breakfast and snacks consumption: a cross-sectional study. </w:t>
      </w:r>
      <w:r w:rsidRPr="009A0EF9">
        <w:rPr>
          <w:rFonts w:ascii="Calibri" w:hAnsi="Calibri" w:cs="Calibri"/>
          <w:i/>
          <w:iCs/>
          <w:noProof/>
          <w:szCs w:val="24"/>
        </w:rPr>
        <w:t>Nutrition Journal</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(1), 1–10.</w:t>
      </w:r>
    </w:p>
    <w:p w14:paraId="56E95BF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Leal, G. V. da S., Philippi, S. T., Matsudo, S. M. M., &amp; Toassa, E. C. (2010). Food intake and meal patterns of adolescents, São Paulo, Brazil. </w:t>
      </w:r>
      <w:r w:rsidRPr="009A0EF9">
        <w:rPr>
          <w:rFonts w:ascii="Calibri" w:hAnsi="Calibri" w:cs="Calibri"/>
          <w:i/>
          <w:iCs/>
          <w:noProof/>
          <w:szCs w:val="24"/>
        </w:rPr>
        <w:t>Revista Brasileira de Epidemiologia</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 457–467.</w:t>
      </w:r>
    </w:p>
    <w:p w14:paraId="5179EC3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Lewis, M. A., Lee, C. M., Patrick, M. E., &amp; Fossos, N. (2007). Gender-specific normative misperceptions of risky sexual behavior and alcohol-related risky sexual behavior. </w:t>
      </w:r>
      <w:r w:rsidRPr="009A0EF9">
        <w:rPr>
          <w:rFonts w:ascii="Calibri" w:hAnsi="Calibri" w:cs="Calibri"/>
          <w:i/>
          <w:iCs/>
          <w:noProof/>
          <w:szCs w:val="24"/>
        </w:rPr>
        <w:t>Sex Roles</w:t>
      </w:r>
      <w:r w:rsidRPr="009A0EF9">
        <w:rPr>
          <w:rFonts w:ascii="Calibri" w:hAnsi="Calibri" w:cs="Calibri"/>
          <w:noProof/>
          <w:szCs w:val="24"/>
        </w:rPr>
        <w:t xml:space="preserve">, </w:t>
      </w:r>
      <w:r w:rsidRPr="009A0EF9">
        <w:rPr>
          <w:rFonts w:ascii="Calibri" w:hAnsi="Calibri" w:cs="Calibri"/>
          <w:i/>
          <w:iCs/>
          <w:noProof/>
          <w:szCs w:val="24"/>
        </w:rPr>
        <w:t>57</w:t>
      </w:r>
      <w:r w:rsidRPr="009A0EF9">
        <w:rPr>
          <w:rFonts w:ascii="Calibri" w:hAnsi="Calibri" w:cs="Calibri"/>
          <w:noProof/>
          <w:szCs w:val="24"/>
        </w:rPr>
        <w:t>(1–2), 81–90.</w:t>
      </w:r>
    </w:p>
    <w:p w14:paraId="4D670F5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Lewis, M. A., &amp; Neighbors, C. (2006). Social Norms Approaches Using Descriptive Drinking Norms Education: A Review of the Research on Personalized Normative Feedback. </w:t>
      </w:r>
      <w:r w:rsidRPr="009A0EF9">
        <w:rPr>
          <w:rFonts w:ascii="Calibri" w:hAnsi="Calibri" w:cs="Calibri"/>
          <w:i/>
          <w:iCs/>
          <w:noProof/>
          <w:szCs w:val="24"/>
        </w:rPr>
        <w:t>Journal of American College Health</w:t>
      </w:r>
      <w:r w:rsidRPr="009A0EF9">
        <w:rPr>
          <w:rFonts w:ascii="Calibri" w:hAnsi="Calibri" w:cs="Calibri"/>
          <w:noProof/>
          <w:szCs w:val="24"/>
        </w:rPr>
        <w:t xml:space="preserve">, </w:t>
      </w:r>
      <w:r w:rsidRPr="009A0EF9">
        <w:rPr>
          <w:rFonts w:ascii="Calibri" w:hAnsi="Calibri" w:cs="Calibri"/>
          <w:i/>
          <w:iCs/>
          <w:noProof/>
          <w:szCs w:val="24"/>
        </w:rPr>
        <w:t>54</w:t>
      </w:r>
      <w:r w:rsidRPr="009A0EF9">
        <w:rPr>
          <w:rFonts w:ascii="Calibri" w:hAnsi="Calibri" w:cs="Calibri"/>
          <w:noProof/>
          <w:szCs w:val="24"/>
        </w:rPr>
        <w:t>(4), 213–218.</w:t>
      </w:r>
    </w:p>
    <w:p w14:paraId="05C5040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Leys, C., Klein, O., Dominicy, Y., &amp; Ley, C. (2018). Detecting multivariate outliers: Use a robust variant of the Mahalanobis distance. </w:t>
      </w:r>
      <w:r w:rsidRPr="009A0EF9">
        <w:rPr>
          <w:rFonts w:ascii="Calibri" w:hAnsi="Calibri" w:cs="Calibri"/>
          <w:i/>
          <w:iCs/>
          <w:noProof/>
          <w:szCs w:val="24"/>
        </w:rPr>
        <w:t>Journal of Experimental Social Psychology</w:t>
      </w:r>
      <w:r w:rsidRPr="009A0EF9">
        <w:rPr>
          <w:rFonts w:ascii="Calibri" w:hAnsi="Calibri" w:cs="Calibri"/>
          <w:noProof/>
          <w:szCs w:val="24"/>
        </w:rPr>
        <w:t xml:space="preserve">, </w:t>
      </w:r>
      <w:r w:rsidRPr="009A0EF9">
        <w:rPr>
          <w:rFonts w:ascii="Calibri" w:hAnsi="Calibri" w:cs="Calibri"/>
          <w:i/>
          <w:iCs/>
          <w:noProof/>
          <w:szCs w:val="24"/>
        </w:rPr>
        <w:t>74</w:t>
      </w:r>
      <w:r w:rsidRPr="009A0EF9">
        <w:rPr>
          <w:rFonts w:ascii="Calibri" w:hAnsi="Calibri" w:cs="Calibri"/>
          <w:noProof/>
          <w:szCs w:val="24"/>
        </w:rPr>
        <w:t>, 150–156.</w:t>
      </w:r>
    </w:p>
    <w:p w14:paraId="7239596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Lien, N., Bjelland, M., Bergh, I. H., Grydeland, M., Anderssen, S. A., Ommundsen, Y., Andersen, L. F., Henriksen, H. B., Randby, J. S., &amp; Klepp, K.-I. (2010). Design of a 20-month comprehensive, multicomponent school-based randomised trial to promote healthy weight development among 11-13 year olds: The HEalth In Adolescents study. </w:t>
      </w:r>
      <w:r w:rsidRPr="009A0EF9">
        <w:rPr>
          <w:rFonts w:ascii="Calibri" w:hAnsi="Calibri" w:cs="Calibri"/>
          <w:i/>
          <w:iCs/>
          <w:noProof/>
          <w:szCs w:val="24"/>
        </w:rPr>
        <w:t>Scandinavian Journal of Public Health</w:t>
      </w:r>
      <w:r w:rsidRPr="009A0EF9">
        <w:rPr>
          <w:rFonts w:ascii="Calibri" w:hAnsi="Calibri" w:cs="Calibri"/>
          <w:noProof/>
          <w:szCs w:val="24"/>
        </w:rPr>
        <w:t xml:space="preserve">, </w:t>
      </w:r>
      <w:r w:rsidRPr="009A0EF9">
        <w:rPr>
          <w:rFonts w:ascii="Calibri" w:hAnsi="Calibri" w:cs="Calibri"/>
          <w:i/>
          <w:iCs/>
          <w:noProof/>
          <w:szCs w:val="24"/>
        </w:rPr>
        <w:t>38</w:t>
      </w:r>
      <w:r w:rsidRPr="009A0EF9">
        <w:rPr>
          <w:rFonts w:ascii="Calibri" w:hAnsi="Calibri" w:cs="Calibri"/>
          <w:noProof/>
          <w:szCs w:val="24"/>
        </w:rPr>
        <w:t>(5), 38–51.</w:t>
      </w:r>
    </w:p>
    <w:p w14:paraId="1D28FB0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Lien, N., Lytle, L., &amp; Klepp, K. (2001). Stability in Consumption of Fruit, Vegetables, and Sugary Foods in a Cohort from Age 14 to Age 21. </w:t>
      </w:r>
      <w:r w:rsidRPr="009A0EF9">
        <w:rPr>
          <w:rFonts w:ascii="Calibri" w:hAnsi="Calibri" w:cs="Calibri"/>
          <w:i/>
          <w:iCs/>
          <w:noProof/>
          <w:szCs w:val="24"/>
        </w:rPr>
        <w:t>Preventive Medicine</w:t>
      </w:r>
      <w:r w:rsidRPr="009A0EF9">
        <w:rPr>
          <w:rFonts w:ascii="Calibri" w:hAnsi="Calibri" w:cs="Calibri"/>
          <w:noProof/>
          <w:szCs w:val="24"/>
        </w:rPr>
        <w:t xml:space="preserve">, </w:t>
      </w:r>
      <w:r w:rsidRPr="009A0EF9">
        <w:rPr>
          <w:rFonts w:ascii="Calibri" w:hAnsi="Calibri" w:cs="Calibri"/>
          <w:i/>
          <w:iCs/>
          <w:noProof/>
          <w:szCs w:val="24"/>
        </w:rPr>
        <w:t>33</w:t>
      </w:r>
      <w:r w:rsidRPr="009A0EF9">
        <w:rPr>
          <w:rFonts w:ascii="Calibri" w:hAnsi="Calibri" w:cs="Calibri"/>
          <w:noProof/>
          <w:szCs w:val="24"/>
        </w:rPr>
        <w:t>(3), 217–226.</w:t>
      </w:r>
    </w:p>
    <w:p w14:paraId="4833E1C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Lincoln, Y. S., &amp; Guba, E. G. (1985). </w:t>
      </w:r>
      <w:r w:rsidRPr="009A0EF9">
        <w:rPr>
          <w:rFonts w:ascii="Calibri" w:hAnsi="Calibri" w:cs="Calibri"/>
          <w:i/>
          <w:iCs/>
          <w:noProof/>
          <w:szCs w:val="24"/>
        </w:rPr>
        <w:t>Naturalistic inquiry</w:t>
      </w:r>
      <w:r w:rsidRPr="009A0EF9">
        <w:rPr>
          <w:rFonts w:ascii="Calibri" w:hAnsi="Calibri" w:cs="Calibri"/>
          <w:noProof/>
          <w:szCs w:val="24"/>
        </w:rPr>
        <w:t>. Sage Publications.</w:t>
      </w:r>
    </w:p>
    <w:p w14:paraId="0969C17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Linkenbach, J. W., &amp; Perkins, H. W. (2003). MOST of us are tobacco free: An eight-month social norms campaign reducing youth initiation of smoking in Montana. In H. W. Perkins (Ed.),. In </w:t>
      </w:r>
      <w:r w:rsidRPr="009A0EF9">
        <w:rPr>
          <w:rFonts w:ascii="Calibri" w:hAnsi="Calibri" w:cs="Calibri"/>
          <w:i/>
          <w:iCs/>
          <w:noProof/>
          <w:szCs w:val="24"/>
        </w:rPr>
        <w:t>The social norms approach to preventing school and college age substance abuse: A handbook for educators, counselor</w:t>
      </w:r>
      <w:r w:rsidRPr="009A0EF9">
        <w:rPr>
          <w:rFonts w:ascii="Calibri" w:hAnsi="Calibri" w:cs="Calibri"/>
          <w:noProof/>
          <w:szCs w:val="24"/>
        </w:rPr>
        <w:t>. Jossey-Bass.</w:t>
      </w:r>
    </w:p>
    <w:p w14:paraId="3930168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Lintonen, T. P., &amp; Konu, A. I. (2004). The misperceived social norm of drunkenness among early adolescents in Finland.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19</w:t>
      </w:r>
      <w:r w:rsidRPr="009A0EF9">
        <w:rPr>
          <w:rFonts w:ascii="Calibri" w:hAnsi="Calibri" w:cs="Calibri"/>
          <w:noProof/>
          <w:szCs w:val="24"/>
        </w:rPr>
        <w:t>(1), 64–70.</w:t>
      </w:r>
    </w:p>
    <w:p w14:paraId="04DDDFA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Lippke, S., Corbet, J. M., Lange, D., Parschau, L., &amp; Schwarzer, R. (2016). Intervention Engagement Moderates the Dose–Response Relationships in a Dietary Intervention. </w:t>
      </w:r>
      <w:r w:rsidRPr="009A0EF9">
        <w:rPr>
          <w:rFonts w:ascii="Calibri" w:hAnsi="Calibri" w:cs="Calibri"/>
          <w:i/>
          <w:iCs/>
          <w:noProof/>
          <w:szCs w:val="24"/>
        </w:rPr>
        <w:t>Dose-Response</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(1), 1559325816637515.</w:t>
      </w:r>
    </w:p>
    <w:p w14:paraId="4EDA385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Little, R. J., D’Agostino, R., Cohen, M. L., Dickersin, K., Emerson, S. S., Farrar, J. T., Frangakis, C., Hogan, J. W., Molenberghs, G., Murphy, S. A., Neaton, J. D., Rotnitzky, A., Scharfstein, D., Shih, W. J., Siegel, J. P., &amp; Stern, H. (2012). The prevention and treatment of missing data in clinical trials. </w:t>
      </w:r>
      <w:r w:rsidRPr="009A0EF9">
        <w:rPr>
          <w:rFonts w:ascii="Calibri" w:hAnsi="Calibri" w:cs="Calibri"/>
          <w:i/>
          <w:iCs/>
          <w:noProof/>
          <w:szCs w:val="24"/>
        </w:rPr>
        <w:t>The New England Journal of Medicine</w:t>
      </w:r>
      <w:r w:rsidRPr="009A0EF9">
        <w:rPr>
          <w:rFonts w:ascii="Calibri" w:hAnsi="Calibri" w:cs="Calibri"/>
          <w:noProof/>
          <w:szCs w:val="24"/>
        </w:rPr>
        <w:t xml:space="preserve">, </w:t>
      </w:r>
      <w:r w:rsidRPr="009A0EF9">
        <w:rPr>
          <w:rFonts w:ascii="Calibri" w:hAnsi="Calibri" w:cs="Calibri"/>
          <w:i/>
          <w:iCs/>
          <w:noProof/>
          <w:szCs w:val="24"/>
        </w:rPr>
        <w:t>367</w:t>
      </w:r>
      <w:r w:rsidRPr="009A0EF9">
        <w:rPr>
          <w:rFonts w:ascii="Calibri" w:hAnsi="Calibri" w:cs="Calibri"/>
          <w:noProof/>
          <w:szCs w:val="24"/>
        </w:rPr>
        <w:t>(14), 1355–1360.</w:t>
      </w:r>
    </w:p>
    <w:p w14:paraId="24AFB18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Liu, R. H. (2013). Health-promoting components of fruits and vegetables in the diet. </w:t>
      </w:r>
      <w:r w:rsidRPr="009A0EF9">
        <w:rPr>
          <w:rFonts w:ascii="Calibri" w:hAnsi="Calibri" w:cs="Calibri"/>
          <w:i/>
          <w:iCs/>
          <w:noProof/>
          <w:szCs w:val="24"/>
        </w:rPr>
        <w:t>Advances in Nutrition</w:t>
      </w:r>
      <w:r w:rsidRPr="009A0EF9">
        <w:rPr>
          <w:rFonts w:ascii="Calibri" w:hAnsi="Calibri" w:cs="Calibri"/>
          <w:noProof/>
          <w:szCs w:val="24"/>
        </w:rPr>
        <w:t xml:space="preserve">, </w:t>
      </w:r>
      <w:r w:rsidRPr="009A0EF9">
        <w:rPr>
          <w:rFonts w:ascii="Calibri" w:hAnsi="Calibri" w:cs="Calibri"/>
          <w:i/>
          <w:iCs/>
          <w:noProof/>
          <w:szCs w:val="24"/>
        </w:rPr>
        <w:t>4</w:t>
      </w:r>
      <w:r w:rsidRPr="009A0EF9">
        <w:rPr>
          <w:rFonts w:ascii="Calibri" w:hAnsi="Calibri" w:cs="Calibri"/>
          <w:noProof/>
          <w:szCs w:val="24"/>
        </w:rPr>
        <w:t>(3), 384S-92S.</w:t>
      </w:r>
    </w:p>
    <w:p w14:paraId="0339642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Lo, E., Coles, R., Humbert, M. L., Polowski, J., Henry, C. J., &amp; Whiting, S. J. (2008). Beverage intake improvement by high school students in Saskatchewan, Canada. </w:t>
      </w:r>
      <w:r w:rsidRPr="009A0EF9">
        <w:rPr>
          <w:rFonts w:ascii="Calibri" w:hAnsi="Calibri" w:cs="Calibri"/>
          <w:i/>
          <w:iCs/>
          <w:noProof/>
          <w:szCs w:val="24"/>
        </w:rPr>
        <w:t>Nutrition Research</w:t>
      </w:r>
      <w:r w:rsidRPr="009A0EF9">
        <w:rPr>
          <w:rFonts w:ascii="Calibri" w:hAnsi="Calibri" w:cs="Calibri"/>
          <w:noProof/>
          <w:szCs w:val="24"/>
        </w:rPr>
        <w:t xml:space="preserve">, </w:t>
      </w:r>
      <w:r w:rsidRPr="009A0EF9">
        <w:rPr>
          <w:rFonts w:ascii="Calibri" w:hAnsi="Calibri" w:cs="Calibri"/>
          <w:i/>
          <w:iCs/>
          <w:noProof/>
          <w:szCs w:val="24"/>
        </w:rPr>
        <w:t>28</w:t>
      </w:r>
      <w:r w:rsidRPr="009A0EF9">
        <w:rPr>
          <w:rFonts w:ascii="Calibri" w:hAnsi="Calibri" w:cs="Calibri"/>
          <w:noProof/>
          <w:szCs w:val="24"/>
        </w:rPr>
        <w:t>(3), 144–150.</w:t>
      </w:r>
    </w:p>
    <w:p w14:paraId="4BC4E2A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Louis, W., Davies, S., Smith, J., &amp; Terry, D. (2007). Pizza and Pop and the Student Identity: The Role of Referent Group Norms in Healthy and Unhealthy Eating. </w:t>
      </w:r>
      <w:r w:rsidRPr="009A0EF9">
        <w:rPr>
          <w:rFonts w:ascii="Calibri" w:hAnsi="Calibri" w:cs="Calibri"/>
          <w:i/>
          <w:iCs/>
          <w:noProof/>
          <w:szCs w:val="24"/>
        </w:rPr>
        <w:t>Journal of Social Psychology</w:t>
      </w:r>
      <w:r w:rsidRPr="009A0EF9">
        <w:rPr>
          <w:rFonts w:ascii="Calibri" w:hAnsi="Calibri" w:cs="Calibri"/>
          <w:noProof/>
          <w:szCs w:val="24"/>
        </w:rPr>
        <w:t xml:space="preserve">, </w:t>
      </w:r>
      <w:r w:rsidRPr="009A0EF9">
        <w:rPr>
          <w:rFonts w:ascii="Calibri" w:hAnsi="Calibri" w:cs="Calibri"/>
          <w:i/>
          <w:iCs/>
          <w:noProof/>
          <w:szCs w:val="24"/>
        </w:rPr>
        <w:t>147</w:t>
      </w:r>
      <w:r w:rsidRPr="009A0EF9">
        <w:rPr>
          <w:rFonts w:ascii="Calibri" w:hAnsi="Calibri" w:cs="Calibri"/>
          <w:noProof/>
          <w:szCs w:val="24"/>
        </w:rPr>
        <w:t>(1), 57–74.</w:t>
      </w:r>
    </w:p>
    <w:p w14:paraId="5B38AF8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Lubans, D. R., Morgan, P. J., Callister, R., &amp; Collins, C. E. (2009). Effects of integrating pedometers, parental materials, and e-mail support within an extracurricular school sport intervention. </w:t>
      </w:r>
      <w:r w:rsidRPr="009A0EF9">
        <w:rPr>
          <w:rFonts w:ascii="Calibri" w:hAnsi="Calibri" w:cs="Calibri"/>
          <w:i/>
          <w:iCs/>
          <w:noProof/>
          <w:szCs w:val="24"/>
        </w:rPr>
        <w:t>Journal of Adolescent Health</w:t>
      </w:r>
      <w:r w:rsidRPr="009A0EF9">
        <w:rPr>
          <w:rFonts w:ascii="Calibri" w:hAnsi="Calibri" w:cs="Calibri"/>
          <w:noProof/>
          <w:szCs w:val="24"/>
        </w:rPr>
        <w:t xml:space="preserve">, </w:t>
      </w:r>
      <w:r w:rsidRPr="009A0EF9">
        <w:rPr>
          <w:rFonts w:ascii="Calibri" w:hAnsi="Calibri" w:cs="Calibri"/>
          <w:i/>
          <w:iCs/>
          <w:noProof/>
          <w:szCs w:val="24"/>
        </w:rPr>
        <w:t>44</w:t>
      </w:r>
      <w:r w:rsidRPr="009A0EF9">
        <w:rPr>
          <w:rFonts w:ascii="Calibri" w:hAnsi="Calibri" w:cs="Calibri"/>
          <w:noProof/>
          <w:szCs w:val="24"/>
        </w:rPr>
        <w:t>(2), 176–183.</w:t>
      </w:r>
    </w:p>
    <w:p w14:paraId="28B2FD7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Lubans, D. R., Plotnikoff, R. C., Morgan, P. J., Dewar, D., Costigan, S., &amp; Collins, C. E. (2012). Explaining dietary intake in adolescent girls from disadvantaged secondary schools. A test of Social Cognitive Theory.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58</w:t>
      </w:r>
      <w:r w:rsidRPr="009A0EF9">
        <w:rPr>
          <w:rFonts w:ascii="Calibri" w:hAnsi="Calibri" w:cs="Calibri"/>
          <w:noProof/>
          <w:szCs w:val="24"/>
        </w:rPr>
        <w:t>(2), 517–524.</w:t>
      </w:r>
    </w:p>
    <w:p w14:paraId="75B2071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Lytle, L. A., Seifert, S., Greenstein, J., &amp; McGovern, P. (2000). How do children’s eating patterns and food choices change over time? Results from a cohort study. </w:t>
      </w:r>
      <w:r w:rsidRPr="009A0EF9">
        <w:rPr>
          <w:rFonts w:ascii="Calibri" w:hAnsi="Calibri" w:cs="Calibri"/>
          <w:i/>
          <w:iCs/>
          <w:noProof/>
          <w:szCs w:val="24"/>
        </w:rPr>
        <w:t>American Journal of Health Promotion</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(4), 222–228.</w:t>
      </w:r>
    </w:p>
    <w:p w14:paraId="49C6967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Maatoug, J., Msakni, Z., Zammit, N., Bhiri, S., Harrabi, I., Boughammoura, L., Slama, S., Larbi, C., &amp; Ghannem, H. (2015). School-Based Intervention as a Component of a Comprehensive Community Program for Overweight and Obesity Prevention, Sousse, Tunisia, 2009–2014. </w:t>
      </w:r>
      <w:r w:rsidRPr="009A0EF9">
        <w:rPr>
          <w:rFonts w:ascii="Calibri" w:hAnsi="Calibri" w:cs="Calibri"/>
          <w:i/>
          <w:iCs/>
          <w:noProof/>
          <w:szCs w:val="24"/>
        </w:rPr>
        <w:t>Preventing Chronic Disease</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 1–105.</w:t>
      </w:r>
    </w:p>
    <w:p w14:paraId="6286DAA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Mackenzie, K., Such, E., Norman, P., &amp; Goyder, E. (2018). The development, implementation and evaluation of interventions to reduce workplace sitting: a qualitative systematic review and evidence-based operational framework. </w:t>
      </w:r>
      <w:r w:rsidRPr="009A0EF9">
        <w:rPr>
          <w:rFonts w:ascii="Calibri" w:hAnsi="Calibri" w:cs="Calibri"/>
          <w:i/>
          <w:iCs/>
          <w:noProof/>
          <w:szCs w:val="24"/>
        </w:rPr>
        <w:t>BMC Public Health</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(1), 1–18.</w:t>
      </w:r>
    </w:p>
    <w:p w14:paraId="6A7EEB7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Mackie, G., Moneti, F., Shakya, H., &amp; Denny, E. (2015). What are social norms? How are they measured. In </w:t>
      </w:r>
      <w:r w:rsidRPr="009A0EF9">
        <w:rPr>
          <w:rFonts w:ascii="Calibri" w:hAnsi="Calibri" w:cs="Calibri"/>
          <w:i/>
          <w:iCs/>
          <w:noProof/>
          <w:szCs w:val="24"/>
        </w:rPr>
        <w:t>University of California at San Diego-UNICEF Working Paper, San Diego</w:t>
      </w:r>
      <w:r w:rsidRPr="009A0EF9">
        <w:rPr>
          <w:rFonts w:ascii="Calibri" w:hAnsi="Calibri" w:cs="Calibri"/>
          <w:noProof/>
          <w:szCs w:val="24"/>
        </w:rPr>
        <w:t>. https://www.dmeforpeace.org/wp-content/uploads/2017/06/42009203020Whole20What20are20Social20Norms.pdf</w:t>
      </w:r>
    </w:p>
    <w:p w14:paraId="221C3A4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Macnab, A. J., Gagnon, F. A., &amp; Stewart, D. (2014). Health promoting schools: consensus, strategies, and potential. </w:t>
      </w:r>
      <w:r w:rsidRPr="009A0EF9">
        <w:rPr>
          <w:rFonts w:ascii="Calibri" w:hAnsi="Calibri" w:cs="Calibri"/>
          <w:i/>
          <w:iCs/>
          <w:noProof/>
          <w:szCs w:val="24"/>
        </w:rPr>
        <w:t>Health Education</w:t>
      </w:r>
      <w:r w:rsidRPr="009A0EF9">
        <w:rPr>
          <w:rFonts w:ascii="Calibri" w:hAnsi="Calibri" w:cs="Calibri"/>
          <w:noProof/>
          <w:szCs w:val="24"/>
        </w:rPr>
        <w:t xml:space="preserve">, </w:t>
      </w:r>
      <w:r w:rsidRPr="009A0EF9">
        <w:rPr>
          <w:rFonts w:ascii="Calibri" w:hAnsi="Calibri" w:cs="Calibri"/>
          <w:i/>
          <w:iCs/>
          <w:noProof/>
          <w:szCs w:val="24"/>
        </w:rPr>
        <w:t>114</w:t>
      </w:r>
      <w:r w:rsidRPr="009A0EF9">
        <w:rPr>
          <w:rFonts w:ascii="Calibri" w:hAnsi="Calibri" w:cs="Calibri"/>
          <w:noProof/>
          <w:szCs w:val="24"/>
        </w:rPr>
        <w:t>(3), 170–185.</w:t>
      </w:r>
    </w:p>
    <w:p w14:paraId="2FF48DE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Marley, S., Bekker, H. L., &amp; Bewick, B. M. (2016). Responding to personalised social norms feedback from a web-based alcohol reduction intervention for students: Analysis of think-aloud verbal protocols. </w:t>
      </w:r>
      <w:r w:rsidRPr="009A0EF9">
        <w:rPr>
          <w:rFonts w:ascii="Calibri" w:hAnsi="Calibri" w:cs="Calibri"/>
          <w:i/>
          <w:iCs/>
          <w:noProof/>
          <w:szCs w:val="24"/>
        </w:rPr>
        <w:t>Psychology &amp; Health</w:t>
      </w:r>
      <w:r w:rsidRPr="009A0EF9">
        <w:rPr>
          <w:rFonts w:ascii="Calibri" w:hAnsi="Calibri" w:cs="Calibri"/>
          <w:noProof/>
          <w:szCs w:val="24"/>
        </w:rPr>
        <w:t xml:space="preserve">, </w:t>
      </w:r>
      <w:r w:rsidRPr="009A0EF9">
        <w:rPr>
          <w:rFonts w:ascii="Calibri" w:hAnsi="Calibri" w:cs="Calibri"/>
          <w:i/>
          <w:iCs/>
          <w:noProof/>
          <w:szCs w:val="24"/>
        </w:rPr>
        <w:t>31</w:t>
      </w:r>
      <w:r w:rsidRPr="009A0EF9">
        <w:rPr>
          <w:rFonts w:ascii="Calibri" w:hAnsi="Calibri" w:cs="Calibri"/>
          <w:noProof/>
          <w:szCs w:val="24"/>
        </w:rPr>
        <w:t>(9), 1007–1024.</w:t>
      </w:r>
    </w:p>
    <w:p w14:paraId="53F4EE7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Martens, M. P., Page, J. C., Mowry, E. S., Damann, K. M., Taylor, K. K., &amp; Cimini, M. D. (2006). Differences Between Actual and Perceived Student Norms: An Examination of Alcohol Use, Drug Use, and Sexual Behavior. </w:t>
      </w:r>
      <w:r w:rsidRPr="009A0EF9">
        <w:rPr>
          <w:rFonts w:ascii="Calibri" w:hAnsi="Calibri" w:cs="Calibri"/>
          <w:i/>
          <w:iCs/>
          <w:noProof/>
          <w:szCs w:val="24"/>
        </w:rPr>
        <w:t>Journal of American College Health</w:t>
      </w:r>
      <w:r w:rsidRPr="009A0EF9">
        <w:rPr>
          <w:rFonts w:ascii="Calibri" w:hAnsi="Calibri" w:cs="Calibri"/>
          <w:noProof/>
          <w:szCs w:val="24"/>
        </w:rPr>
        <w:t xml:space="preserve">, </w:t>
      </w:r>
      <w:r w:rsidRPr="009A0EF9">
        <w:rPr>
          <w:rFonts w:ascii="Calibri" w:hAnsi="Calibri" w:cs="Calibri"/>
          <w:i/>
          <w:iCs/>
          <w:noProof/>
          <w:szCs w:val="24"/>
        </w:rPr>
        <w:t>54</w:t>
      </w:r>
      <w:r w:rsidRPr="009A0EF9">
        <w:rPr>
          <w:rFonts w:ascii="Calibri" w:hAnsi="Calibri" w:cs="Calibri"/>
          <w:noProof/>
          <w:szCs w:val="24"/>
        </w:rPr>
        <w:t>(5), 295–300.</w:t>
      </w:r>
    </w:p>
    <w:p w14:paraId="766E699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Martens, M., van Assema, P., Knibbe, R., Engels, R., &amp; Brug, J. (2010). Family Environmental Factors Do Not Explain Differences in the Behavioral Effect of a Healthy Diet Promotion Program in Lower Vocational Schools Among 12- to 14-Year-Old Adolescents. </w:t>
      </w:r>
      <w:r w:rsidRPr="009A0EF9">
        <w:rPr>
          <w:rFonts w:ascii="Calibri" w:hAnsi="Calibri" w:cs="Calibri"/>
          <w:i/>
          <w:iCs/>
          <w:noProof/>
          <w:szCs w:val="24"/>
        </w:rPr>
        <w:t>American Journal of Health Promotion</w:t>
      </w:r>
      <w:r w:rsidRPr="009A0EF9">
        <w:rPr>
          <w:rFonts w:ascii="Calibri" w:hAnsi="Calibri" w:cs="Calibri"/>
          <w:noProof/>
          <w:szCs w:val="24"/>
        </w:rPr>
        <w:t xml:space="preserve">, </w:t>
      </w:r>
      <w:r w:rsidRPr="009A0EF9">
        <w:rPr>
          <w:rFonts w:ascii="Calibri" w:hAnsi="Calibri" w:cs="Calibri"/>
          <w:i/>
          <w:iCs/>
          <w:noProof/>
          <w:szCs w:val="24"/>
        </w:rPr>
        <w:t>24</w:t>
      </w:r>
      <w:r w:rsidRPr="009A0EF9">
        <w:rPr>
          <w:rFonts w:ascii="Calibri" w:hAnsi="Calibri" w:cs="Calibri"/>
          <w:noProof/>
          <w:szCs w:val="24"/>
        </w:rPr>
        <w:t>(3), 182–185.</w:t>
      </w:r>
    </w:p>
    <w:p w14:paraId="04D5651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Mauriello, L. M., Ciavatta, M. M. H., Paiva, A. L., Sherman, K. J., Castle, P. H., Johnson, J. L., &amp; </w:t>
      </w:r>
      <w:r w:rsidRPr="009A0EF9">
        <w:rPr>
          <w:rFonts w:ascii="Calibri" w:hAnsi="Calibri" w:cs="Calibri"/>
          <w:noProof/>
          <w:szCs w:val="24"/>
        </w:rPr>
        <w:lastRenderedPageBreak/>
        <w:t xml:space="preserve">Prochaska, J. M. (2010). Results of a multi-media multiple behavior obesity prevention program for adolescents. </w:t>
      </w:r>
      <w:r w:rsidRPr="009A0EF9">
        <w:rPr>
          <w:rFonts w:ascii="Calibri" w:hAnsi="Calibri" w:cs="Calibri"/>
          <w:i/>
          <w:iCs/>
          <w:noProof/>
          <w:szCs w:val="24"/>
        </w:rPr>
        <w:t>Preventive Medicine: An International Journal Devoted to Practice and Theory</w:t>
      </w:r>
      <w:r w:rsidRPr="009A0EF9">
        <w:rPr>
          <w:rFonts w:ascii="Calibri" w:hAnsi="Calibri" w:cs="Calibri"/>
          <w:noProof/>
          <w:szCs w:val="24"/>
        </w:rPr>
        <w:t xml:space="preserve">, </w:t>
      </w:r>
      <w:r w:rsidRPr="009A0EF9">
        <w:rPr>
          <w:rFonts w:ascii="Calibri" w:hAnsi="Calibri" w:cs="Calibri"/>
          <w:i/>
          <w:iCs/>
          <w:noProof/>
          <w:szCs w:val="24"/>
        </w:rPr>
        <w:t>51</w:t>
      </w:r>
      <w:r w:rsidRPr="009A0EF9">
        <w:rPr>
          <w:rFonts w:ascii="Calibri" w:hAnsi="Calibri" w:cs="Calibri"/>
          <w:noProof/>
          <w:szCs w:val="24"/>
        </w:rPr>
        <w:t>(6), 451–456.</w:t>
      </w:r>
    </w:p>
    <w:p w14:paraId="0994668C" w14:textId="77777777" w:rsidR="009A0EF9" w:rsidRPr="00500F3A"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Maxwell, S. E., Delaney, H. D., &amp; Kelley, K. (2017). </w:t>
      </w:r>
      <w:r w:rsidRPr="009A0EF9">
        <w:rPr>
          <w:rFonts w:ascii="Calibri" w:hAnsi="Calibri" w:cs="Calibri"/>
          <w:i/>
          <w:iCs/>
          <w:noProof/>
          <w:szCs w:val="24"/>
        </w:rPr>
        <w:t xml:space="preserve">Designing experiments and analyzing data: A </w:t>
      </w:r>
      <w:r w:rsidRPr="00500F3A">
        <w:rPr>
          <w:rFonts w:ascii="Calibri" w:hAnsi="Calibri" w:cs="Calibri"/>
          <w:i/>
          <w:iCs/>
          <w:noProof/>
          <w:szCs w:val="24"/>
        </w:rPr>
        <w:t>model comparison perspective</w:t>
      </w:r>
      <w:r w:rsidRPr="00500F3A">
        <w:rPr>
          <w:rFonts w:ascii="Calibri" w:hAnsi="Calibri" w:cs="Calibri"/>
          <w:noProof/>
          <w:szCs w:val="24"/>
        </w:rPr>
        <w:t>. Routledge.</w:t>
      </w:r>
    </w:p>
    <w:p w14:paraId="1D2EC302" w14:textId="77777777" w:rsidR="009A0EF9" w:rsidRPr="00500F3A"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Mayring, P. (2004). Qualitative content analysis. In U. Flick, E. Kardoff, &amp; I. Steinke (Eds.), </w:t>
      </w:r>
      <w:r w:rsidRPr="00500F3A">
        <w:rPr>
          <w:rFonts w:ascii="Calibri" w:hAnsi="Calibri" w:cs="Calibri"/>
          <w:i/>
          <w:iCs/>
          <w:noProof/>
          <w:szCs w:val="24"/>
        </w:rPr>
        <w:t>A companion to qualitative research</w:t>
      </w:r>
      <w:r w:rsidRPr="00500F3A">
        <w:rPr>
          <w:rFonts w:ascii="Calibri" w:hAnsi="Calibri" w:cs="Calibri"/>
          <w:noProof/>
          <w:szCs w:val="24"/>
        </w:rPr>
        <w:t xml:space="preserve"> (pp. 266–270). Sage Publications.</w:t>
      </w:r>
    </w:p>
    <w:p w14:paraId="25FBD56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Mays</w:t>
      </w:r>
      <w:r w:rsidRPr="009A0EF9">
        <w:rPr>
          <w:rFonts w:ascii="Calibri" w:hAnsi="Calibri" w:cs="Calibri"/>
          <w:noProof/>
          <w:szCs w:val="24"/>
        </w:rPr>
        <w:t xml:space="preserve">, N., &amp; Pope, C. (1995). Qualitative research: rigour and qualitative research. </w:t>
      </w:r>
      <w:r w:rsidRPr="009A0EF9">
        <w:rPr>
          <w:rFonts w:ascii="Calibri" w:hAnsi="Calibri" w:cs="Calibri"/>
          <w:i/>
          <w:iCs/>
          <w:noProof/>
          <w:szCs w:val="24"/>
        </w:rPr>
        <w:t>British Medical Journal</w:t>
      </w:r>
      <w:r w:rsidRPr="009A0EF9">
        <w:rPr>
          <w:rFonts w:ascii="Calibri" w:hAnsi="Calibri" w:cs="Calibri"/>
          <w:noProof/>
          <w:szCs w:val="24"/>
        </w:rPr>
        <w:t xml:space="preserve">, </w:t>
      </w:r>
      <w:r w:rsidRPr="009A0EF9">
        <w:rPr>
          <w:rFonts w:ascii="Calibri" w:hAnsi="Calibri" w:cs="Calibri"/>
          <w:i/>
          <w:iCs/>
          <w:noProof/>
          <w:szCs w:val="24"/>
        </w:rPr>
        <w:t>311</w:t>
      </w:r>
      <w:r w:rsidRPr="009A0EF9">
        <w:rPr>
          <w:rFonts w:ascii="Calibri" w:hAnsi="Calibri" w:cs="Calibri"/>
          <w:noProof/>
          <w:szCs w:val="24"/>
        </w:rPr>
        <w:t>(6997), 109–112.</w:t>
      </w:r>
    </w:p>
    <w:p w14:paraId="4936BAA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McAlaney, J, Bewick, B., &amp; Hughes, C. (2011). The international development of the “Social Norms” approach to drug education and prevention. </w:t>
      </w:r>
      <w:r w:rsidRPr="009A0EF9">
        <w:rPr>
          <w:rFonts w:ascii="Calibri" w:hAnsi="Calibri" w:cs="Calibri"/>
          <w:i/>
          <w:iCs/>
          <w:noProof/>
          <w:szCs w:val="24"/>
        </w:rPr>
        <w:t>Drugs: Education, Prevention and Policy</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 81–89.</w:t>
      </w:r>
    </w:p>
    <w:p w14:paraId="53A3FB5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McAlaney, J, Bewick, B. M., &amp; Bauerle, J. (2010). Social norms guidebook: A guide to implementing the social norms approach in the UK. </w:t>
      </w:r>
      <w:r w:rsidRPr="009A0EF9">
        <w:rPr>
          <w:rFonts w:ascii="Calibri" w:hAnsi="Calibri" w:cs="Calibri"/>
          <w:i/>
          <w:iCs/>
          <w:noProof/>
          <w:szCs w:val="24"/>
        </w:rPr>
        <w:t>University of Bradford, University of Leeds, Department of Health: West Yorkshire, UK</w:t>
      </w:r>
      <w:r w:rsidRPr="009A0EF9">
        <w:rPr>
          <w:rFonts w:ascii="Calibri" w:hAnsi="Calibri" w:cs="Calibri"/>
          <w:noProof/>
          <w:szCs w:val="24"/>
        </w:rPr>
        <w:t>.</w:t>
      </w:r>
    </w:p>
    <w:p w14:paraId="54ED8AC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McAlaney, John, Almourad, M. B., Powell, G., &amp; Ali, R. (2020). Perceptions and misperceptions of smartphone use: Applying the social norms approach. </w:t>
      </w:r>
      <w:r w:rsidRPr="009A0EF9">
        <w:rPr>
          <w:rFonts w:ascii="Calibri" w:hAnsi="Calibri" w:cs="Calibri"/>
          <w:i/>
          <w:iCs/>
          <w:noProof/>
          <w:szCs w:val="24"/>
        </w:rPr>
        <w:t>Information</w:t>
      </w:r>
      <w:r w:rsidRPr="009A0EF9">
        <w:rPr>
          <w:rFonts w:ascii="Calibri" w:hAnsi="Calibri" w:cs="Calibri"/>
          <w:noProof/>
          <w:szCs w:val="24"/>
        </w:rPr>
        <w:t xml:space="preserve">, </w:t>
      </w:r>
      <w:r w:rsidRPr="009A0EF9">
        <w:rPr>
          <w:rFonts w:ascii="Calibri" w:hAnsi="Calibri" w:cs="Calibri"/>
          <w:i/>
          <w:iCs/>
          <w:noProof/>
          <w:szCs w:val="24"/>
        </w:rPr>
        <w:t>11</w:t>
      </w:r>
      <w:r w:rsidRPr="009A0EF9">
        <w:rPr>
          <w:rFonts w:ascii="Calibri" w:hAnsi="Calibri" w:cs="Calibri"/>
          <w:noProof/>
          <w:szCs w:val="24"/>
        </w:rPr>
        <w:t>(11), 513–514.</w:t>
      </w:r>
    </w:p>
    <w:p w14:paraId="37F0BB4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McAlaney, John, Bewick, B., &amp; Hughes, C. (2011). The international development of the ‘Social Norms’ approach to drug education and prevention. </w:t>
      </w:r>
      <w:r w:rsidRPr="009A0EF9">
        <w:rPr>
          <w:rFonts w:ascii="Calibri" w:hAnsi="Calibri" w:cs="Calibri"/>
          <w:i/>
          <w:iCs/>
          <w:noProof/>
          <w:szCs w:val="24"/>
        </w:rPr>
        <w:t>Drugs: Education, Prevention and Policy</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(2), 81–89.</w:t>
      </w:r>
    </w:p>
    <w:p w14:paraId="294E1A6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McCabe, B. E., Plotnikoff, R. C., Dewar, D. L., Collins, C. E., &amp; Lubans, D. R. (2015). Social cognitive mediators of dietary behavior change in adolescent girls. </w:t>
      </w:r>
      <w:r w:rsidRPr="009A0EF9">
        <w:rPr>
          <w:rFonts w:ascii="Calibri" w:hAnsi="Calibri" w:cs="Calibri"/>
          <w:i/>
          <w:iCs/>
          <w:noProof/>
          <w:szCs w:val="24"/>
        </w:rPr>
        <w:t>American Journal of Health Behavior</w:t>
      </w:r>
      <w:r w:rsidRPr="009A0EF9">
        <w:rPr>
          <w:rFonts w:ascii="Calibri" w:hAnsi="Calibri" w:cs="Calibri"/>
          <w:noProof/>
          <w:szCs w:val="24"/>
        </w:rPr>
        <w:t xml:space="preserve">, </w:t>
      </w:r>
      <w:r w:rsidRPr="009A0EF9">
        <w:rPr>
          <w:rFonts w:ascii="Calibri" w:hAnsi="Calibri" w:cs="Calibri"/>
          <w:i/>
          <w:iCs/>
          <w:noProof/>
          <w:szCs w:val="24"/>
        </w:rPr>
        <w:t>39</w:t>
      </w:r>
      <w:r w:rsidRPr="009A0EF9">
        <w:rPr>
          <w:rFonts w:ascii="Calibri" w:hAnsi="Calibri" w:cs="Calibri"/>
          <w:noProof/>
          <w:szCs w:val="24"/>
        </w:rPr>
        <w:t>(1), 51–61.</w:t>
      </w:r>
    </w:p>
    <w:p w14:paraId="3457489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McLennan, D., Barnes, H., Noble, M., Davies, J., Garratt, E., &amp; Dibben, C. (2011). The English indices of deprivation 2010. </w:t>
      </w:r>
      <w:r w:rsidRPr="009A0EF9">
        <w:rPr>
          <w:rFonts w:ascii="Calibri" w:hAnsi="Calibri" w:cs="Calibri"/>
          <w:i/>
          <w:iCs/>
          <w:noProof/>
          <w:szCs w:val="24"/>
        </w:rPr>
        <w:t>London: Department for Communities and Local Government</w:t>
      </w:r>
      <w:r w:rsidRPr="009A0EF9">
        <w:rPr>
          <w:rFonts w:ascii="Calibri" w:hAnsi="Calibri" w:cs="Calibri"/>
          <w:noProof/>
          <w:szCs w:val="24"/>
        </w:rPr>
        <w:t>.</w:t>
      </w:r>
    </w:p>
    <w:p w14:paraId="1389AA8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Mellor, D., &amp; Moore, K. A. (2014). The use of Likert scales with children. </w:t>
      </w:r>
      <w:r w:rsidRPr="009A0EF9">
        <w:rPr>
          <w:rFonts w:ascii="Calibri" w:hAnsi="Calibri" w:cs="Calibri"/>
          <w:i/>
          <w:iCs/>
          <w:noProof/>
          <w:szCs w:val="24"/>
        </w:rPr>
        <w:t>Journal of Pediatric Psychology</w:t>
      </w:r>
      <w:r w:rsidRPr="009A0EF9">
        <w:rPr>
          <w:rFonts w:ascii="Calibri" w:hAnsi="Calibri" w:cs="Calibri"/>
          <w:noProof/>
          <w:szCs w:val="24"/>
        </w:rPr>
        <w:t xml:space="preserve">, </w:t>
      </w:r>
      <w:r w:rsidRPr="009A0EF9">
        <w:rPr>
          <w:rFonts w:ascii="Calibri" w:hAnsi="Calibri" w:cs="Calibri"/>
          <w:i/>
          <w:iCs/>
          <w:noProof/>
          <w:szCs w:val="24"/>
        </w:rPr>
        <w:t>39</w:t>
      </w:r>
      <w:r w:rsidRPr="009A0EF9">
        <w:rPr>
          <w:rFonts w:ascii="Calibri" w:hAnsi="Calibri" w:cs="Calibri"/>
          <w:noProof/>
          <w:szCs w:val="24"/>
        </w:rPr>
        <w:t>(3), 369–379.</w:t>
      </w:r>
    </w:p>
    <w:p w14:paraId="235F70F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Micha, R., Karageorgou, D., Bakogianni, I., Trichia, E., Whitsel, L. P., Story, M., Peñalvo, J. L., &amp; Mozaffarian, D. (2018). Effectiveness of school food environment policies on children’s dietary behaviors: A systematic review and meta-analysis. </w:t>
      </w:r>
      <w:r w:rsidRPr="009A0EF9">
        <w:rPr>
          <w:rFonts w:ascii="Calibri" w:hAnsi="Calibri" w:cs="Calibri"/>
          <w:i/>
          <w:iCs/>
          <w:noProof/>
          <w:szCs w:val="24"/>
        </w:rPr>
        <w:t>PloS One</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(3), e0194555.</w:t>
      </w:r>
    </w:p>
    <w:p w14:paraId="1F7E1DA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Miller, D., &amp; Prentice, D. (2016). Changing Norms to Change Behavior. </w:t>
      </w:r>
      <w:r w:rsidRPr="009A0EF9">
        <w:rPr>
          <w:rFonts w:ascii="Calibri" w:hAnsi="Calibri" w:cs="Calibri"/>
          <w:i/>
          <w:iCs/>
          <w:noProof/>
          <w:szCs w:val="24"/>
        </w:rPr>
        <w:t>Annual Review of Psychology</w:t>
      </w:r>
      <w:r w:rsidRPr="009A0EF9">
        <w:rPr>
          <w:rFonts w:ascii="Calibri" w:hAnsi="Calibri" w:cs="Calibri"/>
          <w:noProof/>
          <w:szCs w:val="24"/>
        </w:rPr>
        <w:t xml:space="preserve">, </w:t>
      </w:r>
      <w:r w:rsidRPr="009A0EF9">
        <w:rPr>
          <w:rFonts w:ascii="Calibri" w:hAnsi="Calibri" w:cs="Calibri"/>
          <w:i/>
          <w:iCs/>
          <w:noProof/>
          <w:szCs w:val="24"/>
        </w:rPr>
        <w:t>67</w:t>
      </w:r>
      <w:r w:rsidRPr="009A0EF9">
        <w:rPr>
          <w:rFonts w:ascii="Calibri" w:hAnsi="Calibri" w:cs="Calibri"/>
          <w:noProof/>
          <w:szCs w:val="24"/>
        </w:rPr>
        <w:t>, 339–361.</w:t>
      </w:r>
    </w:p>
    <w:p w14:paraId="4444930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Mockus, A. (2002). Co-existence as harmonization of law, morality and culture. </w:t>
      </w:r>
      <w:r w:rsidRPr="009A0EF9">
        <w:rPr>
          <w:rFonts w:ascii="Calibri" w:hAnsi="Calibri" w:cs="Calibri"/>
          <w:i/>
          <w:iCs/>
          <w:noProof/>
          <w:szCs w:val="24"/>
        </w:rPr>
        <w:t>Prospects</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(1), 19–37.</w:t>
      </w:r>
    </w:p>
    <w:p w14:paraId="15C8EA4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Mollen, S., Rimal, R. N., Ruiter, R. A. C., &amp; Kok, G. (2013). Healthy and unhealthy social norms and food selection. Findings from a field-experiment.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65</w:t>
      </w:r>
      <w:r w:rsidRPr="009A0EF9">
        <w:rPr>
          <w:rFonts w:ascii="Calibri" w:hAnsi="Calibri" w:cs="Calibri"/>
          <w:noProof/>
          <w:szCs w:val="24"/>
        </w:rPr>
        <w:t>, 83–89.</w:t>
      </w:r>
    </w:p>
    <w:p w14:paraId="57CF855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Moore, G., Audrey, S., Barker, M., Bond, L., Bonell, C., Cooper, C., Hardeman, W., Moore, L., O’Cathain, A., &amp; Tinati, T. (2014). Process evaluation in complex public health intervention studies: the need for guidance. </w:t>
      </w:r>
      <w:r w:rsidRPr="009A0EF9">
        <w:rPr>
          <w:rFonts w:ascii="Calibri" w:hAnsi="Calibri" w:cs="Calibri"/>
          <w:i/>
          <w:iCs/>
          <w:noProof/>
          <w:szCs w:val="24"/>
        </w:rPr>
        <w:t>Epidemiol Community Health</w:t>
      </w:r>
      <w:r w:rsidRPr="009A0EF9">
        <w:rPr>
          <w:rFonts w:ascii="Calibri" w:hAnsi="Calibri" w:cs="Calibri"/>
          <w:noProof/>
          <w:szCs w:val="24"/>
        </w:rPr>
        <w:t xml:space="preserve">, </w:t>
      </w:r>
      <w:r w:rsidRPr="009A0EF9">
        <w:rPr>
          <w:rFonts w:ascii="Calibri" w:hAnsi="Calibri" w:cs="Calibri"/>
          <w:i/>
          <w:iCs/>
          <w:noProof/>
          <w:szCs w:val="24"/>
        </w:rPr>
        <w:t>68</w:t>
      </w:r>
      <w:r w:rsidRPr="009A0EF9">
        <w:rPr>
          <w:rFonts w:ascii="Calibri" w:hAnsi="Calibri" w:cs="Calibri"/>
          <w:noProof/>
          <w:szCs w:val="24"/>
        </w:rPr>
        <w:t>(2), 101–102.</w:t>
      </w:r>
    </w:p>
    <w:p w14:paraId="4F3C6B7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Morgan, D. L. (2014). </w:t>
      </w:r>
      <w:r w:rsidRPr="009A0EF9">
        <w:rPr>
          <w:rFonts w:ascii="Calibri" w:hAnsi="Calibri" w:cs="Calibri"/>
          <w:i/>
          <w:iCs/>
          <w:noProof/>
          <w:szCs w:val="24"/>
        </w:rPr>
        <w:t>Integrating qualitative and quantitative methods: A pragmatic approach.</w:t>
      </w:r>
      <w:r w:rsidRPr="009A0EF9">
        <w:rPr>
          <w:rFonts w:ascii="Calibri" w:hAnsi="Calibri" w:cs="Calibri"/>
          <w:noProof/>
          <w:szCs w:val="24"/>
        </w:rPr>
        <w:t xml:space="preserve"> Thousand Oaks: Sage.</w:t>
      </w:r>
    </w:p>
    <w:p w14:paraId="5BF3D24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Morris, R. W. (1991). Limitations of quantitative methods for research on values in sexuality education. </w:t>
      </w:r>
      <w:r w:rsidRPr="009A0EF9">
        <w:rPr>
          <w:rFonts w:ascii="Calibri" w:hAnsi="Calibri" w:cs="Calibri"/>
          <w:i/>
          <w:iCs/>
          <w:noProof/>
          <w:szCs w:val="24"/>
        </w:rPr>
        <w:t>Canadian Journal of Education</w:t>
      </w:r>
      <w:r w:rsidRPr="009A0EF9">
        <w:rPr>
          <w:rFonts w:ascii="Calibri" w:hAnsi="Calibri" w:cs="Calibri"/>
          <w:noProof/>
          <w:szCs w:val="24"/>
        </w:rPr>
        <w:t>, 82–92.</w:t>
      </w:r>
    </w:p>
    <w:p w14:paraId="33D5E48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Must, A., Jacques, P. F., Dallal, G. E., Bajema, C. J., &amp; Dietz, W. H. (1992). Long-term morbidity and mortality of overweight adolescents: a follow-up of the Harvard Growth Study of 1922 to 1935. </w:t>
      </w:r>
      <w:r w:rsidRPr="009A0EF9">
        <w:rPr>
          <w:rFonts w:ascii="Calibri" w:hAnsi="Calibri" w:cs="Calibri"/>
          <w:i/>
          <w:iCs/>
          <w:noProof/>
          <w:szCs w:val="24"/>
        </w:rPr>
        <w:t>New England Journal of Medicine</w:t>
      </w:r>
      <w:r w:rsidRPr="009A0EF9">
        <w:rPr>
          <w:rFonts w:ascii="Calibri" w:hAnsi="Calibri" w:cs="Calibri"/>
          <w:noProof/>
          <w:szCs w:val="24"/>
        </w:rPr>
        <w:t xml:space="preserve">, </w:t>
      </w:r>
      <w:r w:rsidRPr="009A0EF9">
        <w:rPr>
          <w:rFonts w:ascii="Calibri" w:hAnsi="Calibri" w:cs="Calibri"/>
          <w:i/>
          <w:iCs/>
          <w:noProof/>
          <w:szCs w:val="24"/>
        </w:rPr>
        <w:t>327</w:t>
      </w:r>
      <w:r w:rsidRPr="009A0EF9">
        <w:rPr>
          <w:rFonts w:ascii="Calibri" w:hAnsi="Calibri" w:cs="Calibri"/>
          <w:noProof/>
          <w:szCs w:val="24"/>
        </w:rPr>
        <w:t>(19), 1350–1355.</w:t>
      </w:r>
    </w:p>
    <w:p w14:paraId="2FACCB8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Dillard, A. J., Lewis, M. A., Bergstrom, R. L., &amp; Neil, T. A. (2006). Normative misperceptions and temporal precedence of perceived norms and drinking. </w:t>
      </w:r>
      <w:r w:rsidRPr="009A0EF9">
        <w:rPr>
          <w:rFonts w:ascii="Calibri" w:hAnsi="Calibri" w:cs="Calibri"/>
          <w:i/>
          <w:iCs/>
          <w:noProof/>
          <w:szCs w:val="24"/>
        </w:rPr>
        <w:t>Journal of Studies on Alcohol</w:t>
      </w:r>
      <w:r w:rsidRPr="009A0EF9">
        <w:rPr>
          <w:rFonts w:ascii="Calibri" w:hAnsi="Calibri" w:cs="Calibri"/>
          <w:noProof/>
          <w:szCs w:val="24"/>
        </w:rPr>
        <w:t xml:space="preserve">, </w:t>
      </w:r>
      <w:r w:rsidRPr="009A0EF9">
        <w:rPr>
          <w:rFonts w:ascii="Calibri" w:hAnsi="Calibri" w:cs="Calibri"/>
          <w:i/>
          <w:iCs/>
          <w:noProof/>
          <w:szCs w:val="24"/>
        </w:rPr>
        <w:t>67</w:t>
      </w:r>
      <w:r w:rsidRPr="009A0EF9">
        <w:rPr>
          <w:rFonts w:ascii="Calibri" w:hAnsi="Calibri" w:cs="Calibri"/>
          <w:noProof/>
          <w:szCs w:val="24"/>
        </w:rPr>
        <w:t>(2), 290–299.</w:t>
      </w:r>
    </w:p>
    <w:p w14:paraId="13082A7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Geisner, I. M., &amp; Lee, C. M. (2008). Perceived marijuana norms and social expectancies among entering college student marijuana users. </w:t>
      </w:r>
      <w:r w:rsidRPr="009A0EF9">
        <w:rPr>
          <w:rFonts w:ascii="Calibri" w:hAnsi="Calibri" w:cs="Calibri"/>
          <w:i/>
          <w:iCs/>
          <w:noProof/>
          <w:szCs w:val="24"/>
        </w:rPr>
        <w:t>Psychology of Addictive Behaviors</w:t>
      </w:r>
      <w:r w:rsidRPr="009A0EF9">
        <w:rPr>
          <w:rFonts w:ascii="Calibri" w:hAnsi="Calibri" w:cs="Calibri"/>
          <w:noProof/>
          <w:szCs w:val="24"/>
        </w:rPr>
        <w:t xml:space="preserve">, </w:t>
      </w:r>
      <w:r w:rsidRPr="009A0EF9">
        <w:rPr>
          <w:rFonts w:ascii="Calibri" w:hAnsi="Calibri" w:cs="Calibri"/>
          <w:i/>
          <w:iCs/>
          <w:noProof/>
          <w:szCs w:val="24"/>
        </w:rPr>
        <w:t>22</w:t>
      </w:r>
      <w:r w:rsidRPr="009A0EF9">
        <w:rPr>
          <w:rFonts w:ascii="Calibri" w:hAnsi="Calibri" w:cs="Calibri"/>
          <w:noProof/>
          <w:szCs w:val="24"/>
        </w:rPr>
        <w:t>(3), 433–438.</w:t>
      </w:r>
    </w:p>
    <w:p w14:paraId="3B521B2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Jensen, M., Tidwell, J., Walter, T., Fossos, N., &amp; Lewis, M. A. (2011). Social-norms interventions for light and nondrinking students. </w:t>
      </w:r>
      <w:r w:rsidRPr="009A0EF9">
        <w:rPr>
          <w:rFonts w:ascii="Calibri" w:hAnsi="Calibri" w:cs="Calibri"/>
          <w:i/>
          <w:iCs/>
          <w:noProof/>
          <w:szCs w:val="24"/>
        </w:rPr>
        <w:t>Group Processes &amp; Intergroup Relations</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(5), 651–669.</w:t>
      </w:r>
    </w:p>
    <w:p w14:paraId="57E9888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LaBrie, J. W., Hummer, J. F., Lewis, M. A., Lee, C. M., Desai, S., Kilmer, J. R., &amp; Larimer, M. E. (2010). Group identification as a moderator of the relationship between perceived social norms and alcohol consumption. </w:t>
      </w:r>
      <w:r w:rsidRPr="009A0EF9">
        <w:rPr>
          <w:rFonts w:ascii="Calibri" w:hAnsi="Calibri" w:cs="Calibri"/>
          <w:i/>
          <w:iCs/>
          <w:noProof/>
          <w:szCs w:val="24"/>
        </w:rPr>
        <w:t>Psychology of Addictive Behaviors</w:t>
      </w:r>
      <w:r w:rsidRPr="009A0EF9">
        <w:rPr>
          <w:rFonts w:ascii="Calibri" w:hAnsi="Calibri" w:cs="Calibri"/>
          <w:noProof/>
          <w:szCs w:val="24"/>
        </w:rPr>
        <w:t xml:space="preserve">, </w:t>
      </w:r>
      <w:r w:rsidRPr="009A0EF9">
        <w:rPr>
          <w:rFonts w:ascii="Calibri" w:hAnsi="Calibri" w:cs="Calibri"/>
          <w:i/>
          <w:iCs/>
          <w:noProof/>
          <w:szCs w:val="24"/>
        </w:rPr>
        <w:t>24</w:t>
      </w:r>
      <w:r w:rsidRPr="009A0EF9">
        <w:rPr>
          <w:rFonts w:ascii="Calibri" w:hAnsi="Calibri" w:cs="Calibri"/>
          <w:noProof/>
          <w:szCs w:val="24"/>
        </w:rPr>
        <w:t>(3), 522–528.</w:t>
      </w:r>
    </w:p>
    <w:p w14:paraId="3527948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Larimer, M. E., &amp; Lewis, M. A. (2004). Targeting misperceptions of descriptive drinking norms: efficacy of a computer-delivered personalized normative feedback intervention. </w:t>
      </w:r>
      <w:r w:rsidRPr="009A0EF9">
        <w:rPr>
          <w:rFonts w:ascii="Calibri" w:hAnsi="Calibri" w:cs="Calibri"/>
          <w:i/>
          <w:iCs/>
          <w:noProof/>
          <w:szCs w:val="24"/>
        </w:rPr>
        <w:t>Journal of Consulting and Clinical Psychology</w:t>
      </w:r>
      <w:r w:rsidRPr="009A0EF9">
        <w:rPr>
          <w:rFonts w:ascii="Calibri" w:hAnsi="Calibri" w:cs="Calibri"/>
          <w:noProof/>
          <w:szCs w:val="24"/>
        </w:rPr>
        <w:t xml:space="preserve">, </w:t>
      </w:r>
      <w:r w:rsidRPr="009A0EF9">
        <w:rPr>
          <w:rFonts w:ascii="Calibri" w:hAnsi="Calibri" w:cs="Calibri"/>
          <w:i/>
          <w:iCs/>
          <w:noProof/>
          <w:szCs w:val="24"/>
        </w:rPr>
        <w:t>72</w:t>
      </w:r>
      <w:r w:rsidRPr="009A0EF9">
        <w:rPr>
          <w:rFonts w:ascii="Calibri" w:hAnsi="Calibri" w:cs="Calibri"/>
          <w:noProof/>
          <w:szCs w:val="24"/>
        </w:rPr>
        <w:t>(3), 434–447.</w:t>
      </w:r>
    </w:p>
    <w:p w14:paraId="4A7B12E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Lee, C. M., Atkins, D. C., Lewis, M. A., Kaysen, D., Mittmann, A., Fossos, N., Geisner, I. M., Zheng, C., &amp; Larimer, M. E. (2012). A randomized controlled trial of event-specific prevention strategies for reducing problematic drinking associated with 21st birthday celebrations. </w:t>
      </w:r>
      <w:r w:rsidRPr="009A0EF9">
        <w:rPr>
          <w:rFonts w:ascii="Calibri" w:hAnsi="Calibri" w:cs="Calibri"/>
          <w:i/>
          <w:iCs/>
          <w:noProof/>
          <w:szCs w:val="24"/>
        </w:rPr>
        <w:t>Journal of Consulting and Clinical Psychology</w:t>
      </w:r>
      <w:r w:rsidRPr="009A0EF9">
        <w:rPr>
          <w:rFonts w:ascii="Calibri" w:hAnsi="Calibri" w:cs="Calibri"/>
          <w:noProof/>
          <w:szCs w:val="24"/>
        </w:rPr>
        <w:t xml:space="preserve">, </w:t>
      </w:r>
      <w:r w:rsidRPr="009A0EF9">
        <w:rPr>
          <w:rFonts w:ascii="Calibri" w:hAnsi="Calibri" w:cs="Calibri"/>
          <w:i/>
          <w:iCs/>
          <w:noProof/>
          <w:szCs w:val="24"/>
        </w:rPr>
        <w:t>80</w:t>
      </w:r>
      <w:r w:rsidRPr="009A0EF9">
        <w:rPr>
          <w:rFonts w:ascii="Calibri" w:hAnsi="Calibri" w:cs="Calibri"/>
          <w:noProof/>
          <w:szCs w:val="24"/>
        </w:rPr>
        <w:t>(5), 850–862.</w:t>
      </w:r>
    </w:p>
    <w:p w14:paraId="6E9129C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Lee, C. M., Lewis, M. A., Fossos, N., &amp; Walter, T. (2009). Internet-based personalized feedback to reduce 21st-birthday drinking: a randomized controlled trial of an event-specific prevention intervention. </w:t>
      </w:r>
      <w:r w:rsidRPr="009A0EF9">
        <w:rPr>
          <w:rFonts w:ascii="Calibri" w:hAnsi="Calibri" w:cs="Calibri"/>
          <w:i/>
          <w:iCs/>
          <w:noProof/>
          <w:szCs w:val="24"/>
        </w:rPr>
        <w:t>Journal of Consulting and Clinical Psychology</w:t>
      </w:r>
      <w:r w:rsidRPr="009A0EF9">
        <w:rPr>
          <w:rFonts w:ascii="Calibri" w:hAnsi="Calibri" w:cs="Calibri"/>
          <w:noProof/>
          <w:szCs w:val="24"/>
        </w:rPr>
        <w:t xml:space="preserve">, </w:t>
      </w:r>
      <w:r w:rsidRPr="009A0EF9">
        <w:rPr>
          <w:rFonts w:ascii="Calibri" w:hAnsi="Calibri" w:cs="Calibri"/>
          <w:i/>
          <w:iCs/>
          <w:noProof/>
          <w:szCs w:val="24"/>
        </w:rPr>
        <w:t>77</w:t>
      </w:r>
      <w:r w:rsidRPr="009A0EF9">
        <w:rPr>
          <w:rFonts w:ascii="Calibri" w:hAnsi="Calibri" w:cs="Calibri"/>
          <w:noProof/>
          <w:szCs w:val="24"/>
        </w:rPr>
        <w:t>(1), 51–63.</w:t>
      </w:r>
    </w:p>
    <w:p w14:paraId="51FC3C1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Neighbors, C., Rodriguez, L. M., Rinker, D. V, Gonzales, R. G., Agana, M., Tackett, J. L., &amp; Foster, D. W. (2015). Efficacy of personalized normative feedback as a brief intervention for college student gambling: a randomized controlled trial. </w:t>
      </w:r>
      <w:r w:rsidRPr="009A0EF9">
        <w:rPr>
          <w:rFonts w:ascii="Calibri" w:hAnsi="Calibri" w:cs="Calibri"/>
          <w:i/>
          <w:iCs/>
          <w:noProof/>
          <w:szCs w:val="24"/>
        </w:rPr>
        <w:t>Journal of Consulting and Clinical Psychology</w:t>
      </w:r>
      <w:r w:rsidRPr="009A0EF9">
        <w:rPr>
          <w:rFonts w:ascii="Calibri" w:hAnsi="Calibri" w:cs="Calibri"/>
          <w:noProof/>
          <w:szCs w:val="24"/>
        </w:rPr>
        <w:t xml:space="preserve">, </w:t>
      </w:r>
      <w:r w:rsidRPr="009A0EF9">
        <w:rPr>
          <w:rFonts w:ascii="Calibri" w:hAnsi="Calibri" w:cs="Calibri"/>
          <w:i/>
          <w:iCs/>
          <w:noProof/>
          <w:szCs w:val="24"/>
        </w:rPr>
        <w:t>83</w:t>
      </w:r>
      <w:r w:rsidRPr="009A0EF9">
        <w:rPr>
          <w:rFonts w:ascii="Calibri" w:hAnsi="Calibri" w:cs="Calibri"/>
          <w:noProof/>
          <w:szCs w:val="24"/>
        </w:rPr>
        <w:t>(3), 500–511.</w:t>
      </w:r>
    </w:p>
    <w:p w14:paraId="549A09C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Neumark-Sztainer, D., Butler, R., &amp; Palti, H. (1995). Eating disturbances among adolescent girls: Evaluation of a school-based primary prevention program. </w:t>
      </w:r>
      <w:r w:rsidRPr="009A0EF9">
        <w:rPr>
          <w:rFonts w:ascii="Calibri" w:hAnsi="Calibri" w:cs="Calibri"/>
          <w:i/>
          <w:iCs/>
          <w:noProof/>
          <w:szCs w:val="24"/>
        </w:rPr>
        <w:t>Journal of Nutrition Education</w:t>
      </w:r>
      <w:r w:rsidRPr="009A0EF9">
        <w:rPr>
          <w:rFonts w:ascii="Calibri" w:hAnsi="Calibri" w:cs="Calibri"/>
          <w:noProof/>
          <w:szCs w:val="24"/>
        </w:rPr>
        <w:t xml:space="preserve">, </w:t>
      </w:r>
      <w:r w:rsidRPr="009A0EF9">
        <w:rPr>
          <w:rFonts w:ascii="Calibri" w:hAnsi="Calibri" w:cs="Calibri"/>
          <w:i/>
          <w:iCs/>
          <w:noProof/>
          <w:szCs w:val="24"/>
        </w:rPr>
        <w:t>27</w:t>
      </w:r>
      <w:r w:rsidRPr="009A0EF9">
        <w:rPr>
          <w:rFonts w:ascii="Calibri" w:hAnsi="Calibri" w:cs="Calibri"/>
          <w:noProof/>
          <w:szCs w:val="24"/>
        </w:rPr>
        <w:t>(1), 24–31.</w:t>
      </w:r>
    </w:p>
    <w:p w14:paraId="347720A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Neumark-Sztainer, D., Croll, J., Story, M., Hannan, P. J., French, S. A., &amp; Perry, C. (2002). Ethnic/racial differences in weight-related concerns and behaviors among adolescent girls and boys: findings from Project EAT. </w:t>
      </w:r>
      <w:r w:rsidRPr="009A0EF9">
        <w:rPr>
          <w:rFonts w:ascii="Calibri" w:hAnsi="Calibri" w:cs="Calibri"/>
          <w:i/>
          <w:iCs/>
          <w:noProof/>
          <w:szCs w:val="24"/>
        </w:rPr>
        <w:t>Journal of Psychosomatic Research</w:t>
      </w:r>
      <w:r w:rsidRPr="009A0EF9">
        <w:rPr>
          <w:rFonts w:ascii="Calibri" w:hAnsi="Calibri" w:cs="Calibri"/>
          <w:noProof/>
          <w:szCs w:val="24"/>
        </w:rPr>
        <w:t xml:space="preserve">, </w:t>
      </w:r>
      <w:r w:rsidRPr="009A0EF9">
        <w:rPr>
          <w:rFonts w:ascii="Calibri" w:hAnsi="Calibri" w:cs="Calibri"/>
          <w:i/>
          <w:iCs/>
          <w:noProof/>
          <w:szCs w:val="24"/>
        </w:rPr>
        <w:t>53</w:t>
      </w:r>
      <w:r w:rsidRPr="009A0EF9">
        <w:rPr>
          <w:rFonts w:ascii="Calibri" w:hAnsi="Calibri" w:cs="Calibri"/>
          <w:noProof/>
          <w:szCs w:val="24"/>
        </w:rPr>
        <w:t>(5), 963–974.</w:t>
      </w:r>
    </w:p>
    <w:p w14:paraId="592D0B2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Neumark-Sztainer, D., Story, M., D RESNICK, M., &amp; Blum, R. W. (1998). Lessons learned about adolescent nutrition from the Minnesota Adolescent Health Survey.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98</w:t>
      </w:r>
      <w:r w:rsidRPr="009A0EF9">
        <w:rPr>
          <w:rFonts w:ascii="Calibri" w:hAnsi="Calibri" w:cs="Calibri"/>
          <w:noProof/>
          <w:szCs w:val="24"/>
        </w:rPr>
        <w:t>(12), 1449–1456.</w:t>
      </w:r>
    </w:p>
    <w:p w14:paraId="30109DA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Neumark-Sztainer, D., Story, M., Perry, C., &amp; Casey, M. A. (1999). Factors influencing food choices of adolescents: findings from focus-group discussions with adolescents.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99</w:t>
      </w:r>
      <w:r w:rsidRPr="009A0EF9">
        <w:rPr>
          <w:rFonts w:ascii="Calibri" w:hAnsi="Calibri" w:cs="Calibri"/>
          <w:noProof/>
          <w:szCs w:val="24"/>
        </w:rPr>
        <w:t>(8), 929–937.</w:t>
      </w:r>
    </w:p>
    <w:p w14:paraId="087CA6A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Newman, I., Benz, C. R., &amp; Ridenour, C. S. (1998). </w:t>
      </w:r>
      <w:r w:rsidRPr="009A0EF9">
        <w:rPr>
          <w:rFonts w:ascii="Calibri" w:hAnsi="Calibri" w:cs="Calibri"/>
          <w:i/>
          <w:iCs/>
          <w:noProof/>
          <w:szCs w:val="24"/>
        </w:rPr>
        <w:t>Qualitative-quantitative research methodology: Exploring the interactive continuum</w:t>
      </w:r>
      <w:r w:rsidRPr="009A0EF9">
        <w:rPr>
          <w:rFonts w:ascii="Calibri" w:hAnsi="Calibri" w:cs="Calibri"/>
          <w:noProof/>
          <w:szCs w:val="24"/>
        </w:rPr>
        <w:t>. SIU Press.</w:t>
      </w:r>
    </w:p>
    <w:p w14:paraId="3112E54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NHS. (2018). </w:t>
      </w:r>
      <w:r w:rsidRPr="009A0EF9">
        <w:rPr>
          <w:rFonts w:ascii="Calibri" w:hAnsi="Calibri" w:cs="Calibri"/>
          <w:i/>
          <w:iCs/>
          <w:noProof/>
          <w:szCs w:val="24"/>
        </w:rPr>
        <w:t>Statistics on obesity , physical activity and diet</w:t>
      </w:r>
      <w:r w:rsidRPr="009A0EF9">
        <w:rPr>
          <w:rFonts w:ascii="Calibri" w:hAnsi="Calibri" w:cs="Calibri"/>
          <w:noProof/>
          <w:szCs w:val="24"/>
        </w:rPr>
        <w:t>. https://digital.nhs.uk/data-and-information/publications/statistical/statistics-on-obesity-physical-activity-and-diet/statistics-</w:t>
      </w:r>
      <w:r w:rsidRPr="009A0EF9">
        <w:rPr>
          <w:rFonts w:ascii="Calibri" w:hAnsi="Calibri" w:cs="Calibri"/>
          <w:noProof/>
          <w:szCs w:val="24"/>
        </w:rPr>
        <w:lastRenderedPageBreak/>
        <w:t>on-obesity-physical-activity-and-diet-england-2018</w:t>
      </w:r>
    </w:p>
    <w:p w14:paraId="3CF1E77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NHS. (2019). </w:t>
      </w:r>
      <w:r w:rsidRPr="009A0EF9">
        <w:rPr>
          <w:rFonts w:ascii="Calibri" w:hAnsi="Calibri" w:cs="Calibri"/>
          <w:i/>
          <w:iCs/>
          <w:noProof/>
          <w:szCs w:val="24"/>
        </w:rPr>
        <w:t>Statistics on Obesity, Physical Activity and Diet, England, 2019</w:t>
      </w:r>
      <w:r w:rsidRPr="009A0EF9">
        <w:rPr>
          <w:rFonts w:ascii="Calibri" w:hAnsi="Calibri" w:cs="Calibri"/>
          <w:noProof/>
          <w:szCs w:val="24"/>
        </w:rPr>
        <w:t>. https://digital.nhs.uk/data-and-information/publications/statistical/statistics-on-obesity-physical-activity-and-diet/statistics-on-obesity-physical-activity-and-diet-england-2019</w:t>
      </w:r>
    </w:p>
    <w:p w14:paraId="2749E64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NHS. (2020a). </w:t>
      </w:r>
      <w:r w:rsidRPr="009A0EF9">
        <w:rPr>
          <w:rFonts w:ascii="Calibri" w:hAnsi="Calibri" w:cs="Calibri"/>
          <w:i/>
          <w:iCs/>
          <w:noProof/>
          <w:szCs w:val="24"/>
        </w:rPr>
        <w:t>Healthier snacks for kids</w:t>
      </w:r>
      <w:r w:rsidRPr="009A0EF9">
        <w:rPr>
          <w:rFonts w:ascii="Calibri" w:hAnsi="Calibri" w:cs="Calibri"/>
          <w:noProof/>
          <w:szCs w:val="24"/>
        </w:rPr>
        <w:t>. https://www.nhs.uk/change4life/food-facts/healthier-snacks-for-kids</w:t>
      </w:r>
    </w:p>
    <w:p w14:paraId="5913D2A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NHS. (2020b). </w:t>
      </w:r>
      <w:r w:rsidRPr="009A0EF9">
        <w:rPr>
          <w:rFonts w:ascii="Calibri" w:hAnsi="Calibri" w:cs="Calibri"/>
          <w:i/>
          <w:iCs/>
          <w:noProof/>
          <w:szCs w:val="24"/>
        </w:rPr>
        <w:t>National Child Measurement Programme, England 2019/20 School Year</w:t>
      </w:r>
      <w:r w:rsidRPr="009A0EF9">
        <w:rPr>
          <w:rFonts w:ascii="Calibri" w:hAnsi="Calibri" w:cs="Calibri"/>
          <w:noProof/>
          <w:szCs w:val="24"/>
        </w:rPr>
        <w:t>. https://digital.nhs.uk/data-and-information/publications/statistical/national-child-measurement-programme/2019-20-school-year</w:t>
      </w:r>
    </w:p>
    <w:p w14:paraId="688679C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Noble, S., McLennan, D., Noble, M., Plunkett, E., Gutacker, N., Silk, M., &amp; Wright, G. (2019). </w:t>
      </w:r>
      <w:r w:rsidRPr="009A0EF9">
        <w:rPr>
          <w:rFonts w:ascii="Calibri" w:hAnsi="Calibri" w:cs="Calibri"/>
          <w:i/>
          <w:iCs/>
          <w:noProof/>
          <w:szCs w:val="24"/>
        </w:rPr>
        <w:t>The English indices of deprivation 2019</w:t>
      </w:r>
      <w:r w:rsidRPr="009A0EF9">
        <w:rPr>
          <w:rFonts w:ascii="Calibri" w:hAnsi="Calibri" w:cs="Calibri"/>
          <w:noProof/>
          <w:szCs w:val="24"/>
        </w:rPr>
        <w:t>. Ministry of Housing, Communities and Local Government. https://www.gov.uk/government/statistics/english-indices-of-deprivation-2</w:t>
      </w:r>
    </w:p>
    <w:p w14:paraId="09FBEC2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Noonan, R. (2018). Poverty, Weight Status, and Dietary Intake among UK Adolescents. </w:t>
      </w:r>
      <w:r w:rsidRPr="009A0EF9">
        <w:rPr>
          <w:rFonts w:ascii="Calibri" w:hAnsi="Calibri" w:cs="Calibri"/>
          <w:i/>
          <w:iCs/>
          <w:noProof/>
          <w:szCs w:val="24"/>
        </w:rPr>
        <w:t>International Journal of Environmental Research and Public Health</w:t>
      </w:r>
      <w:r w:rsidRPr="009A0EF9">
        <w:rPr>
          <w:rFonts w:ascii="Calibri" w:hAnsi="Calibri" w:cs="Calibri"/>
          <w:noProof/>
          <w:szCs w:val="24"/>
        </w:rPr>
        <w:t xml:space="preserve">, </w:t>
      </w:r>
      <w:r w:rsidRPr="009A0EF9">
        <w:rPr>
          <w:rFonts w:ascii="Calibri" w:hAnsi="Calibri" w:cs="Calibri"/>
          <w:i/>
          <w:iCs/>
          <w:noProof/>
          <w:szCs w:val="24"/>
        </w:rPr>
        <w:t>15</w:t>
      </w:r>
      <w:r w:rsidRPr="009A0EF9">
        <w:rPr>
          <w:rFonts w:ascii="Calibri" w:hAnsi="Calibri" w:cs="Calibri"/>
          <w:noProof/>
          <w:szCs w:val="24"/>
        </w:rPr>
        <w:t>(6), 1224.</w:t>
      </w:r>
    </w:p>
    <w:p w14:paraId="209FEBA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Nouri, M., &amp; Merghati khoie, E. sadat. (2010). The impact of peer-based educational approaches on girls’ physical practice of pubertal health. </w:t>
      </w:r>
      <w:r w:rsidRPr="009A0EF9">
        <w:rPr>
          <w:rFonts w:ascii="Calibri" w:hAnsi="Calibri" w:cs="Calibri"/>
          <w:i/>
          <w:iCs/>
          <w:noProof/>
          <w:szCs w:val="24"/>
        </w:rPr>
        <w:t>Arak Medical University Journal</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(4), 129–135.</w:t>
      </w:r>
    </w:p>
    <w:p w14:paraId="32209B8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Nowell, L. S., Norris, J. M., White, D. E., &amp; Moules, N. J. (2017). Thematic analysis: Striving to meet the trustworthiness criteria. </w:t>
      </w:r>
      <w:r w:rsidRPr="009A0EF9">
        <w:rPr>
          <w:rFonts w:ascii="Calibri" w:hAnsi="Calibri" w:cs="Calibri"/>
          <w:i/>
          <w:iCs/>
          <w:noProof/>
          <w:szCs w:val="24"/>
        </w:rPr>
        <w:t>International Journal of Qualitative Methods</w:t>
      </w:r>
      <w:r w:rsidRPr="009A0EF9">
        <w:rPr>
          <w:rFonts w:ascii="Calibri" w:hAnsi="Calibri" w:cs="Calibri"/>
          <w:noProof/>
          <w:szCs w:val="24"/>
        </w:rPr>
        <w:t xml:space="preserve">, </w:t>
      </w:r>
      <w:r w:rsidRPr="009A0EF9">
        <w:rPr>
          <w:rFonts w:ascii="Calibri" w:hAnsi="Calibri" w:cs="Calibri"/>
          <w:i/>
          <w:iCs/>
          <w:noProof/>
          <w:szCs w:val="24"/>
        </w:rPr>
        <w:t>16</w:t>
      </w:r>
      <w:r w:rsidRPr="009A0EF9">
        <w:rPr>
          <w:rFonts w:ascii="Calibri" w:hAnsi="Calibri" w:cs="Calibri"/>
          <w:noProof/>
          <w:szCs w:val="24"/>
        </w:rPr>
        <w:t>, 1–13.</w:t>
      </w:r>
    </w:p>
    <w:p w14:paraId="27FB111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Nyborg, K., Anderies, J. M., Dannenberg, A., Lindahl, T., Schill, C., Schlüter, M., Adger, W. N., Arrow, K. J., Barrett, S., &amp; Carpenter, S. (2016). Social norms as solutions. </w:t>
      </w:r>
      <w:r w:rsidRPr="009A0EF9">
        <w:rPr>
          <w:rFonts w:ascii="Calibri" w:hAnsi="Calibri" w:cs="Calibri"/>
          <w:i/>
          <w:iCs/>
          <w:noProof/>
          <w:szCs w:val="24"/>
        </w:rPr>
        <w:t>Science</w:t>
      </w:r>
      <w:r w:rsidRPr="009A0EF9">
        <w:rPr>
          <w:rFonts w:ascii="Calibri" w:hAnsi="Calibri" w:cs="Calibri"/>
          <w:noProof/>
          <w:szCs w:val="24"/>
        </w:rPr>
        <w:t xml:space="preserve">, </w:t>
      </w:r>
      <w:r w:rsidRPr="009A0EF9">
        <w:rPr>
          <w:rFonts w:ascii="Calibri" w:hAnsi="Calibri" w:cs="Calibri"/>
          <w:i/>
          <w:iCs/>
          <w:noProof/>
          <w:szCs w:val="24"/>
        </w:rPr>
        <w:t>354</w:t>
      </w:r>
      <w:r w:rsidRPr="009A0EF9">
        <w:rPr>
          <w:rFonts w:ascii="Calibri" w:hAnsi="Calibri" w:cs="Calibri"/>
          <w:noProof/>
          <w:szCs w:val="24"/>
        </w:rPr>
        <w:t>(6308), 42–43.</w:t>
      </w:r>
    </w:p>
    <w:p w14:paraId="65CB55A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Nyumba, T., Wilson, K., Derrick, C. J., &amp; Mukherjee, N. (2018). The use of focus group discussion methodology: Insights from two decades of application in conservation. </w:t>
      </w:r>
      <w:r w:rsidRPr="009A0EF9">
        <w:rPr>
          <w:rFonts w:ascii="Calibri" w:hAnsi="Calibri" w:cs="Calibri"/>
          <w:i/>
          <w:iCs/>
          <w:noProof/>
          <w:szCs w:val="24"/>
        </w:rPr>
        <w:t>Methods in Ecology and Evolution</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(1), 20–32.</w:t>
      </w:r>
    </w:p>
    <w:p w14:paraId="44A2C22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O’Cathain, A., Croot, L., Duncan, E., Rousseau, N., Sworn, K., Turner, K. M., Yardley, L., &amp; Hoddinott, P. (2019). Guidance on how to develop complex interventions to improve health and healthcare. </w:t>
      </w:r>
      <w:r w:rsidRPr="009A0EF9">
        <w:rPr>
          <w:rFonts w:ascii="Calibri" w:hAnsi="Calibri" w:cs="Calibri"/>
          <w:i/>
          <w:iCs/>
          <w:noProof/>
          <w:szCs w:val="24"/>
        </w:rPr>
        <w:t>BMJ Open</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(8), e029954–e029954.</w:t>
      </w:r>
    </w:p>
    <w:p w14:paraId="32FE8EF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O’Leary, Z. (2007). </w:t>
      </w:r>
      <w:r w:rsidRPr="009A0EF9">
        <w:rPr>
          <w:rFonts w:ascii="Calibri" w:hAnsi="Calibri" w:cs="Calibri"/>
          <w:i/>
          <w:iCs/>
          <w:noProof/>
          <w:szCs w:val="24"/>
        </w:rPr>
        <w:t>The Social Science Jargon Buster</w:t>
      </w:r>
      <w:r w:rsidRPr="009A0EF9">
        <w:rPr>
          <w:rFonts w:ascii="Calibri" w:hAnsi="Calibri" w:cs="Calibri"/>
          <w:noProof/>
          <w:szCs w:val="24"/>
        </w:rPr>
        <w:t>. Sage publications.</w:t>
      </w:r>
    </w:p>
    <w:p w14:paraId="6ABF297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Ochieng, P. A. (2009). An analysis of the strengths and limitation of qualitative and quantitative research paradigms. </w:t>
      </w:r>
      <w:r w:rsidRPr="009A0EF9">
        <w:rPr>
          <w:rFonts w:ascii="Calibri" w:hAnsi="Calibri" w:cs="Calibri"/>
          <w:i/>
          <w:iCs/>
          <w:noProof/>
          <w:szCs w:val="24"/>
        </w:rPr>
        <w:t>Problems of Education in the 21st Century</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 13–19.</w:t>
      </w:r>
    </w:p>
    <w:p w14:paraId="42A6999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Ogden, C.L., Carroll, M.D., Kit, B.K., Flegal, K. M. (2012). Prevalence of obesity and trends in body mass index among us children and adolescents, 1999-2010. </w:t>
      </w:r>
      <w:r w:rsidRPr="009A0EF9">
        <w:rPr>
          <w:rFonts w:ascii="Calibri" w:hAnsi="Calibri" w:cs="Calibri"/>
          <w:i/>
          <w:iCs/>
          <w:noProof/>
          <w:szCs w:val="24"/>
        </w:rPr>
        <w:t>JAMA</w:t>
      </w:r>
      <w:r w:rsidRPr="009A0EF9">
        <w:rPr>
          <w:rFonts w:ascii="Calibri" w:hAnsi="Calibri" w:cs="Calibri"/>
          <w:noProof/>
          <w:szCs w:val="24"/>
        </w:rPr>
        <w:t xml:space="preserve">, </w:t>
      </w:r>
      <w:r w:rsidRPr="009A0EF9">
        <w:rPr>
          <w:rFonts w:ascii="Calibri" w:hAnsi="Calibri" w:cs="Calibri"/>
          <w:i/>
          <w:iCs/>
          <w:noProof/>
          <w:szCs w:val="24"/>
        </w:rPr>
        <w:t>307</w:t>
      </w:r>
      <w:r w:rsidRPr="009A0EF9">
        <w:rPr>
          <w:rFonts w:ascii="Calibri" w:hAnsi="Calibri" w:cs="Calibri"/>
          <w:noProof/>
          <w:szCs w:val="24"/>
        </w:rPr>
        <w:t>(5), 483–490.</w:t>
      </w:r>
    </w:p>
    <w:p w14:paraId="0C5FFEA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Orr, D. W. (1992). </w:t>
      </w:r>
      <w:r w:rsidRPr="009A0EF9">
        <w:rPr>
          <w:rFonts w:ascii="Calibri" w:hAnsi="Calibri" w:cs="Calibri"/>
          <w:i/>
          <w:iCs/>
          <w:noProof/>
          <w:szCs w:val="24"/>
        </w:rPr>
        <w:t>Ecological literacy: Education and the transition to a postmodern world</w:t>
      </w:r>
      <w:r w:rsidRPr="009A0EF9">
        <w:rPr>
          <w:rFonts w:ascii="Calibri" w:hAnsi="Calibri" w:cs="Calibri"/>
          <w:noProof/>
          <w:szCs w:val="24"/>
        </w:rPr>
        <w:t>. Suny Press.</w:t>
      </w:r>
    </w:p>
    <w:p w14:paraId="59B8B4E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Özdemir, A., Utkualp, N., &amp; Palloş, A. (2016). Physical and psychosocial effects of the changes in adolescence period. </w:t>
      </w:r>
      <w:r w:rsidRPr="009A0EF9">
        <w:rPr>
          <w:rFonts w:ascii="Calibri" w:hAnsi="Calibri" w:cs="Calibri"/>
          <w:i/>
          <w:iCs/>
          <w:noProof/>
          <w:szCs w:val="24"/>
        </w:rPr>
        <w:t>International Journal of Caring Sciences</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(2), 717–723.</w:t>
      </w:r>
    </w:p>
    <w:p w14:paraId="1E015EF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Paradis, E., O’Brien, B., Nimmon, L., Bandiera, G., &amp; Martimianakis, M. A. T. (2016). Design: Selection of Data Collection Methods. </w:t>
      </w:r>
      <w:r w:rsidRPr="009A0EF9">
        <w:rPr>
          <w:rFonts w:ascii="Calibri" w:hAnsi="Calibri" w:cs="Calibri"/>
          <w:i/>
          <w:iCs/>
          <w:noProof/>
          <w:szCs w:val="24"/>
        </w:rPr>
        <w:t>Journal of Graduate Medical Education</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(2), 263–264.</w:t>
      </w:r>
    </w:p>
    <w:p w14:paraId="35A4B0B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Parsons, C., Stears, D., &amp; Thomas, C. (1996). The health promoting school in Europe: conceptualising and evaluating the change. </w:t>
      </w:r>
      <w:r w:rsidRPr="009A0EF9">
        <w:rPr>
          <w:rFonts w:ascii="Calibri" w:hAnsi="Calibri" w:cs="Calibri"/>
          <w:i/>
          <w:iCs/>
          <w:noProof/>
          <w:szCs w:val="24"/>
        </w:rPr>
        <w:t>Health Education Journal</w:t>
      </w:r>
      <w:r w:rsidRPr="009A0EF9">
        <w:rPr>
          <w:rFonts w:ascii="Calibri" w:hAnsi="Calibri" w:cs="Calibri"/>
          <w:noProof/>
          <w:szCs w:val="24"/>
        </w:rPr>
        <w:t xml:space="preserve">, </w:t>
      </w:r>
      <w:r w:rsidRPr="009A0EF9">
        <w:rPr>
          <w:rFonts w:ascii="Calibri" w:hAnsi="Calibri" w:cs="Calibri"/>
          <w:i/>
          <w:iCs/>
          <w:noProof/>
          <w:szCs w:val="24"/>
        </w:rPr>
        <w:t>55</w:t>
      </w:r>
      <w:r w:rsidRPr="009A0EF9">
        <w:rPr>
          <w:rFonts w:ascii="Calibri" w:hAnsi="Calibri" w:cs="Calibri"/>
          <w:noProof/>
          <w:szCs w:val="24"/>
        </w:rPr>
        <w:t>(3), 311–321.</w:t>
      </w:r>
    </w:p>
    <w:p w14:paraId="0A1B98C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Pawson, R., &amp; Tilley, N. (1997). </w:t>
      </w:r>
      <w:r w:rsidRPr="009A0EF9">
        <w:rPr>
          <w:rFonts w:ascii="Calibri" w:hAnsi="Calibri" w:cs="Calibri"/>
          <w:i/>
          <w:iCs/>
          <w:noProof/>
          <w:szCs w:val="24"/>
        </w:rPr>
        <w:t>Realistic evaluation</w:t>
      </w:r>
      <w:r w:rsidRPr="009A0EF9">
        <w:rPr>
          <w:rFonts w:ascii="Calibri" w:hAnsi="Calibri" w:cs="Calibri"/>
          <w:noProof/>
          <w:szCs w:val="24"/>
        </w:rPr>
        <w:t>. Sage Publications.</w:t>
      </w:r>
    </w:p>
    <w:p w14:paraId="5FBFA96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Pedersen, S., Grønhøj, A., &amp; Thøgersen, J. (2015). Following family or friends Social norms in adolescent healthy eating.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86</w:t>
      </w:r>
      <w:r w:rsidRPr="009A0EF9">
        <w:rPr>
          <w:rFonts w:ascii="Calibri" w:hAnsi="Calibri" w:cs="Calibri"/>
          <w:noProof/>
          <w:szCs w:val="24"/>
        </w:rPr>
        <w:t>, 54–60.</w:t>
      </w:r>
    </w:p>
    <w:p w14:paraId="56D3DD3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Perkins, H. W. (1997). College student misperceptions of alcohol and other drug norms among peers: Exploring causes, consequences, and implications for prevention programs. </w:t>
      </w:r>
      <w:r w:rsidRPr="009A0EF9">
        <w:rPr>
          <w:rFonts w:ascii="Calibri" w:hAnsi="Calibri" w:cs="Calibri"/>
          <w:i/>
          <w:iCs/>
          <w:noProof/>
          <w:szCs w:val="24"/>
        </w:rPr>
        <w:t>Designing Alcohol and Other Drug Prevention Programs in Higher Education: Bringing Theory into Practice</w:t>
      </w:r>
      <w:r w:rsidRPr="009A0EF9">
        <w:rPr>
          <w:rFonts w:ascii="Calibri" w:hAnsi="Calibri" w:cs="Calibri"/>
          <w:noProof/>
          <w:szCs w:val="24"/>
        </w:rPr>
        <w:t>, 177–206.</w:t>
      </w:r>
    </w:p>
    <w:p w14:paraId="18D980C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(2003a). The promise and challenge of future work using the social norms model. In </w:t>
      </w:r>
      <w:r w:rsidRPr="009A0EF9">
        <w:rPr>
          <w:rFonts w:ascii="Calibri" w:hAnsi="Calibri" w:cs="Calibri"/>
          <w:i/>
          <w:iCs/>
          <w:noProof/>
          <w:szCs w:val="24"/>
        </w:rPr>
        <w:t>The social norms approach to preventing school and college age substance abuse: A handbook for educators, counselors, and clinicians</w:t>
      </w:r>
      <w:r w:rsidRPr="009A0EF9">
        <w:rPr>
          <w:rFonts w:ascii="Calibri" w:hAnsi="Calibri" w:cs="Calibri"/>
          <w:noProof/>
          <w:szCs w:val="24"/>
        </w:rPr>
        <w:t>. Jossey-Bass San Francisco.</w:t>
      </w:r>
    </w:p>
    <w:p w14:paraId="6B2E6CA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(2003b). </w:t>
      </w:r>
      <w:r w:rsidRPr="009A0EF9">
        <w:rPr>
          <w:rFonts w:ascii="Calibri" w:hAnsi="Calibri" w:cs="Calibri"/>
          <w:i/>
          <w:iCs/>
          <w:noProof/>
          <w:szCs w:val="24"/>
        </w:rPr>
        <w:t>The social norms approach to preventing school and college age substance abuse: A handbook for educators, counselors, and clinicians</w:t>
      </w:r>
      <w:r w:rsidRPr="009A0EF9">
        <w:rPr>
          <w:rFonts w:ascii="Calibri" w:hAnsi="Calibri" w:cs="Calibri"/>
          <w:noProof/>
          <w:szCs w:val="24"/>
        </w:rPr>
        <w:t>. John Wiley &amp; Sons.</w:t>
      </w:r>
    </w:p>
    <w:p w14:paraId="6F0AD6A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&amp; Berkowitz, A. D. (1986). Perceiving the community norms of alcohol use among students: Some research implications for campus alcohol education programming. </w:t>
      </w:r>
      <w:r w:rsidRPr="009A0EF9">
        <w:rPr>
          <w:rFonts w:ascii="Calibri" w:hAnsi="Calibri" w:cs="Calibri"/>
          <w:i/>
          <w:iCs/>
          <w:noProof/>
          <w:szCs w:val="24"/>
        </w:rPr>
        <w:t>International Journal of the Addictions</w:t>
      </w:r>
      <w:r w:rsidRPr="009A0EF9">
        <w:rPr>
          <w:rFonts w:ascii="Calibri" w:hAnsi="Calibri" w:cs="Calibri"/>
          <w:noProof/>
          <w:szCs w:val="24"/>
        </w:rPr>
        <w:t xml:space="preserve">, </w:t>
      </w:r>
      <w:r w:rsidRPr="009A0EF9">
        <w:rPr>
          <w:rFonts w:ascii="Calibri" w:hAnsi="Calibri" w:cs="Calibri"/>
          <w:i/>
          <w:iCs/>
          <w:noProof/>
          <w:szCs w:val="24"/>
        </w:rPr>
        <w:t>21</w:t>
      </w:r>
      <w:r w:rsidRPr="009A0EF9">
        <w:rPr>
          <w:rFonts w:ascii="Calibri" w:hAnsi="Calibri" w:cs="Calibri"/>
          <w:noProof/>
          <w:szCs w:val="24"/>
        </w:rPr>
        <w:t>(9–10), 961–976.</w:t>
      </w:r>
    </w:p>
    <w:p w14:paraId="0DDA718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&amp; Craig, D. W. (2006). A successful social norms campaign to reduce alcohol misuse among college student-athletes. </w:t>
      </w:r>
      <w:r w:rsidRPr="009A0EF9">
        <w:rPr>
          <w:rFonts w:ascii="Calibri" w:hAnsi="Calibri" w:cs="Calibri"/>
          <w:i/>
          <w:iCs/>
          <w:noProof/>
          <w:szCs w:val="24"/>
        </w:rPr>
        <w:t>Journal of Studies on Alcohol</w:t>
      </w:r>
      <w:r w:rsidRPr="009A0EF9">
        <w:rPr>
          <w:rFonts w:ascii="Calibri" w:hAnsi="Calibri" w:cs="Calibri"/>
          <w:noProof/>
          <w:szCs w:val="24"/>
        </w:rPr>
        <w:t xml:space="preserve">, </w:t>
      </w:r>
      <w:r w:rsidRPr="009A0EF9">
        <w:rPr>
          <w:rFonts w:ascii="Calibri" w:hAnsi="Calibri" w:cs="Calibri"/>
          <w:i/>
          <w:iCs/>
          <w:noProof/>
          <w:szCs w:val="24"/>
        </w:rPr>
        <w:t>67</w:t>
      </w:r>
      <w:r w:rsidRPr="009A0EF9">
        <w:rPr>
          <w:rFonts w:ascii="Calibri" w:hAnsi="Calibri" w:cs="Calibri"/>
          <w:noProof/>
          <w:szCs w:val="24"/>
        </w:rPr>
        <w:t>(6), 880–889.</w:t>
      </w:r>
    </w:p>
    <w:p w14:paraId="104146C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Craig, D. W., &amp; Perkins, J. M. (2011). Using social norms to reduce bullying: A research intervention among adolescents in five middle schools. </w:t>
      </w:r>
      <w:r w:rsidRPr="009A0EF9">
        <w:rPr>
          <w:rFonts w:ascii="Calibri" w:hAnsi="Calibri" w:cs="Calibri"/>
          <w:i/>
          <w:iCs/>
          <w:noProof/>
          <w:szCs w:val="24"/>
        </w:rPr>
        <w:t>Group Processes &amp; Intergroup Relations</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(5), 703–722.</w:t>
      </w:r>
    </w:p>
    <w:p w14:paraId="3345A6E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&amp; Wechsler, H. (1996). Variation in perceived college drinking norms and its impact on alcohol abuse: A nationwide study. </w:t>
      </w:r>
      <w:r w:rsidRPr="009A0EF9">
        <w:rPr>
          <w:rFonts w:ascii="Calibri" w:hAnsi="Calibri" w:cs="Calibri"/>
          <w:i/>
          <w:iCs/>
          <w:noProof/>
          <w:szCs w:val="24"/>
        </w:rPr>
        <w:t>Journal of Drug Issues</w:t>
      </w:r>
      <w:r w:rsidRPr="009A0EF9">
        <w:rPr>
          <w:rFonts w:ascii="Calibri" w:hAnsi="Calibri" w:cs="Calibri"/>
          <w:noProof/>
          <w:szCs w:val="24"/>
        </w:rPr>
        <w:t xml:space="preserve">, </w:t>
      </w:r>
      <w:r w:rsidRPr="009A0EF9">
        <w:rPr>
          <w:rFonts w:ascii="Calibri" w:hAnsi="Calibri" w:cs="Calibri"/>
          <w:i/>
          <w:iCs/>
          <w:noProof/>
          <w:szCs w:val="24"/>
        </w:rPr>
        <w:t>26</w:t>
      </w:r>
      <w:r w:rsidRPr="009A0EF9">
        <w:rPr>
          <w:rFonts w:ascii="Calibri" w:hAnsi="Calibri" w:cs="Calibri"/>
          <w:noProof/>
          <w:szCs w:val="24"/>
        </w:rPr>
        <w:t>(4), 961–974.</w:t>
      </w:r>
    </w:p>
    <w:p w14:paraId="1221890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Wesley, &amp; Ph, D. (1997). the emergence and evolution of social norms approach TO SUBSTANCE ABUSE PREVENTION. </w:t>
      </w:r>
      <w:r w:rsidRPr="009A0EF9">
        <w:rPr>
          <w:rFonts w:ascii="Calibri" w:hAnsi="Calibri" w:cs="Calibri"/>
          <w:i/>
          <w:iCs/>
          <w:noProof/>
          <w:szCs w:val="24"/>
        </w:rPr>
        <w:t>N H. W. Perkins (Ed.), The Social Norms Approach to Preventing School and College Age Substance Abuse: A Handbook for Educators, Counselors, and Clinicians</w:t>
      </w:r>
      <w:r w:rsidRPr="009A0EF9">
        <w:rPr>
          <w:rFonts w:ascii="Calibri" w:hAnsi="Calibri" w:cs="Calibri"/>
          <w:noProof/>
          <w:szCs w:val="24"/>
        </w:rPr>
        <w:t>, 3–18.</w:t>
      </w:r>
    </w:p>
    <w:p w14:paraId="2B92642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(2002). Social norms and the prevention of alcohol misuse in collegiate contexts. </w:t>
      </w:r>
      <w:r w:rsidRPr="009A0EF9">
        <w:rPr>
          <w:rFonts w:ascii="Calibri" w:hAnsi="Calibri" w:cs="Calibri"/>
          <w:i/>
          <w:iCs/>
          <w:noProof/>
          <w:szCs w:val="24"/>
        </w:rPr>
        <w:t>Journal of Studies on Alcohol, Supplement</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 164–172.</w:t>
      </w:r>
    </w:p>
    <w:p w14:paraId="2A17FB4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Haines, M. P., &amp; Rice, R. (2005). Misperceiving the college drinking norm and related problems: a nationwide study of exposure to prevention information, perceived norms and student alcohol misuse. </w:t>
      </w:r>
      <w:r w:rsidRPr="009A0EF9">
        <w:rPr>
          <w:rFonts w:ascii="Calibri" w:hAnsi="Calibri" w:cs="Calibri"/>
          <w:i/>
          <w:iCs/>
          <w:noProof/>
          <w:szCs w:val="24"/>
        </w:rPr>
        <w:t>Journal of Studies on Alcohol</w:t>
      </w:r>
      <w:r w:rsidRPr="009A0EF9">
        <w:rPr>
          <w:rFonts w:ascii="Calibri" w:hAnsi="Calibri" w:cs="Calibri"/>
          <w:noProof/>
          <w:szCs w:val="24"/>
        </w:rPr>
        <w:t xml:space="preserve">, </w:t>
      </w:r>
      <w:r w:rsidRPr="009A0EF9">
        <w:rPr>
          <w:rFonts w:ascii="Calibri" w:hAnsi="Calibri" w:cs="Calibri"/>
          <w:i/>
          <w:iCs/>
          <w:noProof/>
          <w:szCs w:val="24"/>
        </w:rPr>
        <w:t>66</w:t>
      </w:r>
      <w:r w:rsidRPr="009A0EF9">
        <w:rPr>
          <w:rFonts w:ascii="Calibri" w:hAnsi="Calibri" w:cs="Calibri"/>
          <w:noProof/>
          <w:szCs w:val="24"/>
        </w:rPr>
        <w:t>(4), 470–478.</w:t>
      </w:r>
    </w:p>
    <w:p w14:paraId="750F18C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H W, Linkenbach, J. W., Lewis, M., &amp; Neighbors, C. (2010). Effectiveness of social norms media marketing in reducing drinking and driving: A statewide campaign. </w:t>
      </w:r>
      <w:r w:rsidRPr="009A0EF9">
        <w:rPr>
          <w:rFonts w:ascii="Calibri" w:hAnsi="Calibri" w:cs="Calibri"/>
          <w:i/>
          <w:iCs/>
          <w:noProof/>
          <w:szCs w:val="24"/>
        </w:rPr>
        <w:t>Addictive Behaviors</w:t>
      </w:r>
      <w:r w:rsidRPr="009A0EF9">
        <w:rPr>
          <w:rFonts w:ascii="Calibri" w:hAnsi="Calibri" w:cs="Calibri"/>
          <w:noProof/>
          <w:szCs w:val="24"/>
        </w:rPr>
        <w:t xml:space="preserve">, </w:t>
      </w:r>
      <w:r w:rsidRPr="009A0EF9">
        <w:rPr>
          <w:rFonts w:ascii="Calibri" w:hAnsi="Calibri" w:cs="Calibri"/>
          <w:i/>
          <w:iCs/>
          <w:noProof/>
          <w:szCs w:val="24"/>
        </w:rPr>
        <w:t>35</w:t>
      </w:r>
      <w:r w:rsidRPr="009A0EF9">
        <w:rPr>
          <w:rFonts w:ascii="Calibri" w:hAnsi="Calibri" w:cs="Calibri"/>
          <w:noProof/>
          <w:szCs w:val="24"/>
        </w:rPr>
        <w:t>(10), 866–874.</w:t>
      </w:r>
    </w:p>
    <w:p w14:paraId="5F3733A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J. ., Perkins, H. W., Jurinsky, J., &amp; Craig, D. . (2019). Adolescent Tobacco Use and Misperceptions of Social Norms Across Schools in the United States. </w:t>
      </w:r>
      <w:r w:rsidRPr="009A0EF9">
        <w:rPr>
          <w:rFonts w:ascii="Calibri" w:hAnsi="Calibri" w:cs="Calibri"/>
          <w:i/>
          <w:iCs/>
          <w:noProof/>
          <w:szCs w:val="24"/>
        </w:rPr>
        <w:t>Journal of Studies on Alcohol and Drugs</w:t>
      </w:r>
      <w:r w:rsidRPr="009A0EF9">
        <w:rPr>
          <w:rFonts w:ascii="Calibri" w:hAnsi="Calibri" w:cs="Calibri"/>
          <w:noProof/>
          <w:szCs w:val="24"/>
        </w:rPr>
        <w:t xml:space="preserve">, </w:t>
      </w:r>
      <w:r w:rsidRPr="009A0EF9">
        <w:rPr>
          <w:rFonts w:ascii="Calibri" w:hAnsi="Calibri" w:cs="Calibri"/>
          <w:i/>
          <w:iCs/>
          <w:noProof/>
          <w:szCs w:val="24"/>
        </w:rPr>
        <w:t>80</w:t>
      </w:r>
      <w:r w:rsidRPr="009A0EF9">
        <w:rPr>
          <w:rFonts w:ascii="Calibri" w:hAnsi="Calibri" w:cs="Calibri"/>
          <w:noProof/>
          <w:szCs w:val="24"/>
        </w:rPr>
        <w:t>(6), 659–668.</w:t>
      </w:r>
    </w:p>
    <w:p w14:paraId="63C697D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J. M., Krezanoski, P., Takada, S., Kakuhikire, B., Batwala, V., Tsai, A. C., Christakis, N. A., &amp; Bangsberg, D. R. (2019). Social norms, misperceptions, and mosquito net use: a population-based, cross-sectional study in rural Uganda. </w:t>
      </w:r>
      <w:r w:rsidRPr="009A0EF9">
        <w:rPr>
          <w:rFonts w:ascii="Calibri" w:hAnsi="Calibri" w:cs="Calibri"/>
          <w:i/>
          <w:iCs/>
          <w:noProof/>
          <w:szCs w:val="24"/>
        </w:rPr>
        <w:t>Malaria Journal</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(1), 1–13.</w:t>
      </w:r>
    </w:p>
    <w:p w14:paraId="54BCEA9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J. M., Perkins, H. W., &amp; Craig, D. . (2010). Misperceptions of peer norms as a risk factor for sugar-sweetened beverage consumption among secondary school students.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110</w:t>
      </w:r>
      <w:r w:rsidRPr="009A0EF9">
        <w:rPr>
          <w:rFonts w:ascii="Calibri" w:hAnsi="Calibri" w:cs="Calibri"/>
          <w:noProof/>
          <w:szCs w:val="24"/>
        </w:rPr>
        <w:t>(12), 1916–1921.</w:t>
      </w:r>
    </w:p>
    <w:p w14:paraId="6E7FFBD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Perkins, J. M., Perkins, H. W., &amp; Craig, D. W. (2018). Misperceived norms and personal sugar-sweetened beverage consumption and fruit and vegetable intake among students in the United States.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129</w:t>
      </w:r>
      <w:r w:rsidRPr="009A0EF9">
        <w:rPr>
          <w:rFonts w:ascii="Calibri" w:hAnsi="Calibri" w:cs="Calibri"/>
          <w:noProof/>
          <w:szCs w:val="24"/>
        </w:rPr>
        <w:t>, 82–93.</w:t>
      </w:r>
    </w:p>
    <w:p w14:paraId="3EEC68C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Perry, C. L., Klepp, K.-I., Halper, A., Dudovitz, B., Golden, D., Griffin, G., &amp; Smyth, M. (1987). </w:t>
      </w:r>
      <w:r w:rsidRPr="009A0EF9">
        <w:rPr>
          <w:rFonts w:ascii="Calibri" w:hAnsi="Calibri" w:cs="Calibri"/>
          <w:noProof/>
          <w:szCs w:val="24"/>
        </w:rPr>
        <w:lastRenderedPageBreak/>
        <w:t xml:space="preserve">Promoting healthy eating and physical activity patterns among adolescents: A pilot study of “Slice of Life.”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2</w:t>
      </w:r>
      <w:r w:rsidRPr="009A0EF9">
        <w:rPr>
          <w:rFonts w:ascii="Calibri" w:hAnsi="Calibri" w:cs="Calibri"/>
          <w:noProof/>
          <w:szCs w:val="24"/>
        </w:rPr>
        <w:t>(2), 93–103.</w:t>
      </w:r>
    </w:p>
    <w:p w14:paraId="0E7C6AD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Pesch, M. H., &amp; Lumeng, J. C. (2017). Methodological considerations for observational coding of eating and feeding behaviors in children and their families. </w:t>
      </w:r>
      <w:r w:rsidRPr="009A0EF9">
        <w:rPr>
          <w:rFonts w:ascii="Calibri" w:hAnsi="Calibri" w:cs="Calibri"/>
          <w:i/>
          <w:iCs/>
          <w:noProof/>
          <w:szCs w:val="24"/>
        </w:rPr>
        <w:t>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(1), 170.</w:t>
      </w:r>
    </w:p>
    <w:p w14:paraId="561B9E0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Peykari, N., Ramezani Tehrani, F., Malekafzali, H., Hashemi, Z., &amp; Djalalinia, S. (2011). An experience of peer education model among medical science university students in Iran. </w:t>
      </w:r>
      <w:r w:rsidRPr="009A0EF9">
        <w:rPr>
          <w:rFonts w:ascii="Calibri" w:hAnsi="Calibri" w:cs="Calibri"/>
          <w:i/>
          <w:iCs/>
          <w:noProof/>
          <w:szCs w:val="24"/>
        </w:rPr>
        <w:t>Iranian Journal of Public Health</w:t>
      </w:r>
      <w:r w:rsidRPr="009A0EF9">
        <w:rPr>
          <w:rFonts w:ascii="Calibri" w:hAnsi="Calibri" w:cs="Calibri"/>
          <w:noProof/>
          <w:szCs w:val="24"/>
        </w:rPr>
        <w:t xml:space="preserve">, </w:t>
      </w:r>
      <w:r w:rsidRPr="009A0EF9">
        <w:rPr>
          <w:rFonts w:ascii="Calibri" w:hAnsi="Calibri" w:cs="Calibri"/>
          <w:i/>
          <w:iCs/>
          <w:noProof/>
          <w:szCs w:val="24"/>
        </w:rPr>
        <w:t>40</w:t>
      </w:r>
      <w:r w:rsidRPr="009A0EF9">
        <w:rPr>
          <w:rFonts w:ascii="Calibri" w:hAnsi="Calibri" w:cs="Calibri"/>
          <w:noProof/>
          <w:szCs w:val="24"/>
        </w:rPr>
        <w:t>(1), 57–62.</w:t>
      </w:r>
    </w:p>
    <w:p w14:paraId="7C8B8B2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Pischke, C. R., Helmer, S. M., McAlaney, J., Bewick, B. M., Vriesacker, B., Van Hal, G., Mikolajczyk, R. T., Akvardar, Y., Guillen-Grima, F., Salonna, F., Orosova, O., Dohrmann, S., Dempsey, R. C., &amp; Zeeb, H. (2015). Normative misperceptions of tobacco use among university students in seven European countries: Baseline findings of the ‘Social Norms Intervention for the prevention of Polydrug usE’study. </w:t>
      </w:r>
      <w:r w:rsidRPr="009A0EF9">
        <w:rPr>
          <w:rFonts w:ascii="Calibri" w:hAnsi="Calibri" w:cs="Calibri"/>
          <w:i/>
          <w:iCs/>
          <w:noProof/>
          <w:szCs w:val="24"/>
        </w:rPr>
        <w:t>Addictive Behaviors</w:t>
      </w:r>
      <w:r w:rsidRPr="009A0EF9">
        <w:rPr>
          <w:rFonts w:ascii="Calibri" w:hAnsi="Calibri" w:cs="Calibri"/>
          <w:noProof/>
          <w:szCs w:val="24"/>
        </w:rPr>
        <w:t xml:space="preserve">, </w:t>
      </w:r>
      <w:r w:rsidRPr="009A0EF9">
        <w:rPr>
          <w:rFonts w:ascii="Calibri" w:hAnsi="Calibri" w:cs="Calibri"/>
          <w:i/>
          <w:iCs/>
          <w:noProof/>
          <w:szCs w:val="24"/>
        </w:rPr>
        <w:t>51</w:t>
      </w:r>
      <w:r w:rsidRPr="009A0EF9">
        <w:rPr>
          <w:rFonts w:ascii="Calibri" w:hAnsi="Calibri" w:cs="Calibri"/>
          <w:noProof/>
          <w:szCs w:val="24"/>
        </w:rPr>
        <w:t>, 158–164.</w:t>
      </w:r>
    </w:p>
    <w:p w14:paraId="1065372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Pischke, C. R., Zeeb, H., van Hal, G., Vriesacker, B., McAlaney, J., Bewick, B. M., Akvardar, Y., Guillén-Grima, F., Orosova, O., Salonna, F., Kalina, O., Stock, C., Helmer, S. M., &amp; Mikolajczyk, R. T. (2012). A feasibility trial to examine the social norms approach for the prevention and reduction of licit and illicit drug use in European University and college students. </w:t>
      </w:r>
      <w:r w:rsidRPr="009A0EF9">
        <w:rPr>
          <w:rFonts w:ascii="Calibri" w:hAnsi="Calibri" w:cs="Calibri"/>
          <w:i/>
          <w:iCs/>
          <w:noProof/>
          <w:szCs w:val="24"/>
        </w:rPr>
        <w:t>BMC Public Health</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 1–8.</w:t>
      </w:r>
    </w:p>
    <w:p w14:paraId="16007AB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Plath, D. (2006). Evidence-based practice: Current issues and future directions. </w:t>
      </w:r>
      <w:r w:rsidRPr="009A0EF9">
        <w:rPr>
          <w:rFonts w:ascii="Calibri" w:hAnsi="Calibri" w:cs="Calibri"/>
          <w:i/>
          <w:iCs/>
          <w:noProof/>
          <w:szCs w:val="24"/>
        </w:rPr>
        <w:t>Australian Social Work</w:t>
      </w:r>
      <w:r w:rsidRPr="009A0EF9">
        <w:rPr>
          <w:rFonts w:ascii="Calibri" w:hAnsi="Calibri" w:cs="Calibri"/>
          <w:noProof/>
          <w:szCs w:val="24"/>
        </w:rPr>
        <w:t xml:space="preserve">, </w:t>
      </w:r>
      <w:r w:rsidRPr="009A0EF9">
        <w:rPr>
          <w:rFonts w:ascii="Calibri" w:hAnsi="Calibri" w:cs="Calibri"/>
          <w:i/>
          <w:iCs/>
          <w:noProof/>
          <w:szCs w:val="24"/>
        </w:rPr>
        <w:t>59</w:t>
      </w:r>
      <w:r w:rsidRPr="009A0EF9">
        <w:rPr>
          <w:rFonts w:ascii="Calibri" w:hAnsi="Calibri" w:cs="Calibri"/>
          <w:noProof/>
          <w:szCs w:val="24"/>
        </w:rPr>
        <w:t>(1), 56–72.</w:t>
      </w:r>
    </w:p>
    <w:p w14:paraId="2B70081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Polit, D. F., &amp; Beck, C. T. (2010). Generalization in quantitative and qualitative research: Myths and strategies. </w:t>
      </w:r>
      <w:r w:rsidRPr="009A0EF9">
        <w:rPr>
          <w:rFonts w:ascii="Calibri" w:hAnsi="Calibri" w:cs="Calibri"/>
          <w:i/>
          <w:iCs/>
          <w:noProof/>
          <w:szCs w:val="24"/>
        </w:rPr>
        <w:t>International Journal of Nursing Studies</w:t>
      </w:r>
      <w:r w:rsidRPr="009A0EF9">
        <w:rPr>
          <w:rFonts w:ascii="Calibri" w:hAnsi="Calibri" w:cs="Calibri"/>
          <w:noProof/>
          <w:szCs w:val="24"/>
        </w:rPr>
        <w:t xml:space="preserve">, </w:t>
      </w:r>
      <w:r w:rsidRPr="009A0EF9">
        <w:rPr>
          <w:rFonts w:ascii="Calibri" w:hAnsi="Calibri" w:cs="Calibri"/>
          <w:i/>
          <w:iCs/>
          <w:noProof/>
          <w:szCs w:val="24"/>
        </w:rPr>
        <w:t>47</w:t>
      </w:r>
      <w:r w:rsidRPr="009A0EF9">
        <w:rPr>
          <w:rFonts w:ascii="Calibri" w:hAnsi="Calibri" w:cs="Calibri"/>
          <w:noProof/>
          <w:szCs w:val="24"/>
        </w:rPr>
        <w:t>(11), 1451–1458.</w:t>
      </w:r>
    </w:p>
    <w:p w14:paraId="03F2EC6B" w14:textId="6981F91A"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Pont, S. J., Puhl, R., Cook, S. R., </w:t>
      </w:r>
      <w:r w:rsidR="008A1D41" w:rsidRPr="00500F3A">
        <w:rPr>
          <w:rFonts w:ascii="Calibri" w:hAnsi="Calibri" w:cs="Calibri"/>
          <w:noProof/>
          <w:szCs w:val="24"/>
        </w:rPr>
        <w:t xml:space="preserve">&amp; </w:t>
      </w:r>
      <w:r w:rsidRPr="00500F3A">
        <w:rPr>
          <w:rFonts w:ascii="Calibri" w:hAnsi="Calibri" w:cs="Calibri"/>
          <w:noProof/>
          <w:szCs w:val="24"/>
        </w:rPr>
        <w:t xml:space="preserve">Slusser, W. (2017). Stigma Experienced by Children and Adolescents With Obesity. </w:t>
      </w:r>
      <w:r w:rsidRPr="00500F3A">
        <w:rPr>
          <w:rFonts w:ascii="Calibri" w:hAnsi="Calibri" w:cs="Calibri"/>
          <w:i/>
          <w:iCs/>
          <w:noProof/>
          <w:szCs w:val="24"/>
        </w:rPr>
        <w:t>Pediatrics</w:t>
      </w:r>
      <w:r w:rsidRPr="00500F3A">
        <w:rPr>
          <w:rFonts w:ascii="Calibri" w:hAnsi="Calibri" w:cs="Calibri"/>
          <w:noProof/>
          <w:szCs w:val="24"/>
        </w:rPr>
        <w:t xml:space="preserve">, </w:t>
      </w:r>
      <w:r w:rsidRPr="00500F3A">
        <w:rPr>
          <w:rFonts w:ascii="Calibri" w:hAnsi="Calibri" w:cs="Calibri"/>
          <w:i/>
          <w:iCs/>
          <w:noProof/>
          <w:szCs w:val="24"/>
        </w:rPr>
        <w:t>140</w:t>
      </w:r>
      <w:r w:rsidRPr="00500F3A">
        <w:rPr>
          <w:rFonts w:ascii="Calibri" w:hAnsi="Calibri" w:cs="Calibri"/>
          <w:noProof/>
          <w:szCs w:val="24"/>
        </w:rPr>
        <w:t>(6), e20173034.</w:t>
      </w:r>
      <w:r w:rsidRPr="009A0EF9">
        <w:rPr>
          <w:rFonts w:ascii="Calibri" w:hAnsi="Calibri" w:cs="Calibri"/>
          <w:noProof/>
          <w:szCs w:val="24"/>
        </w:rPr>
        <w:t xml:space="preserve"> </w:t>
      </w:r>
    </w:p>
    <w:p w14:paraId="19646FB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Ponto, J. (2015). Understanding and Evaluating Survey Research. </w:t>
      </w:r>
      <w:r w:rsidRPr="009A0EF9">
        <w:rPr>
          <w:rFonts w:ascii="Calibri" w:hAnsi="Calibri" w:cs="Calibri"/>
          <w:i/>
          <w:iCs/>
          <w:noProof/>
          <w:szCs w:val="24"/>
        </w:rPr>
        <w:t>Journal of the Advanced Practitioner in Oncology</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(2), 168–171.</w:t>
      </w:r>
    </w:p>
    <w:p w14:paraId="3D1F2EE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Potischman, N., Cohen, B. E., &amp; Picciano, M. F. (2006). Dietary recommendations and identified research needs for The National Children’s Study. </w:t>
      </w:r>
      <w:r w:rsidRPr="009A0EF9">
        <w:rPr>
          <w:rFonts w:ascii="Calibri" w:hAnsi="Calibri" w:cs="Calibri"/>
          <w:i/>
          <w:iCs/>
          <w:noProof/>
          <w:szCs w:val="24"/>
        </w:rPr>
        <w:t>The Journal of Nutrition</w:t>
      </w:r>
      <w:r w:rsidRPr="009A0EF9">
        <w:rPr>
          <w:rFonts w:ascii="Calibri" w:hAnsi="Calibri" w:cs="Calibri"/>
          <w:noProof/>
          <w:szCs w:val="24"/>
        </w:rPr>
        <w:t xml:space="preserve">, </w:t>
      </w:r>
      <w:r w:rsidRPr="009A0EF9">
        <w:rPr>
          <w:rFonts w:ascii="Calibri" w:hAnsi="Calibri" w:cs="Calibri"/>
          <w:i/>
          <w:iCs/>
          <w:noProof/>
          <w:szCs w:val="24"/>
        </w:rPr>
        <w:t>136</w:t>
      </w:r>
      <w:r w:rsidRPr="009A0EF9">
        <w:rPr>
          <w:rFonts w:ascii="Calibri" w:hAnsi="Calibri" w:cs="Calibri"/>
          <w:noProof/>
          <w:szCs w:val="24"/>
        </w:rPr>
        <w:t>(3), 686–689.</w:t>
      </w:r>
    </w:p>
    <w:p w14:paraId="70562E5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Prentice, D. A., &amp; Miller, D. T. (1993). Pluralistic ignorance and alcohol use on campus: some consequences of misperceiving the social norm. </w:t>
      </w:r>
      <w:r w:rsidRPr="009A0EF9">
        <w:rPr>
          <w:rFonts w:ascii="Calibri" w:hAnsi="Calibri" w:cs="Calibri"/>
          <w:i/>
          <w:iCs/>
          <w:noProof/>
          <w:szCs w:val="24"/>
        </w:rPr>
        <w:t>Journal of Personality and Social Psychology</w:t>
      </w:r>
      <w:r w:rsidRPr="009A0EF9">
        <w:rPr>
          <w:rFonts w:ascii="Calibri" w:hAnsi="Calibri" w:cs="Calibri"/>
          <w:noProof/>
          <w:szCs w:val="24"/>
        </w:rPr>
        <w:t xml:space="preserve">, </w:t>
      </w:r>
      <w:r w:rsidRPr="009A0EF9">
        <w:rPr>
          <w:rFonts w:ascii="Calibri" w:hAnsi="Calibri" w:cs="Calibri"/>
          <w:i/>
          <w:iCs/>
          <w:noProof/>
          <w:szCs w:val="24"/>
        </w:rPr>
        <w:t>64</w:t>
      </w:r>
      <w:r w:rsidRPr="009A0EF9">
        <w:rPr>
          <w:rFonts w:ascii="Calibri" w:hAnsi="Calibri" w:cs="Calibri"/>
          <w:noProof/>
          <w:szCs w:val="24"/>
        </w:rPr>
        <w:t>(2), 243–256.</w:t>
      </w:r>
    </w:p>
    <w:p w14:paraId="353C160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Prentice, D., &amp; Paluck, E. L. (2020). Engineering social change using social norms: lessons from the study of collective action. </w:t>
      </w:r>
      <w:r w:rsidRPr="009A0EF9">
        <w:rPr>
          <w:rFonts w:ascii="Calibri" w:hAnsi="Calibri" w:cs="Calibri"/>
          <w:i/>
          <w:iCs/>
          <w:noProof/>
          <w:szCs w:val="24"/>
        </w:rPr>
        <w:t>Current Opinion in Psychology</w:t>
      </w:r>
      <w:r w:rsidRPr="009A0EF9">
        <w:rPr>
          <w:rFonts w:ascii="Calibri" w:hAnsi="Calibri" w:cs="Calibri"/>
          <w:noProof/>
          <w:szCs w:val="24"/>
        </w:rPr>
        <w:t xml:space="preserve">, </w:t>
      </w:r>
      <w:r w:rsidRPr="009A0EF9">
        <w:rPr>
          <w:rFonts w:ascii="Calibri" w:hAnsi="Calibri" w:cs="Calibri"/>
          <w:i/>
          <w:iCs/>
          <w:noProof/>
          <w:szCs w:val="24"/>
        </w:rPr>
        <w:t>35</w:t>
      </w:r>
      <w:r w:rsidRPr="009A0EF9">
        <w:rPr>
          <w:rFonts w:ascii="Calibri" w:hAnsi="Calibri" w:cs="Calibri"/>
          <w:noProof/>
          <w:szCs w:val="24"/>
        </w:rPr>
        <w:t>, 138–142. https://doi.org/https://doi.org/10.1016/j.copsyc.2020.06.012</w:t>
      </w:r>
    </w:p>
    <w:p w14:paraId="5D259EF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(2014). </w:t>
      </w:r>
      <w:r w:rsidRPr="009A0EF9">
        <w:rPr>
          <w:rFonts w:ascii="Calibri" w:hAnsi="Calibri" w:cs="Calibri"/>
          <w:i/>
          <w:iCs/>
          <w:noProof/>
          <w:szCs w:val="24"/>
        </w:rPr>
        <w:t>National Diet and Nutrition Survey: Results from Years 1, 2, 3 and 4 (combined) of the Rolling Programme (2008/2009-2011/2012)</w:t>
      </w:r>
      <w:r w:rsidRPr="009A0EF9">
        <w:rPr>
          <w:rFonts w:ascii="Calibri" w:hAnsi="Calibri" w:cs="Calibri"/>
          <w:noProof/>
          <w:szCs w:val="24"/>
        </w:rPr>
        <w:t>. https://www.gov.uk/government/statistics/national-diet-and-nutrition-survey-results-from-years-1-to-4-combined-of-the-rolling-programme-for-2008-and-2009-to-2011-and-2012</w:t>
      </w:r>
    </w:p>
    <w:p w14:paraId="07518D0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(2016). </w:t>
      </w:r>
      <w:r w:rsidRPr="009A0EF9">
        <w:rPr>
          <w:rFonts w:ascii="Calibri" w:hAnsi="Calibri" w:cs="Calibri"/>
          <w:i/>
          <w:iCs/>
          <w:noProof/>
          <w:szCs w:val="24"/>
        </w:rPr>
        <w:t>Child obesity</w:t>
      </w:r>
      <w:r w:rsidRPr="009A0EF9">
        <w:rPr>
          <w:rFonts w:ascii="Calibri" w:hAnsi="Calibri" w:cs="Calibri"/>
          <w:noProof/>
          <w:szCs w:val="24"/>
        </w:rPr>
        <w:t>. https://www.gov.uk/government/publications/childhood-obesity-a-plan-for-action/childhood-obesity-a-plan-for-action</w:t>
      </w:r>
    </w:p>
    <w:p w14:paraId="5E9C311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(2017). </w:t>
      </w:r>
      <w:r w:rsidRPr="009A0EF9">
        <w:rPr>
          <w:rFonts w:ascii="Calibri" w:hAnsi="Calibri" w:cs="Calibri"/>
          <w:i/>
          <w:iCs/>
          <w:noProof/>
          <w:szCs w:val="24"/>
        </w:rPr>
        <w:t>Health matters: obesity and the food environment</w:t>
      </w:r>
      <w:r w:rsidRPr="009A0EF9">
        <w:rPr>
          <w:rFonts w:ascii="Calibri" w:hAnsi="Calibri" w:cs="Calibri"/>
          <w:noProof/>
          <w:szCs w:val="24"/>
        </w:rPr>
        <w:t>. https://www.gov.uk/government/publications/health-matters-obesity-and-the-food-environment/health-matters-obesity-and-the-food-environment--2</w:t>
      </w:r>
    </w:p>
    <w:p w14:paraId="291325C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Public Health England. (2018a). Calorie reduction: The scope and ambition for action. </w:t>
      </w:r>
      <w:r w:rsidRPr="009A0EF9">
        <w:rPr>
          <w:rFonts w:ascii="Calibri" w:hAnsi="Calibri" w:cs="Calibri"/>
          <w:i/>
          <w:iCs/>
          <w:noProof/>
          <w:szCs w:val="24"/>
        </w:rPr>
        <w:t>Public Health England</w:t>
      </w:r>
      <w:r w:rsidRPr="009A0EF9">
        <w:rPr>
          <w:rFonts w:ascii="Calibri" w:hAnsi="Calibri" w:cs="Calibri"/>
          <w:noProof/>
          <w:szCs w:val="24"/>
        </w:rPr>
        <w:t>. https://www.gov.uk/government/publications/calorie-reduction-the-scope-and-ambition-for-action</w:t>
      </w:r>
    </w:p>
    <w:p w14:paraId="5E9C290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(2018b). </w:t>
      </w:r>
      <w:r w:rsidRPr="009A0EF9">
        <w:rPr>
          <w:rFonts w:ascii="Calibri" w:hAnsi="Calibri" w:cs="Calibri"/>
          <w:i/>
          <w:iCs/>
          <w:noProof/>
          <w:szCs w:val="24"/>
        </w:rPr>
        <w:t>Guidance The Eatwell Guide</w:t>
      </w:r>
      <w:r w:rsidRPr="009A0EF9">
        <w:rPr>
          <w:rFonts w:ascii="Calibri" w:hAnsi="Calibri" w:cs="Calibri"/>
          <w:noProof/>
          <w:szCs w:val="24"/>
        </w:rPr>
        <w:t>. https://www.gov.uk/government/publications/the-eatwell-guide</w:t>
      </w:r>
    </w:p>
    <w:p w14:paraId="27DE585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(2018c). </w:t>
      </w:r>
      <w:r w:rsidRPr="009A0EF9">
        <w:rPr>
          <w:rFonts w:ascii="Calibri" w:hAnsi="Calibri" w:cs="Calibri"/>
          <w:i/>
          <w:iCs/>
          <w:noProof/>
          <w:szCs w:val="24"/>
        </w:rPr>
        <w:t>PHE launches Change4Life campaign around children’s snacking</w:t>
      </w:r>
      <w:r w:rsidRPr="009A0EF9">
        <w:rPr>
          <w:rFonts w:ascii="Calibri" w:hAnsi="Calibri" w:cs="Calibri"/>
          <w:noProof/>
          <w:szCs w:val="24"/>
        </w:rPr>
        <w:t>. https://www.gov.uk/government/news/phe-launches-change4life-campaign-around-childrens-snacking</w:t>
      </w:r>
    </w:p>
    <w:p w14:paraId="17F0E6C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(2019). </w:t>
      </w:r>
      <w:r w:rsidRPr="009A0EF9">
        <w:rPr>
          <w:rFonts w:ascii="Calibri" w:hAnsi="Calibri" w:cs="Calibri"/>
          <w:i/>
          <w:iCs/>
          <w:noProof/>
          <w:szCs w:val="24"/>
        </w:rPr>
        <w:t>Early adolescence: applying all our health</w:t>
      </w:r>
      <w:r w:rsidRPr="009A0EF9">
        <w:rPr>
          <w:rFonts w:ascii="Calibri" w:hAnsi="Calibri" w:cs="Calibri"/>
          <w:noProof/>
          <w:szCs w:val="24"/>
        </w:rPr>
        <w:t>. https://www.gov.uk/government/publications/early-adolescence-applying-all-our-health/early-adolescence-applying-all-our-health</w:t>
      </w:r>
    </w:p>
    <w:p w14:paraId="0FD2A8A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Public Health England. (2020). </w:t>
      </w:r>
      <w:r w:rsidRPr="009A0EF9">
        <w:rPr>
          <w:rFonts w:ascii="Calibri" w:hAnsi="Calibri" w:cs="Calibri"/>
          <w:i/>
          <w:iCs/>
          <w:noProof/>
          <w:szCs w:val="24"/>
        </w:rPr>
        <w:t>Childhood obesity: Applying all our Health</w:t>
      </w:r>
      <w:r w:rsidRPr="009A0EF9">
        <w:rPr>
          <w:rFonts w:ascii="Calibri" w:hAnsi="Calibri" w:cs="Calibri"/>
          <w:noProof/>
          <w:szCs w:val="24"/>
        </w:rPr>
        <w:t>. London PHE London. https://www.gov.uk/government/publications/childhood-obesity-applying-all-our-health/childhood-obesity-applying-all-our-health</w:t>
      </w:r>
    </w:p>
    <w:p w14:paraId="1F9CDD4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QSR International Pty Ltd. (2016). </w:t>
      </w:r>
      <w:r w:rsidRPr="009A0EF9">
        <w:rPr>
          <w:rFonts w:ascii="Calibri" w:hAnsi="Calibri" w:cs="Calibri"/>
          <w:i/>
          <w:iCs/>
          <w:noProof/>
          <w:szCs w:val="24"/>
        </w:rPr>
        <w:t>QSR International Pty Ltd</w:t>
      </w:r>
      <w:r w:rsidRPr="009A0EF9">
        <w:rPr>
          <w:rFonts w:ascii="Calibri" w:hAnsi="Calibri" w:cs="Calibri"/>
          <w:noProof/>
          <w:szCs w:val="24"/>
        </w:rPr>
        <w:t xml:space="preserve"> (11 Pro).</w:t>
      </w:r>
    </w:p>
    <w:p w14:paraId="5FE1684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Queirós, A., Faria, D., &amp; Almeida, F. (2017). Strengths and limitations of qualitative and quantitative research methods. </w:t>
      </w:r>
      <w:r w:rsidRPr="009A0EF9">
        <w:rPr>
          <w:rFonts w:ascii="Calibri" w:hAnsi="Calibri" w:cs="Calibri"/>
          <w:i/>
          <w:iCs/>
          <w:noProof/>
          <w:szCs w:val="24"/>
        </w:rPr>
        <w:t>European Journal of Education Studies</w:t>
      </w:r>
      <w:r w:rsidRPr="009A0EF9">
        <w:rPr>
          <w:rFonts w:ascii="Calibri" w:hAnsi="Calibri" w:cs="Calibri"/>
          <w:noProof/>
          <w:szCs w:val="24"/>
        </w:rPr>
        <w:t xml:space="preserve">, </w:t>
      </w:r>
      <w:r w:rsidRPr="009A0EF9">
        <w:rPr>
          <w:rFonts w:ascii="Calibri" w:hAnsi="Calibri" w:cs="Calibri"/>
          <w:i/>
          <w:iCs/>
          <w:noProof/>
          <w:szCs w:val="24"/>
        </w:rPr>
        <w:t>3</w:t>
      </w:r>
      <w:r w:rsidRPr="009A0EF9">
        <w:rPr>
          <w:rFonts w:ascii="Calibri" w:hAnsi="Calibri" w:cs="Calibri"/>
          <w:noProof/>
          <w:szCs w:val="24"/>
        </w:rPr>
        <w:t>(9), 369–387.</w:t>
      </w:r>
    </w:p>
    <w:p w14:paraId="656B095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Racey, M., O’Brien, C., Douglas, S., Marquez, O., Hendrie, G., &amp; Newton, G. (2016). Systematic Review of School‐Based Interventions to Modify Dietary Behavior: Does Intervention Intensity Impact Effectiveness? </w:t>
      </w:r>
      <w:r w:rsidRPr="009A0EF9">
        <w:rPr>
          <w:rFonts w:ascii="Calibri" w:hAnsi="Calibri" w:cs="Calibri"/>
          <w:i/>
          <w:iCs/>
          <w:noProof/>
          <w:szCs w:val="24"/>
        </w:rPr>
        <w:t>Journal of School Health</w:t>
      </w:r>
      <w:r w:rsidRPr="009A0EF9">
        <w:rPr>
          <w:rFonts w:ascii="Calibri" w:hAnsi="Calibri" w:cs="Calibri"/>
          <w:noProof/>
          <w:szCs w:val="24"/>
        </w:rPr>
        <w:t xml:space="preserve">, </w:t>
      </w:r>
      <w:r w:rsidRPr="009A0EF9">
        <w:rPr>
          <w:rFonts w:ascii="Calibri" w:hAnsi="Calibri" w:cs="Calibri"/>
          <w:i/>
          <w:iCs/>
          <w:noProof/>
          <w:szCs w:val="24"/>
        </w:rPr>
        <w:t>86</w:t>
      </w:r>
      <w:r w:rsidRPr="009A0EF9">
        <w:rPr>
          <w:rFonts w:ascii="Calibri" w:hAnsi="Calibri" w:cs="Calibri"/>
          <w:noProof/>
          <w:szCs w:val="24"/>
        </w:rPr>
        <w:t>, 452–463.</w:t>
      </w:r>
    </w:p>
    <w:p w14:paraId="565257B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Ragelienė, T., &amp; Grønhøj, A. (2020). The influence of peers′ and siblings′ on children’s and adolescents′ healthy eating behavior. A systematic literature review.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148</w:t>
      </w:r>
      <w:r w:rsidRPr="009A0EF9">
        <w:rPr>
          <w:rFonts w:ascii="Calibri" w:hAnsi="Calibri" w:cs="Calibri"/>
          <w:noProof/>
          <w:szCs w:val="24"/>
        </w:rPr>
        <w:t>, 104592.</w:t>
      </w:r>
    </w:p>
    <w:p w14:paraId="2FFC3D7C"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Raj, M., &amp; Kumar, R. K. (2010). Obesity in children &amp; adolescents. </w:t>
      </w:r>
      <w:r w:rsidRPr="009A0EF9">
        <w:rPr>
          <w:rFonts w:ascii="Calibri" w:hAnsi="Calibri" w:cs="Calibri"/>
          <w:i/>
          <w:iCs/>
          <w:noProof/>
          <w:szCs w:val="24"/>
        </w:rPr>
        <w:t>The Indian Journal of Medical Research</w:t>
      </w:r>
      <w:r w:rsidRPr="009A0EF9">
        <w:rPr>
          <w:rFonts w:ascii="Calibri" w:hAnsi="Calibri" w:cs="Calibri"/>
          <w:noProof/>
          <w:szCs w:val="24"/>
        </w:rPr>
        <w:t xml:space="preserve">, </w:t>
      </w:r>
      <w:r w:rsidRPr="009A0EF9">
        <w:rPr>
          <w:rFonts w:ascii="Calibri" w:hAnsi="Calibri" w:cs="Calibri"/>
          <w:i/>
          <w:iCs/>
          <w:noProof/>
          <w:szCs w:val="24"/>
        </w:rPr>
        <w:t>132</w:t>
      </w:r>
      <w:r w:rsidRPr="009A0EF9">
        <w:rPr>
          <w:rFonts w:ascii="Calibri" w:hAnsi="Calibri" w:cs="Calibri"/>
          <w:noProof/>
          <w:szCs w:val="24"/>
        </w:rPr>
        <w:t>(5), 598–607.</w:t>
      </w:r>
    </w:p>
    <w:p w14:paraId="7ACF796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Rampersaud, G. C., Pereira, M. A., Girard, B. L., Adams, J., &amp; Metzl, J. D. (2005). Breakfast Habits, Nutritional Status, Body Weight, and Academic Performance in Children and Adolescents.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105</w:t>
      </w:r>
      <w:r w:rsidRPr="009A0EF9">
        <w:rPr>
          <w:rFonts w:ascii="Calibri" w:hAnsi="Calibri" w:cs="Calibri"/>
          <w:noProof/>
          <w:szCs w:val="24"/>
        </w:rPr>
        <w:t>(5), 743–760.</w:t>
      </w:r>
    </w:p>
    <w:p w14:paraId="0470C5C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Rankin, D., Hanekom, S. M., Wright, H. H., &amp; MacIntyre, U. E. (2010). Dietary assessment methodology for adolescents: a review of reproducibility and validation studies. </w:t>
      </w:r>
      <w:r w:rsidRPr="009A0EF9">
        <w:rPr>
          <w:rFonts w:ascii="Calibri" w:hAnsi="Calibri" w:cs="Calibri"/>
          <w:i/>
          <w:iCs/>
          <w:noProof/>
          <w:szCs w:val="24"/>
        </w:rPr>
        <w:t>South African Journal of Clinical Nutrition</w:t>
      </w:r>
      <w:r w:rsidRPr="009A0EF9">
        <w:rPr>
          <w:rFonts w:ascii="Calibri" w:hAnsi="Calibri" w:cs="Calibri"/>
          <w:noProof/>
          <w:szCs w:val="24"/>
        </w:rPr>
        <w:t xml:space="preserve">, </w:t>
      </w:r>
      <w:r w:rsidRPr="009A0EF9">
        <w:rPr>
          <w:rFonts w:ascii="Calibri" w:hAnsi="Calibri" w:cs="Calibri"/>
          <w:i/>
          <w:iCs/>
          <w:noProof/>
          <w:szCs w:val="24"/>
        </w:rPr>
        <w:t>23</w:t>
      </w:r>
      <w:r w:rsidRPr="009A0EF9">
        <w:rPr>
          <w:rFonts w:ascii="Calibri" w:hAnsi="Calibri" w:cs="Calibri"/>
          <w:noProof/>
          <w:szCs w:val="24"/>
        </w:rPr>
        <w:t>(2), 65–74.</w:t>
      </w:r>
    </w:p>
    <w:p w14:paraId="75600BA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Rasmussen, M., Krølner, R., Klepp, K.-. I., Lytle, L., Brug, J., Bere, E., &amp; Due, P. (2006). Determinants of fruit and vegetable consumption among children and adolescents: a review of the literature. Part I: quantitative studies. </w:t>
      </w:r>
      <w:r w:rsidRPr="009A0EF9">
        <w:rPr>
          <w:rFonts w:ascii="Calibri" w:hAnsi="Calibri" w:cs="Calibri"/>
          <w:i/>
          <w:iCs/>
          <w:noProof/>
          <w:szCs w:val="24"/>
        </w:rPr>
        <w:t>International Journal of Behaviour Nutrition and Physical Activity</w:t>
      </w:r>
      <w:r w:rsidRPr="009A0EF9">
        <w:rPr>
          <w:rFonts w:ascii="Calibri" w:hAnsi="Calibri" w:cs="Calibri"/>
          <w:noProof/>
          <w:szCs w:val="24"/>
        </w:rPr>
        <w:t xml:space="preserve">, </w:t>
      </w:r>
      <w:r w:rsidRPr="009A0EF9">
        <w:rPr>
          <w:rFonts w:ascii="Calibri" w:hAnsi="Calibri" w:cs="Calibri"/>
          <w:i/>
          <w:iCs/>
          <w:noProof/>
          <w:szCs w:val="24"/>
        </w:rPr>
        <w:t>3</w:t>
      </w:r>
      <w:r w:rsidRPr="009A0EF9">
        <w:rPr>
          <w:rFonts w:ascii="Calibri" w:hAnsi="Calibri" w:cs="Calibri"/>
          <w:noProof/>
          <w:szCs w:val="24"/>
        </w:rPr>
        <w:t>, 22–41.</w:t>
      </w:r>
    </w:p>
    <w:p w14:paraId="00ACE86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Ratcliffe, M. M., Merrigan, K. A., Rogers, B. L., &amp; Goldberg, J. P. (2011). The effects of school garden experiences on middle school-aged students’ knowledge, attitudes, and behaviors associated with vegetable consumption. </w:t>
      </w:r>
      <w:r w:rsidRPr="009A0EF9">
        <w:rPr>
          <w:rFonts w:ascii="Calibri" w:hAnsi="Calibri" w:cs="Calibri"/>
          <w:i/>
          <w:iCs/>
          <w:noProof/>
          <w:szCs w:val="24"/>
        </w:rPr>
        <w:t>Health Promotion Practice</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(1), 36–43.</w:t>
      </w:r>
    </w:p>
    <w:p w14:paraId="045BA6E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Reid, A. E., &amp; Aiken, L. S. (2013). Correcting injunctive norm misperceptions motivates behavior change: a randomized controlled sun protection intervention. </w:t>
      </w:r>
      <w:r w:rsidRPr="009A0EF9">
        <w:rPr>
          <w:rFonts w:ascii="Calibri" w:hAnsi="Calibri" w:cs="Calibri"/>
          <w:i/>
          <w:iCs/>
          <w:noProof/>
          <w:szCs w:val="24"/>
        </w:rPr>
        <w:t>Health Psychology : Official Journal of the Division of Health Psychology, American Psychological Association</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(5), 551–560.</w:t>
      </w:r>
    </w:p>
    <w:p w14:paraId="4B1DF72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Reilly, J. J., &amp; Kelly, J. (2011). Long-term impact of overweight and obesity in childhood and adolescence on morbidity and premature mortality in adulthood: systematic review. </w:t>
      </w:r>
      <w:r w:rsidRPr="009A0EF9">
        <w:rPr>
          <w:rFonts w:ascii="Calibri" w:hAnsi="Calibri" w:cs="Calibri"/>
          <w:i/>
          <w:iCs/>
          <w:noProof/>
          <w:szCs w:val="24"/>
        </w:rPr>
        <w:t>International Journal of Obesity</w:t>
      </w:r>
      <w:r w:rsidRPr="009A0EF9">
        <w:rPr>
          <w:rFonts w:ascii="Calibri" w:hAnsi="Calibri" w:cs="Calibri"/>
          <w:noProof/>
          <w:szCs w:val="24"/>
        </w:rPr>
        <w:t xml:space="preserve">, </w:t>
      </w:r>
      <w:r w:rsidRPr="009A0EF9">
        <w:rPr>
          <w:rFonts w:ascii="Calibri" w:hAnsi="Calibri" w:cs="Calibri"/>
          <w:i/>
          <w:iCs/>
          <w:noProof/>
          <w:szCs w:val="24"/>
        </w:rPr>
        <w:t>35</w:t>
      </w:r>
      <w:r w:rsidRPr="009A0EF9">
        <w:rPr>
          <w:rFonts w:ascii="Calibri" w:hAnsi="Calibri" w:cs="Calibri"/>
          <w:noProof/>
          <w:szCs w:val="24"/>
        </w:rPr>
        <w:t>(7), 891–898.</w:t>
      </w:r>
    </w:p>
    <w:p w14:paraId="57A0853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Reinaerts, E., Crutzen, R., Candel, M., De Vries, N. K., &amp; De Nooijer, J. (2008). Increasing fruit and vegetable intake among children: comparing long-term effects of a free distribution and a multicomponent program.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23</w:t>
      </w:r>
      <w:r w:rsidRPr="009A0EF9">
        <w:rPr>
          <w:rFonts w:ascii="Calibri" w:hAnsi="Calibri" w:cs="Calibri"/>
          <w:noProof/>
          <w:szCs w:val="24"/>
        </w:rPr>
        <w:t>(6), 987–996.</w:t>
      </w:r>
    </w:p>
    <w:p w14:paraId="4422B5D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Revill, S. A. (2004). </w:t>
      </w:r>
      <w:r w:rsidRPr="009A0EF9">
        <w:rPr>
          <w:rFonts w:ascii="Calibri" w:hAnsi="Calibri" w:cs="Calibri"/>
          <w:i/>
          <w:iCs/>
          <w:noProof/>
          <w:szCs w:val="24"/>
        </w:rPr>
        <w:t>Evaluation of a school-based nutrition and food delivered intervention to schoolchildren preparation skills from deprived social backgrounds</w:t>
      </w:r>
      <w:r w:rsidRPr="009A0EF9">
        <w:rPr>
          <w:rFonts w:ascii="Calibri" w:hAnsi="Calibri" w:cs="Calibri"/>
          <w:noProof/>
          <w:szCs w:val="24"/>
        </w:rPr>
        <w:t>. Newcastle-upon-tyme.</w:t>
      </w:r>
    </w:p>
    <w:p w14:paraId="02A5E6E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Rice, E. L., &amp; Klein, W. M. P. (2019). Interactions among perceived norms and attitudes about health-related behaviors in U.S. adolescents. </w:t>
      </w:r>
      <w:r w:rsidRPr="009A0EF9">
        <w:rPr>
          <w:rFonts w:ascii="Calibri" w:hAnsi="Calibri" w:cs="Calibri"/>
          <w:i/>
          <w:iCs/>
          <w:noProof/>
          <w:szCs w:val="24"/>
        </w:rPr>
        <w:t>Health Psychology : Official Journal of the Division of Health Psychology, American Psychological Association</w:t>
      </w:r>
      <w:r w:rsidRPr="009A0EF9">
        <w:rPr>
          <w:rFonts w:ascii="Calibri" w:hAnsi="Calibri" w:cs="Calibri"/>
          <w:noProof/>
          <w:szCs w:val="24"/>
        </w:rPr>
        <w:t xml:space="preserve">, </w:t>
      </w:r>
      <w:r w:rsidRPr="009A0EF9">
        <w:rPr>
          <w:rFonts w:ascii="Calibri" w:hAnsi="Calibri" w:cs="Calibri"/>
          <w:i/>
          <w:iCs/>
          <w:noProof/>
          <w:szCs w:val="24"/>
        </w:rPr>
        <w:t>38</w:t>
      </w:r>
      <w:r w:rsidRPr="009A0EF9">
        <w:rPr>
          <w:rFonts w:ascii="Calibri" w:hAnsi="Calibri" w:cs="Calibri"/>
          <w:noProof/>
          <w:szCs w:val="24"/>
        </w:rPr>
        <w:t>(3), 268–275.</w:t>
      </w:r>
    </w:p>
    <w:p w14:paraId="3198B6F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Ridder, M. A. M., Heuvelmans, M. A., Visscher, T. L. S., Seidell, J. C., &amp; Renders, C. M. (2010). We are healthy so we can behave unhealthily: a qualitative study of the health behaviour of Dutch lower vocational students. </w:t>
      </w:r>
      <w:r w:rsidRPr="009A0EF9">
        <w:rPr>
          <w:rFonts w:ascii="Calibri" w:hAnsi="Calibri" w:cs="Calibri"/>
          <w:i/>
          <w:iCs/>
          <w:noProof/>
          <w:szCs w:val="24"/>
        </w:rPr>
        <w:t>Health Education</w:t>
      </w:r>
      <w:r w:rsidRPr="009A0EF9">
        <w:rPr>
          <w:rFonts w:ascii="Calibri" w:hAnsi="Calibri" w:cs="Calibri"/>
          <w:noProof/>
          <w:szCs w:val="24"/>
        </w:rPr>
        <w:t xml:space="preserve">, </w:t>
      </w:r>
      <w:r w:rsidRPr="009A0EF9">
        <w:rPr>
          <w:rFonts w:ascii="Calibri" w:hAnsi="Calibri" w:cs="Calibri"/>
          <w:i/>
          <w:iCs/>
          <w:noProof/>
          <w:szCs w:val="24"/>
        </w:rPr>
        <w:t>1</w:t>
      </w:r>
      <w:r w:rsidRPr="009A0EF9">
        <w:rPr>
          <w:rFonts w:ascii="Calibri" w:hAnsi="Calibri" w:cs="Calibri"/>
          <w:noProof/>
          <w:szCs w:val="24"/>
        </w:rPr>
        <w:t>, 30–42.</w:t>
      </w:r>
    </w:p>
    <w:p w14:paraId="4AAFE34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Riley, A. H., Rodrigues, F., &amp; Sood, S. (2021). </w:t>
      </w:r>
      <w:r w:rsidRPr="009A0EF9">
        <w:rPr>
          <w:rFonts w:ascii="Calibri" w:hAnsi="Calibri" w:cs="Calibri"/>
          <w:i/>
          <w:iCs/>
          <w:noProof/>
          <w:szCs w:val="24"/>
        </w:rPr>
        <w:t>Social Norms Theory and Measurement in Entertainment-Education: Insights from Case Studies in Four Countries BT  - Entertainment-Education Behind the Scenes: Case Studies for Theory and Practice</w:t>
      </w:r>
      <w:r w:rsidRPr="009A0EF9">
        <w:rPr>
          <w:rFonts w:ascii="Calibri" w:hAnsi="Calibri" w:cs="Calibri"/>
          <w:noProof/>
          <w:szCs w:val="24"/>
        </w:rPr>
        <w:t xml:space="preserve"> (L. B. Frank &amp; P. Falzone (Eds.); pp. 175–194). Springer International Publishing. https://doi.org/10.1007/978-3-030-63614-2_11</w:t>
      </w:r>
    </w:p>
    <w:p w14:paraId="58AFA29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Rimal, R. N., &amp; Real, K. (2005). How behaviors are influenced by perceived norms: A test of the theory of normative social behavior. </w:t>
      </w:r>
      <w:r w:rsidRPr="009A0EF9">
        <w:rPr>
          <w:rFonts w:ascii="Calibri" w:hAnsi="Calibri" w:cs="Calibri"/>
          <w:i/>
          <w:iCs/>
          <w:noProof/>
          <w:szCs w:val="24"/>
        </w:rPr>
        <w:t>Communication Research</w:t>
      </w:r>
      <w:r w:rsidRPr="009A0EF9">
        <w:rPr>
          <w:rFonts w:ascii="Calibri" w:hAnsi="Calibri" w:cs="Calibri"/>
          <w:noProof/>
          <w:szCs w:val="24"/>
        </w:rPr>
        <w:t xml:space="preserve">, </w:t>
      </w:r>
      <w:r w:rsidRPr="009A0EF9">
        <w:rPr>
          <w:rFonts w:ascii="Calibri" w:hAnsi="Calibri" w:cs="Calibri"/>
          <w:i/>
          <w:iCs/>
          <w:noProof/>
          <w:szCs w:val="24"/>
        </w:rPr>
        <w:t>32</w:t>
      </w:r>
      <w:r w:rsidRPr="009A0EF9">
        <w:rPr>
          <w:rFonts w:ascii="Calibri" w:hAnsi="Calibri" w:cs="Calibri"/>
          <w:noProof/>
          <w:szCs w:val="24"/>
        </w:rPr>
        <w:t>(3), 389–414.</w:t>
      </w:r>
    </w:p>
    <w:p w14:paraId="64FE503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Ritchie. J and Spencer. L in Bryman. A and Burgess. R. G. (1994). Qualitative data analysis for applied policy research. In </w:t>
      </w:r>
      <w:r w:rsidRPr="009A0EF9">
        <w:rPr>
          <w:rFonts w:ascii="Calibri" w:hAnsi="Calibri" w:cs="Calibri"/>
          <w:i/>
          <w:iCs/>
          <w:noProof/>
          <w:szCs w:val="24"/>
        </w:rPr>
        <w:t>Analysing qualitative data</w:t>
      </w:r>
      <w:r w:rsidRPr="009A0EF9">
        <w:rPr>
          <w:rFonts w:ascii="Calibri" w:hAnsi="Calibri" w:cs="Calibri"/>
          <w:noProof/>
          <w:szCs w:val="24"/>
        </w:rPr>
        <w:t xml:space="preserve"> (pp. 173–194). Routledge.</w:t>
      </w:r>
    </w:p>
    <w:p w14:paraId="0B58B03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Rivis, A., &amp; Sheeran, P. (2003). Descriptive norms as an additional predictor in the theory of planned behaviour: A meta-analysis. </w:t>
      </w:r>
      <w:r w:rsidRPr="009A0EF9">
        <w:rPr>
          <w:rFonts w:ascii="Calibri" w:hAnsi="Calibri" w:cs="Calibri"/>
          <w:i/>
          <w:iCs/>
          <w:noProof/>
          <w:szCs w:val="24"/>
        </w:rPr>
        <w:t>Current Psychology</w:t>
      </w:r>
      <w:r w:rsidRPr="009A0EF9">
        <w:rPr>
          <w:rFonts w:ascii="Calibri" w:hAnsi="Calibri" w:cs="Calibri"/>
          <w:noProof/>
          <w:szCs w:val="24"/>
        </w:rPr>
        <w:t xml:space="preserve">, </w:t>
      </w:r>
      <w:r w:rsidRPr="009A0EF9">
        <w:rPr>
          <w:rFonts w:ascii="Calibri" w:hAnsi="Calibri" w:cs="Calibri"/>
          <w:i/>
          <w:iCs/>
          <w:noProof/>
          <w:szCs w:val="24"/>
        </w:rPr>
        <w:t>22</w:t>
      </w:r>
      <w:r w:rsidRPr="009A0EF9">
        <w:rPr>
          <w:rFonts w:ascii="Calibri" w:hAnsi="Calibri" w:cs="Calibri"/>
          <w:noProof/>
          <w:szCs w:val="24"/>
        </w:rPr>
        <w:t>(3), 218–233.</w:t>
      </w:r>
    </w:p>
    <w:p w14:paraId="646C099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Roberts, K. J., Polfuss, M. L., Marston, E. C., &amp; Davis, R. L. (2021). Experiences of weight stigma in adolescents with severe obesity and their families. </w:t>
      </w:r>
      <w:r w:rsidRPr="00500F3A">
        <w:rPr>
          <w:rFonts w:ascii="Calibri" w:hAnsi="Calibri" w:cs="Calibri"/>
          <w:i/>
          <w:iCs/>
          <w:noProof/>
          <w:szCs w:val="24"/>
        </w:rPr>
        <w:t>Journal of Advanced Nursing</w:t>
      </w:r>
      <w:r w:rsidRPr="00500F3A">
        <w:rPr>
          <w:rFonts w:ascii="Calibri" w:hAnsi="Calibri" w:cs="Calibri"/>
          <w:noProof/>
          <w:szCs w:val="24"/>
        </w:rPr>
        <w:t xml:space="preserve">, </w:t>
      </w:r>
      <w:r w:rsidRPr="00500F3A">
        <w:rPr>
          <w:rFonts w:ascii="Calibri" w:hAnsi="Calibri" w:cs="Calibri"/>
          <w:i/>
          <w:iCs/>
          <w:noProof/>
          <w:szCs w:val="24"/>
        </w:rPr>
        <w:t>77</w:t>
      </w:r>
      <w:r w:rsidRPr="00500F3A">
        <w:rPr>
          <w:rFonts w:ascii="Calibri" w:hAnsi="Calibri" w:cs="Calibri"/>
          <w:noProof/>
          <w:szCs w:val="24"/>
        </w:rPr>
        <w:t>(10), 4184–4194.</w:t>
      </w:r>
    </w:p>
    <w:p w14:paraId="1FB8ABC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Robertson, R. (2008). Using information to promote healthy behaviours. In </w:t>
      </w:r>
      <w:r w:rsidRPr="009A0EF9">
        <w:rPr>
          <w:rFonts w:ascii="Calibri" w:hAnsi="Calibri" w:cs="Calibri"/>
          <w:i/>
          <w:iCs/>
          <w:noProof/>
          <w:szCs w:val="24"/>
        </w:rPr>
        <w:t>Kicking Bad Habits Report, King’s Fund, London</w:t>
      </w:r>
      <w:r w:rsidRPr="009A0EF9">
        <w:rPr>
          <w:rFonts w:ascii="Calibri" w:hAnsi="Calibri" w:cs="Calibri"/>
          <w:noProof/>
          <w:szCs w:val="24"/>
        </w:rPr>
        <w:t>. https://www.kingsfund.org.uk/sites/default/files/field/field_document/information-promote-healthy-behaviours-kicking-bad-habits-supporting-paper-ruth-robertson.pdf</w:t>
      </w:r>
    </w:p>
    <w:p w14:paraId="0AA243B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Robinson, E., Fleming, A., &amp; Higgs, S. (2014). Prompting healthier eating: Testing the use of health and social norm based messages. </w:t>
      </w:r>
      <w:r w:rsidRPr="009A0EF9">
        <w:rPr>
          <w:rFonts w:ascii="Calibri" w:hAnsi="Calibri" w:cs="Calibri"/>
          <w:i/>
          <w:iCs/>
          <w:noProof/>
          <w:szCs w:val="24"/>
        </w:rPr>
        <w:t>Health Psychology</w:t>
      </w:r>
      <w:r w:rsidRPr="009A0EF9">
        <w:rPr>
          <w:rFonts w:ascii="Calibri" w:hAnsi="Calibri" w:cs="Calibri"/>
          <w:noProof/>
          <w:szCs w:val="24"/>
        </w:rPr>
        <w:t xml:space="preserve">, </w:t>
      </w:r>
      <w:r w:rsidRPr="009A0EF9">
        <w:rPr>
          <w:rFonts w:ascii="Calibri" w:hAnsi="Calibri" w:cs="Calibri"/>
          <w:i/>
          <w:iCs/>
          <w:noProof/>
          <w:szCs w:val="24"/>
        </w:rPr>
        <w:t>33</w:t>
      </w:r>
      <w:r w:rsidRPr="009A0EF9">
        <w:rPr>
          <w:rFonts w:ascii="Calibri" w:hAnsi="Calibri" w:cs="Calibri"/>
          <w:noProof/>
          <w:szCs w:val="24"/>
        </w:rPr>
        <w:t>(9), 1057–1064.</w:t>
      </w:r>
    </w:p>
    <w:p w14:paraId="0E0D72B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Rockett, H. R. H., Wolf, A. M., &amp; Colditz, G. A. (1995). Development and reproducibility of a food frequency questionnaire to assess diets of older children and adolescents.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95</w:t>
      </w:r>
      <w:r w:rsidRPr="009A0EF9">
        <w:rPr>
          <w:rFonts w:ascii="Calibri" w:hAnsi="Calibri" w:cs="Calibri"/>
          <w:noProof/>
          <w:szCs w:val="24"/>
        </w:rPr>
        <w:t>(3), 336–340.</w:t>
      </w:r>
    </w:p>
    <w:p w14:paraId="34F6B42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Rohrbeck, C. A. (2003). Peer relationships, adolescence. In Gullotta T.P. et al. (Ed.), </w:t>
      </w:r>
      <w:r w:rsidRPr="009A0EF9">
        <w:rPr>
          <w:rFonts w:ascii="Calibri" w:hAnsi="Calibri" w:cs="Calibri"/>
          <w:i/>
          <w:iCs/>
          <w:noProof/>
          <w:szCs w:val="24"/>
        </w:rPr>
        <w:t>Encyclopedia of primary prevention and health promotion</w:t>
      </w:r>
      <w:r w:rsidRPr="009A0EF9">
        <w:rPr>
          <w:rFonts w:ascii="Calibri" w:hAnsi="Calibri" w:cs="Calibri"/>
          <w:noProof/>
          <w:szCs w:val="24"/>
        </w:rPr>
        <w:t xml:space="preserve"> (pp. 808–812). Springer.</w:t>
      </w:r>
    </w:p>
    <w:p w14:paraId="7769A4D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Ronda, G., Van Assema, P., &amp; Brug, J. (2001). Stages of change, psychological factors and awareness of physical activity levels in The Netherlands. </w:t>
      </w:r>
      <w:r w:rsidRPr="009A0EF9">
        <w:rPr>
          <w:rFonts w:ascii="Calibri" w:hAnsi="Calibri" w:cs="Calibri"/>
          <w:i/>
          <w:iCs/>
          <w:noProof/>
          <w:szCs w:val="24"/>
        </w:rPr>
        <w:t>Health Promotion International</w:t>
      </w:r>
      <w:r w:rsidRPr="009A0EF9">
        <w:rPr>
          <w:rFonts w:ascii="Calibri" w:hAnsi="Calibri" w:cs="Calibri"/>
          <w:noProof/>
          <w:szCs w:val="24"/>
        </w:rPr>
        <w:t xml:space="preserve">, </w:t>
      </w:r>
      <w:r w:rsidRPr="009A0EF9">
        <w:rPr>
          <w:rFonts w:ascii="Calibri" w:hAnsi="Calibri" w:cs="Calibri"/>
          <w:i/>
          <w:iCs/>
          <w:noProof/>
          <w:szCs w:val="24"/>
        </w:rPr>
        <w:t>16</w:t>
      </w:r>
      <w:r w:rsidRPr="009A0EF9">
        <w:rPr>
          <w:rFonts w:ascii="Calibri" w:hAnsi="Calibri" w:cs="Calibri"/>
          <w:noProof/>
          <w:szCs w:val="24"/>
        </w:rPr>
        <w:t>(4), 305–314.</w:t>
      </w:r>
    </w:p>
    <w:p w14:paraId="2AE69FA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Rose, T., Barker, M., Maria Jacob, C., Morrison, L., Lawrence, W., Strömmer, S., Vogel, C., Woods-Townsend, K., Farrell, D., Inskip, H., &amp; Baird, J. (2017). A Systematic Review of Digital Interventions for Improving the Diet and Physical Activity Behaviors of Adolescents. </w:t>
      </w:r>
      <w:r w:rsidRPr="009A0EF9">
        <w:rPr>
          <w:rFonts w:ascii="Calibri" w:hAnsi="Calibri" w:cs="Calibri"/>
          <w:i/>
          <w:iCs/>
          <w:noProof/>
          <w:szCs w:val="24"/>
        </w:rPr>
        <w:t>Journal of Adolescent Health</w:t>
      </w:r>
      <w:r w:rsidRPr="009A0EF9">
        <w:rPr>
          <w:rFonts w:ascii="Calibri" w:hAnsi="Calibri" w:cs="Calibri"/>
          <w:noProof/>
          <w:szCs w:val="24"/>
        </w:rPr>
        <w:t xml:space="preserve">, </w:t>
      </w:r>
      <w:r w:rsidRPr="009A0EF9">
        <w:rPr>
          <w:rFonts w:ascii="Calibri" w:hAnsi="Calibri" w:cs="Calibri"/>
          <w:i/>
          <w:iCs/>
          <w:noProof/>
          <w:szCs w:val="24"/>
        </w:rPr>
        <w:t>61</w:t>
      </w:r>
      <w:r w:rsidRPr="009A0EF9">
        <w:rPr>
          <w:rFonts w:ascii="Calibri" w:hAnsi="Calibri" w:cs="Calibri"/>
          <w:noProof/>
          <w:szCs w:val="24"/>
        </w:rPr>
        <w:t>(6), 669–677.</w:t>
      </w:r>
    </w:p>
    <w:p w14:paraId="6C88B78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Ross, L., Greene, D., &amp; House, P. (1977). The “false consensus effect”: An egocentric bias in social perception and attribution processes. </w:t>
      </w:r>
      <w:r w:rsidRPr="009A0EF9">
        <w:rPr>
          <w:rFonts w:ascii="Calibri" w:hAnsi="Calibri" w:cs="Calibri"/>
          <w:i/>
          <w:iCs/>
          <w:noProof/>
          <w:szCs w:val="24"/>
        </w:rPr>
        <w:t>Journal of Experimental Social Psychology</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(3), 279–</w:t>
      </w:r>
      <w:r w:rsidRPr="009A0EF9">
        <w:rPr>
          <w:rFonts w:ascii="Calibri" w:hAnsi="Calibri" w:cs="Calibri"/>
          <w:noProof/>
          <w:szCs w:val="24"/>
        </w:rPr>
        <w:lastRenderedPageBreak/>
        <w:t>301.</w:t>
      </w:r>
    </w:p>
    <w:p w14:paraId="53F6277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Salam, R. A., Hooda, M., Das, J. K., Arshad, A., Lassi, Z. S., Middleton, P., &amp; Bhutta, Z. A. (2016). Interventions to Improve Adolescent Nutrition: A Systematic Review and Meta-Analysis. </w:t>
      </w:r>
      <w:r w:rsidRPr="009A0EF9">
        <w:rPr>
          <w:rFonts w:ascii="Calibri" w:hAnsi="Calibri" w:cs="Calibri"/>
          <w:i/>
          <w:iCs/>
          <w:noProof/>
          <w:szCs w:val="24"/>
        </w:rPr>
        <w:t>The Journal of Adolescent Health : Official Publication of the Society for Adolescent Medicine</w:t>
      </w:r>
      <w:r w:rsidRPr="009A0EF9">
        <w:rPr>
          <w:rFonts w:ascii="Calibri" w:hAnsi="Calibri" w:cs="Calibri"/>
          <w:noProof/>
          <w:szCs w:val="24"/>
        </w:rPr>
        <w:t xml:space="preserve">, </w:t>
      </w:r>
      <w:r w:rsidRPr="009A0EF9">
        <w:rPr>
          <w:rFonts w:ascii="Calibri" w:hAnsi="Calibri" w:cs="Calibri"/>
          <w:i/>
          <w:iCs/>
          <w:noProof/>
          <w:szCs w:val="24"/>
        </w:rPr>
        <w:t>59</w:t>
      </w:r>
      <w:r w:rsidRPr="009A0EF9">
        <w:rPr>
          <w:rFonts w:ascii="Calibri" w:hAnsi="Calibri" w:cs="Calibri"/>
          <w:noProof/>
          <w:szCs w:val="24"/>
        </w:rPr>
        <w:t>(4), 29–39.</w:t>
      </w:r>
    </w:p>
    <w:p w14:paraId="2554BD4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Salvy, S.-J., &amp; Bowker, J. C. (2014). Peers and Obesity during Childhood and Adolescence: A Review of the Empirical Research on Peers, Eating, and Physical Activity. </w:t>
      </w:r>
      <w:r w:rsidRPr="009A0EF9">
        <w:rPr>
          <w:rFonts w:ascii="Calibri" w:hAnsi="Calibri" w:cs="Calibri"/>
          <w:i/>
          <w:iCs/>
          <w:noProof/>
          <w:szCs w:val="24"/>
        </w:rPr>
        <w:t>Journal of Obesity &amp; Weight Loss Therapy</w:t>
      </w:r>
      <w:r w:rsidRPr="009A0EF9">
        <w:rPr>
          <w:rFonts w:ascii="Calibri" w:hAnsi="Calibri" w:cs="Calibri"/>
          <w:noProof/>
          <w:szCs w:val="24"/>
        </w:rPr>
        <w:t xml:space="preserve">, </w:t>
      </w:r>
      <w:r w:rsidRPr="009A0EF9">
        <w:rPr>
          <w:rFonts w:ascii="Calibri" w:hAnsi="Calibri" w:cs="Calibri"/>
          <w:i/>
          <w:iCs/>
          <w:noProof/>
          <w:szCs w:val="24"/>
        </w:rPr>
        <w:t>4</w:t>
      </w:r>
      <w:r w:rsidRPr="009A0EF9">
        <w:rPr>
          <w:rFonts w:ascii="Calibri" w:hAnsi="Calibri" w:cs="Calibri"/>
          <w:noProof/>
          <w:szCs w:val="24"/>
        </w:rPr>
        <w:t>(1), 207–240.</w:t>
      </w:r>
    </w:p>
    <w:p w14:paraId="3EEEE7D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Santaliestra-Pasías, A. M., Mouratidou, T., Huybrechts, I., Beghin, L., Cuenca-García, M., Castillo, M. J., Galfo, M., Hallstrom, L., Kafatos, A., &amp; Manios, Y. (2014). Increased sedentary behaviour is associated with unhealthy dietary patterns in European adolescents participating in the HELENA study. </w:t>
      </w:r>
      <w:r w:rsidRPr="009A0EF9">
        <w:rPr>
          <w:rFonts w:ascii="Calibri" w:hAnsi="Calibri" w:cs="Calibri"/>
          <w:i/>
          <w:iCs/>
          <w:noProof/>
          <w:szCs w:val="24"/>
        </w:rPr>
        <w:t>European Journal of Clinical Nutrition</w:t>
      </w:r>
      <w:r w:rsidRPr="009A0EF9">
        <w:rPr>
          <w:rFonts w:ascii="Calibri" w:hAnsi="Calibri" w:cs="Calibri"/>
          <w:noProof/>
          <w:szCs w:val="24"/>
        </w:rPr>
        <w:t xml:space="preserve">, </w:t>
      </w:r>
      <w:r w:rsidRPr="009A0EF9">
        <w:rPr>
          <w:rFonts w:ascii="Calibri" w:hAnsi="Calibri" w:cs="Calibri"/>
          <w:i/>
          <w:iCs/>
          <w:noProof/>
          <w:szCs w:val="24"/>
        </w:rPr>
        <w:t>68</w:t>
      </w:r>
      <w:r w:rsidRPr="009A0EF9">
        <w:rPr>
          <w:rFonts w:ascii="Calibri" w:hAnsi="Calibri" w:cs="Calibri"/>
          <w:noProof/>
          <w:szCs w:val="24"/>
        </w:rPr>
        <w:t>(3), 300–308.</w:t>
      </w:r>
    </w:p>
    <w:p w14:paraId="6E4238F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Saunders, B., Kitzinger, J., &amp; Kitzinger, C. (2015). Anonymising interview data: challenges and compromise in practice. </w:t>
      </w:r>
      <w:r w:rsidRPr="009A0EF9">
        <w:rPr>
          <w:rFonts w:ascii="Calibri" w:hAnsi="Calibri" w:cs="Calibri"/>
          <w:i/>
          <w:iCs/>
          <w:noProof/>
          <w:szCs w:val="24"/>
        </w:rPr>
        <w:t>Qualitative Research</w:t>
      </w:r>
      <w:r w:rsidRPr="009A0EF9">
        <w:rPr>
          <w:rFonts w:ascii="Calibri" w:hAnsi="Calibri" w:cs="Calibri"/>
          <w:noProof/>
          <w:szCs w:val="24"/>
        </w:rPr>
        <w:t xml:space="preserve">, </w:t>
      </w:r>
      <w:r w:rsidRPr="009A0EF9">
        <w:rPr>
          <w:rFonts w:ascii="Calibri" w:hAnsi="Calibri" w:cs="Calibri"/>
          <w:i/>
          <w:iCs/>
          <w:noProof/>
          <w:szCs w:val="24"/>
        </w:rPr>
        <w:t>15</w:t>
      </w:r>
      <w:r w:rsidRPr="009A0EF9">
        <w:rPr>
          <w:rFonts w:ascii="Calibri" w:hAnsi="Calibri" w:cs="Calibri"/>
          <w:noProof/>
          <w:szCs w:val="24"/>
        </w:rPr>
        <w:t>(5), 616–632.</w:t>
      </w:r>
    </w:p>
    <w:p w14:paraId="7D91401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Savige, G., MacFarlane, A., Ball, K., Worsley, A., &amp; Crawford, D. (2007). Snacking behaviours of adolescents and their association with skipping meals. </w:t>
      </w:r>
      <w:r w:rsidRPr="009A0EF9">
        <w:rPr>
          <w:rFonts w:ascii="Calibri" w:hAnsi="Calibri" w:cs="Calibri"/>
          <w:i/>
          <w:iCs/>
          <w:noProof/>
          <w:szCs w:val="24"/>
        </w:rPr>
        <w:t>The 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4</w:t>
      </w:r>
      <w:r w:rsidRPr="009A0EF9">
        <w:rPr>
          <w:rFonts w:ascii="Calibri" w:hAnsi="Calibri" w:cs="Calibri"/>
          <w:noProof/>
          <w:szCs w:val="24"/>
        </w:rPr>
        <w:t>, 36–45.</w:t>
      </w:r>
    </w:p>
    <w:p w14:paraId="485487B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Scaglioni, S., De Cosmi, V., Ciappolino, V., Parazzini, F., Brambilla, P., &amp; Agostoni, C. (2018). Factors Influencing Children’s Eating Behaviours. </w:t>
      </w:r>
      <w:r w:rsidRPr="009A0EF9">
        <w:rPr>
          <w:rFonts w:ascii="Calibri" w:hAnsi="Calibri" w:cs="Calibri"/>
          <w:i/>
          <w:iCs/>
          <w:noProof/>
          <w:szCs w:val="24"/>
        </w:rPr>
        <w:t>Nutrients</w:t>
      </w:r>
      <w:r w:rsidRPr="009A0EF9">
        <w:rPr>
          <w:rFonts w:ascii="Calibri" w:hAnsi="Calibri" w:cs="Calibri"/>
          <w:noProof/>
          <w:szCs w:val="24"/>
        </w:rPr>
        <w:t xml:space="preserve">, </w:t>
      </w:r>
      <w:r w:rsidRPr="009A0EF9">
        <w:rPr>
          <w:rFonts w:ascii="Calibri" w:hAnsi="Calibri" w:cs="Calibri"/>
          <w:i/>
          <w:iCs/>
          <w:noProof/>
          <w:szCs w:val="24"/>
        </w:rPr>
        <w:t>10</w:t>
      </w:r>
      <w:r w:rsidRPr="009A0EF9">
        <w:rPr>
          <w:rFonts w:ascii="Calibri" w:hAnsi="Calibri" w:cs="Calibri"/>
          <w:noProof/>
          <w:szCs w:val="24"/>
        </w:rPr>
        <w:t>(6), 706.</w:t>
      </w:r>
    </w:p>
    <w:p w14:paraId="6DE6B3A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Schneider, M., Hall, W. J., Hernandez, A. E., Hindes, K., Montez, G., Pham, T., Rosen, L., Sleigh, A., Thompson, D., Volpe, S. L., Zeveloff, A., Steckler, A., &amp; Group, H. S. (2009). Rationale, design and methods for process evaluation in the HEALTHY study. </w:t>
      </w:r>
      <w:r w:rsidRPr="009A0EF9">
        <w:rPr>
          <w:rFonts w:ascii="Calibri" w:hAnsi="Calibri" w:cs="Calibri"/>
          <w:i/>
          <w:iCs/>
          <w:noProof/>
          <w:szCs w:val="24"/>
        </w:rPr>
        <w:t>International Journal of Obesity (2005)</w:t>
      </w:r>
      <w:r w:rsidRPr="009A0EF9">
        <w:rPr>
          <w:rFonts w:ascii="Calibri" w:hAnsi="Calibri" w:cs="Calibri"/>
          <w:noProof/>
          <w:szCs w:val="24"/>
        </w:rPr>
        <w:t xml:space="preserve">, </w:t>
      </w:r>
      <w:r w:rsidRPr="009A0EF9">
        <w:rPr>
          <w:rFonts w:ascii="Calibri" w:hAnsi="Calibri" w:cs="Calibri"/>
          <w:i/>
          <w:iCs/>
          <w:noProof/>
          <w:szCs w:val="24"/>
        </w:rPr>
        <w:t>33</w:t>
      </w:r>
      <w:r w:rsidRPr="009A0EF9">
        <w:rPr>
          <w:rFonts w:ascii="Calibri" w:hAnsi="Calibri" w:cs="Calibri"/>
          <w:noProof/>
          <w:szCs w:val="24"/>
        </w:rPr>
        <w:t>(4), S60–S67.</w:t>
      </w:r>
    </w:p>
    <w:p w14:paraId="4687989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Scholly, K., Katz, A. R., Gascoigne, J., &amp; Holck, P. S. (2005). Using social norms theory to explain perceptions and sexual health behaviors of undergraduate college students: An exploratory study. </w:t>
      </w:r>
      <w:r w:rsidRPr="009A0EF9">
        <w:rPr>
          <w:rFonts w:ascii="Calibri" w:hAnsi="Calibri" w:cs="Calibri"/>
          <w:i/>
          <w:iCs/>
          <w:noProof/>
          <w:szCs w:val="24"/>
        </w:rPr>
        <w:t>Journal of American College Health</w:t>
      </w:r>
      <w:r w:rsidRPr="009A0EF9">
        <w:rPr>
          <w:rFonts w:ascii="Calibri" w:hAnsi="Calibri" w:cs="Calibri"/>
          <w:noProof/>
          <w:szCs w:val="24"/>
        </w:rPr>
        <w:t xml:space="preserve">, </w:t>
      </w:r>
      <w:r w:rsidRPr="009A0EF9">
        <w:rPr>
          <w:rFonts w:ascii="Calibri" w:hAnsi="Calibri" w:cs="Calibri"/>
          <w:i/>
          <w:iCs/>
          <w:noProof/>
          <w:szCs w:val="24"/>
        </w:rPr>
        <w:t>53</w:t>
      </w:r>
      <w:r w:rsidRPr="009A0EF9">
        <w:rPr>
          <w:rFonts w:ascii="Calibri" w:hAnsi="Calibri" w:cs="Calibri"/>
          <w:noProof/>
          <w:szCs w:val="24"/>
        </w:rPr>
        <w:t>(4), 159–166.</w:t>
      </w:r>
    </w:p>
    <w:p w14:paraId="5AF4A67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Schroeder, C. M., &amp; Prentice, D. A. (1998). Exposing Pluralistic Ignorance to Reduce Alcohol Use Among College Students 1. </w:t>
      </w:r>
      <w:r w:rsidRPr="009A0EF9">
        <w:rPr>
          <w:rFonts w:ascii="Calibri" w:hAnsi="Calibri" w:cs="Calibri"/>
          <w:i/>
          <w:iCs/>
          <w:noProof/>
          <w:szCs w:val="24"/>
        </w:rPr>
        <w:t>Journal of Applied Social Psychology</w:t>
      </w:r>
      <w:r w:rsidRPr="009A0EF9">
        <w:rPr>
          <w:rFonts w:ascii="Calibri" w:hAnsi="Calibri" w:cs="Calibri"/>
          <w:noProof/>
          <w:szCs w:val="24"/>
        </w:rPr>
        <w:t xml:space="preserve">, </w:t>
      </w:r>
      <w:r w:rsidRPr="009A0EF9">
        <w:rPr>
          <w:rFonts w:ascii="Calibri" w:hAnsi="Calibri" w:cs="Calibri"/>
          <w:i/>
          <w:iCs/>
          <w:noProof/>
          <w:szCs w:val="24"/>
        </w:rPr>
        <w:t>28</w:t>
      </w:r>
      <w:r w:rsidRPr="009A0EF9">
        <w:rPr>
          <w:rFonts w:ascii="Calibri" w:hAnsi="Calibri" w:cs="Calibri"/>
          <w:noProof/>
          <w:szCs w:val="24"/>
        </w:rPr>
        <w:t>(23), 2150–2180.</w:t>
      </w:r>
    </w:p>
    <w:p w14:paraId="76A2775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Schwimmer, J, Burwinkle, T, &amp; Varni, J. (2003). Health-related quality of life of severely obese children and adolescents. </w:t>
      </w:r>
      <w:r w:rsidRPr="009A0EF9">
        <w:rPr>
          <w:rFonts w:ascii="Calibri" w:hAnsi="Calibri" w:cs="Calibri"/>
          <w:i/>
          <w:iCs/>
          <w:noProof/>
          <w:szCs w:val="24"/>
        </w:rPr>
        <w:t>JAMA</w:t>
      </w:r>
      <w:r w:rsidRPr="009A0EF9">
        <w:rPr>
          <w:rFonts w:ascii="Calibri" w:hAnsi="Calibri" w:cs="Calibri"/>
          <w:noProof/>
          <w:szCs w:val="24"/>
        </w:rPr>
        <w:t xml:space="preserve">, </w:t>
      </w:r>
      <w:r w:rsidRPr="009A0EF9">
        <w:rPr>
          <w:rFonts w:ascii="Calibri" w:hAnsi="Calibri" w:cs="Calibri"/>
          <w:i/>
          <w:iCs/>
          <w:noProof/>
          <w:szCs w:val="24"/>
        </w:rPr>
        <w:t>289</w:t>
      </w:r>
      <w:r w:rsidRPr="009A0EF9">
        <w:rPr>
          <w:rFonts w:ascii="Calibri" w:hAnsi="Calibri" w:cs="Calibri"/>
          <w:noProof/>
          <w:szCs w:val="24"/>
        </w:rPr>
        <w:t>(14), 1813–1819.</w:t>
      </w:r>
    </w:p>
    <w:p w14:paraId="51C8740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Sevil, J., García-González, L., Abós, Á., Generelo, E., &amp; Aibar, A. (2019). Can high schools be an effective setting to promote healthy lifestyles? Effects of a multiple behavior change intervention in adolescents. </w:t>
      </w:r>
      <w:r w:rsidRPr="009A0EF9">
        <w:rPr>
          <w:rFonts w:ascii="Calibri" w:hAnsi="Calibri" w:cs="Calibri"/>
          <w:i/>
          <w:iCs/>
          <w:noProof/>
          <w:szCs w:val="24"/>
        </w:rPr>
        <w:t>Journal of Adolescent Health</w:t>
      </w:r>
      <w:r w:rsidRPr="009A0EF9">
        <w:rPr>
          <w:rFonts w:ascii="Calibri" w:hAnsi="Calibri" w:cs="Calibri"/>
          <w:noProof/>
          <w:szCs w:val="24"/>
        </w:rPr>
        <w:t xml:space="preserve">, </w:t>
      </w:r>
      <w:r w:rsidRPr="009A0EF9">
        <w:rPr>
          <w:rFonts w:ascii="Calibri" w:hAnsi="Calibri" w:cs="Calibri"/>
          <w:i/>
          <w:iCs/>
          <w:noProof/>
          <w:szCs w:val="24"/>
        </w:rPr>
        <w:t>64</w:t>
      </w:r>
      <w:r w:rsidRPr="009A0EF9">
        <w:rPr>
          <w:rFonts w:ascii="Calibri" w:hAnsi="Calibri" w:cs="Calibri"/>
          <w:noProof/>
          <w:szCs w:val="24"/>
        </w:rPr>
        <w:t>(4), 478–486.</w:t>
      </w:r>
    </w:p>
    <w:p w14:paraId="1219334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Sharps, M., &amp; Robinson, E. (2016). Encouraging children to eat more fruit and vegetables: Health vs. descriptive social norm-based messages.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100</w:t>
      </w:r>
      <w:r w:rsidRPr="009A0EF9">
        <w:rPr>
          <w:rFonts w:ascii="Calibri" w:hAnsi="Calibri" w:cs="Calibri"/>
          <w:noProof/>
          <w:szCs w:val="24"/>
        </w:rPr>
        <w:t>, 18–25.</w:t>
      </w:r>
    </w:p>
    <w:p w14:paraId="6BCFE2E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Shaw, C., Brady, L.-M., &amp; Davey, C. (2011). Guidelines for research with children and young people. In </w:t>
      </w:r>
      <w:r w:rsidRPr="009A0EF9">
        <w:rPr>
          <w:rFonts w:ascii="Calibri" w:hAnsi="Calibri" w:cs="Calibri"/>
          <w:i/>
          <w:iCs/>
          <w:noProof/>
          <w:szCs w:val="24"/>
        </w:rPr>
        <w:t>London: National Children’s Bureau</w:t>
      </w:r>
      <w:r w:rsidRPr="009A0EF9">
        <w:rPr>
          <w:rFonts w:ascii="Calibri" w:hAnsi="Calibri" w:cs="Calibri"/>
          <w:noProof/>
          <w:szCs w:val="24"/>
        </w:rPr>
        <w:t>. https://childethics.com/library/other-literature/guidelines-for-research-with-children-and-young-people/</w:t>
      </w:r>
    </w:p>
    <w:p w14:paraId="213FE0A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Sheikh, A., Vadera, S., Ravey, M., Lovatt, G., &amp; Kelly, G. (2017). A social norms approach to changing school children’s perceptions of tobacco usage. </w:t>
      </w:r>
      <w:r w:rsidRPr="009A0EF9">
        <w:rPr>
          <w:rFonts w:ascii="Calibri" w:hAnsi="Calibri" w:cs="Calibri"/>
          <w:i/>
          <w:iCs/>
          <w:noProof/>
          <w:szCs w:val="24"/>
        </w:rPr>
        <w:t>Health Education</w:t>
      </w:r>
      <w:r w:rsidRPr="009A0EF9">
        <w:rPr>
          <w:rFonts w:ascii="Calibri" w:hAnsi="Calibri" w:cs="Calibri"/>
          <w:noProof/>
          <w:szCs w:val="24"/>
        </w:rPr>
        <w:t xml:space="preserve">, </w:t>
      </w:r>
      <w:r w:rsidRPr="009A0EF9">
        <w:rPr>
          <w:rFonts w:ascii="Calibri" w:hAnsi="Calibri" w:cs="Calibri"/>
          <w:i/>
          <w:iCs/>
          <w:noProof/>
          <w:szCs w:val="24"/>
        </w:rPr>
        <w:t>117</w:t>
      </w:r>
      <w:r w:rsidRPr="009A0EF9">
        <w:rPr>
          <w:rFonts w:ascii="Calibri" w:hAnsi="Calibri" w:cs="Calibri"/>
          <w:noProof/>
          <w:szCs w:val="24"/>
        </w:rPr>
        <w:t>(6), 530–539.</w:t>
      </w:r>
    </w:p>
    <w:p w14:paraId="2A9942F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Shepherd, R., &amp; Shepherd, R. (2002). Resistance to changes in diet. </w:t>
      </w:r>
      <w:r w:rsidRPr="009A0EF9">
        <w:rPr>
          <w:rFonts w:ascii="Calibri" w:hAnsi="Calibri" w:cs="Calibri"/>
          <w:i/>
          <w:iCs/>
          <w:noProof/>
          <w:szCs w:val="24"/>
        </w:rPr>
        <w:t>The Proceedings of the Nutrition Society</w:t>
      </w:r>
      <w:r w:rsidRPr="009A0EF9">
        <w:rPr>
          <w:rFonts w:ascii="Calibri" w:hAnsi="Calibri" w:cs="Calibri"/>
          <w:noProof/>
          <w:szCs w:val="24"/>
        </w:rPr>
        <w:t xml:space="preserve">, </w:t>
      </w:r>
      <w:r w:rsidRPr="009A0EF9">
        <w:rPr>
          <w:rFonts w:ascii="Calibri" w:hAnsi="Calibri" w:cs="Calibri"/>
          <w:i/>
          <w:iCs/>
          <w:noProof/>
          <w:szCs w:val="24"/>
        </w:rPr>
        <w:t>61</w:t>
      </w:r>
      <w:r w:rsidRPr="009A0EF9">
        <w:rPr>
          <w:rFonts w:ascii="Calibri" w:hAnsi="Calibri" w:cs="Calibri"/>
          <w:noProof/>
          <w:szCs w:val="24"/>
        </w:rPr>
        <w:t>(2002), 267–272.</w:t>
      </w:r>
    </w:p>
    <w:p w14:paraId="54AA428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Sheridan, S. (2014). </w:t>
      </w:r>
      <w:r w:rsidRPr="009A0EF9">
        <w:rPr>
          <w:rFonts w:ascii="Calibri" w:hAnsi="Calibri" w:cs="Calibri"/>
          <w:i/>
          <w:iCs/>
          <w:noProof/>
          <w:szCs w:val="24"/>
        </w:rPr>
        <w:t>Unhealthy Snacking: An exploration of the theory of planned behaviour, impulsivity, reward sensitivity and BMI.</w:t>
      </w:r>
      <w:r w:rsidRPr="009A0EF9">
        <w:rPr>
          <w:rFonts w:ascii="Calibri" w:hAnsi="Calibri" w:cs="Calibri"/>
          <w:noProof/>
          <w:szCs w:val="24"/>
        </w:rPr>
        <w:t xml:space="preserve"> Dublin Business School.</w:t>
      </w:r>
    </w:p>
    <w:p w14:paraId="22C76EF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Siega-Riz, A. M., Carson, T., &amp; Popkin, B. (1998). Three squares or mostly snacks—What do teens really eat?: A sociodemographic study of meal patterns. </w:t>
      </w:r>
      <w:r w:rsidRPr="009A0EF9">
        <w:rPr>
          <w:rFonts w:ascii="Calibri" w:hAnsi="Calibri" w:cs="Calibri"/>
          <w:i/>
          <w:iCs/>
          <w:noProof/>
          <w:szCs w:val="24"/>
        </w:rPr>
        <w:t>Journal of Adolescent Health</w:t>
      </w:r>
      <w:r w:rsidRPr="009A0EF9">
        <w:rPr>
          <w:rFonts w:ascii="Calibri" w:hAnsi="Calibri" w:cs="Calibri"/>
          <w:noProof/>
          <w:szCs w:val="24"/>
        </w:rPr>
        <w:t xml:space="preserve">, </w:t>
      </w:r>
      <w:r w:rsidRPr="009A0EF9">
        <w:rPr>
          <w:rFonts w:ascii="Calibri" w:hAnsi="Calibri" w:cs="Calibri"/>
          <w:i/>
          <w:iCs/>
          <w:noProof/>
          <w:szCs w:val="24"/>
        </w:rPr>
        <w:t>22</w:t>
      </w:r>
      <w:r w:rsidRPr="009A0EF9">
        <w:rPr>
          <w:rFonts w:ascii="Calibri" w:hAnsi="Calibri" w:cs="Calibri"/>
          <w:noProof/>
          <w:szCs w:val="24"/>
        </w:rPr>
        <w:t>(1), 29–36.</w:t>
      </w:r>
    </w:p>
    <w:p w14:paraId="57F7DFF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Siega-Riz, A. M., Ghormli, L. El, Mobley, C., Gillis, B., Stadler, D., Hartstein, J., Volpe, S. L., Virus, A., Bridgman, J., &amp; Study Group, H. (2011). The effects of the HEALTHY study intervention on middle school student dietary intakes. </w:t>
      </w:r>
      <w:r w:rsidRPr="009A0EF9">
        <w:rPr>
          <w:rFonts w:ascii="Calibri" w:hAnsi="Calibri" w:cs="Calibri"/>
          <w:i/>
          <w:iCs/>
          <w:noProof/>
          <w:szCs w:val="24"/>
        </w:rPr>
        <w:t>The 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 7–15.</w:t>
      </w:r>
    </w:p>
    <w:p w14:paraId="5B585E2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Silveira, J. A. C., Taddei, J. A. A. C., Guerra, P. H., &amp; Nobre, M. R. C. (2011). Effectiveness of school-based nutrition education interventions to prevent and reduce excessive weight gain in children and adolescents: a systematic review. </w:t>
      </w:r>
      <w:r w:rsidRPr="009A0EF9">
        <w:rPr>
          <w:rFonts w:ascii="Calibri" w:hAnsi="Calibri" w:cs="Calibri"/>
          <w:i/>
          <w:iCs/>
          <w:noProof/>
          <w:szCs w:val="24"/>
        </w:rPr>
        <w:t>Jornal de Pediatria</w:t>
      </w:r>
      <w:r w:rsidRPr="009A0EF9">
        <w:rPr>
          <w:rFonts w:ascii="Calibri" w:hAnsi="Calibri" w:cs="Calibri"/>
          <w:noProof/>
          <w:szCs w:val="24"/>
        </w:rPr>
        <w:t xml:space="preserve">, </w:t>
      </w:r>
      <w:r w:rsidRPr="009A0EF9">
        <w:rPr>
          <w:rFonts w:ascii="Calibri" w:hAnsi="Calibri" w:cs="Calibri"/>
          <w:i/>
          <w:iCs/>
          <w:noProof/>
          <w:szCs w:val="24"/>
        </w:rPr>
        <w:t>87</w:t>
      </w:r>
      <w:r w:rsidRPr="009A0EF9">
        <w:rPr>
          <w:rFonts w:ascii="Calibri" w:hAnsi="Calibri" w:cs="Calibri"/>
          <w:noProof/>
          <w:szCs w:val="24"/>
        </w:rPr>
        <w:t>(5), 382–392.</w:t>
      </w:r>
    </w:p>
    <w:p w14:paraId="6820B9F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Skårdal, M., Western, I. M., Ask, A. M. S., &amp; Øverby, N. C. (2014). Socioeconomic differences in selected dietary habits among Norwegian 13–14 year-olds: a cross-sectional study. </w:t>
      </w:r>
      <w:r w:rsidRPr="009A0EF9">
        <w:rPr>
          <w:rFonts w:ascii="Calibri" w:hAnsi="Calibri" w:cs="Calibri"/>
          <w:i/>
          <w:iCs/>
          <w:noProof/>
          <w:szCs w:val="24"/>
        </w:rPr>
        <w:t>Food &amp; Nutrition Research</w:t>
      </w:r>
      <w:r w:rsidRPr="009A0EF9">
        <w:rPr>
          <w:rFonts w:ascii="Calibri" w:hAnsi="Calibri" w:cs="Calibri"/>
          <w:noProof/>
          <w:szCs w:val="24"/>
        </w:rPr>
        <w:t xml:space="preserve">, </w:t>
      </w:r>
      <w:r w:rsidRPr="009A0EF9">
        <w:rPr>
          <w:rFonts w:ascii="Calibri" w:hAnsi="Calibri" w:cs="Calibri"/>
          <w:i/>
          <w:iCs/>
          <w:noProof/>
          <w:szCs w:val="24"/>
        </w:rPr>
        <w:t>58</w:t>
      </w:r>
      <w:r w:rsidRPr="009A0EF9">
        <w:rPr>
          <w:rFonts w:ascii="Calibri" w:hAnsi="Calibri" w:cs="Calibri"/>
          <w:noProof/>
          <w:szCs w:val="24"/>
        </w:rPr>
        <w:t>(1), 23590.</w:t>
      </w:r>
    </w:p>
    <w:p w14:paraId="4A8AEA4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Sleddens, E. F. C., Kroeze, W., Kohl, L. F. M., Bolten, L. M., Velema, E., Kaspers, P., Kremers, S. P. J., &amp; Brug, J. (2015). Correlates of dietary behavior in adults: an umbrella review. </w:t>
      </w:r>
      <w:r w:rsidRPr="009A0EF9">
        <w:rPr>
          <w:rFonts w:ascii="Calibri" w:hAnsi="Calibri" w:cs="Calibri"/>
          <w:i/>
          <w:iCs/>
          <w:noProof/>
          <w:szCs w:val="24"/>
        </w:rPr>
        <w:t>Nutrition Reviews</w:t>
      </w:r>
      <w:r w:rsidRPr="009A0EF9">
        <w:rPr>
          <w:rFonts w:ascii="Calibri" w:hAnsi="Calibri" w:cs="Calibri"/>
          <w:noProof/>
          <w:szCs w:val="24"/>
        </w:rPr>
        <w:t xml:space="preserve">, </w:t>
      </w:r>
      <w:r w:rsidRPr="009A0EF9">
        <w:rPr>
          <w:rFonts w:ascii="Calibri" w:hAnsi="Calibri" w:cs="Calibri"/>
          <w:i/>
          <w:iCs/>
          <w:noProof/>
          <w:szCs w:val="24"/>
        </w:rPr>
        <w:t>73</w:t>
      </w:r>
      <w:r w:rsidRPr="009A0EF9">
        <w:rPr>
          <w:rFonts w:ascii="Calibri" w:hAnsi="Calibri" w:cs="Calibri"/>
          <w:noProof/>
          <w:szCs w:val="24"/>
        </w:rPr>
        <w:t>(8), 477–499.</w:t>
      </w:r>
    </w:p>
    <w:p w14:paraId="4E49C24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Smith, J. A. (1996). Beyond the divide between cognition and discourse: Using interpretative phenomenological analysis in health psychology. </w:t>
      </w:r>
      <w:r w:rsidRPr="009A0EF9">
        <w:rPr>
          <w:rFonts w:ascii="Calibri" w:hAnsi="Calibri" w:cs="Calibri"/>
          <w:i/>
          <w:iCs/>
          <w:noProof/>
          <w:szCs w:val="24"/>
        </w:rPr>
        <w:t>Psychology and Health</w:t>
      </w:r>
      <w:r w:rsidRPr="009A0EF9">
        <w:rPr>
          <w:rFonts w:ascii="Calibri" w:hAnsi="Calibri" w:cs="Calibri"/>
          <w:noProof/>
          <w:szCs w:val="24"/>
        </w:rPr>
        <w:t xml:space="preserve">, </w:t>
      </w:r>
      <w:r w:rsidRPr="009A0EF9">
        <w:rPr>
          <w:rFonts w:ascii="Calibri" w:hAnsi="Calibri" w:cs="Calibri"/>
          <w:i/>
          <w:iCs/>
          <w:noProof/>
          <w:szCs w:val="24"/>
        </w:rPr>
        <w:t>11</w:t>
      </w:r>
      <w:r w:rsidRPr="009A0EF9">
        <w:rPr>
          <w:rFonts w:ascii="Calibri" w:hAnsi="Calibri" w:cs="Calibri"/>
          <w:noProof/>
          <w:szCs w:val="24"/>
        </w:rPr>
        <w:t>(2), 261–271.</w:t>
      </w:r>
    </w:p>
    <w:p w14:paraId="7EAF625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Smith, T., Noble, M., Noble, S., Wright, G., McLennan, D., &amp; Plunkett, E. (2015). </w:t>
      </w:r>
      <w:r w:rsidRPr="009A0EF9">
        <w:rPr>
          <w:rFonts w:ascii="Calibri" w:hAnsi="Calibri" w:cs="Calibri"/>
          <w:i/>
          <w:iCs/>
          <w:noProof/>
          <w:szCs w:val="24"/>
        </w:rPr>
        <w:t>The English indices of deprivation 2015</w:t>
      </w:r>
      <w:r w:rsidRPr="009A0EF9">
        <w:rPr>
          <w:rFonts w:ascii="Calibri" w:hAnsi="Calibri" w:cs="Calibri"/>
          <w:noProof/>
          <w:szCs w:val="24"/>
        </w:rPr>
        <w:t>. https://www.gov.uk/government/statistics/english-indices-of-deprivation-2015</w:t>
      </w:r>
    </w:p>
    <w:p w14:paraId="295C1B5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Stead, M., McDermott, L., MacKintosh, A. M., &amp; Adamson, A. (2011). Why healthy eating is bad for young people’s health: Identity, belonging and food. </w:t>
      </w:r>
      <w:r w:rsidRPr="009A0EF9">
        <w:rPr>
          <w:rFonts w:ascii="Calibri" w:hAnsi="Calibri" w:cs="Calibri"/>
          <w:i/>
          <w:iCs/>
          <w:noProof/>
          <w:szCs w:val="24"/>
        </w:rPr>
        <w:t>Social Science &amp; Medicine</w:t>
      </w:r>
      <w:r w:rsidRPr="009A0EF9">
        <w:rPr>
          <w:rFonts w:ascii="Calibri" w:hAnsi="Calibri" w:cs="Calibri"/>
          <w:noProof/>
          <w:szCs w:val="24"/>
        </w:rPr>
        <w:t xml:space="preserve">, </w:t>
      </w:r>
      <w:r w:rsidRPr="009A0EF9">
        <w:rPr>
          <w:rFonts w:ascii="Calibri" w:hAnsi="Calibri" w:cs="Calibri"/>
          <w:i/>
          <w:iCs/>
          <w:noProof/>
          <w:szCs w:val="24"/>
        </w:rPr>
        <w:t>72</w:t>
      </w:r>
      <w:r w:rsidRPr="009A0EF9">
        <w:rPr>
          <w:rFonts w:ascii="Calibri" w:hAnsi="Calibri" w:cs="Calibri"/>
          <w:noProof/>
          <w:szCs w:val="24"/>
        </w:rPr>
        <w:t>(7), 1131–1139.</w:t>
      </w:r>
    </w:p>
    <w:p w14:paraId="4D92998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Stevenson, C., Doherty, G., Barnett, J., Muldoon, O. T., &amp; Trew, K. (2007). Adolescents’ views of food and eating: Identifying barriers to healthy eating. </w:t>
      </w:r>
      <w:r w:rsidRPr="009A0EF9">
        <w:rPr>
          <w:rFonts w:ascii="Calibri" w:hAnsi="Calibri" w:cs="Calibri"/>
          <w:i/>
          <w:iCs/>
          <w:noProof/>
          <w:szCs w:val="24"/>
        </w:rPr>
        <w:t>Journal of Adolescence</w:t>
      </w:r>
      <w:r w:rsidRPr="009A0EF9">
        <w:rPr>
          <w:rFonts w:ascii="Calibri" w:hAnsi="Calibri" w:cs="Calibri"/>
          <w:noProof/>
          <w:szCs w:val="24"/>
        </w:rPr>
        <w:t xml:space="preserve">, </w:t>
      </w:r>
      <w:r w:rsidRPr="009A0EF9">
        <w:rPr>
          <w:rFonts w:ascii="Calibri" w:hAnsi="Calibri" w:cs="Calibri"/>
          <w:i/>
          <w:iCs/>
          <w:noProof/>
          <w:szCs w:val="24"/>
        </w:rPr>
        <w:t>30</w:t>
      </w:r>
      <w:r w:rsidRPr="009A0EF9">
        <w:rPr>
          <w:rFonts w:ascii="Calibri" w:hAnsi="Calibri" w:cs="Calibri"/>
          <w:noProof/>
          <w:szCs w:val="24"/>
        </w:rPr>
        <w:t>(3), 417–434.</w:t>
      </w:r>
    </w:p>
    <w:p w14:paraId="0C18824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Stock, C., Lavasani Kjær, S., Rasmussen, B. M., &amp; Vallentin-Holbech, L. (2020). Youth experiences with social norms feedback: Qualitative findings from the drug prevention trial the GOOD Life. </w:t>
      </w:r>
      <w:r w:rsidRPr="009A0EF9">
        <w:rPr>
          <w:rFonts w:ascii="Calibri" w:hAnsi="Calibri" w:cs="Calibri"/>
          <w:i/>
          <w:iCs/>
          <w:noProof/>
          <w:szCs w:val="24"/>
        </w:rPr>
        <w:t>International Journal of Environmental Research and Public Health</w:t>
      </w:r>
      <w:r w:rsidRPr="009A0EF9">
        <w:rPr>
          <w:rFonts w:ascii="Calibri" w:hAnsi="Calibri" w:cs="Calibri"/>
          <w:noProof/>
          <w:szCs w:val="24"/>
        </w:rPr>
        <w:t xml:space="preserve">, </w:t>
      </w:r>
      <w:r w:rsidRPr="009A0EF9">
        <w:rPr>
          <w:rFonts w:ascii="Calibri" w:hAnsi="Calibri" w:cs="Calibri"/>
          <w:i/>
          <w:iCs/>
          <w:noProof/>
          <w:szCs w:val="24"/>
        </w:rPr>
        <w:t>17</w:t>
      </w:r>
      <w:r w:rsidRPr="009A0EF9">
        <w:rPr>
          <w:rFonts w:ascii="Calibri" w:hAnsi="Calibri" w:cs="Calibri"/>
          <w:noProof/>
          <w:szCs w:val="24"/>
        </w:rPr>
        <w:t>(9), 3200–3213.</w:t>
      </w:r>
    </w:p>
    <w:p w14:paraId="2349793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Stok, F. (2014). </w:t>
      </w:r>
      <w:r w:rsidRPr="009A0EF9">
        <w:rPr>
          <w:rFonts w:ascii="Calibri" w:hAnsi="Calibri" w:cs="Calibri"/>
          <w:i/>
          <w:iCs/>
          <w:noProof/>
          <w:szCs w:val="24"/>
        </w:rPr>
        <w:t>Eating by the norm : The influence of social norms on young people’ s eating behavior</w:t>
      </w:r>
      <w:r w:rsidRPr="009A0EF9">
        <w:rPr>
          <w:rFonts w:ascii="Calibri" w:hAnsi="Calibri" w:cs="Calibri"/>
          <w:noProof/>
          <w:szCs w:val="24"/>
        </w:rPr>
        <w:t xml:space="preserve"> [Utrecht University]. https://dspace.library.uu.nl/bitstream/handle/1874/288827/Stok.pdf?sequence=1&amp;isAllowed=y</w:t>
      </w:r>
    </w:p>
    <w:p w14:paraId="54BAF92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Stok, F., de Ridder, D. T. D., de Vet, E., &amp; de Wit, J. B. F. (2014). Don’t tell me what I should do, but what others do: The influence of descriptive and injunctive peer norms on fruit consumption in adolescents. </w:t>
      </w:r>
      <w:r w:rsidRPr="009A0EF9">
        <w:rPr>
          <w:rFonts w:ascii="Calibri" w:hAnsi="Calibri" w:cs="Calibri"/>
          <w:i/>
          <w:iCs/>
          <w:noProof/>
          <w:szCs w:val="24"/>
        </w:rPr>
        <w:t>British Journal of Health Psychology</w:t>
      </w:r>
      <w:r w:rsidRPr="009A0EF9">
        <w:rPr>
          <w:rFonts w:ascii="Calibri" w:hAnsi="Calibri" w:cs="Calibri"/>
          <w:noProof/>
          <w:szCs w:val="24"/>
        </w:rPr>
        <w:t xml:space="preserve">, </w:t>
      </w:r>
      <w:r w:rsidRPr="009A0EF9">
        <w:rPr>
          <w:rFonts w:ascii="Calibri" w:hAnsi="Calibri" w:cs="Calibri"/>
          <w:i/>
          <w:iCs/>
          <w:noProof/>
          <w:szCs w:val="24"/>
        </w:rPr>
        <w:t>19</w:t>
      </w:r>
      <w:r w:rsidRPr="009A0EF9">
        <w:rPr>
          <w:rFonts w:ascii="Calibri" w:hAnsi="Calibri" w:cs="Calibri"/>
          <w:noProof/>
          <w:szCs w:val="24"/>
        </w:rPr>
        <w:t>(1), 52–64.</w:t>
      </w:r>
    </w:p>
    <w:p w14:paraId="23F561C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Stok, F., de Vet, E., de Wit, J. B. F., Luszczynska, A., Safron, M., &amp; de Ridder, D. T. D. (2015). The proof is in the eating: subjective peer norms are associated with adolescents’ eating behaviour. </w:t>
      </w:r>
      <w:r w:rsidRPr="009A0EF9">
        <w:rPr>
          <w:rFonts w:ascii="Calibri" w:hAnsi="Calibri" w:cs="Calibri"/>
          <w:i/>
          <w:iCs/>
          <w:noProof/>
          <w:szCs w:val="24"/>
        </w:rPr>
        <w:t>Public Health Nutrition</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(6), 1044–1051.</w:t>
      </w:r>
    </w:p>
    <w:p w14:paraId="17B3E402"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Stok, F. M., de Vet, E., de Ridder, D. T. D., &amp; de Wit, J. B. F. (2016). The potential of peer social norms to shape food intake in adolescents and young adults: a systematic review of effects and moderators. </w:t>
      </w:r>
      <w:r w:rsidRPr="009A0EF9">
        <w:rPr>
          <w:rFonts w:ascii="Calibri" w:hAnsi="Calibri" w:cs="Calibri"/>
          <w:i/>
          <w:iCs/>
          <w:noProof/>
          <w:szCs w:val="24"/>
        </w:rPr>
        <w:t>Health Psychology Review</w:t>
      </w:r>
      <w:r w:rsidRPr="009A0EF9">
        <w:rPr>
          <w:rFonts w:ascii="Calibri" w:hAnsi="Calibri" w:cs="Calibri"/>
          <w:noProof/>
          <w:szCs w:val="24"/>
        </w:rPr>
        <w:t xml:space="preserve">, </w:t>
      </w:r>
      <w:r w:rsidRPr="009A0EF9">
        <w:rPr>
          <w:rFonts w:ascii="Calibri" w:hAnsi="Calibri" w:cs="Calibri"/>
          <w:i/>
          <w:iCs/>
          <w:noProof/>
          <w:szCs w:val="24"/>
        </w:rPr>
        <w:t>10</w:t>
      </w:r>
      <w:r w:rsidRPr="009A0EF9">
        <w:rPr>
          <w:rFonts w:ascii="Calibri" w:hAnsi="Calibri" w:cs="Calibri"/>
          <w:noProof/>
          <w:szCs w:val="24"/>
        </w:rPr>
        <w:t>(3), 326–340.</w:t>
      </w:r>
    </w:p>
    <w:p w14:paraId="6B3EF1B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Stok, F., Mollen, S., Verkooijen, K., &amp; Renner, B. (2018). Editorial: Unravelling Social Norm Effects: How and When Social Norms Affect Eating Behavior. </w:t>
      </w:r>
      <w:r w:rsidRPr="009A0EF9">
        <w:rPr>
          <w:rFonts w:ascii="Calibri" w:hAnsi="Calibri" w:cs="Calibri"/>
          <w:i/>
          <w:iCs/>
          <w:noProof/>
          <w:szCs w:val="24"/>
        </w:rPr>
        <w:t>Frontiers in Psychology</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 738–741.</w:t>
      </w:r>
    </w:p>
    <w:p w14:paraId="68CC2D9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lastRenderedPageBreak/>
        <w:t xml:space="preserve">Story, M., Kaphingst, K. M., &amp; French, S. (2006). The role of schools in obesity prevention. </w:t>
      </w:r>
      <w:r w:rsidRPr="009A0EF9">
        <w:rPr>
          <w:rFonts w:ascii="Calibri" w:hAnsi="Calibri" w:cs="Calibri"/>
          <w:i/>
          <w:iCs/>
          <w:noProof/>
          <w:szCs w:val="24"/>
        </w:rPr>
        <w:t>The Future of Children</w:t>
      </w:r>
      <w:r w:rsidRPr="009A0EF9">
        <w:rPr>
          <w:rFonts w:ascii="Calibri" w:hAnsi="Calibri" w:cs="Calibri"/>
          <w:noProof/>
          <w:szCs w:val="24"/>
        </w:rPr>
        <w:t xml:space="preserve">, </w:t>
      </w:r>
      <w:r w:rsidRPr="009A0EF9">
        <w:rPr>
          <w:rFonts w:ascii="Calibri" w:hAnsi="Calibri" w:cs="Calibri"/>
          <w:i/>
          <w:iCs/>
          <w:noProof/>
          <w:szCs w:val="24"/>
        </w:rPr>
        <w:t>16</w:t>
      </w:r>
      <w:r w:rsidRPr="009A0EF9">
        <w:rPr>
          <w:rFonts w:ascii="Calibri" w:hAnsi="Calibri" w:cs="Calibri"/>
          <w:noProof/>
          <w:szCs w:val="24"/>
        </w:rPr>
        <w:t>(1), 109–142.</w:t>
      </w:r>
    </w:p>
    <w:p w14:paraId="7BFE869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Styne, D. M. (2005). Obesity in childhood : what ’ s activity got to do with it ? </w:t>
      </w:r>
      <w:r w:rsidRPr="009A0EF9">
        <w:rPr>
          <w:rFonts w:ascii="Calibri" w:hAnsi="Calibri" w:cs="Calibri"/>
          <w:i/>
          <w:iCs/>
          <w:noProof/>
          <w:szCs w:val="24"/>
        </w:rPr>
        <w:t>American Journal of Clinical Nutrition</w:t>
      </w:r>
      <w:r w:rsidRPr="009A0EF9">
        <w:rPr>
          <w:rFonts w:ascii="Calibri" w:hAnsi="Calibri" w:cs="Calibri"/>
          <w:noProof/>
          <w:szCs w:val="24"/>
        </w:rPr>
        <w:t xml:space="preserve">, </w:t>
      </w:r>
      <w:r w:rsidRPr="009A0EF9">
        <w:rPr>
          <w:rFonts w:ascii="Calibri" w:hAnsi="Calibri" w:cs="Calibri"/>
          <w:i/>
          <w:iCs/>
          <w:noProof/>
          <w:szCs w:val="24"/>
        </w:rPr>
        <w:t>81</w:t>
      </w:r>
      <w:r w:rsidRPr="009A0EF9">
        <w:rPr>
          <w:rFonts w:ascii="Calibri" w:hAnsi="Calibri" w:cs="Calibri"/>
          <w:noProof/>
          <w:szCs w:val="24"/>
        </w:rPr>
        <w:t>(2), 337–338.</w:t>
      </w:r>
    </w:p>
    <w:p w14:paraId="6E7F708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Subar, A. F., Dodd, K. W., Guenther, P. M., Kipnis, V., Midthune, D., McDowell, M., Tooze, J. A., Freedman, L. S., &amp; Krebs-Smith, S. M. (2006). The food propensity questionnaire: concept, development, and validation for use as a covariate in a model to estimate usual food intake. </w:t>
      </w:r>
      <w:r w:rsidRPr="009A0EF9">
        <w:rPr>
          <w:rFonts w:ascii="Calibri" w:hAnsi="Calibri" w:cs="Calibri"/>
          <w:i/>
          <w:iCs/>
          <w:noProof/>
          <w:szCs w:val="24"/>
        </w:rPr>
        <w:t>Journal of the American Dietetic Association</w:t>
      </w:r>
      <w:r w:rsidRPr="009A0EF9">
        <w:rPr>
          <w:rFonts w:ascii="Calibri" w:hAnsi="Calibri" w:cs="Calibri"/>
          <w:noProof/>
          <w:szCs w:val="24"/>
        </w:rPr>
        <w:t xml:space="preserve">, </w:t>
      </w:r>
      <w:r w:rsidRPr="009A0EF9">
        <w:rPr>
          <w:rFonts w:ascii="Calibri" w:hAnsi="Calibri" w:cs="Calibri"/>
          <w:i/>
          <w:iCs/>
          <w:noProof/>
          <w:szCs w:val="24"/>
        </w:rPr>
        <w:t>106</w:t>
      </w:r>
      <w:r w:rsidRPr="009A0EF9">
        <w:rPr>
          <w:rFonts w:ascii="Calibri" w:hAnsi="Calibri" w:cs="Calibri"/>
          <w:noProof/>
          <w:szCs w:val="24"/>
        </w:rPr>
        <w:t>(10), 1556–1563.</w:t>
      </w:r>
    </w:p>
    <w:p w14:paraId="2A0BF0B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Swanson, M., Branscum, A., &amp; Nakayima, P. J. (2009). Promoting consumption of fruit in elementary school cafeterias. The effects of slicing apples and oranges.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53</w:t>
      </w:r>
      <w:r w:rsidRPr="009A0EF9">
        <w:rPr>
          <w:rFonts w:ascii="Calibri" w:hAnsi="Calibri" w:cs="Calibri"/>
          <w:noProof/>
          <w:szCs w:val="24"/>
        </w:rPr>
        <w:t>(2), 264–267.</w:t>
      </w:r>
    </w:p>
    <w:p w14:paraId="271D521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Sweeting, H. (2007). Measurement and definitions of obesity in childhood and adolescence: a field guide for the uninitiated. </w:t>
      </w:r>
      <w:r w:rsidRPr="009A0EF9">
        <w:rPr>
          <w:rFonts w:ascii="Calibri" w:hAnsi="Calibri" w:cs="Calibri"/>
          <w:i/>
          <w:iCs/>
          <w:noProof/>
          <w:szCs w:val="24"/>
        </w:rPr>
        <w:t>Nutrition Journal</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 1–8.</w:t>
      </w:r>
    </w:p>
    <w:p w14:paraId="2AE371D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Swinburn BA, Sacks G, Hall KD, McPherson K, Finegood DT, Moodie ML, G. S. (2011). The global obesity pandemic: shaped by global drivers and local environments. </w:t>
      </w:r>
      <w:r w:rsidRPr="009A0EF9">
        <w:rPr>
          <w:rFonts w:ascii="Calibri" w:hAnsi="Calibri" w:cs="Calibri"/>
          <w:i/>
          <w:iCs/>
          <w:noProof/>
          <w:szCs w:val="24"/>
        </w:rPr>
        <w:t>The Lancet</w:t>
      </w:r>
      <w:r w:rsidRPr="009A0EF9">
        <w:rPr>
          <w:rFonts w:ascii="Calibri" w:hAnsi="Calibri" w:cs="Calibri"/>
          <w:noProof/>
          <w:szCs w:val="24"/>
        </w:rPr>
        <w:t xml:space="preserve">, </w:t>
      </w:r>
      <w:r w:rsidRPr="009A0EF9">
        <w:rPr>
          <w:rFonts w:ascii="Calibri" w:hAnsi="Calibri" w:cs="Calibri"/>
          <w:i/>
          <w:iCs/>
          <w:noProof/>
          <w:szCs w:val="24"/>
        </w:rPr>
        <w:t>378</w:t>
      </w:r>
      <w:r w:rsidRPr="009A0EF9">
        <w:rPr>
          <w:rFonts w:ascii="Calibri" w:hAnsi="Calibri" w:cs="Calibri"/>
          <w:noProof/>
          <w:szCs w:val="24"/>
        </w:rPr>
        <w:t>(9793), 804–814.</w:t>
      </w:r>
    </w:p>
    <w:p w14:paraId="7292CFA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Szczepanska, W. K., Scholz, U., Liszewska, N., &amp; Luszczynska, A. (2013). Social and cognitive predictors of fruit and vegetable intake among adolescents: The context of changes in body weight. </w:t>
      </w:r>
      <w:r w:rsidRPr="009A0EF9">
        <w:rPr>
          <w:rFonts w:ascii="Calibri" w:hAnsi="Calibri" w:cs="Calibri"/>
          <w:i/>
          <w:iCs/>
          <w:noProof/>
          <w:szCs w:val="24"/>
        </w:rPr>
        <w:t>Journal of Health Psychology</w:t>
      </w:r>
      <w:r w:rsidRPr="009A0EF9">
        <w:rPr>
          <w:rFonts w:ascii="Calibri" w:hAnsi="Calibri" w:cs="Calibri"/>
          <w:noProof/>
          <w:szCs w:val="24"/>
        </w:rPr>
        <w:t xml:space="preserve">, </w:t>
      </w:r>
      <w:r w:rsidRPr="009A0EF9">
        <w:rPr>
          <w:rFonts w:ascii="Calibri" w:hAnsi="Calibri" w:cs="Calibri"/>
          <w:i/>
          <w:iCs/>
          <w:noProof/>
          <w:szCs w:val="24"/>
        </w:rPr>
        <w:t>18</w:t>
      </w:r>
      <w:r w:rsidRPr="009A0EF9">
        <w:rPr>
          <w:rFonts w:ascii="Calibri" w:hAnsi="Calibri" w:cs="Calibri"/>
          <w:noProof/>
          <w:szCs w:val="24"/>
        </w:rPr>
        <w:t>(5), 667–679.</w:t>
      </w:r>
    </w:p>
    <w:p w14:paraId="0535C46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Tankard, M. E., &amp; Paluck, E. L. (2016). Norm perception as a vehicle for social change. </w:t>
      </w:r>
      <w:r w:rsidRPr="009A0EF9">
        <w:rPr>
          <w:rFonts w:ascii="Calibri" w:hAnsi="Calibri" w:cs="Calibri"/>
          <w:i/>
          <w:iCs/>
          <w:noProof/>
          <w:szCs w:val="24"/>
        </w:rPr>
        <w:t>Social Issues and Policy Review</w:t>
      </w:r>
      <w:r w:rsidRPr="009A0EF9">
        <w:rPr>
          <w:rFonts w:ascii="Calibri" w:hAnsi="Calibri" w:cs="Calibri"/>
          <w:noProof/>
          <w:szCs w:val="24"/>
        </w:rPr>
        <w:t xml:space="preserve">, </w:t>
      </w:r>
      <w:r w:rsidRPr="009A0EF9">
        <w:rPr>
          <w:rFonts w:ascii="Calibri" w:hAnsi="Calibri" w:cs="Calibri"/>
          <w:i/>
          <w:iCs/>
          <w:noProof/>
          <w:szCs w:val="24"/>
        </w:rPr>
        <w:t>10</w:t>
      </w:r>
      <w:r w:rsidRPr="009A0EF9">
        <w:rPr>
          <w:rFonts w:ascii="Calibri" w:hAnsi="Calibri" w:cs="Calibri"/>
          <w:noProof/>
          <w:szCs w:val="24"/>
        </w:rPr>
        <w:t>(1), 181–211.</w:t>
      </w:r>
    </w:p>
    <w:p w14:paraId="7ABCE28F" w14:textId="77777777" w:rsidR="009A0EF9" w:rsidRPr="00500F3A"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Tashakkori, A., Teddlie, C., &amp; Teddlie, C. B. (1998). </w:t>
      </w:r>
      <w:r w:rsidRPr="009A0EF9">
        <w:rPr>
          <w:rFonts w:ascii="Calibri" w:hAnsi="Calibri" w:cs="Calibri"/>
          <w:i/>
          <w:iCs/>
          <w:noProof/>
          <w:szCs w:val="24"/>
        </w:rPr>
        <w:t xml:space="preserve">Mixed methodology: Combining qualitative and </w:t>
      </w:r>
      <w:r w:rsidRPr="00500F3A">
        <w:rPr>
          <w:rFonts w:ascii="Calibri" w:hAnsi="Calibri" w:cs="Calibri"/>
          <w:i/>
          <w:iCs/>
          <w:noProof/>
          <w:szCs w:val="24"/>
        </w:rPr>
        <w:t>quantitative approaches</w:t>
      </w:r>
      <w:r w:rsidRPr="00500F3A">
        <w:rPr>
          <w:rFonts w:ascii="Calibri" w:hAnsi="Calibri" w:cs="Calibri"/>
          <w:noProof/>
          <w:szCs w:val="24"/>
        </w:rPr>
        <w:t>. Sage.</w:t>
      </w:r>
    </w:p>
    <w:p w14:paraId="3B4C6FCD" w14:textId="77777777" w:rsidR="009A0EF9" w:rsidRPr="00500F3A"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 xml:space="preserve">Teddlie, C., &amp; Tashakkori, A. (2011). Mixed methods research. In N. K. Denzin &amp; Y. S. Lincoln (Eds.), </w:t>
      </w:r>
      <w:r w:rsidRPr="00500F3A">
        <w:rPr>
          <w:rFonts w:ascii="Calibri" w:hAnsi="Calibri" w:cs="Calibri"/>
          <w:i/>
          <w:iCs/>
          <w:noProof/>
          <w:szCs w:val="24"/>
        </w:rPr>
        <w:t>The Sage handbook of qualitative research</w:t>
      </w:r>
      <w:r w:rsidRPr="00500F3A">
        <w:rPr>
          <w:rFonts w:ascii="Calibri" w:hAnsi="Calibri" w:cs="Calibri"/>
          <w:noProof/>
          <w:szCs w:val="24"/>
        </w:rPr>
        <w:t xml:space="preserve"> (pp. 285–300). Sage Publications.</w:t>
      </w:r>
    </w:p>
    <w:p w14:paraId="7E69DC0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500F3A">
        <w:rPr>
          <w:rFonts w:ascii="Calibri" w:hAnsi="Calibri" w:cs="Calibri"/>
          <w:noProof/>
          <w:szCs w:val="24"/>
        </w:rPr>
        <w:t>Thab</w:t>
      </w:r>
      <w:r w:rsidRPr="009A0EF9">
        <w:rPr>
          <w:rFonts w:ascii="Calibri" w:hAnsi="Calibri" w:cs="Calibri"/>
          <w:noProof/>
          <w:szCs w:val="24"/>
        </w:rPr>
        <w:t xml:space="preserve">ane, L., Mbuagbaw, L., Zhang, S., Samaan, Z., Marcucci, M., Ye, C., Thabane, M., Giangregorio, L., Dennis, B., Kosa, D., Debono, V. B., Dillenburg, R., Fruci, V., Bawor, M., Lee, J., Wells, G., &amp; Goldsmith, C. H. (2013). A tutorial on sensitivity analyses in clinical trials: the what, why, when and how. </w:t>
      </w:r>
      <w:r w:rsidRPr="009A0EF9">
        <w:rPr>
          <w:rFonts w:ascii="Calibri" w:hAnsi="Calibri" w:cs="Calibri"/>
          <w:i/>
          <w:iCs/>
          <w:noProof/>
          <w:szCs w:val="24"/>
        </w:rPr>
        <w:t>BMC Medical Research Methodology</w:t>
      </w:r>
      <w:r w:rsidRPr="009A0EF9">
        <w:rPr>
          <w:rFonts w:ascii="Calibri" w:hAnsi="Calibri" w:cs="Calibri"/>
          <w:noProof/>
          <w:szCs w:val="24"/>
        </w:rPr>
        <w:t xml:space="preserve">, </w:t>
      </w:r>
      <w:r w:rsidRPr="009A0EF9">
        <w:rPr>
          <w:rFonts w:ascii="Calibri" w:hAnsi="Calibri" w:cs="Calibri"/>
          <w:i/>
          <w:iCs/>
          <w:noProof/>
          <w:szCs w:val="24"/>
        </w:rPr>
        <w:t>13</w:t>
      </w:r>
      <w:r w:rsidRPr="009A0EF9">
        <w:rPr>
          <w:rFonts w:ascii="Calibri" w:hAnsi="Calibri" w:cs="Calibri"/>
          <w:noProof/>
          <w:szCs w:val="24"/>
        </w:rPr>
        <w:t>(1), 92.</w:t>
      </w:r>
    </w:p>
    <w:p w14:paraId="3E2A8FC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Thomas, B. H., Ciliska, D., Dobbins, M., &amp; Micucci, S. (2004). A Process for Systematically Reviewing the Literature: Providing the Research Evidence for Public Health Nursing Interventions. </w:t>
      </w:r>
      <w:r w:rsidRPr="009A0EF9">
        <w:rPr>
          <w:rFonts w:ascii="Calibri" w:hAnsi="Calibri" w:cs="Calibri"/>
          <w:i/>
          <w:iCs/>
          <w:noProof/>
          <w:szCs w:val="24"/>
        </w:rPr>
        <w:t>Worldviews on Evidence‐Based Nursing</w:t>
      </w:r>
      <w:r w:rsidRPr="009A0EF9">
        <w:rPr>
          <w:rFonts w:ascii="Calibri" w:hAnsi="Calibri" w:cs="Calibri"/>
          <w:noProof/>
          <w:szCs w:val="24"/>
        </w:rPr>
        <w:t xml:space="preserve">, </w:t>
      </w:r>
      <w:r w:rsidRPr="009A0EF9">
        <w:rPr>
          <w:rFonts w:ascii="Calibri" w:hAnsi="Calibri" w:cs="Calibri"/>
          <w:i/>
          <w:iCs/>
          <w:noProof/>
          <w:szCs w:val="24"/>
        </w:rPr>
        <w:t>1</w:t>
      </w:r>
      <w:r w:rsidRPr="009A0EF9">
        <w:rPr>
          <w:rFonts w:ascii="Calibri" w:hAnsi="Calibri" w:cs="Calibri"/>
          <w:noProof/>
          <w:szCs w:val="24"/>
        </w:rPr>
        <w:t>(3), 176–184.</w:t>
      </w:r>
    </w:p>
    <w:p w14:paraId="01DA5E66"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Thomas, F., Thomas, C., Hooper, L., Rosenberg, G., Vohra, J., &amp; Bauld, L. (2019). Area deprivation, screen time and consumption of food and drink high in fat salt and sugar (HFSS) in young people: results from a cross-sectional study in the UK. </w:t>
      </w:r>
      <w:r w:rsidRPr="009A0EF9">
        <w:rPr>
          <w:rFonts w:ascii="Calibri" w:hAnsi="Calibri" w:cs="Calibri"/>
          <w:i/>
          <w:iCs/>
          <w:noProof/>
          <w:szCs w:val="24"/>
        </w:rPr>
        <w:t>BMJ Open</w:t>
      </w:r>
      <w:r w:rsidRPr="009A0EF9">
        <w:rPr>
          <w:rFonts w:ascii="Calibri" w:hAnsi="Calibri" w:cs="Calibri"/>
          <w:noProof/>
          <w:szCs w:val="24"/>
        </w:rPr>
        <w:t xml:space="preserve">, </w:t>
      </w:r>
      <w:r w:rsidRPr="009A0EF9">
        <w:rPr>
          <w:rFonts w:ascii="Calibri" w:hAnsi="Calibri" w:cs="Calibri"/>
          <w:i/>
          <w:iCs/>
          <w:noProof/>
          <w:szCs w:val="24"/>
        </w:rPr>
        <w:t>9</w:t>
      </w:r>
      <w:r w:rsidRPr="009A0EF9">
        <w:rPr>
          <w:rFonts w:ascii="Calibri" w:hAnsi="Calibri" w:cs="Calibri"/>
          <w:noProof/>
          <w:szCs w:val="24"/>
        </w:rPr>
        <w:t>(6), e027333.</w:t>
      </w:r>
    </w:p>
    <w:p w14:paraId="31641CC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Thomas, J. M., Liu, J., Robinson, E. L., Aveyard, P., Herman, C. P., &amp; Higgs, S. (2016). The effects of liking norms and descriptive norms on vegetable consumption: A randomized experiment. </w:t>
      </w:r>
      <w:r w:rsidRPr="009A0EF9">
        <w:rPr>
          <w:rFonts w:ascii="Calibri" w:hAnsi="Calibri" w:cs="Calibri"/>
          <w:i/>
          <w:iCs/>
          <w:noProof/>
          <w:szCs w:val="24"/>
        </w:rPr>
        <w:t>Frontiers in Psychology</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 442–452.</w:t>
      </w:r>
    </w:p>
    <w:p w14:paraId="68B0370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Thomas, J. M., Ursell, A., Robinson, E. L., Aveyard, P., Jebb, S. A., Herman, C. P., &amp; Higgs, S. (2017). Using a descriptive social norm to increase vegetable selection in workplace restaurant settings. </w:t>
      </w:r>
      <w:r w:rsidRPr="009A0EF9">
        <w:rPr>
          <w:rFonts w:ascii="Calibri" w:hAnsi="Calibri" w:cs="Calibri"/>
          <w:i/>
          <w:iCs/>
          <w:noProof/>
          <w:szCs w:val="24"/>
        </w:rPr>
        <w:t>Health Psychology</w:t>
      </w:r>
      <w:r w:rsidRPr="009A0EF9">
        <w:rPr>
          <w:rFonts w:ascii="Calibri" w:hAnsi="Calibri" w:cs="Calibri"/>
          <w:noProof/>
          <w:szCs w:val="24"/>
        </w:rPr>
        <w:t xml:space="preserve">, </w:t>
      </w:r>
      <w:r w:rsidRPr="009A0EF9">
        <w:rPr>
          <w:rFonts w:ascii="Calibri" w:hAnsi="Calibri" w:cs="Calibri"/>
          <w:i/>
          <w:iCs/>
          <w:noProof/>
          <w:szCs w:val="24"/>
        </w:rPr>
        <w:t>36</w:t>
      </w:r>
      <w:r w:rsidRPr="009A0EF9">
        <w:rPr>
          <w:rFonts w:ascii="Calibri" w:hAnsi="Calibri" w:cs="Calibri"/>
          <w:noProof/>
          <w:szCs w:val="24"/>
        </w:rPr>
        <w:t>(11), 1026–1033.</w:t>
      </w:r>
    </w:p>
    <w:p w14:paraId="4B3C4F1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Thombs, D. L., Dotterer, S., Olds, R. S., Sharp, K. E., &amp; Raub, C. G. (2004). A close look at why one social norms campaign did not reduce student drinking. </w:t>
      </w:r>
      <w:r w:rsidRPr="009A0EF9">
        <w:rPr>
          <w:rFonts w:ascii="Calibri" w:hAnsi="Calibri" w:cs="Calibri"/>
          <w:i/>
          <w:iCs/>
          <w:noProof/>
          <w:szCs w:val="24"/>
        </w:rPr>
        <w:t>Journal of American College Health</w:t>
      </w:r>
      <w:r w:rsidRPr="009A0EF9">
        <w:rPr>
          <w:rFonts w:ascii="Calibri" w:hAnsi="Calibri" w:cs="Calibri"/>
          <w:noProof/>
          <w:szCs w:val="24"/>
        </w:rPr>
        <w:t xml:space="preserve">, </w:t>
      </w:r>
      <w:r w:rsidRPr="009A0EF9">
        <w:rPr>
          <w:rFonts w:ascii="Calibri" w:hAnsi="Calibri" w:cs="Calibri"/>
          <w:i/>
          <w:iCs/>
          <w:noProof/>
          <w:szCs w:val="24"/>
        </w:rPr>
        <w:t>53</w:t>
      </w:r>
      <w:r w:rsidRPr="009A0EF9">
        <w:rPr>
          <w:rFonts w:ascii="Calibri" w:hAnsi="Calibri" w:cs="Calibri"/>
          <w:noProof/>
          <w:szCs w:val="24"/>
        </w:rPr>
        <w:t>(2), 61–68.</w:t>
      </w:r>
    </w:p>
    <w:p w14:paraId="63B280F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Tones, B. K., Tilford, S., &amp; Robinson, Y. (1990). </w:t>
      </w:r>
      <w:r w:rsidRPr="009A0EF9">
        <w:rPr>
          <w:rFonts w:ascii="Calibri" w:hAnsi="Calibri" w:cs="Calibri"/>
          <w:i/>
          <w:iCs/>
          <w:noProof/>
          <w:szCs w:val="24"/>
        </w:rPr>
        <w:t>Health Education: Effectiveness and Efﬁciency</w:t>
      </w:r>
      <w:r w:rsidRPr="009A0EF9">
        <w:rPr>
          <w:rFonts w:ascii="Calibri" w:hAnsi="Calibri" w:cs="Calibri"/>
          <w:noProof/>
          <w:szCs w:val="24"/>
        </w:rPr>
        <w:t xml:space="preserve">. </w:t>
      </w:r>
      <w:r w:rsidRPr="009A0EF9">
        <w:rPr>
          <w:rFonts w:ascii="Calibri" w:hAnsi="Calibri" w:cs="Calibri"/>
          <w:noProof/>
          <w:szCs w:val="24"/>
        </w:rPr>
        <w:lastRenderedPageBreak/>
        <w:t>London: Chapman &amp; Hall.</w:t>
      </w:r>
    </w:p>
    <w:p w14:paraId="52096CC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Tsorbatzoudis, H. (2005). Evaluation of a planned behavior theory-based intervention programme to promote healthy eating. </w:t>
      </w:r>
      <w:r w:rsidRPr="009A0EF9">
        <w:rPr>
          <w:rFonts w:ascii="Calibri" w:hAnsi="Calibri" w:cs="Calibri"/>
          <w:i/>
          <w:iCs/>
          <w:noProof/>
          <w:szCs w:val="24"/>
        </w:rPr>
        <w:t>Perceptual and Motor Skills</w:t>
      </w:r>
      <w:r w:rsidRPr="009A0EF9">
        <w:rPr>
          <w:rFonts w:ascii="Calibri" w:hAnsi="Calibri" w:cs="Calibri"/>
          <w:noProof/>
          <w:szCs w:val="24"/>
        </w:rPr>
        <w:t xml:space="preserve">, </w:t>
      </w:r>
      <w:r w:rsidRPr="009A0EF9">
        <w:rPr>
          <w:rFonts w:ascii="Calibri" w:hAnsi="Calibri" w:cs="Calibri"/>
          <w:i/>
          <w:iCs/>
          <w:noProof/>
          <w:szCs w:val="24"/>
        </w:rPr>
        <w:t>101</w:t>
      </w:r>
      <w:r w:rsidRPr="009A0EF9">
        <w:rPr>
          <w:rFonts w:ascii="Calibri" w:hAnsi="Calibri" w:cs="Calibri"/>
          <w:noProof/>
          <w:szCs w:val="24"/>
        </w:rPr>
        <w:t>(2), 587–604.</w:t>
      </w:r>
    </w:p>
    <w:p w14:paraId="4E9DDB5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Tyrrell, R. L., Townshend, T. G., Adamson, A. J., &amp; Lake, A. A. (2015). ‘I’m not trusted in the kitchen’: food environments and food behaviours of young people attending school and college. </w:t>
      </w:r>
      <w:r w:rsidRPr="009A0EF9">
        <w:rPr>
          <w:rFonts w:ascii="Calibri" w:hAnsi="Calibri" w:cs="Calibri"/>
          <w:i/>
          <w:iCs/>
          <w:noProof/>
          <w:szCs w:val="24"/>
        </w:rPr>
        <w:t>Journal of Public Health</w:t>
      </w:r>
      <w:r w:rsidRPr="009A0EF9">
        <w:rPr>
          <w:rFonts w:ascii="Calibri" w:hAnsi="Calibri" w:cs="Calibri"/>
          <w:noProof/>
          <w:szCs w:val="24"/>
        </w:rPr>
        <w:t xml:space="preserve">, </w:t>
      </w:r>
      <w:r w:rsidRPr="009A0EF9">
        <w:rPr>
          <w:rFonts w:ascii="Calibri" w:hAnsi="Calibri" w:cs="Calibri"/>
          <w:i/>
          <w:iCs/>
          <w:noProof/>
          <w:szCs w:val="24"/>
        </w:rPr>
        <w:t>38</w:t>
      </w:r>
      <w:r w:rsidRPr="009A0EF9">
        <w:rPr>
          <w:rFonts w:ascii="Calibri" w:hAnsi="Calibri" w:cs="Calibri"/>
          <w:noProof/>
          <w:szCs w:val="24"/>
        </w:rPr>
        <w:t>(2), 289–299.</w:t>
      </w:r>
    </w:p>
    <w:p w14:paraId="18F561E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Vallentin-Holbech, L., Rasmussen, B. M., &amp; Stock, C. (2018). Effects of the social norms intervention The GOOD Life on norm perceptions, binge drinking and alcohol-related harms: A cluster-randomised controlled trial. </w:t>
      </w:r>
      <w:r w:rsidRPr="009A0EF9">
        <w:rPr>
          <w:rFonts w:ascii="Calibri" w:hAnsi="Calibri" w:cs="Calibri"/>
          <w:i/>
          <w:iCs/>
          <w:noProof/>
          <w:szCs w:val="24"/>
        </w:rPr>
        <w:t>Preventive Medicine Reports</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 304–311.</w:t>
      </w:r>
    </w:p>
    <w:p w14:paraId="18BA33C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Vallentin-Holbech, L., Rasmussen, B. M., &amp; Stock, C. (2019). Does level of received intervention dose have an impact on the effectiveness of the social norms alcohol prevention program The GOOD Life? </w:t>
      </w:r>
      <w:r w:rsidRPr="009A0EF9">
        <w:rPr>
          <w:rFonts w:ascii="Calibri" w:hAnsi="Calibri" w:cs="Calibri"/>
          <w:i/>
          <w:iCs/>
          <w:noProof/>
          <w:szCs w:val="24"/>
        </w:rPr>
        <w:t>Frontiers in Public Health</w:t>
      </w:r>
      <w:r w:rsidRPr="009A0EF9">
        <w:rPr>
          <w:rFonts w:ascii="Calibri" w:hAnsi="Calibri" w:cs="Calibri"/>
          <w:noProof/>
          <w:szCs w:val="24"/>
        </w:rPr>
        <w:t xml:space="preserve">, </w:t>
      </w:r>
      <w:r w:rsidRPr="009A0EF9">
        <w:rPr>
          <w:rFonts w:ascii="Calibri" w:hAnsi="Calibri" w:cs="Calibri"/>
          <w:i/>
          <w:iCs/>
          <w:noProof/>
          <w:szCs w:val="24"/>
        </w:rPr>
        <w:t>7</w:t>
      </w:r>
      <w:r w:rsidRPr="009A0EF9">
        <w:rPr>
          <w:rFonts w:ascii="Calibri" w:hAnsi="Calibri" w:cs="Calibri"/>
          <w:noProof/>
          <w:szCs w:val="24"/>
        </w:rPr>
        <w:t>, 245.</w:t>
      </w:r>
    </w:p>
    <w:p w14:paraId="3A608CF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Van Cauwenberghe, E., Maes, L., Spittaels, H., van Lenthe, F. J., Brug, J., Oppert, J.-M., &amp; De Bourdeaudhuij, I. (2010). Effectiveness of school-based interventions in Europe to promote healthy nutrition in children and adolescents: systematic review of published and ‘grey’literature. </w:t>
      </w:r>
      <w:r w:rsidRPr="009A0EF9">
        <w:rPr>
          <w:rFonts w:ascii="Calibri" w:hAnsi="Calibri" w:cs="Calibri"/>
          <w:i/>
          <w:iCs/>
          <w:noProof/>
          <w:szCs w:val="24"/>
        </w:rPr>
        <w:t>British Journal of Nutrition</w:t>
      </w:r>
      <w:r w:rsidRPr="009A0EF9">
        <w:rPr>
          <w:rFonts w:ascii="Calibri" w:hAnsi="Calibri" w:cs="Calibri"/>
          <w:noProof/>
          <w:szCs w:val="24"/>
        </w:rPr>
        <w:t xml:space="preserve">, </w:t>
      </w:r>
      <w:r w:rsidRPr="009A0EF9">
        <w:rPr>
          <w:rFonts w:ascii="Calibri" w:hAnsi="Calibri" w:cs="Calibri"/>
          <w:i/>
          <w:iCs/>
          <w:noProof/>
          <w:szCs w:val="24"/>
        </w:rPr>
        <w:t>103</w:t>
      </w:r>
      <w:r w:rsidRPr="009A0EF9">
        <w:rPr>
          <w:rFonts w:ascii="Calibri" w:hAnsi="Calibri" w:cs="Calibri"/>
          <w:noProof/>
          <w:szCs w:val="24"/>
        </w:rPr>
        <w:t>(6), 781–797.</w:t>
      </w:r>
    </w:p>
    <w:p w14:paraId="250BCFD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Van Hoorn, J., Crone, E. A., &amp; Van Leijenhorst, L. (2017). Hanging out with the right crowd: Peer influence on risk‐taking behavior in adolescence. </w:t>
      </w:r>
      <w:r w:rsidRPr="009A0EF9">
        <w:rPr>
          <w:rFonts w:ascii="Calibri" w:hAnsi="Calibri" w:cs="Calibri"/>
          <w:i/>
          <w:iCs/>
          <w:noProof/>
          <w:szCs w:val="24"/>
        </w:rPr>
        <w:t>Journal of Research on Adolescence</w:t>
      </w:r>
      <w:r w:rsidRPr="009A0EF9">
        <w:rPr>
          <w:rFonts w:ascii="Calibri" w:hAnsi="Calibri" w:cs="Calibri"/>
          <w:noProof/>
          <w:szCs w:val="24"/>
        </w:rPr>
        <w:t xml:space="preserve">, </w:t>
      </w:r>
      <w:r w:rsidRPr="009A0EF9">
        <w:rPr>
          <w:rFonts w:ascii="Calibri" w:hAnsi="Calibri" w:cs="Calibri"/>
          <w:i/>
          <w:iCs/>
          <w:noProof/>
          <w:szCs w:val="24"/>
        </w:rPr>
        <w:t>27</w:t>
      </w:r>
      <w:r w:rsidRPr="009A0EF9">
        <w:rPr>
          <w:rFonts w:ascii="Calibri" w:hAnsi="Calibri" w:cs="Calibri"/>
          <w:noProof/>
          <w:szCs w:val="24"/>
        </w:rPr>
        <w:t>(1), 189–200.</w:t>
      </w:r>
    </w:p>
    <w:p w14:paraId="51325B1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Vartanian, L. R., Sokol, N., Herman, C. P., &amp; Polivy, J. (2013). Social Models Provide a Norm of Appropriate Food Intake for Young Women. </w:t>
      </w:r>
      <w:r w:rsidRPr="009A0EF9">
        <w:rPr>
          <w:rFonts w:ascii="Calibri" w:hAnsi="Calibri" w:cs="Calibri"/>
          <w:i/>
          <w:iCs/>
          <w:noProof/>
          <w:szCs w:val="24"/>
        </w:rPr>
        <w:t>PLOS ONE</w:t>
      </w:r>
      <w:r w:rsidRPr="009A0EF9">
        <w:rPr>
          <w:rFonts w:ascii="Calibri" w:hAnsi="Calibri" w:cs="Calibri"/>
          <w:noProof/>
          <w:szCs w:val="24"/>
        </w:rPr>
        <w:t xml:space="preserve">, </w:t>
      </w:r>
      <w:r w:rsidRPr="009A0EF9">
        <w:rPr>
          <w:rFonts w:ascii="Calibri" w:hAnsi="Calibri" w:cs="Calibri"/>
          <w:i/>
          <w:iCs/>
          <w:noProof/>
          <w:szCs w:val="24"/>
        </w:rPr>
        <w:t>8</w:t>
      </w:r>
      <w:r w:rsidRPr="009A0EF9">
        <w:rPr>
          <w:rFonts w:ascii="Calibri" w:hAnsi="Calibri" w:cs="Calibri"/>
          <w:noProof/>
          <w:szCs w:val="24"/>
        </w:rPr>
        <w:t>(11), e79268.</w:t>
      </w:r>
    </w:p>
    <w:p w14:paraId="13DCE98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Verhoeven, A. A. C., Adriaanse, M. A., de Ridder, D. T. D., de Vet, E., &amp; Fennis, B. M. (2013). Less is more: The effect of multiple implementation intentions targeting unhealthy snacking habits. </w:t>
      </w:r>
      <w:r w:rsidRPr="009A0EF9">
        <w:rPr>
          <w:rFonts w:ascii="Calibri" w:hAnsi="Calibri" w:cs="Calibri"/>
          <w:i/>
          <w:iCs/>
          <w:noProof/>
          <w:szCs w:val="24"/>
        </w:rPr>
        <w:t>European Journal of Social Psychology</w:t>
      </w:r>
      <w:r w:rsidRPr="009A0EF9">
        <w:rPr>
          <w:rFonts w:ascii="Calibri" w:hAnsi="Calibri" w:cs="Calibri"/>
          <w:noProof/>
          <w:szCs w:val="24"/>
        </w:rPr>
        <w:t xml:space="preserve">, </w:t>
      </w:r>
      <w:r w:rsidRPr="009A0EF9">
        <w:rPr>
          <w:rFonts w:ascii="Calibri" w:hAnsi="Calibri" w:cs="Calibri"/>
          <w:i/>
          <w:iCs/>
          <w:noProof/>
          <w:szCs w:val="24"/>
        </w:rPr>
        <w:t>43</w:t>
      </w:r>
      <w:r w:rsidRPr="009A0EF9">
        <w:rPr>
          <w:rFonts w:ascii="Calibri" w:hAnsi="Calibri" w:cs="Calibri"/>
          <w:noProof/>
          <w:szCs w:val="24"/>
        </w:rPr>
        <w:t>(5), 344–354.</w:t>
      </w:r>
    </w:p>
    <w:p w14:paraId="1CF7C30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Verrotti, A., Penta, L., Zenzeri, L., Agostinelli, S., &amp; De Feo, P. (2014). Childhood obesity: prevention and strategies of intervention. A systematic review of school-based interventions in primary schools. </w:t>
      </w:r>
      <w:r w:rsidRPr="009A0EF9">
        <w:rPr>
          <w:rFonts w:ascii="Calibri" w:hAnsi="Calibri" w:cs="Calibri"/>
          <w:i/>
          <w:iCs/>
          <w:noProof/>
          <w:szCs w:val="24"/>
        </w:rPr>
        <w:t>Journal of Endocrinological Investigation</w:t>
      </w:r>
      <w:r w:rsidRPr="009A0EF9">
        <w:rPr>
          <w:rFonts w:ascii="Calibri" w:hAnsi="Calibri" w:cs="Calibri"/>
          <w:noProof/>
          <w:szCs w:val="24"/>
        </w:rPr>
        <w:t xml:space="preserve">, </w:t>
      </w:r>
      <w:r w:rsidRPr="009A0EF9">
        <w:rPr>
          <w:rFonts w:ascii="Calibri" w:hAnsi="Calibri" w:cs="Calibri"/>
          <w:i/>
          <w:iCs/>
          <w:noProof/>
          <w:szCs w:val="24"/>
        </w:rPr>
        <w:t>37</w:t>
      </w:r>
      <w:r w:rsidRPr="009A0EF9">
        <w:rPr>
          <w:rFonts w:ascii="Calibri" w:hAnsi="Calibri" w:cs="Calibri"/>
          <w:noProof/>
          <w:szCs w:val="24"/>
        </w:rPr>
        <w:t>(12), 1155–1164.</w:t>
      </w:r>
    </w:p>
    <w:p w14:paraId="680194F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Veugelers, P. J., &amp; Fitzgerald, A. L. (2005). Effectiveness of School Programs in Preventing Childhood Obesity: A Multilevel Comparison. </w:t>
      </w:r>
      <w:r w:rsidRPr="009A0EF9">
        <w:rPr>
          <w:rFonts w:ascii="Calibri" w:hAnsi="Calibri" w:cs="Calibri"/>
          <w:i/>
          <w:iCs/>
          <w:noProof/>
          <w:szCs w:val="24"/>
        </w:rPr>
        <w:t>American Journal of Public Health</w:t>
      </w:r>
      <w:r w:rsidRPr="009A0EF9">
        <w:rPr>
          <w:rFonts w:ascii="Calibri" w:hAnsi="Calibri" w:cs="Calibri"/>
          <w:noProof/>
          <w:szCs w:val="24"/>
        </w:rPr>
        <w:t xml:space="preserve">, </w:t>
      </w:r>
      <w:r w:rsidRPr="009A0EF9">
        <w:rPr>
          <w:rFonts w:ascii="Calibri" w:hAnsi="Calibri" w:cs="Calibri"/>
          <w:i/>
          <w:iCs/>
          <w:noProof/>
          <w:szCs w:val="24"/>
        </w:rPr>
        <w:t>95</w:t>
      </w:r>
      <w:r w:rsidRPr="009A0EF9">
        <w:rPr>
          <w:rFonts w:ascii="Calibri" w:hAnsi="Calibri" w:cs="Calibri"/>
          <w:noProof/>
          <w:szCs w:val="24"/>
        </w:rPr>
        <w:t>(3), 432–435.</w:t>
      </w:r>
    </w:p>
    <w:p w14:paraId="1FBDCFFB"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Vio, F., Lera, M., Gonzalez, G., Gloria, C., Yanez, G., Fretes, C., Montenegro, E., &amp; Salinas, C. (2015). Food consumption, dietary behaviour and cooking skills in third to fifth grade school-age children and parents. </w:t>
      </w:r>
      <w:r w:rsidRPr="009A0EF9">
        <w:rPr>
          <w:rFonts w:ascii="Calibri" w:hAnsi="Calibri" w:cs="Calibri"/>
          <w:i/>
          <w:iCs/>
          <w:noProof/>
          <w:szCs w:val="24"/>
        </w:rPr>
        <w:t>Revista Chilena de Nutrición</w:t>
      </w:r>
      <w:r w:rsidRPr="009A0EF9">
        <w:rPr>
          <w:rFonts w:ascii="Calibri" w:hAnsi="Calibri" w:cs="Calibri"/>
          <w:noProof/>
          <w:szCs w:val="24"/>
        </w:rPr>
        <w:t xml:space="preserve">, </w:t>
      </w:r>
      <w:r w:rsidRPr="009A0EF9">
        <w:rPr>
          <w:rFonts w:ascii="Calibri" w:hAnsi="Calibri" w:cs="Calibri"/>
          <w:i/>
          <w:iCs/>
          <w:noProof/>
          <w:szCs w:val="24"/>
        </w:rPr>
        <w:t>42</w:t>
      </w:r>
      <w:r w:rsidRPr="009A0EF9">
        <w:rPr>
          <w:rFonts w:ascii="Calibri" w:hAnsi="Calibri" w:cs="Calibri"/>
          <w:noProof/>
          <w:szCs w:val="24"/>
        </w:rPr>
        <w:t>(4), 374–382.</w:t>
      </w:r>
    </w:p>
    <w:p w14:paraId="4FE0A5C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Vio, F., Olaya, M., Yañez, M., &amp; Montenegro, E. (2020). Adolescents’ perception of dietary behaviour in a public school in Chile: a focus groups study. </w:t>
      </w:r>
      <w:r w:rsidRPr="009A0EF9">
        <w:rPr>
          <w:rFonts w:ascii="Calibri" w:hAnsi="Calibri" w:cs="Calibri"/>
          <w:i/>
          <w:iCs/>
          <w:noProof/>
          <w:szCs w:val="24"/>
        </w:rPr>
        <w:t>BMC Public Health</w:t>
      </w:r>
      <w:r w:rsidRPr="009A0EF9">
        <w:rPr>
          <w:rFonts w:ascii="Calibri" w:hAnsi="Calibri" w:cs="Calibri"/>
          <w:noProof/>
          <w:szCs w:val="24"/>
        </w:rPr>
        <w:t xml:space="preserve">, </w:t>
      </w:r>
      <w:r w:rsidRPr="009A0EF9">
        <w:rPr>
          <w:rFonts w:ascii="Calibri" w:hAnsi="Calibri" w:cs="Calibri"/>
          <w:i/>
          <w:iCs/>
          <w:noProof/>
          <w:szCs w:val="24"/>
        </w:rPr>
        <w:t>20</w:t>
      </w:r>
      <w:r w:rsidRPr="009A0EF9">
        <w:rPr>
          <w:rFonts w:ascii="Calibri" w:hAnsi="Calibri" w:cs="Calibri"/>
          <w:noProof/>
          <w:szCs w:val="24"/>
        </w:rPr>
        <w:t>(1), 803.</w:t>
      </w:r>
    </w:p>
    <w:p w14:paraId="7843A13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Wang, D., &amp; Stewart, D. (2013). The implementation and effectiveness of school-based nutrition promotion programmes using a health-promoting schools approach: a systematic review. </w:t>
      </w:r>
      <w:r w:rsidRPr="009A0EF9">
        <w:rPr>
          <w:rFonts w:ascii="Calibri" w:hAnsi="Calibri" w:cs="Calibri"/>
          <w:i/>
          <w:iCs/>
          <w:noProof/>
          <w:szCs w:val="24"/>
        </w:rPr>
        <w:t>Public Health Nutrition</w:t>
      </w:r>
      <w:r w:rsidRPr="009A0EF9">
        <w:rPr>
          <w:rFonts w:ascii="Calibri" w:hAnsi="Calibri" w:cs="Calibri"/>
          <w:noProof/>
          <w:szCs w:val="24"/>
        </w:rPr>
        <w:t xml:space="preserve">, </w:t>
      </w:r>
      <w:r w:rsidRPr="009A0EF9">
        <w:rPr>
          <w:rFonts w:ascii="Calibri" w:hAnsi="Calibri" w:cs="Calibri"/>
          <w:i/>
          <w:iCs/>
          <w:noProof/>
          <w:szCs w:val="24"/>
        </w:rPr>
        <w:t>16</w:t>
      </w:r>
      <w:r w:rsidRPr="009A0EF9">
        <w:rPr>
          <w:rFonts w:ascii="Calibri" w:hAnsi="Calibri" w:cs="Calibri"/>
          <w:noProof/>
          <w:szCs w:val="24"/>
        </w:rPr>
        <w:t>(6), 1082–1100.</w:t>
      </w:r>
    </w:p>
    <w:p w14:paraId="558CE5D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Wang, D., Stewart, D., Yuan, Y., &amp; Chang, C. (2015). Do health-promoting schools improve nutrition in China? </w:t>
      </w:r>
      <w:r w:rsidRPr="009A0EF9">
        <w:rPr>
          <w:rFonts w:ascii="Calibri" w:hAnsi="Calibri" w:cs="Calibri"/>
          <w:i/>
          <w:iCs/>
          <w:noProof/>
          <w:szCs w:val="24"/>
        </w:rPr>
        <w:t>Health Promotion International</w:t>
      </w:r>
      <w:r w:rsidRPr="009A0EF9">
        <w:rPr>
          <w:rFonts w:ascii="Calibri" w:hAnsi="Calibri" w:cs="Calibri"/>
          <w:noProof/>
          <w:szCs w:val="24"/>
        </w:rPr>
        <w:t xml:space="preserve">, </w:t>
      </w:r>
      <w:r w:rsidRPr="009A0EF9">
        <w:rPr>
          <w:rFonts w:ascii="Calibri" w:hAnsi="Calibri" w:cs="Calibri"/>
          <w:i/>
          <w:iCs/>
          <w:noProof/>
          <w:szCs w:val="24"/>
        </w:rPr>
        <w:t>30</w:t>
      </w:r>
      <w:r w:rsidRPr="009A0EF9">
        <w:rPr>
          <w:rFonts w:ascii="Calibri" w:hAnsi="Calibri" w:cs="Calibri"/>
          <w:noProof/>
          <w:szCs w:val="24"/>
        </w:rPr>
        <w:t>(2), 359–368.</w:t>
      </w:r>
    </w:p>
    <w:p w14:paraId="1959622A"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Wechsler, H., Nelson, T. E., Lee, J. E., Seibring, M., Lewis, C., &amp; Keeling, R. P. (2003). Perception and reality: a national evaluation of social norms marketing interventions to reduce college students’ heavy alcohol use. </w:t>
      </w:r>
      <w:r w:rsidRPr="009A0EF9">
        <w:rPr>
          <w:rFonts w:ascii="Calibri" w:hAnsi="Calibri" w:cs="Calibri"/>
          <w:i/>
          <w:iCs/>
          <w:noProof/>
          <w:szCs w:val="24"/>
        </w:rPr>
        <w:t>Journal of Studies on Alcohol</w:t>
      </w:r>
      <w:r w:rsidRPr="009A0EF9">
        <w:rPr>
          <w:rFonts w:ascii="Calibri" w:hAnsi="Calibri" w:cs="Calibri"/>
          <w:noProof/>
          <w:szCs w:val="24"/>
        </w:rPr>
        <w:t xml:space="preserve">, </w:t>
      </w:r>
      <w:r w:rsidRPr="009A0EF9">
        <w:rPr>
          <w:rFonts w:ascii="Calibri" w:hAnsi="Calibri" w:cs="Calibri"/>
          <w:i/>
          <w:iCs/>
          <w:noProof/>
          <w:szCs w:val="24"/>
        </w:rPr>
        <w:t>64</w:t>
      </w:r>
      <w:r w:rsidRPr="009A0EF9">
        <w:rPr>
          <w:rFonts w:ascii="Calibri" w:hAnsi="Calibri" w:cs="Calibri"/>
          <w:noProof/>
          <w:szCs w:val="24"/>
        </w:rPr>
        <w:t>(4), 484–494.</w:t>
      </w:r>
    </w:p>
    <w:p w14:paraId="1517939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White, J., Rehkopf, D., &amp; Mortensen, L. H. (2016). Trends in socioeconomic inequalities in body mass index, underweight and obesity among English children, 2007–2008 to 2011–2012. </w:t>
      </w:r>
      <w:r w:rsidRPr="009A0EF9">
        <w:rPr>
          <w:rFonts w:ascii="Calibri" w:hAnsi="Calibri" w:cs="Calibri"/>
          <w:i/>
          <w:iCs/>
          <w:noProof/>
          <w:szCs w:val="24"/>
        </w:rPr>
        <w:t>PloS One</w:t>
      </w:r>
      <w:r w:rsidRPr="009A0EF9">
        <w:rPr>
          <w:rFonts w:ascii="Calibri" w:hAnsi="Calibri" w:cs="Calibri"/>
          <w:noProof/>
          <w:szCs w:val="24"/>
        </w:rPr>
        <w:t xml:space="preserve">, </w:t>
      </w:r>
      <w:r w:rsidRPr="009A0EF9">
        <w:rPr>
          <w:rFonts w:ascii="Calibri" w:hAnsi="Calibri" w:cs="Calibri"/>
          <w:i/>
          <w:iCs/>
          <w:noProof/>
          <w:szCs w:val="24"/>
        </w:rPr>
        <w:lastRenderedPageBreak/>
        <w:t>11</w:t>
      </w:r>
      <w:r w:rsidRPr="009A0EF9">
        <w:rPr>
          <w:rFonts w:ascii="Calibri" w:hAnsi="Calibri" w:cs="Calibri"/>
          <w:noProof/>
          <w:szCs w:val="24"/>
        </w:rPr>
        <w:t>(1), e0147614.</w:t>
      </w:r>
    </w:p>
    <w:p w14:paraId="4484DEE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Wight, D., Wimbush, E., Jepson, R., &amp; Doi, L. (2016). Six steps in quality intervention development (6SQuID). </w:t>
      </w:r>
      <w:r w:rsidRPr="009A0EF9">
        <w:rPr>
          <w:rFonts w:ascii="Calibri" w:hAnsi="Calibri" w:cs="Calibri"/>
          <w:i/>
          <w:iCs/>
          <w:noProof/>
          <w:szCs w:val="24"/>
        </w:rPr>
        <w:t>Journal of Epidemiology and Community Health</w:t>
      </w:r>
      <w:r w:rsidRPr="009A0EF9">
        <w:rPr>
          <w:rFonts w:ascii="Calibri" w:hAnsi="Calibri" w:cs="Calibri"/>
          <w:noProof/>
          <w:szCs w:val="24"/>
        </w:rPr>
        <w:t xml:space="preserve">, </w:t>
      </w:r>
      <w:r w:rsidRPr="009A0EF9">
        <w:rPr>
          <w:rFonts w:ascii="Calibri" w:hAnsi="Calibri" w:cs="Calibri"/>
          <w:i/>
          <w:iCs/>
          <w:noProof/>
          <w:szCs w:val="24"/>
        </w:rPr>
        <w:t>70</w:t>
      </w:r>
      <w:r w:rsidRPr="009A0EF9">
        <w:rPr>
          <w:rFonts w:ascii="Calibri" w:hAnsi="Calibri" w:cs="Calibri"/>
          <w:noProof/>
          <w:szCs w:val="24"/>
        </w:rPr>
        <w:t>(5), 520–525.</w:t>
      </w:r>
    </w:p>
    <w:p w14:paraId="3867BA0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Williamson, G. R. (2005). Illustrating triangulation in mixed-methods nursing research. </w:t>
      </w:r>
      <w:r w:rsidRPr="009A0EF9">
        <w:rPr>
          <w:rFonts w:ascii="Calibri" w:hAnsi="Calibri" w:cs="Calibri"/>
          <w:i/>
          <w:iCs/>
          <w:noProof/>
          <w:szCs w:val="24"/>
        </w:rPr>
        <w:t>Nurse Researcher</w:t>
      </w:r>
      <w:r w:rsidRPr="009A0EF9">
        <w:rPr>
          <w:rFonts w:ascii="Calibri" w:hAnsi="Calibri" w:cs="Calibri"/>
          <w:noProof/>
          <w:szCs w:val="24"/>
        </w:rPr>
        <w:t xml:space="preserve">, </w:t>
      </w:r>
      <w:r w:rsidRPr="009A0EF9">
        <w:rPr>
          <w:rFonts w:ascii="Calibri" w:hAnsi="Calibri" w:cs="Calibri"/>
          <w:i/>
          <w:iCs/>
          <w:noProof/>
          <w:szCs w:val="24"/>
        </w:rPr>
        <w:t>12</w:t>
      </w:r>
      <w:r w:rsidRPr="009A0EF9">
        <w:rPr>
          <w:rFonts w:ascii="Calibri" w:hAnsi="Calibri" w:cs="Calibri"/>
          <w:noProof/>
          <w:szCs w:val="24"/>
        </w:rPr>
        <w:t>(4), 7–18.</w:t>
      </w:r>
    </w:p>
    <w:p w14:paraId="7E58794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Wilson, D. B., Jones, R. M., McClish, D., Westerberg, A. L., &amp; Danish, S. (2012). Fruit and vegetable intake among rural youth following a school-based randomized controlled trial. </w:t>
      </w:r>
      <w:r w:rsidRPr="009A0EF9">
        <w:rPr>
          <w:rFonts w:ascii="Calibri" w:hAnsi="Calibri" w:cs="Calibri"/>
          <w:i/>
          <w:iCs/>
          <w:noProof/>
          <w:szCs w:val="24"/>
        </w:rPr>
        <w:t>Preventive Medicine: An International Journal Devoted to Practice and Theory</w:t>
      </w:r>
      <w:r w:rsidRPr="009A0EF9">
        <w:rPr>
          <w:rFonts w:ascii="Calibri" w:hAnsi="Calibri" w:cs="Calibri"/>
          <w:noProof/>
          <w:szCs w:val="24"/>
        </w:rPr>
        <w:t xml:space="preserve">, </w:t>
      </w:r>
      <w:r w:rsidRPr="009A0EF9">
        <w:rPr>
          <w:rFonts w:ascii="Calibri" w:hAnsi="Calibri" w:cs="Calibri"/>
          <w:i/>
          <w:iCs/>
          <w:noProof/>
          <w:szCs w:val="24"/>
        </w:rPr>
        <w:t>54</w:t>
      </w:r>
      <w:r w:rsidRPr="009A0EF9">
        <w:rPr>
          <w:rFonts w:ascii="Calibri" w:hAnsi="Calibri" w:cs="Calibri"/>
          <w:noProof/>
          <w:szCs w:val="24"/>
        </w:rPr>
        <w:t>(2), 150–156.</w:t>
      </w:r>
    </w:p>
    <w:p w14:paraId="233197B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Wind, M., Bjelland, M., Perez-Rodrigo, C., Te Velde, S. J., Hildonen, C., Bere, E., Klepp, K.-I., &amp; Brug, J. (2007). Appreciation and implementation of a school-based intervention are associated with changes in fruit and vegetable intake in 10-to 13-year old schoolchildren—the Pro Children study. </w:t>
      </w:r>
      <w:r w:rsidRPr="009A0EF9">
        <w:rPr>
          <w:rFonts w:ascii="Calibri" w:hAnsi="Calibri" w:cs="Calibri"/>
          <w:i/>
          <w:iCs/>
          <w:noProof/>
          <w:szCs w:val="24"/>
        </w:rPr>
        <w:t>Health Education Research</w:t>
      </w:r>
      <w:r w:rsidRPr="009A0EF9">
        <w:rPr>
          <w:rFonts w:ascii="Calibri" w:hAnsi="Calibri" w:cs="Calibri"/>
          <w:noProof/>
          <w:szCs w:val="24"/>
        </w:rPr>
        <w:t xml:space="preserve">, </w:t>
      </w:r>
      <w:r w:rsidRPr="009A0EF9">
        <w:rPr>
          <w:rFonts w:ascii="Calibri" w:hAnsi="Calibri" w:cs="Calibri"/>
          <w:i/>
          <w:iCs/>
          <w:noProof/>
          <w:szCs w:val="24"/>
        </w:rPr>
        <w:t>23</w:t>
      </w:r>
      <w:r w:rsidRPr="009A0EF9">
        <w:rPr>
          <w:rFonts w:ascii="Calibri" w:hAnsi="Calibri" w:cs="Calibri"/>
          <w:noProof/>
          <w:szCs w:val="24"/>
        </w:rPr>
        <w:t>(6), 997–1007.</w:t>
      </w:r>
    </w:p>
    <w:p w14:paraId="409662A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Winpenny, E. M., Penney, T. L., Corder, K., White, M., &amp; van Sluijs, E. M. F. (2017). Change in diet in the period from adolescence to early adulthood: a systematic scoping review of longitudinal studies. </w:t>
      </w:r>
      <w:r w:rsidRPr="009A0EF9">
        <w:rPr>
          <w:rFonts w:ascii="Calibri" w:hAnsi="Calibri" w:cs="Calibri"/>
          <w:i/>
          <w:iCs/>
          <w:noProof/>
          <w:szCs w:val="24"/>
        </w:rPr>
        <w:t>The International Journal of Behavioral Nutrition and Physical Activity</w:t>
      </w:r>
      <w:r w:rsidRPr="009A0EF9">
        <w:rPr>
          <w:rFonts w:ascii="Calibri" w:hAnsi="Calibri" w:cs="Calibri"/>
          <w:noProof/>
          <w:szCs w:val="24"/>
        </w:rPr>
        <w:t xml:space="preserve">, </w:t>
      </w:r>
      <w:r w:rsidRPr="009A0EF9">
        <w:rPr>
          <w:rFonts w:ascii="Calibri" w:hAnsi="Calibri" w:cs="Calibri"/>
          <w:i/>
          <w:iCs/>
          <w:noProof/>
          <w:szCs w:val="24"/>
        </w:rPr>
        <w:t>14</w:t>
      </w:r>
      <w:r w:rsidRPr="009A0EF9">
        <w:rPr>
          <w:rFonts w:ascii="Calibri" w:hAnsi="Calibri" w:cs="Calibri"/>
          <w:noProof/>
          <w:szCs w:val="24"/>
        </w:rPr>
        <w:t>, 60.</w:t>
      </w:r>
    </w:p>
    <w:p w14:paraId="6453A7B0"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Wisniewski, A. B., &amp; Chernausek, S. D. (2009). Gender in childhood obesity: family environment, hormones, and genes. </w:t>
      </w:r>
      <w:r w:rsidRPr="009A0EF9">
        <w:rPr>
          <w:rFonts w:ascii="Calibri" w:hAnsi="Calibri" w:cs="Calibri"/>
          <w:i/>
          <w:iCs/>
          <w:noProof/>
          <w:szCs w:val="24"/>
        </w:rPr>
        <w:t>Gender Medicine</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 76–85.</w:t>
      </w:r>
    </w:p>
    <w:p w14:paraId="7854F0E9"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Woodward, D. R., Boon, J. A., Cumming, F. J., Ball, P. J., Williams, H. M., &amp; Hornsby, H. (1996). Adolescents’ Reported Usage of Selected Foods in Relation to Their Perceptions and Social Norms for Those Foods. </w:t>
      </w:r>
      <w:r w:rsidRPr="009A0EF9">
        <w:rPr>
          <w:rFonts w:ascii="Calibri" w:hAnsi="Calibri" w:cs="Calibri"/>
          <w:i/>
          <w:iCs/>
          <w:noProof/>
          <w:szCs w:val="24"/>
        </w:rPr>
        <w:t>Appetite</w:t>
      </w:r>
      <w:r w:rsidRPr="009A0EF9">
        <w:rPr>
          <w:rFonts w:ascii="Calibri" w:hAnsi="Calibri" w:cs="Calibri"/>
          <w:noProof/>
          <w:szCs w:val="24"/>
        </w:rPr>
        <w:t xml:space="preserve">, </w:t>
      </w:r>
      <w:r w:rsidRPr="009A0EF9">
        <w:rPr>
          <w:rFonts w:ascii="Calibri" w:hAnsi="Calibri" w:cs="Calibri"/>
          <w:i/>
          <w:iCs/>
          <w:noProof/>
          <w:szCs w:val="24"/>
        </w:rPr>
        <w:t>27</w:t>
      </w:r>
      <w:r w:rsidRPr="009A0EF9">
        <w:rPr>
          <w:rFonts w:ascii="Calibri" w:hAnsi="Calibri" w:cs="Calibri"/>
          <w:noProof/>
          <w:szCs w:val="24"/>
        </w:rPr>
        <w:t>(2), 109–117.</w:t>
      </w:r>
    </w:p>
    <w:p w14:paraId="6DAB2303"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(2003). </w:t>
      </w:r>
      <w:r w:rsidRPr="009A0EF9">
        <w:rPr>
          <w:rFonts w:ascii="Calibri" w:hAnsi="Calibri" w:cs="Calibri"/>
          <w:i/>
          <w:iCs/>
          <w:noProof/>
          <w:szCs w:val="24"/>
        </w:rPr>
        <w:t>Food-based dietary guidelines in the WHO European Region</w:t>
      </w:r>
      <w:r w:rsidRPr="009A0EF9">
        <w:rPr>
          <w:rFonts w:ascii="Calibri" w:hAnsi="Calibri" w:cs="Calibri"/>
          <w:noProof/>
          <w:szCs w:val="24"/>
        </w:rPr>
        <w:t>. Copenhagen: WHO Regional Office for Europe. https://www.euro.who.int/en/health-topics/disease-prevention/nutrition/publications/technical-documents/dietary-recommendations-and-nutritional-requirements/food-based-dietary-guidelines-in-the-who-european-region</w:t>
      </w:r>
    </w:p>
    <w:p w14:paraId="596B1A6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(2006). </w:t>
      </w:r>
      <w:r w:rsidRPr="009A0EF9">
        <w:rPr>
          <w:rFonts w:ascii="Calibri" w:hAnsi="Calibri" w:cs="Calibri"/>
          <w:i/>
          <w:iCs/>
          <w:noProof/>
          <w:szCs w:val="24"/>
        </w:rPr>
        <w:t>Food and nutrition policy for schools: a tool for the development of school nutrition programmes in the European Region</w:t>
      </w:r>
      <w:r w:rsidRPr="009A0EF9">
        <w:rPr>
          <w:rFonts w:ascii="Calibri" w:hAnsi="Calibri" w:cs="Calibri"/>
          <w:noProof/>
          <w:szCs w:val="24"/>
        </w:rPr>
        <w:t>.</w:t>
      </w:r>
    </w:p>
    <w:p w14:paraId="7CE0EC6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(2014). </w:t>
      </w:r>
      <w:r w:rsidRPr="009A0EF9">
        <w:rPr>
          <w:rFonts w:ascii="Calibri" w:hAnsi="Calibri" w:cs="Calibri"/>
          <w:i/>
          <w:iCs/>
          <w:noProof/>
          <w:szCs w:val="24"/>
        </w:rPr>
        <w:t>Health promoting schools</w:t>
      </w:r>
      <w:r w:rsidRPr="009A0EF9">
        <w:rPr>
          <w:rFonts w:ascii="Calibri" w:hAnsi="Calibri" w:cs="Calibri"/>
          <w:noProof/>
          <w:szCs w:val="24"/>
        </w:rPr>
        <w:t>. https://www.who.int/health-topics/health-promoting-schools#tab=tab_1</w:t>
      </w:r>
    </w:p>
    <w:p w14:paraId="5BDA4FC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(2016). </w:t>
      </w:r>
      <w:r w:rsidRPr="009A0EF9">
        <w:rPr>
          <w:rFonts w:ascii="Calibri" w:hAnsi="Calibri" w:cs="Calibri"/>
          <w:i/>
          <w:iCs/>
          <w:noProof/>
          <w:szCs w:val="24"/>
        </w:rPr>
        <w:t>Childhood overweight and obesity</w:t>
      </w:r>
      <w:r w:rsidRPr="009A0EF9">
        <w:rPr>
          <w:rFonts w:ascii="Calibri" w:hAnsi="Calibri" w:cs="Calibri"/>
          <w:noProof/>
          <w:szCs w:val="24"/>
        </w:rPr>
        <w:t>. http://www.who.int/dietphysicalactivity/childhood/en/</w:t>
      </w:r>
    </w:p>
    <w:p w14:paraId="6134A61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(2017). </w:t>
      </w:r>
      <w:r w:rsidRPr="009A0EF9">
        <w:rPr>
          <w:rFonts w:ascii="Calibri" w:hAnsi="Calibri" w:cs="Calibri"/>
          <w:i/>
          <w:iCs/>
          <w:noProof/>
          <w:szCs w:val="24"/>
        </w:rPr>
        <w:t>WHO | Obesity and overweight</w:t>
      </w:r>
      <w:r w:rsidRPr="009A0EF9">
        <w:rPr>
          <w:rFonts w:ascii="Calibri" w:hAnsi="Calibri" w:cs="Calibri"/>
          <w:noProof/>
          <w:szCs w:val="24"/>
        </w:rPr>
        <w:t>. World Health Organization. http://www.who.int/mediacentre/factsheets/fs311/en/#.WdzVcAdWy9A.mendeley</w:t>
      </w:r>
    </w:p>
    <w:p w14:paraId="3BD5B8A5"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(2020a). </w:t>
      </w:r>
      <w:r w:rsidRPr="009A0EF9">
        <w:rPr>
          <w:rFonts w:ascii="Calibri" w:hAnsi="Calibri" w:cs="Calibri"/>
          <w:i/>
          <w:iCs/>
          <w:noProof/>
          <w:szCs w:val="24"/>
        </w:rPr>
        <w:t>Noncommunicable diseases: Childhood overweight and obesity</w:t>
      </w:r>
      <w:r w:rsidRPr="009A0EF9">
        <w:rPr>
          <w:rFonts w:ascii="Calibri" w:hAnsi="Calibri" w:cs="Calibri"/>
          <w:noProof/>
          <w:szCs w:val="24"/>
        </w:rPr>
        <w:t>. https://www.who.int/news-room/q-a-detail/noncommunicable-diseases-childhood-overweight-and-obesity</w:t>
      </w:r>
    </w:p>
    <w:p w14:paraId="1119736D"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World Health Organization. (2020b). </w:t>
      </w:r>
      <w:r w:rsidRPr="009A0EF9">
        <w:rPr>
          <w:rFonts w:ascii="Calibri" w:hAnsi="Calibri" w:cs="Calibri"/>
          <w:i/>
          <w:iCs/>
          <w:noProof/>
          <w:szCs w:val="24"/>
        </w:rPr>
        <w:t>Spotlight on adolescent health and well-being. Findings from the 2017</w:t>
      </w:r>
      <w:r w:rsidRPr="009A0EF9">
        <w:rPr>
          <w:rFonts w:ascii="Calibri" w:hAnsi="Calibri" w:cs="Calibri"/>
          <w:noProof/>
          <w:szCs w:val="24"/>
        </w:rPr>
        <w:t>. World Health Organization. Regional Office for Europe. https://apps.who.int/iris/bitstream/handle/10665/332091/9789289055000-eng.pdf</w:t>
      </w:r>
    </w:p>
    <w:p w14:paraId="186DDC24"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Yamin, P., Fei, M., Lahlou, S., &amp; Levy, S. (2019). Using Social Norms to Change Behavior and Increase Sustainability in the Real World: a Systematic Review of the Literature. </w:t>
      </w:r>
      <w:r w:rsidRPr="009A0EF9">
        <w:rPr>
          <w:rFonts w:ascii="Calibri" w:hAnsi="Calibri" w:cs="Calibri"/>
          <w:i/>
          <w:iCs/>
          <w:noProof/>
          <w:szCs w:val="24"/>
        </w:rPr>
        <w:t>Sustainability</w:t>
      </w:r>
      <w:r w:rsidRPr="009A0EF9">
        <w:rPr>
          <w:rFonts w:ascii="Calibri" w:hAnsi="Calibri" w:cs="Calibri"/>
          <w:noProof/>
          <w:szCs w:val="24"/>
        </w:rPr>
        <w:t xml:space="preserve">, </w:t>
      </w:r>
      <w:r w:rsidRPr="009A0EF9">
        <w:rPr>
          <w:rFonts w:ascii="Calibri" w:hAnsi="Calibri" w:cs="Calibri"/>
          <w:i/>
          <w:iCs/>
          <w:noProof/>
          <w:szCs w:val="24"/>
        </w:rPr>
        <w:t>11</w:t>
      </w:r>
      <w:r w:rsidRPr="009A0EF9">
        <w:rPr>
          <w:rFonts w:ascii="Calibri" w:hAnsi="Calibri" w:cs="Calibri"/>
          <w:noProof/>
          <w:szCs w:val="24"/>
        </w:rPr>
        <w:t>(20), 5847.</w:t>
      </w:r>
    </w:p>
    <w:p w14:paraId="49A305C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Yang, Y.-T. C., Wang, C.-J., Tsai, M.-F., &amp; Wang, J.-S. (2015). Technology-enhanced game-based team learning for improving intake of food groups and nutritional elements. </w:t>
      </w:r>
      <w:r w:rsidRPr="009A0EF9">
        <w:rPr>
          <w:rFonts w:ascii="Calibri" w:hAnsi="Calibri" w:cs="Calibri"/>
          <w:i/>
          <w:iCs/>
          <w:noProof/>
          <w:szCs w:val="24"/>
        </w:rPr>
        <w:t>Computers &amp; Education</w:t>
      </w:r>
      <w:r w:rsidRPr="009A0EF9">
        <w:rPr>
          <w:rFonts w:ascii="Calibri" w:hAnsi="Calibri" w:cs="Calibri"/>
          <w:noProof/>
          <w:szCs w:val="24"/>
        </w:rPr>
        <w:t xml:space="preserve">, </w:t>
      </w:r>
      <w:r w:rsidRPr="009A0EF9">
        <w:rPr>
          <w:rFonts w:ascii="Calibri" w:hAnsi="Calibri" w:cs="Calibri"/>
          <w:i/>
          <w:iCs/>
          <w:noProof/>
          <w:szCs w:val="24"/>
        </w:rPr>
        <w:lastRenderedPageBreak/>
        <w:t>88</w:t>
      </w:r>
      <w:r w:rsidRPr="009A0EF9">
        <w:rPr>
          <w:rFonts w:ascii="Calibri" w:hAnsi="Calibri" w:cs="Calibri"/>
          <w:noProof/>
          <w:szCs w:val="24"/>
        </w:rPr>
        <w:t>, 143–159.</w:t>
      </w:r>
    </w:p>
    <w:p w14:paraId="0E208B31"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Yazdi Feyzabadi, V., Keshavarz Mohammadi, N., Omidvar, N., Karimi-Shahanjarini, A., Nedjat, S., &amp; Rashidian, A. (2017). Factors Associated With Unhealthy Snacks Consumption Among Adolescents in Iran’s Schools. </w:t>
      </w:r>
      <w:r w:rsidRPr="009A0EF9">
        <w:rPr>
          <w:rFonts w:ascii="Calibri" w:hAnsi="Calibri" w:cs="Calibri"/>
          <w:i/>
          <w:iCs/>
          <w:noProof/>
          <w:szCs w:val="24"/>
        </w:rPr>
        <w:t>International Journal of Health Policy and Management</w:t>
      </w:r>
      <w:r w:rsidRPr="009A0EF9">
        <w:rPr>
          <w:rFonts w:ascii="Calibri" w:hAnsi="Calibri" w:cs="Calibri"/>
          <w:noProof/>
          <w:szCs w:val="24"/>
        </w:rPr>
        <w:t xml:space="preserve">, </w:t>
      </w:r>
      <w:r w:rsidRPr="009A0EF9">
        <w:rPr>
          <w:rFonts w:ascii="Calibri" w:hAnsi="Calibri" w:cs="Calibri"/>
          <w:i/>
          <w:iCs/>
          <w:noProof/>
          <w:szCs w:val="24"/>
        </w:rPr>
        <w:t>6</w:t>
      </w:r>
      <w:r w:rsidRPr="009A0EF9">
        <w:rPr>
          <w:rFonts w:ascii="Calibri" w:hAnsi="Calibri" w:cs="Calibri"/>
          <w:noProof/>
          <w:szCs w:val="24"/>
        </w:rPr>
        <w:t>(9), 519–528.</w:t>
      </w:r>
    </w:p>
    <w:p w14:paraId="1188949F"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Zahra, J., Ford, T., &amp; Jodrell, D. (2014). Cross-sectional survey of daily junk food consumption, irregular eating, mental and physical health and parenting style of British secondary school children. </w:t>
      </w:r>
      <w:r w:rsidRPr="009A0EF9">
        <w:rPr>
          <w:rFonts w:ascii="Calibri" w:hAnsi="Calibri" w:cs="Calibri"/>
          <w:i/>
          <w:iCs/>
          <w:noProof/>
          <w:szCs w:val="24"/>
        </w:rPr>
        <w:t>Child: Care, Health &amp; Development</w:t>
      </w:r>
      <w:r w:rsidRPr="009A0EF9">
        <w:rPr>
          <w:rFonts w:ascii="Calibri" w:hAnsi="Calibri" w:cs="Calibri"/>
          <w:noProof/>
          <w:szCs w:val="24"/>
        </w:rPr>
        <w:t xml:space="preserve">, </w:t>
      </w:r>
      <w:r w:rsidRPr="009A0EF9">
        <w:rPr>
          <w:rFonts w:ascii="Calibri" w:hAnsi="Calibri" w:cs="Calibri"/>
          <w:i/>
          <w:iCs/>
          <w:noProof/>
          <w:szCs w:val="24"/>
        </w:rPr>
        <w:t>40</w:t>
      </w:r>
      <w:r w:rsidRPr="009A0EF9">
        <w:rPr>
          <w:rFonts w:ascii="Calibri" w:hAnsi="Calibri" w:cs="Calibri"/>
          <w:noProof/>
          <w:szCs w:val="24"/>
        </w:rPr>
        <w:t>(4), 481–491.</w:t>
      </w:r>
    </w:p>
    <w:p w14:paraId="3FBA459E"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Zaleski, A. C., &amp; Aloise‐Young, P. A. (2013). Using peer injunctive norms to predict early adolescent cigarette smoking intentions. </w:t>
      </w:r>
      <w:r w:rsidRPr="009A0EF9">
        <w:rPr>
          <w:rFonts w:ascii="Calibri" w:hAnsi="Calibri" w:cs="Calibri"/>
          <w:i/>
          <w:iCs/>
          <w:noProof/>
          <w:szCs w:val="24"/>
        </w:rPr>
        <w:t>Journal of Applied Social Psychology</w:t>
      </w:r>
      <w:r w:rsidRPr="009A0EF9">
        <w:rPr>
          <w:rFonts w:ascii="Calibri" w:hAnsi="Calibri" w:cs="Calibri"/>
          <w:noProof/>
          <w:szCs w:val="24"/>
        </w:rPr>
        <w:t xml:space="preserve">, </w:t>
      </w:r>
      <w:r w:rsidRPr="009A0EF9">
        <w:rPr>
          <w:rFonts w:ascii="Calibri" w:hAnsi="Calibri" w:cs="Calibri"/>
          <w:i/>
          <w:iCs/>
          <w:noProof/>
          <w:szCs w:val="24"/>
        </w:rPr>
        <w:t>43</w:t>
      </w:r>
      <w:r w:rsidRPr="009A0EF9">
        <w:rPr>
          <w:rFonts w:ascii="Calibri" w:hAnsi="Calibri" w:cs="Calibri"/>
          <w:noProof/>
          <w:szCs w:val="24"/>
        </w:rPr>
        <w:t>, 124–131.</w:t>
      </w:r>
    </w:p>
    <w:p w14:paraId="680D9E88"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szCs w:val="24"/>
        </w:rPr>
      </w:pPr>
      <w:r w:rsidRPr="009A0EF9">
        <w:rPr>
          <w:rFonts w:ascii="Calibri" w:hAnsi="Calibri" w:cs="Calibri"/>
          <w:noProof/>
          <w:szCs w:val="24"/>
        </w:rPr>
        <w:t xml:space="preserve">Zhu, K., McKnight, B., Stergachis, A., Daling, J. R., &amp; Levine, R. S. (1999). Comparison of self-report data and medical records data: results from a case-control study on prostate cancer. </w:t>
      </w:r>
      <w:r w:rsidRPr="009A0EF9">
        <w:rPr>
          <w:rFonts w:ascii="Calibri" w:hAnsi="Calibri" w:cs="Calibri"/>
          <w:i/>
          <w:iCs/>
          <w:noProof/>
          <w:szCs w:val="24"/>
        </w:rPr>
        <w:t>International Journal of Epidemiology</w:t>
      </w:r>
      <w:r w:rsidRPr="009A0EF9">
        <w:rPr>
          <w:rFonts w:ascii="Calibri" w:hAnsi="Calibri" w:cs="Calibri"/>
          <w:noProof/>
          <w:szCs w:val="24"/>
        </w:rPr>
        <w:t xml:space="preserve">, </w:t>
      </w:r>
      <w:r w:rsidRPr="009A0EF9">
        <w:rPr>
          <w:rFonts w:ascii="Calibri" w:hAnsi="Calibri" w:cs="Calibri"/>
          <w:i/>
          <w:iCs/>
          <w:noProof/>
          <w:szCs w:val="24"/>
        </w:rPr>
        <w:t>28</w:t>
      </w:r>
      <w:r w:rsidRPr="009A0EF9">
        <w:rPr>
          <w:rFonts w:ascii="Calibri" w:hAnsi="Calibri" w:cs="Calibri"/>
          <w:noProof/>
          <w:szCs w:val="24"/>
        </w:rPr>
        <w:t>(3), 409–417.</w:t>
      </w:r>
    </w:p>
    <w:p w14:paraId="6D87A2F7" w14:textId="77777777" w:rsidR="009A0EF9" w:rsidRPr="009A0EF9" w:rsidRDefault="009A0EF9" w:rsidP="009A0EF9">
      <w:pPr>
        <w:widowControl w:val="0"/>
        <w:autoSpaceDE w:val="0"/>
        <w:autoSpaceDN w:val="0"/>
        <w:adjustRightInd w:val="0"/>
        <w:spacing w:line="240" w:lineRule="auto"/>
        <w:ind w:left="480" w:hanging="480"/>
        <w:rPr>
          <w:rFonts w:ascii="Calibri" w:hAnsi="Calibri" w:cs="Calibri"/>
          <w:noProof/>
        </w:rPr>
      </w:pPr>
      <w:r w:rsidRPr="009A0EF9">
        <w:rPr>
          <w:rFonts w:ascii="Calibri" w:hAnsi="Calibri" w:cs="Calibri"/>
          <w:noProof/>
          <w:szCs w:val="24"/>
        </w:rPr>
        <w:t xml:space="preserve">Zohrabi, M. (2013). Mixed Method Research: Instruments, Validity, Reliability and Reporting Findings. </w:t>
      </w:r>
      <w:r w:rsidRPr="009A0EF9">
        <w:rPr>
          <w:rFonts w:ascii="Calibri" w:hAnsi="Calibri" w:cs="Calibri"/>
          <w:i/>
          <w:iCs/>
          <w:noProof/>
          <w:szCs w:val="24"/>
        </w:rPr>
        <w:t>Theory &amp; Practice in Language Studies</w:t>
      </w:r>
      <w:r w:rsidRPr="009A0EF9">
        <w:rPr>
          <w:rFonts w:ascii="Calibri" w:hAnsi="Calibri" w:cs="Calibri"/>
          <w:noProof/>
          <w:szCs w:val="24"/>
        </w:rPr>
        <w:t xml:space="preserve">, </w:t>
      </w:r>
      <w:r w:rsidRPr="009A0EF9">
        <w:rPr>
          <w:rFonts w:ascii="Calibri" w:hAnsi="Calibri" w:cs="Calibri"/>
          <w:i/>
          <w:iCs/>
          <w:noProof/>
          <w:szCs w:val="24"/>
        </w:rPr>
        <w:t>3</w:t>
      </w:r>
      <w:r w:rsidRPr="009A0EF9">
        <w:rPr>
          <w:rFonts w:ascii="Calibri" w:hAnsi="Calibri" w:cs="Calibri"/>
          <w:noProof/>
          <w:szCs w:val="24"/>
        </w:rPr>
        <w:t>(2), 254–262.</w:t>
      </w:r>
    </w:p>
    <w:p w14:paraId="44E0EFD3" w14:textId="3B712F51" w:rsidR="00572E3D" w:rsidRDefault="00DF6CCC" w:rsidP="00795693">
      <w:pPr>
        <w:widowControl w:val="0"/>
        <w:autoSpaceDE w:val="0"/>
        <w:autoSpaceDN w:val="0"/>
        <w:adjustRightInd w:val="0"/>
        <w:spacing w:line="240" w:lineRule="auto"/>
        <w:rPr>
          <w:b/>
          <w:bCs/>
        </w:rPr>
      </w:pPr>
      <w:r w:rsidRPr="009167AC">
        <w:rPr>
          <w:b/>
          <w:bCs/>
        </w:rPr>
        <w:fldChar w:fldCharType="end"/>
      </w:r>
    </w:p>
    <w:p w14:paraId="765638DF" w14:textId="7E467F82" w:rsidR="00572E3D" w:rsidRDefault="00572E3D" w:rsidP="00795693">
      <w:pPr>
        <w:widowControl w:val="0"/>
        <w:autoSpaceDE w:val="0"/>
        <w:autoSpaceDN w:val="0"/>
        <w:adjustRightInd w:val="0"/>
        <w:spacing w:line="240" w:lineRule="auto"/>
        <w:rPr>
          <w:b/>
          <w:bCs/>
        </w:rPr>
      </w:pPr>
    </w:p>
    <w:p w14:paraId="719694AF" w14:textId="38D30485" w:rsidR="00572E3D" w:rsidRDefault="00572E3D" w:rsidP="00795693">
      <w:pPr>
        <w:widowControl w:val="0"/>
        <w:autoSpaceDE w:val="0"/>
        <w:autoSpaceDN w:val="0"/>
        <w:adjustRightInd w:val="0"/>
        <w:spacing w:line="240" w:lineRule="auto"/>
        <w:rPr>
          <w:b/>
          <w:bCs/>
        </w:rPr>
      </w:pPr>
    </w:p>
    <w:p w14:paraId="12614167" w14:textId="3816D327" w:rsidR="00572E3D" w:rsidRDefault="00572E3D" w:rsidP="00795693">
      <w:pPr>
        <w:widowControl w:val="0"/>
        <w:autoSpaceDE w:val="0"/>
        <w:autoSpaceDN w:val="0"/>
        <w:adjustRightInd w:val="0"/>
        <w:spacing w:line="240" w:lineRule="auto"/>
        <w:rPr>
          <w:b/>
          <w:bCs/>
        </w:rPr>
      </w:pPr>
    </w:p>
    <w:p w14:paraId="5EAF44A0" w14:textId="04E89694" w:rsidR="00572E3D" w:rsidRDefault="00572E3D" w:rsidP="00795693">
      <w:pPr>
        <w:widowControl w:val="0"/>
        <w:autoSpaceDE w:val="0"/>
        <w:autoSpaceDN w:val="0"/>
        <w:adjustRightInd w:val="0"/>
        <w:spacing w:line="240" w:lineRule="auto"/>
        <w:rPr>
          <w:b/>
          <w:bCs/>
        </w:rPr>
      </w:pPr>
    </w:p>
    <w:p w14:paraId="69E5672E" w14:textId="20B4517D" w:rsidR="00572E3D" w:rsidRDefault="00572E3D" w:rsidP="00795693">
      <w:pPr>
        <w:widowControl w:val="0"/>
        <w:autoSpaceDE w:val="0"/>
        <w:autoSpaceDN w:val="0"/>
        <w:adjustRightInd w:val="0"/>
        <w:spacing w:line="240" w:lineRule="auto"/>
        <w:rPr>
          <w:b/>
          <w:bCs/>
        </w:rPr>
      </w:pPr>
    </w:p>
    <w:p w14:paraId="5E5CE7E4" w14:textId="77777777" w:rsidR="002E31D9" w:rsidRDefault="002E31D9" w:rsidP="00572E3D">
      <w:pPr>
        <w:rPr>
          <w:b/>
          <w:bCs/>
        </w:rPr>
      </w:pPr>
    </w:p>
    <w:p w14:paraId="146D4925" w14:textId="77777777" w:rsidR="00C20451" w:rsidRDefault="00C20451" w:rsidP="00572E3D"/>
    <w:p w14:paraId="4F42310D" w14:textId="77777777" w:rsidR="00A025DF" w:rsidRDefault="00A025DF" w:rsidP="00572E3D"/>
    <w:p w14:paraId="706B74AD" w14:textId="77777777" w:rsidR="002926F7" w:rsidRDefault="002926F7" w:rsidP="00572E3D"/>
    <w:p w14:paraId="6260688B" w14:textId="77777777" w:rsidR="002926F7" w:rsidRDefault="002926F7" w:rsidP="00572E3D"/>
    <w:p w14:paraId="12263681" w14:textId="77777777" w:rsidR="00D40AE5" w:rsidRDefault="00D40AE5">
      <w:pPr>
        <w:sectPr w:rsidR="00D40AE5" w:rsidSect="002926F7">
          <w:pgSz w:w="11906" w:h="16838"/>
          <w:pgMar w:top="709" w:right="1440" w:bottom="1440" w:left="1440" w:header="708" w:footer="708" w:gutter="0"/>
          <w:cols w:space="708"/>
          <w:docGrid w:linePitch="360"/>
        </w:sectPr>
      </w:pPr>
    </w:p>
    <w:p w14:paraId="2DDC1604" w14:textId="198EBB56" w:rsidR="002E31D9" w:rsidRDefault="00572E3D" w:rsidP="00572E3D">
      <w:pPr>
        <w:rPr>
          <w:b/>
          <w:bCs/>
        </w:rPr>
      </w:pPr>
      <w:r w:rsidRPr="00D1368D">
        <w:lastRenderedPageBreak/>
        <w:fldChar w:fldCharType="begin"/>
      </w:r>
      <w:r w:rsidRPr="00D1368D">
        <w:instrText xml:space="preserve"> TC  " </w:instrText>
      </w:r>
      <w:bookmarkStart w:id="319" w:name="_Toc97310541"/>
      <w:r w:rsidRPr="00F925BC">
        <w:rPr>
          <w:b/>
          <w:bCs/>
        </w:rPr>
        <w:instrText>Appendices</w:instrText>
      </w:r>
      <w:bookmarkEnd w:id="319"/>
      <w:r w:rsidRPr="00F925BC">
        <w:rPr>
          <w:b/>
          <w:bCs/>
        </w:rPr>
        <w:instrText xml:space="preserve"> </w:instrText>
      </w:r>
      <w:r w:rsidRPr="00D1368D">
        <w:instrText xml:space="preserve">" \f </w:instrText>
      </w:r>
      <w:r w:rsidR="007E3DB1" w:rsidRPr="00D1368D">
        <w:instrText>x</w:instrText>
      </w:r>
      <w:r w:rsidRPr="00D1368D">
        <w:instrText xml:space="preserve">\l 1 </w:instrText>
      </w:r>
      <w:r w:rsidRPr="00D1368D">
        <w:fldChar w:fldCharType="end"/>
      </w:r>
      <w:r w:rsidRPr="00687F67">
        <w:rPr>
          <w:b/>
          <w:bCs/>
        </w:rPr>
        <w:t>Appendices</w:t>
      </w:r>
      <w:bookmarkStart w:id="320" w:name="_Toc84845173"/>
      <w:bookmarkStart w:id="321" w:name="_Toc84854184"/>
    </w:p>
    <w:p w14:paraId="14928DBC" w14:textId="1963030C" w:rsidR="002926F7" w:rsidRPr="00917F61" w:rsidRDefault="002926F7" w:rsidP="002926F7">
      <w:pPr>
        <w:pStyle w:val="Caption"/>
        <w:keepNext/>
        <w:rPr>
          <w:rFonts w:cstheme="minorHAnsi"/>
          <w:i w:val="0"/>
          <w:iCs w:val="0"/>
          <w:color w:val="auto"/>
          <w:sz w:val="22"/>
          <w:szCs w:val="22"/>
        </w:rPr>
      </w:pPr>
      <w:r w:rsidRPr="00917F61">
        <w:rPr>
          <w:b/>
          <w:bCs/>
          <w:i w:val="0"/>
          <w:iCs w:val="0"/>
          <w:color w:val="auto"/>
          <w:sz w:val="22"/>
          <w:szCs w:val="22"/>
        </w:rPr>
        <w:fldChar w:fldCharType="begin"/>
      </w:r>
      <w:r w:rsidRPr="00917F61">
        <w:rPr>
          <w:b/>
          <w:bCs/>
          <w:color w:val="auto"/>
          <w:sz w:val="22"/>
          <w:szCs w:val="22"/>
        </w:rPr>
        <w:instrText xml:space="preserve"> TC  "</w:instrText>
      </w:r>
      <w:r w:rsidRPr="00917F61">
        <w:rPr>
          <w:color w:val="auto"/>
          <w:sz w:val="22"/>
          <w:szCs w:val="22"/>
        </w:rPr>
        <w:instrText xml:space="preserve"> </w:instrText>
      </w:r>
      <w:bookmarkStart w:id="322" w:name="_Toc97557153"/>
      <w:r>
        <w:rPr>
          <w:i w:val="0"/>
          <w:iCs w:val="0"/>
          <w:color w:val="auto"/>
          <w:sz w:val="22"/>
          <w:szCs w:val="22"/>
        </w:rPr>
        <w:instrText>Appendix</w:instrText>
      </w:r>
      <w:r w:rsidRPr="00917F61">
        <w:rPr>
          <w:i w:val="0"/>
          <w:iCs w:val="0"/>
          <w:color w:val="auto"/>
          <w:sz w:val="22"/>
          <w:szCs w:val="22"/>
        </w:rPr>
        <w:instrText xml:space="preserve"> </w:instrText>
      </w:r>
      <w:r w:rsidR="00FE5D2B">
        <w:rPr>
          <w:i w:val="0"/>
          <w:iCs w:val="0"/>
          <w:color w:val="auto"/>
          <w:sz w:val="22"/>
          <w:szCs w:val="22"/>
        </w:rPr>
        <w:instrText>1</w:instrText>
      </w:r>
      <w:r w:rsidR="004C4E7A">
        <w:rPr>
          <w:i w:val="0"/>
          <w:iCs w:val="0"/>
          <w:color w:val="auto"/>
          <w:sz w:val="22"/>
          <w:szCs w:val="22"/>
        </w:rPr>
        <w:instrText xml:space="preserve">: Table </w:instrText>
      </w:r>
      <w:r w:rsidR="00C24220">
        <w:rPr>
          <w:i w:val="0"/>
          <w:iCs w:val="0"/>
          <w:color w:val="auto"/>
          <w:sz w:val="22"/>
          <w:szCs w:val="22"/>
        </w:rPr>
        <w:instrText>2</w:instrText>
      </w:r>
      <w:r w:rsidR="0063434F">
        <w:rPr>
          <w:i w:val="0"/>
          <w:iCs w:val="0"/>
          <w:color w:val="auto"/>
          <w:sz w:val="22"/>
          <w:szCs w:val="22"/>
        </w:rPr>
        <w:instrText>3</w:instrText>
      </w:r>
      <w:r w:rsidR="004C4E7A">
        <w:rPr>
          <w:i w:val="0"/>
          <w:iCs w:val="0"/>
          <w:color w:val="auto"/>
          <w:sz w:val="22"/>
          <w:szCs w:val="22"/>
        </w:rPr>
        <w:instrText xml:space="preserve">. </w:instrText>
      </w:r>
      <w:r>
        <w:rPr>
          <w:i w:val="0"/>
          <w:iCs w:val="0"/>
          <w:color w:val="auto"/>
          <w:sz w:val="22"/>
          <w:szCs w:val="22"/>
        </w:rPr>
        <w:instrText xml:space="preserve">Overview table - </w:instrText>
      </w:r>
      <w:r w:rsidRPr="00917F61">
        <w:rPr>
          <w:rFonts w:cstheme="minorHAnsi"/>
          <w:i w:val="0"/>
          <w:iCs w:val="0"/>
          <w:color w:val="auto"/>
          <w:sz w:val="22"/>
          <w:szCs w:val="22"/>
        </w:rPr>
        <w:instrText>Description of studies from the top-up search</w:instrText>
      </w:r>
      <w:bookmarkEnd w:id="322"/>
      <w:r w:rsidRPr="00917F61">
        <w:rPr>
          <w:color w:val="auto"/>
          <w:sz w:val="22"/>
          <w:szCs w:val="22"/>
        </w:rPr>
        <w:instrText>”</w:instrText>
      </w:r>
      <w:r w:rsidRPr="00917F61">
        <w:rPr>
          <w:b/>
          <w:bCs/>
          <w:color w:val="auto"/>
          <w:sz w:val="22"/>
          <w:szCs w:val="22"/>
        </w:rPr>
        <w:instrText xml:space="preserve">\f </w:instrText>
      </w:r>
      <w:r>
        <w:rPr>
          <w:b/>
          <w:bCs/>
          <w:color w:val="auto"/>
          <w:sz w:val="22"/>
          <w:szCs w:val="22"/>
        </w:rPr>
        <w:instrText>y</w:instrText>
      </w:r>
      <w:r w:rsidRPr="00917F61">
        <w:rPr>
          <w:b/>
          <w:bCs/>
          <w:color w:val="auto"/>
          <w:sz w:val="22"/>
          <w:szCs w:val="22"/>
        </w:rPr>
        <w:instrText xml:space="preserve">\l 2 </w:instrText>
      </w:r>
      <w:r w:rsidRPr="00917F61">
        <w:rPr>
          <w:b/>
          <w:bCs/>
          <w:i w:val="0"/>
          <w:iCs w:val="0"/>
          <w:color w:val="auto"/>
          <w:sz w:val="22"/>
          <w:szCs w:val="22"/>
        </w:rPr>
        <w:fldChar w:fldCharType="end"/>
      </w:r>
      <w:r w:rsidRPr="00F9655A">
        <w:rPr>
          <w:b/>
          <w:bCs/>
          <w:i w:val="0"/>
          <w:iCs w:val="0"/>
          <w:color w:val="auto"/>
          <w:sz w:val="22"/>
          <w:szCs w:val="22"/>
        </w:rPr>
        <w:fldChar w:fldCharType="begin"/>
      </w:r>
      <w:r w:rsidRPr="00F9655A">
        <w:rPr>
          <w:b/>
          <w:bCs/>
          <w:i w:val="0"/>
          <w:iCs w:val="0"/>
          <w:color w:val="auto"/>
          <w:sz w:val="22"/>
          <w:szCs w:val="22"/>
        </w:rPr>
        <w:instrText xml:space="preserve"> TC  "</w:instrText>
      </w:r>
      <w:r w:rsidRPr="00F9655A">
        <w:rPr>
          <w:rFonts w:cstheme="minorHAnsi"/>
          <w:i w:val="0"/>
          <w:iCs w:val="0"/>
          <w:color w:val="auto"/>
          <w:sz w:val="22"/>
          <w:szCs w:val="22"/>
        </w:rPr>
        <w:instrText xml:space="preserve"> </w:instrText>
      </w:r>
      <w:bookmarkStart w:id="323" w:name="_Toc97557146"/>
      <w:r w:rsidRPr="00F9655A">
        <w:rPr>
          <w:i w:val="0"/>
          <w:iCs w:val="0"/>
          <w:color w:val="auto"/>
          <w:sz w:val="22"/>
          <w:szCs w:val="22"/>
        </w:rPr>
        <w:instrText xml:space="preserve">Table </w:instrText>
      </w:r>
      <w:r w:rsidR="00C24220">
        <w:rPr>
          <w:i w:val="0"/>
          <w:iCs w:val="0"/>
          <w:color w:val="auto"/>
          <w:sz w:val="22"/>
          <w:szCs w:val="22"/>
        </w:rPr>
        <w:instrText>2</w:instrText>
      </w:r>
      <w:r w:rsidR="00DF05D9">
        <w:rPr>
          <w:i w:val="0"/>
          <w:iCs w:val="0"/>
          <w:color w:val="auto"/>
          <w:sz w:val="22"/>
          <w:szCs w:val="22"/>
        </w:rPr>
        <w:instrText>3</w:instrText>
      </w:r>
      <w:r w:rsidRPr="00F9655A">
        <w:rPr>
          <w:i w:val="0"/>
          <w:iCs w:val="0"/>
          <w:color w:val="auto"/>
          <w:sz w:val="22"/>
          <w:szCs w:val="22"/>
        </w:rPr>
        <w:instrText xml:space="preserve">. </w:instrText>
      </w:r>
      <w:r>
        <w:rPr>
          <w:rFonts w:cstheme="minorHAnsi"/>
          <w:i w:val="0"/>
          <w:iCs w:val="0"/>
          <w:color w:val="auto"/>
          <w:sz w:val="22"/>
          <w:szCs w:val="22"/>
        </w:rPr>
        <w:instrText>Overview table -</w:instrText>
      </w:r>
      <w:r w:rsidRPr="00917F61">
        <w:rPr>
          <w:rFonts w:cstheme="minorHAnsi"/>
          <w:i w:val="0"/>
          <w:iCs w:val="0"/>
          <w:color w:val="auto"/>
          <w:sz w:val="22"/>
          <w:szCs w:val="22"/>
        </w:rPr>
        <w:instrText xml:space="preserve"> Description of studies from the top-up search</w:instrText>
      </w:r>
      <w:bookmarkEnd w:id="323"/>
      <w:r w:rsidRPr="00F9655A">
        <w:rPr>
          <w:i w:val="0"/>
          <w:iCs w:val="0"/>
          <w:color w:val="auto"/>
          <w:sz w:val="22"/>
          <w:szCs w:val="22"/>
        </w:rPr>
        <w:instrText xml:space="preserve"> </w:instrText>
      </w:r>
      <w:r w:rsidRPr="00F9655A">
        <w:rPr>
          <w:b/>
          <w:bCs/>
          <w:i w:val="0"/>
          <w:iCs w:val="0"/>
          <w:color w:val="auto"/>
          <w:sz w:val="22"/>
          <w:szCs w:val="22"/>
        </w:rPr>
        <w:instrText xml:space="preserve">" \f z\l 2 </w:instrText>
      </w:r>
      <w:r w:rsidRPr="00F9655A">
        <w:rPr>
          <w:b/>
          <w:bCs/>
          <w:i w:val="0"/>
          <w:iCs w:val="0"/>
          <w:color w:val="auto"/>
          <w:sz w:val="22"/>
          <w:szCs w:val="22"/>
        </w:rPr>
        <w:fldChar w:fldCharType="end"/>
      </w:r>
      <w:r>
        <w:rPr>
          <w:rFonts w:cstheme="minorHAnsi"/>
          <w:i w:val="0"/>
          <w:iCs w:val="0"/>
          <w:color w:val="auto"/>
          <w:sz w:val="22"/>
          <w:szCs w:val="22"/>
        </w:rPr>
        <w:t xml:space="preserve">Appendix </w:t>
      </w:r>
      <w:r w:rsidR="00FE5D2B">
        <w:rPr>
          <w:rFonts w:cstheme="minorHAnsi"/>
          <w:i w:val="0"/>
          <w:iCs w:val="0"/>
          <w:color w:val="auto"/>
          <w:sz w:val="22"/>
          <w:szCs w:val="22"/>
        </w:rPr>
        <w:t>1</w:t>
      </w:r>
      <w:r w:rsidR="004C4E7A">
        <w:rPr>
          <w:rFonts w:cstheme="minorHAnsi"/>
          <w:i w:val="0"/>
          <w:iCs w:val="0"/>
          <w:color w:val="auto"/>
          <w:sz w:val="22"/>
          <w:szCs w:val="22"/>
        </w:rPr>
        <w:t xml:space="preserve">: </w:t>
      </w:r>
      <w:r>
        <w:rPr>
          <w:rFonts w:cstheme="minorHAnsi"/>
          <w:i w:val="0"/>
          <w:iCs w:val="0"/>
          <w:color w:val="auto"/>
          <w:sz w:val="22"/>
          <w:szCs w:val="22"/>
        </w:rPr>
        <w:t xml:space="preserve">Table </w:t>
      </w:r>
      <w:r w:rsidR="00C24220">
        <w:rPr>
          <w:rFonts w:cstheme="minorHAnsi"/>
          <w:i w:val="0"/>
          <w:iCs w:val="0"/>
          <w:color w:val="auto"/>
          <w:sz w:val="22"/>
          <w:szCs w:val="22"/>
        </w:rPr>
        <w:t>2</w:t>
      </w:r>
      <w:r w:rsidR="0063434F">
        <w:rPr>
          <w:rFonts w:cstheme="minorHAnsi"/>
          <w:i w:val="0"/>
          <w:iCs w:val="0"/>
          <w:color w:val="auto"/>
          <w:sz w:val="22"/>
          <w:szCs w:val="22"/>
        </w:rPr>
        <w:t>3</w:t>
      </w:r>
      <w:r>
        <w:rPr>
          <w:rFonts w:cstheme="minorHAnsi"/>
          <w:i w:val="0"/>
          <w:iCs w:val="0"/>
          <w:color w:val="auto"/>
          <w:sz w:val="22"/>
          <w:szCs w:val="22"/>
        </w:rPr>
        <w:t>. Overview table -</w:t>
      </w:r>
      <w:r w:rsidRPr="00917F61">
        <w:rPr>
          <w:rFonts w:cstheme="minorHAnsi"/>
          <w:i w:val="0"/>
          <w:iCs w:val="0"/>
          <w:color w:val="auto"/>
          <w:sz w:val="22"/>
          <w:szCs w:val="22"/>
        </w:rPr>
        <w:t xml:space="preserve"> Description of studies from the top-up search</w:t>
      </w:r>
    </w:p>
    <w:tbl>
      <w:tblPr>
        <w:tblStyle w:val="TableGrid1"/>
        <w:tblW w:w="1587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89"/>
        <w:gridCol w:w="1489"/>
        <w:gridCol w:w="1417"/>
        <w:gridCol w:w="1755"/>
        <w:gridCol w:w="3075"/>
        <w:gridCol w:w="2258"/>
        <w:gridCol w:w="2268"/>
        <w:gridCol w:w="2126"/>
      </w:tblGrid>
      <w:tr w:rsidR="002926F7" w:rsidRPr="007F6549" w14:paraId="1AF846C9" w14:textId="77777777" w:rsidTr="00FD04E0">
        <w:trPr>
          <w:trHeight w:val="699"/>
        </w:trPr>
        <w:tc>
          <w:tcPr>
            <w:tcW w:w="1489" w:type="dxa"/>
            <w:tcBorders>
              <w:top w:val="single" w:sz="4" w:space="0" w:color="auto"/>
              <w:bottom w:val="single" w:sz="4" w:space="0" w:color="auto"/>
            </w:tcBorders>
          </w:tcPr>
          <w:p w14:paraId="55542B47" w14:textId="77777777" w:rsidR="002926F7" w:rsidRPr="007F6549" w:rsidRDefault="002926F7" w:rsidP="00FD04E0">
            <w:pPr>
              <w:spacing w:after="160"/>
              <w:rPr>
                <w:rFonts w:eastAsia="Calibri" w:cstheme="minorHAnsi"/>
                <w:i/>
              </w:rPr>
            </w:pPr>
            <w:r w:rsidRPr="007F6549">
              <w:rPr>
                <w:rFonts w:eastAsia="Calibri" w:cstheme="minorHAnsi"/>
                <w:i/>
              </w:rPr>
              <w:t xml:space="preserve">Author(s) and Year </w:t>
            </w:r>
          </w:p>
        </w:tc>
        <w:tc>
          <w:tcPr>
            <w:tcW w:w="1489" w:type="dxa"/>
            <w:tcBorders>
              <w:top w:val="single" w:sz="4" w:space="0" w:color="auto"/>
              <w:bottom w:val="single" w:sz="4" w:space="0" w:color="auto"/>
            </w:tcBorders>
          </w:tcPr>
          <w:p w14:paraId="190D35A9" w14:textId="77777777" w:rsidR="002926F7" w:rsidRPr="007F6549" w:rsidRDefault="002926F7" w:rsidP="00FD04E0">
            <w:pPr>
              <w:spacing w:after="160"/>
              <w:rPr>
                <w:rFonts w:eastAsia="Calibri" w:cstheme="minorHAnsi"/>
                <w:i/>
              </w:rPr>
            </w:pPr>
            <w:r w:rsidRPr="007F6549">
              <w:rPr>
                <w:rFonts w:eastAsia="Calibri" w:cstheme="minorHAnsi"/>
                <w:i/>
              </w:rPr>
              <w:t xml:space="preserve">Target dietary behaviour </w:t>
            </w:r>
          </w:p>
        </w:tc>
        <w:tc>
          <w:tcPr>
            <w:tcW w:w="1417" w:type="dxa"/>
            <w:tcBorders>
              <w:top w:val="single" w:sz="4" w:space="0" w:color="auto"/>
              <w:bottom w:val="single" w:sz="4" w:space="0" w:color="auto"/>
            </w:tcBorders>
          </w:tcPr>
          <w:p w14:paraId="2AD05955" w14:textId="77777777" w:rsidR="002926F7" w:rsidRPr="007F6549" w:rsidRDefault="002926F7" w:rsidP="00FD04E0">
            <w:pPr>
              <w:spacing w:after="160"/>
              <w:rPr>
                <w:rFonts w:eastAsia="Calibri" w:cstheme="minorHAnsi"/>
                <w:i/>
              </w:rPr>
            </w:pPr>
            <w:r w:rsidRPr="007F6549">
              <w:rPr>
                <w:rFonts w:eastAsia="Calibri" w:cstheme="minorHAnsi"/>
                <w:i/>
              </w:rPr>
              <w:t>Context and Sample size (at baseline)</w:t>
            </w:r>
          </w:p>
        </w:tc>
        <w:tc>
          <w:tcPr>
            <w:tcW w:w="1755" w:type="dxa"/>
            <w:tcBorders>
              <w:top w:val="single" w:sz="4" w:space="0" w:color="auto"/>
              <w:bottom w:val="single" w:sz="4" w:space="0" w:color="auto"/>
            </w:tcBorders>
            <w:shd w:val="clear" w:color="auto" w:fill="auto"/>
          </w:tcPr>
          <w:p w14:paraId="15FFC98E" w14:textId="77777777" w:rsidR="002926F7" w:rsidRPr="007F6549" w:rsidRDefault="002926F7" w:rsidP="00FD04E0">
            <w:pPr>
              <w:spacing w:after="160"/>
              <w:rPr>
                <w:rFonts w:eastAsia="Calibri" w:cstheme="minorHAnsi"/>
                <w:i/>
              </w:rPr>
            </w:pPr>
            <w:r w:rsidRPr="007F6549">
              <w:rPr>
                <w:rFonts w:eastAsia="Calibri" w:cstheme="minorHAnsi"/>
                <w:i/>
              </w:rPr>
              <w:t xml:space="preserve">Design </w:t>
            </w:r>
          </w:p>
        </w:tc>
        <w:tc>
          <w:tcPr>
            <w:tcW w:w="3075" w:type="dxa"/>
            <w:tcBorders>
              <w:top w:val="single" w:sz="4" w:space="0" w:color="auto"/>
              <w:bottom w:val="single" w:sz="4" w:space="0" w:color="auto"/>
            </w:tcBorders>
          </w:tcPr>
          <w:p w14:paraId="10E3FE7E" w14:textId="77777777" w:rsidR="002926F7" w:rsidRPr="007F6549" w:rsidRDefault="002926F7" w:rsidP="00FD04E0">
            <w:pPr>
              <w:spacing w:after="160"/>
              <w:rPr>
                <w:rFonts w:eastAsia="Calibri" w:cstheme="minorHAnsi"/>
                <w:i/>
              </w:rPr>
            </w:pPr>
            <w:r w:rsidRPr="007F6549">
              <w:rPr>
                <w:rFonts w:eastAsia="Calibri" w:cstheme="minorHAnsi"/>
                <w:i/>
              </w:rPr>
              <w:t>Behaviour measure(s)</w:t>
            </w:r>
          </w:p>
          <w:p w14:paraId="15A6DA34" w14:textId="77777777" w:rsidR="002926F7" w:rsidRPr="007F6549" w:rsidRDefault="002926F7" w:rsidP="00FD04E0">
            <w:pPr>
              <w:spacing w:after="160"/>
              <w:rPr>
                <w:rFonts w:eastAsia="Calibri" w:cstheme="minorHAnsi"/>
                <w:i/>
              </w:rPr>
            </w:pPr>
          </w:p>
        </w:tc>
        <w:tc>
          <w:tcPr>
            <w:tcW w:w="2258" w:type="dxa"/>
            <w:tcBorders>
              <w:top w:val="single" w:sz="4" w:space="0" w:color="auto"/>
              <w:bottom w:val="single" w:sz="4" w:space="0" w:color="auto"/>
            </w:tcBorders>
            <w:shd w:val="clear" w:color="auto" w:fill="auto"/>
          </w:tcPr>
          <w:p w14:paraId="3D0DB9BC" w14:textId="77777777" w:rsidR="002926F7" w:rsidRPr="007F6549" w:rsidRDefault="002926F7" w:rsidP="00FD04E0">
            <w:pPr>
              <w:spacing w:after="160"/>
              <w:rPr>
                <w:rFonts w:eastAsia="Calibri" w:cstheme="minorHAnsi"/>
                <w:i/>
              </w:rPr>
            </w:pPr>
            <w:r w:rsidRPr="007F6549">
              <w:rPr>
                <w:rFonts w:eastAsia="Calibri" w:cstheme="minorHAnsi"/>
                <w:i/>
              </w:rPr>
              <w:t xml:space="preserve">Dietary behaviour results </w:t>
            </w:r>
          </w:p>
        </w:tc>
        <w:tc>
          <w:tcPr>
            <w:tcW w:w="2268" w:type="dxa"/>
            <w:tcBorders>
              <w:top w:val="single" w:sz="4" w:space="0" w:color="auto"/>
              <w:bottom w:val="single" w:sz="4" w:space="0" w:color="auto"/>
            </w:tcBorders>
          </w:tcPr>
          <w:p w14:paraId="529B27A7" w14:textId="77777777" w:rsidR="002926F7" w:rsidRPr="007F6549" w:rsidRDefault="002926F7" w:rsidP="00FD04E0">
            <w:pPr>
              <w:spacing w:after="160"/>
              <w:ind w:left="29" w:right="30"/>
              <w:rPr>
                <w:rFonts w:eastAsia="Calibri" w:cstheme="minorHAnsi"/>
                <w:i/>
              </w:rPr>
            </w:pPr>
            <w:r w:rsidRPr="007F6549">
              <w:rPr>
                <w:rFonts w:eastAsia="Calibri" w:cstheme="minorHAnsi"/>
                <w:i/>
              </w:rPr>
              <w:t>Description of intervention*</w:t>
            </w:r>
          </w:p>
        </w:tc>
        <w:tc>
          <w:tcPr>
            <w:tcW w:w="2126" w:type="dxa"/>
            <w:tcBorders>
              <w:top w:val="single" w:sz="4" w:space="0" w:color="auto"/>
              <w:bottom w:val="single" w:sz="4" w:space="0" w:color="auto"/>
            </w:tcBorders>
          </w:tcPr>
          <w:p w14:paraId="254D2103" w14:textId="77777777" w:rsidR="002926F7" w:rsidRPr="007F6549" w:rsidRDefault="002926F7" w:rsidP="00FD04E0">
            <w:pPr>
              <w:spacing w:after="160"/>
              <w:ind w:left="29" w:right="30"/>
              <w:rPr>
                <w:rFonts w:eastAsia="Calibri" w:cstheme="minorHAnsi"/>
                <w:i/>
              </w:rPr>
            </w:pPr>
            <w:r w:rsidRPr="007F6549">
              <w:rPr>
                <w:rFonts w:eastAsia="Calibri" w:cstheme="minorHAnsi"/>
                <w:i/>
              </w:rPr>
              <w:t xml:space="preserve">Intervention components </w:t>
            </w:r>
          </w:p>
        </w:tc>
      </w:tr>
      <w:tr w:rsidR="002926F7" w:rsidRPr="007F6549" w14:paraId="394B2011" w14:textId="77777777" w:rsidTr="00FD04E0">
        <w:trPr>
          <w:trHeight w:val="699"/>
        </w:trPr>
        <w:tc>
          <w:tcPr>
            <w:tcW w:w="1489" w:type="dxa"/>
            <w:tcBorders>
              <w:top w:val="single" w:sz="4" w:space="0" w:color="auto"/>
            </w:tcBorders>
          </w:tcPr>
          <w:p w14:paraId="41C04691" w14:textId="77777777" w:rsidR="002926F7" w:rsidRPr="007F6549" w:rsidRDefault="002926F7" w:rsidP="00FD04E0">
            <w:pPr>
              <w:spacing w:after="160" w:line="480" w:lineRule="auto"/>
              <w:rPr>
                <w:rFonts w:eastAsia="Calibri" w:cstheme="minorHAnsi"/>
                <w:i/>
              </w:rPr>
            </w:pPr>
            <w:r w:rsidRPr="007F6549">
              <w:rPr>
                <w:rFonts w:eastAsia="Calibri" w:cstheme="minorHAnsi"/>
                <w:i/>
              </w:rPr>
              <w:fldChar w:fldCharType="begin" w:fldLock="1"/>
            </w:r>
            <w:r>
              <w:rPr>
                <w:rFonts w:eastAsia="Calibri" w:cstheme="minorHAnsi"/>
                <w:i/>
              </w:rPr>
              <w:instrText>ADDIN CSL_CITATION {"citationItems":[{"id":"ITEM-1","itemData":{"ISSN":"0890-1171","abstract":"Purpose: To test the feasibility of Kids SIPsmartER, a school-based intervention to reduce consumption of sugar-sweetened beverages (SSBs). Design: Matched-contact randomized crossover study with mixed-methods analysis. Setting: One middle school in rural, Appalachian Virginia. Participants: Seventy-four sixth and seventh graders (5 classrooms) received Kids SIPsmartER in random order over 2 intervention periods. Feasibility outcomes were assessed among 2 teachers. Intervention: Kids SIPsmartER consisted of 6 lessons grounded in the Theory of Planned Behavior, media literacy, and public health literacy and aimed to improve individual SSB behaviors and understanding of media literacy and prevalent regional disparities. The matched-contact intervention promoted physical activity. Measures: Beverage Intake Questionnaire-15 (SSB consumption), validated theory questionnaires, feasibility questionnaires (student and teacher), student focus groups, teacher interviews, and process data (eg, attendance). Analysis: Repeated measures analysis of variances across 3 time points, descriptive statistics, and deductive analysis of qualitative data. Results: During the first intervention period, students receiving Kids SIPsmartER (n = 43) significantly reduced SSBs by 11 ounces/day (P = .01) and improved media (P &lt; .001) and public health literacy (P &lt; .01) understanding; however, only media literacy showed between-group differences (P &lt; .01). Students and teachers found Kids SIPsmartER acceptable, in-demand, practical, and implementable within existing resources. Conclusion: Kids SIPsmartER is feasible in an underresourced, rural school setting. Results will inform further development and large-scale testing of Kids SIPsmartER to reduce SSBs among rural adolescents. (PsycINFO Database Record (c) 2020 APA, all rights reserved)","author":[{"dropping-particle":"","family":"Lane","given":"Hannah","non-dropping-particle":"","parse-names":false,"suffix":""},{"dropping-particle":"","family":"Porter","given":"Kathleen J","non-dropping-particle":"","parse-names":false,"suffix":""},{"dropping-particle":"","family":"Hecht","given":"Erin","non-dropping-particle":"","parse-names":false,"suffix":""},{"dropping-particle":"","family":"Harris","given":"Priscilla","non-dropping-particle":"","parse-names":false,"suffix":""},{"dropping-particle":"","family":"Kraak","given":"Vivica","non-dropping-particle":"","parse-names":false,"suffix":""},{"dropping-particle":"","family":"Zoellner","given":"Jamie","non-dropping-particle":"","parse-names":false,"suffix":""}],"container-title":"American Journal of Health Promotion","id":"ITEM-1","issue":"6","issued":{"date-parts":[["2018","7"]]},"note":"Accession Number: 2018-34240-010. PMID: 28731385 Partial author list: First Author &amp;amp; Affiliation: Lane, Hannah; Growth and Nutrition Division, Department of Pediatrics, University of Maryland School of Medicine, Baltimore, MD, US. Other Publishers: American Journal of Health Promotion. Release Date: 20200309. Publication Type: Journal (0100), Peer Reviewed Journal (0110). Format Covered: Electronic. Document Type: Journal Article. Language: EnglishMajor Descriptor: Beverages (Nonalcoholic); Health Promotion; Middle School Students; School Based Intervention; Sugars. Minor Descriptor: Test Construction. Classification: Educational Psychology (3500); Promotion &amp;amp; Maintenance of Health &amp;amp; Wellness (3365). Population: Human (10); Male (30); Female (40). Location: Appalachia. Age Group: Childhood (birth-12 yrs) (100); School Age (6-12 yrs) (180). Tests &amp;amp; Measures: Beverage Intake Questionnaire-15; Psychosocial and Literacy Construct Measures; Public Health Literacy Measure. Methodology: Empirical Study; Quantitative Study. Page Count: 16. Issue Publication Date: Jul, 2018. Copyright Statement: The Author(s). 2017.","page":"1386-1401","publisher":"Sage Publications","publisher-place":"Lane, Hannah, Growth and Nutrition Division, Department of Pediatrics, 737 W Lombard Street, Room 169C, Baltimore, MD, US, 21201","title":"Kids SIPsmartER: A feasibility study to reduce sugar-sweetened beverage consumption among middle school youth in Central Appalachia","type":"article-journal","volume":"32"},"uris":["http://www.mendeley.com/documents/?uuid=482d1312-94a8-4f85-8daa-2d37f83feb29"]}],"mendeley":{"formattedCitation":"(Lane et al., 2018)","manualFormatting":"Lane et al. (2018)","plainTextFormattedCitation":"(Lane et al., 2018)","previouslyFormattedCitation":"(Lane et al., 2018)"},"properties":{"noteIndex":0},"schema":"https://github.com/citation-style-language/schema/raw/master/csl-citation.json"}</w:instrText>
            </w:r>
            <w:r w:rsidRPr="007F6549">
              <w:rPr>
                <w:rFonts w:eastAsia="Calibri" w:cstheme="minorHAnsi"/>
                <w:i/>
              </w:rPr>
              <w:fldChar w:fldCharType="separate"/>
            </w:r>
            <w:r w:rsidRPr="007F6549">
              <w:rPr>
                <w:rFonts w:eastAsia="Calibri" w:cstheme="minorHAnsi"/>
                <w:noProof/>
              </w:rPr>
              <w:t>Lane et al. (2018)</w:t>
            </w:r>
            <w:r w:rsidRPr="007F6549">
              <w:rPr>
                <w:rFonts w:eastAsia="Calibri" w:cstheme="minorHAnsi"/>
                <w:i/>
              </w:rPr>
              <w:fldChar w:fldCharType="end"/>
            </w:r>
          </w:p>
        </w:tc>
        <w:tc>
          <w:tcPr>
            <w:tcW w:w="1489" w:type="dxa"/>
            <w:tcBorders>
              <w:top w:val="single" w:sz="4" w:space="0" w:color="auto"/>
            </w:tcBorders>
          </w:tcPr>
          <w:p w14:paraId="085FEF56" w14:textId="77777777" w:rsidR="002926F7" w:rsidRPr="007F6549" w:rsidRDefault="002926F7" w:rsidP="00FD04E0">
            <w:pPr>
              <w:spacing w:after="160" w:line="480" w:lineRule="auto"/>
              <w:rPr>
                <w:rFonts w:eastAsia="Calibri" w:cstheme="minorHAnsi"/>
                <w:iCs/>
              </w:rPr>
            </w:pPr>
            <w:r w:rsidRPr="007F6549">
              <w:rPr>
                <w:rFonts w:eastAsia="Calibri" w:cstheme="minorHAnsi"/>
              </w:rPr>
              <w:t>To reduce the consumption of sugar-sweetened beverages (SSB)</w:t>
            </w:r>
          </w:p>
        </w:tc>
        <w:tc>
          <w:tcPr>
            <w:tcW w:w="1417" w:type="dxa"/>
            <w:tcBorders>
              <w:top w:val="single" w:sz="4" w:space="0" w:color="auto"/>
            </w:tcBorders>
          </w:tcPr>
          <w:p w14:paraId="636D74BB" w14:textId="77777777" w:rsidR="002926F7" w:rsidRPr="007F6549" w:rsidRDefault="002926F7" w:rsidP="00FD04E0">
            <w:pPr>
              <w:spacing w:after="160" w:line="480" w:lineRule="auto"/>
              <w:rPr>
                <w:rFonts w:eastAsia="Calibri" w:cstheme="minorHAnsi"/>
                <w:iCs/>
              </w:rPr>
            </w:pPr>
            <w:r w:rsidRPr="007F6549">
              <w:rPr>
                <w:rFonts w:eastAsia="Calibri" w:cstheme="minorHAnsi"/>
              </w:rPr>
              <w:t>1 school in the USA. (n)74</w:t>
            </w:r>
          </w:p>
        </w:tc>
        <w:tc>
          <w:tcPr>
            <w:tcW w:w="1755" w:type="dxa"/>
            <w:tcBorders>
              <w:top w:val="single" w:sz="4" w:space="0" w:color="auto"/>
            </w:tcBorders>
            <w:shd w:val="clear" w:color="auto" w:fill="auto"/>
          </w:tcPr>
          <w:p w14:paraId="79241680" w14:textId="77777777" w:rsidR="002926F7" w:rsidRPr="009C4156" w:rsidRDefault="002926F7" w:rsidP="00FD04E0">
            <w:pPr>
              <w:spacing w:after="160" w:line="480" w:lineRule="auto"/>
              <w:rPr>
                <w:rFonts w:eastAsia="Calibri" w:cstheme="minorHAnsi"/>
              </w:rPr>
            </w:pPr>
            <w:r w:rsidRPr="009C4156">
              <w:rPr>
                <w:rFonts w:eastAsia="Calibri" w:cstheme="minorHAnsi"/>
              </w:rPr>
              <w:t>Randomized crossover study. Intervention group compared to control (</w:t>
            </w:r>
            <w:r w:rsidRPr="009C4156">
              <w:rPr>
                <w:rFonts w:cstheme="minorHAnsi"/>
                <w:shd w:val="clear" w:color="auto" w:fill="FFFFFF"/>
              </w:rPr>
              <w:t>physical activity program).</w:t>
            </w:r>
          </w:p>
        </w:tc>
        <w:tc>
          <w:tcPr>
            <w:tcW w:w="3075" w:type="dxa"/>
            <w:tcBorders>
              <w:top w:val="single" w:sz="4" w:space="0" w:color="auto"/>
            </w:tcBorders>
          </w:tcPr>
          <w:p w14:paraId="78803444" w14:textId="77777777" w:rsidR="002926F7" w:rsidRPr="009C4156" w:rsidRDefault="002926F7" w:rsidP="00FD04E0">
            <w:pPr>
              <w:pStyle w:val="Heading4"/>
              <w:shd w:val="clear" w:color="auto" w:fill="FFFFFF"/>
              <w:spacing w:before="0" w:line="480" w:lineRule="auto"/>
              <w:outlineLvl w:val="3"/>
              <w:rPr>
                <w:rFonts w:asciiTheme="minorHAnsi" w:hAnsiTheme="minorHAnsi" w:cstheme="minorHAnsi"/>
                <w:b/>
                <w:bCs/>
                <w:i w:val="0"/>
                <w:iCs w:val="0"/>
                <w:color w:val="auto"/>
              </w:rPr>
            </w:pPr>
            <w:r w:rsidRPr="009C4156">
              <w:rPr>
                <w:rFonts w:asciiTheme="minorHAnsi" w:hAnsiTheme="minorHAnsi" w:cstheme="minorHAnsi"/>
                <w:i w:val="0"/>
                <w:iCs w:val="0"/>
                <w:color w:val="auto"/>
                <w:shd w:val="clear" w:color="auto" w:fill="FFFFFF"/>
              </w:rPr>
              <w:t xml:space="preserve">Students completed a questionnaire measuring beverage intake, physical activity, and </w:t>
            </w:r>
            <w:r w:rsidRPr="009C4156">
              <w:rPr>
                <w:rFonts w:asciiTheme="minorHAnsi" w:eastAsia="Calibri" w:hAnsiTheme="minorHAnsi" w:cstheme="minorHAnsi"/>
                <w:i w:val="0"/>
                <w:iCs w:val="0"/>
                <w:color w:val="auto"/>
              </w:rPr>
              <w:t>Theory of Planned Behaviour constructs (</w:t>
            </w:r>
            <w:r w:rsidRPr="009C4156">
              <w:rPr>
                <w:rFonts w:asciiTheme="minorHAnsi" w:hAnsiTheme="minorHAnsi" w:cstheme="minorHAnsi"/>
                <w:i w:val="0"/>
                <w:iCs w:val="0"/>
                <w:color w:val="auto"/>
              </w:rPr>
              <w:t>psychosocial and literacy)</w:t>
            </w:r>
            <w:r w:rsidRPr="009C4156">
              <w:rPr>
                <w:rFonts w:asciiTheme="minorHAnsi" w:hAnsiTheme="minorHAnsi" w:cstheme="minorHAnsi"/>
                <w:i w:val="0"/>
                <w:iCs w:val="0"/>
                <w:color w:val="auto"/>
                <w:shd w:val="clear" w:color="auto" w:fill="FFFFFF"/>
              </w:rPr>
              <w:t xml:space="preserve"> at baseline, post-intervention and at 3-month follow-up.</w:t>
            </w:r>
          </w:p>
        </w:tc>
        <w:tc>
          <w:tcPr>
            <w:tcW w:w="2258" w:type="dxa"/>
            <w:tcBorders>
              <w:top w:val="single" w:sz="4" w:space="0" w:color="auto"/>
            </w:tcBorders>
            <w:shd w:val="clear" w:color="auto" w:fill="auto"/>
          </w:tcPr>
          <w:p w14:paraId="69621A00" w14:textId="77777777" w:rsidR="002926F7" w:rsidRPr="007F6549" w:rsidRDefault="002926F7" w:rsidP="00FD04E0">
            <w:pPr>
              <w:spacing w:after="160" w:line="480" w:lineRule="auto"/>
              <w:rPr>
                <w:rFonts w:eastAsia="Calibri" w:cstheme="minorHAnsi"/>
              </w:rPr>
            </w:pPr>
            <w:r w:rsidRPr="007F6549">
              <w:rPr>
                <w:rFonts w:eastAsia="Calibri" w:cstheme="minorHAnsi"/>
              </w:rPr>
              <w:t xml:space="preserve">Compared to the control, the intervention class showed significant decrease in SSB </w:t>
            </w:r>
            <w:r w:rsidRPr="007F6549">
              <w:rPr>
                <w:rFonts w:cstheme="minorHAnsi"/>
                <w:color w:val="000000"/>
                <w:shd w:val="clear" w:color="auto" w:fill="FFFFFF"/>
              </w:rPr>
              <w:t>(</w:t>
            </w:r>
            <w:r w:rsidRPr="007F6549">
              <w:rPr>
                <w:rFonts w:cstheme="minorHAnsi"/>
                <w:i/>
                <w:iCs/>
                <w:color w:val="000000"/>
                <w:shd w:val="clear" w:color="auto" w:fill="FFFFFF"/>
              </w:rPr>
              <w:t>p</w:t>
            </w:r>
            <w:r w:rsidRPr="007F6549">
              <w:rPr>
                <w:rFonts w:cstheme="minorHAnsi"/>
                <w:color w:val="000000"/>
                <w:shd w:val="clear" w:color="auto" w:fill="FFFFFF"/>
              </w:rPr>
              <w:t> = .01) </w:t>
            </w:r>
          </w:p>
        </w:tc>
        <w:tc>
          <w:tcPr>
            <w:tcW w:w="2268" w:type="dxa"/>
            <w:tcBorders>
              <w:top w:val="single" w:sz="4" w:space="0" w:color="auto"/>
            </w:tcBorders>
          </w:tcPr>
          <w:p w14:paraId="738C513B" w14:textId="77777777" w:rsidR="002926F7" w:rsidRPr="007F6549" w:rsidRDefault="002926F7" w:rsidP="00FD04E0">
            <w:pPr>
              <w:pStyle w:val="ListParagraph"/>
              <w:numPr>
                <w:ilvl w:val="0"/>
                <w:numId w:val="69"/>
              </w:numPr>
              <w:spacing w:after="160" w:line="480" w:lineRule="auto"/>
              <w:ind w:right="30"/>
              <w:rPr>
                <w:rFonts w:eastAsia="Calibri" w:cstheme="minorHAnsi"/>
              </w:rPr>
            </w:pPr>
            <w:r w:rsidRPr="007F6549">
              <w:rPr>
                <w:rFonts w:eastAsia="Calibri" w:cstheme="minorHAnsi"/>
              </w:rPr>
              <w:t>Mean age intervention 11.7 years and mean age control 11.8 years</w:t>
            </w:r>
          </w:p>
          <w:p w14:paraId="69153F77" w14:textId="77777777" w:rsidR="002926F7" w:rsidRPr="007F6549" w:rsidRDefault="002926F7" w:rsidP="00FD04E0">
            <w:pPr>
              <w:pStyle w:val="ListParagraph"/>
              <w:numPr>
                <w:ilvl w:val="0"/>
                <w:numId w:val="69"/>
              </w:numPr>
              <w:spacing w:after="160" w:line="480" w:lineRule="auto"/>
              <w:ind w:right="30"/>
              <w:rPr>
                <w:rFonts w:eastAsia="Calibri" w:cstheme="minorHAnsi"/>
              </w:rPr>
            </w:pPr>
            <w:r w:rsidRPr="007F6549">
              <w:rPr>
                <w:rFonts w:eastAsia="Calibri" w:cstheme="minorHAnsi"/>
              </w:rPr>
              <w:t xml:space="preserve">6-week intervention </w:t>
            </w:r>
          </w:p>
          <w:p w14:paraId="6F309BF5" w14:textId="77777777" w:rsidR="002926F7" w:rsidRPr="007F6549" w:rsidRDefault="002926F7" w:rsidP="00FD04E0">
            <w:pPr>
              <w:pStyle w:val="ListParagraph"/>
              <w:numPr>
                <w:ilvl w:val="0"/>
                <w:numId w:val="69"/>
              </w:numPr>
              <w:spacing w:after="160" w:line="480" w:lineRule="auto"/>
              <w:ind w:right="30"/>
              <w:rPr>
                <w:rFonts w:eastAsia="Calibri" w:cstheme="minorHAnsi"/>
              </w:rPr>
            </w:pPr>
            <w:r w:rsidRPr="007F6549">
              <w:rPr>
                <w:rFonts w:eastAsia="Calibri" w:cstheme="minorHAnsi"/>
              </w:rPr>
              <w:t>Theory of Planned behaviour</w:t>
            </w:r>
          </w:p>
        </w:tc>
        <w:tc>
          <w:tcPr>
            <w:tcW w:w="2126" w:type="dxa"/>
            <w:tcBorders>
              <w:top w:val="single" w:sz="4" w:space="0" w:color="auto"/>
            </w:tcBorders>
          </w:tcPr>
          <w:p w14:paraId="36DBFD24"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 xml:space="preserve">Goal setting </w:t>
            </w:r>
          </w:p>
          <w:p w14:paraId="308B20BA"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 xml:space="preserve">Parent education </w:t>
            </w:r>
          </w:p>
          <w:p w14:paraId="64734075"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Pr>
                <w:rFonts w:eastAsia="Calibri" w:cstheme="minorHAnsi"/>
                <w:iCs/>
              </w:rPr>
              <w:t>Healthy eating l</w:t>
            </w:r>
            <w:r w:rsidRPr="007F6549">
              <w:rPr>
                <w:rFonts w:eastAsia="Calibri" w:cstheme="minorHAnsi"/>
                <w:iCs/>
              </w:rPr>
              <w:t xml:space="preserve">essons </w:t>
            </w:r>
          </w:p>
          <w:p w14:paraId="347CADE2"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 xml:space="preserve">Worksheets </w:t>
            </w:r>
          </w:p>
          <w:p w14:paraId="2E2787BA"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 xml:space="preserve">Homework </w:t>
            </w:r>
          </w:p>
          <w:p w14:paraId="3D8EAF21"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Games</w:t>
            </w:r>
          </w:p>
          <w:p w14:paraId="25E1668C"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Pr>
                <w:rFonts w:eastAsia="Calibri" w:cstheme="minorHAnsi"/>
                <w:iCs/>
              </w:rPr>
              <w:t>D</w:t>
            </w:r>
            <w:r w:rsidRPr="007F6549">
              <w:rPr>
                <w:rFonts w:eastAsia="Calibri" w:cstheme="minorHAnsi"/>
                <w:iCs/>
              </w:rPr>
              <w:t>rink diaries</w:t>
            </w:r>
            <w:r>
              <w:rPr>
                <w:rFonts w:eastAsia="Calibri" w:cstheme="minorHAnsi"/>
                <w:iCs/>
              </w:rPr>
              <w:t xml:space="preserve"> (SSB)</w:t>
            </w:r>
          </w:p>
          <w:p w14:paraId="5327CF5E" w14:textId="77777777" w:rsidR="002926F7" w:rsidRPr="007F6549" w:rsidRDefault="002926F7" w:rsidP="00FD04E0">
            <w:pPr>
              <w:pStyle w:val="ListParagraph"/>
              <w:numPr>
                <w:ilvl w:val="0"/>
                <w:numId w:val="69"/>
              </w:numPr>
              <w:spacing w:after="160" w:line="480" w:lineRule="auto"/>
              <w:ind w:right="30"/>
              <w:rPr>
                <w:rFonts w:eastAsia="Calibri" w:cstheme="minorHAnsi"/>
                <w:i/>
              </w:rPr>
            </w:pPr>
            <w:r w:rsidRPr="007F6549">
              <w:rPr>
                <w:rFonts w:eastAsia="Calibri" w:cstheme="minorHAnsi"/>
                <w:iCs/>
              </w:rPr>
              <w:t>Role play</w:t>
            </w:r>
          </w:p>
        </w:tc>
      </w:tr>
      <w:tr w:rsidR="002926F7" w:rsidRPr="007F6549" w14:paraId="75A21066" w14:textId="77777777" w:rsidTr="00FD04E0">
        <w:trPr>
          <w:trHeight w:val="699"/>
        </w:trPr>
        <w:tc>
          <w:tcPr>
            <w:tcW w:w="1489" w:type="dxa"/>
          </w:tcPr>
          <w:p w14:paraId="1219FAA1" w14:textId="77777777" w:rsidR="002926F7" w:rsidRPr="007F6549" w:rsidRDefault="002926F7" w:rsidP="00FD04E0">
            <w:pPr>
              <w:spacing w:after="160" w:line="480" w:lineRule="auto"/>
              <w:rPr>
                <w:rFonts w:eastAsia="Calibri" w:cstheme="minorHAnsi"/>
                <w:i/>
              </w:rPr>
            </w:pPr>
            <w:r w:rsidRPr="007F6549">
              <w:rPr>
                <w:rFonts w:eastAsia="Calibri" w:cstheme="minorHAnsi"/>
                <w:i/>
              </w:rPr>
              <w:lastRenderedPageBreak/>
              <w:fldChar w:fldCharType="begin" w:fldLock="1"/>
            </w:r>
            <w:r>
              <w:rPr>
                <w:rFonts w:eastAsia="Calibri" w:cstheme="minorHAnsi"/>
                <w:i/>
              </w:rPr>
              <w:instrText>ADDIN CSL_CITATION {"citationItems":[{"id":"ITEM-1","itemData":{"ISSN":"1054-139X","abstract":"Purpose: The main aim was to examine the effects of a school-based intervention on multiple health behaviors in adolescents, such as 24-hour movement behaviors (i.e., physical activity, sedentary time, and sleep duration), diet, and substance consumption (i.e., alcohol and tobacco). Another aim was to examine intragender differences in the effectiveness of the programme. Methods: A quasi-experimental design was carried out in two secondary schools throughout one academic year. A final sample of 210 students participated: 105 in the control (Mage = 13.07 ± 0.63) and 105 in the experimental school (Mage = 13.05 ± 0.59). A multicomponent school-based intervention was conducted by teachers in the experimental school via curricular (i.e., tutorial action plan, interdisciplinary project, and school break) and extracurricular (i.e., family involvement, institutional and noncurricular activities, and dissemination of health information and events) actions to promote adolescents' healthy lifestyles. Physical activity and sedentary time were measured by accelerometers, and the rest of health behaviors by using self-reported scales. Results: Experimental school students showed a significant improvement in meeting specific and general combinations of 24-hour movement guidelines, sedentary screen time levels, nap duration, (un)healthy diet scores, breakfast intake, and soft drink consumption compared to both control school students and their baseline values (p &gt; .05). Active commuting and substance consumption rates only showed a significant improvement compared to control school students (p &gt;.05). Although the intervention programme was effective in improving health-related behaviors in both genders, a large effect size was observed in boys. Conclusions: Conducting multiple health behavior interventions becomes essential to improve adolescents' healthy lifestyles. (PsycINFO Database Record (c) 2019 APA, all rights reserved)","author":[{"dropping-particle":"","family":"Sevil","given":"Javier","non-dropping-particle":"","parse-names":false,"suffix":""},{"dropping-particle":"","family":"García-González","given":"Luis","non-dropping-particle":"","parse-names":false,"suffix":""},{"dropping-particle":"","family":"Abós","given":"Ángel","non-dropping-particle":"","parse-names":false,"suffix":""},{"dropping-particle":"","family":"Generelo","given":"Eduardo","non-dropping-particle":"","parse-names":false,"suffix":""},{"dropping-particle":"","family":"Aibar","given":"Alberto","non-dropping-particle":"","parse-names":false,"suffix":""}],"container-title":"Journal of Adolescent Health","id":"ITEM-1","issue":"4","issued":{"date-parts":[["2019","4"]]},"note":"Accession Number: 2019-17620-010. PMID: 30471871 Other Journal Title: Journal of Adolescent Health Care. Partial author list: First Author &amp;amp; Affiliation: Sevil, Javier; Department of Didactics of the Musical Plastic and Corporal Expression, Faculty of Health and Sport Sciences, University of Zaragoza, Huesca, Spain. Release Date: 20190725. Publication Type: Journal (0100), Peer Reviewed Journal (0110). Format Covered: Electronic. Document Type: Journal Article. Language: EnglishMajor Descriptor: Behavior Change; Health Behavior; Physical Activity; School Based Intervention; Adolescent Health. Minor Descriptor: Diets; High Schools; Lifestyle; Students; Sedentary Behavior. Classification: Educational/Vocational Counseling &amp;amp; Student Services (3580). Population: Human (10); Male (30); Female (40). Location: Spain. Age Group: Childhood (birth-12 yrs) (100); School Age (6-12 yrs) (180); Adolescence (13-17 yrs) (200). Tests &amp;amp; Measures: Napping Behavior Questionnaire-Spanish Version; WHO Health Behavior in School Children Survey; Pittsburgh Sleep Quality Index DOI: 10.1037/t05178-000. Methodology: Empirical Study; Quantitative Study. Supplemental Data: Experimental Materials Internet. References Available: Y. Page Count: 9. Issue Publication Date: Apr, 2019. Publication History: Accepted Date: Sep 27, 2018; First Submitted Date: May 10, 2018. Copyright Statement: Published by Elsevier Inc. on behalf of Society for Adolescent Health and Medicine. 2018.","page":"478-486","publisher":"Elsevier Science","publisher-place":"Sevil, Javier, Department of Didactics of the Musical, Plastic and Corporal, Faculty of Health and Sport Sciences, University of Zaragoza, Avenida de los Danzantes, no 32, 4 C, Plaza Universidad, 3, 22001, Huesca, Spain","title":"Can high schools be an effective setting to promote healthy lifestyles? Effects of a multiple behavior change intervention in adolescents","type":"article-journal","volume":"64"},"uris":["http://www.mendeley.com/documents/?uuid=48e352ff-d995-49e6-8e04-a1043ec4e2b9"]}],"mendeley":{"formattedCitation":"(Sevil et al., 2019)","manualFormatting":"Sevil et al. (2019)","plainTextFormattedCitation":"(Sevil et al., 2019)","previouslyFormattedCitation":"(Sevil et al., 2019)"},"properties":{"noteIndex":0},"schema":"https://github.com/citation-style-language/schema/raw/master/csl-citation.json"}</w:instrText>
            </w:r>
            <w:r w:rsidRPr="007F6549">
              <w:rPr>
                <w:rFonts w:eastAsia="Calibri" w:cstheme="minorHAnsi"/>
                <w:i/>
              </w:rPr>
              <w:fldChar w:fldCharType="separate"/>
            </w:r>
            <w:r w:rsidRPr="007F6549">
              <w:rPr>
                <w:rFonts w:eastAsia="Calibri" w:cstheme="minorHAnsi"/>
                <w:noProof/>
              </w:rPr>
              <w:t>Sevil et al. (2019)</w:t>
            </w:r>
            <w:r w:rsidRPr="007F6549">
              <w:rPr>
                <w:rFonts w:eastAsia="Calibri" w:cstheme="minorHAnsi"/>
                <w:i/>
              </w:rPr>
              <w:fldChar w:fldCharType="end"/>
            </w:r>
          </w:p>
        </w:tc>
        <w:tc>
          <w:tcPr>
            <w:tcW w:w="1489" w:type="dxa"/>
          </w:tcPr>
          <w:p w14:paraId="09B0ACC9" w14:textId="77777777" w:rsidR="002926F7" w:rsidRPr="007F6549" w:rsidRDefault="002926F7" w:rsidP="00FD04E0">
            <w:pPr>
              <w:spacing w:after="160" w:line="480" w:lineRule="auto"/>
              <w:rPr>
                <w:rFonts w:eastAsia="Calibri" w:cstheme="minorHAnsi"/>
                <w:iCs/>
              </w:rPr>
            </w:pPr>
            <w:r w:rsidRPr="007F6549">
              <w:rPr>
                <w:rFonts w:eastAsia="Calibri" w:cstheme="minorHAnsi"/>
                <w:iCs/>
              </w:rPr>
              <w:t>To reduce unhealthy dietary habits.</w:t>
            </w:r>
          </w:p>
        </w:tc>
        <w:tc>
          <w:tcPr>
            <w:tcW w:w="1417" w:type="dxa"/>
          </w:tcPr>
          <w:p w14:paraId="59E15AA2" w14:textId="77777777" w:rsidR="002926F7" w:rsidRPr="007F6549" w:rsidRDefault="002926F7" w:rsidP="00FD04E0">
            <w:pPr>
              <w:spacing w:after="160" w:line="480" w:lineRule="auto"/>
              <w:rPr>
                <w:rFonts w:eastAsia="Calibri" w:cstheme="minorHAnsi"/>
                <w:iCs/>
              </w:rPr>
            </w:pPr>
            <w:r w:rsidRPr="007F6549">
              <w:rPr>
                <w:rFonts w:eastAsia="Calibri" w:cstheme="minorHAnsi"/>
                <w:iCs/>
              </w:rPr>
              <w:t>2 schools in Spain. (n) 210</w:t>
            </w:r>
          </w:p>
        </w:tc>
        <w:tc>
          <w:tcPr>
            <w:tcW w:w="1755" w:type="dxa"/>
            <w:shd w:val="clear" w:color="auto" w:fill="auto"/>
          </w:tcPr>
          <w:p w14:paraId="355EDADC" w14:textId="77777777" w:rsidR="002926F7" w:rsidRPr="007F6549" w:rsidRDefault="002926F7" w:rsidP="00FD04E0">
            <w:pPr>
              <w:spacing w:after="160" w:line="480" w:lineRule="auto"/>
              <w:rPr>
                <w:rFonts w:cstheme="minorHAnsi"/>
                <w:color w:val="2E2E2E"/>
              </w:rPr>
            </w:pPr>
            <w:r w:rsidRPr="007F6549">
              <w:rPr>
                <w:rFonts w:cstheme="minorHAnsi"/>
                <w:color w:val="2E2E2E"/>
              </w:rPr>
              <w:t>Quasi-experimental</w:t>
            </w:r>
          </w:p>
          <w:p w14:paraId="12FEF3E1" w14:textId="77777777" w:rsidR="002926F7" w:rsidRPr="007F6549" w:rsidRDefault="002926F7" w:rsidP="00FD04E0">
            <w:pPr>
              <w:spacing w:after="160" w:line="480" w:lineRule="auto"/>
              <w:rPr>
                <w:rFonts w:eastAsia="Calibri" w:cstheme="minorHAnsi"/>
                <w:iCs/>
              </w:rPr>
            </w:pPr>
            <w:r w:rsidRPr="007F6549">
              <w:rPr>
                <w:rFonts w:cstheme="minorHAnsi"/>
                <w:color w:val="2E2E2E"/>
              </w:rPr>
              <w:t xml:space="preserve">Design. </w:t>
            </w:r>
            <w:r w:rsidRPr="007F6549">
              <w:rPr>
                <w:rFonts w:eastAsia="Calibri" w:cstheme="minorHAnsi"/>
              </w:rPr>
              <w:t>Intervention school compared to control school.</w:t>
            </w:r>
          </w:p>
        </w:tc>
        <w:tc>
          <w:tcPr>
            <w:tcW w:w="3075" w:type="dxa"/>
          </w:tcPr>
          <w:p w14:paraId="59DEBCED" w14:textId="77777777" w:rsidR="002926F7" w:rsidRPr="007F6549" w:rsidRDefault="002926F7" w:rsidP="00FD04E0">
            <w:pPr>
              <w:spacing w:after="160" w:line="480" w:lineRule="auto"/>
              <w:rPr>
                <w:rFonts w:eastAsia="Calibri" w:cstheme="minorHAnsi"/>
                <w:iCs/>
              </w:rPr>
            </w:pPr>
            <w:r w:rsidRPr="007F6549">
              <w:rPr>
                <w:rFonts w:cstheme="minorHAnsi"/>
                <w:shd w:val="clear" w:color="auto" w:fill="FFFFFF"/>
              </w:rPr>
              <w:t xml:space="preserve">Students completed a questionnaire measuring </w:t>
            </w:r>
            <w:r w:rsidRPr="007F6549">
              <w:rPr>
                <w:rFonts w:cstheme="minorHAnsi"/>
                <w:color w:val="2E2E2E"/>
              </w:rPr>
              <w:t>sedentary time, sleep duration, dietary habits, soft drink and substance consumption (e.g. alcohol). Physical activity and sedentary time were measured by </w:t>
            </w:r>
            <w:hyperlink r:id="rId42" w:tooltip="Learn more about Accelerometer from ScienceDirect's AI-generated Topic Pages" w:history="1">
              <w:r w:rsidRPr="007F6549">
                <w:rPr>
                  <w:rStyle w:val="Hyperlink"/>
                  <w:rFonts w:cstheme="minorHAnsi"/>
                  <w:color w:val="2E2E2E"/>
                </w:rPr>
                <w:t>accelerometers</w:t>
              </w:r>
            </w:hyperlink>
            <w:r w:rsidRPr="007F6549">
              <w:rPr>
                <w:rFonts w:cstheme="minorHAnsi"/>
                <w:color w:val="2E2E2E"/>
              </w:rPr>
              <w:t xml:space="preserve">. Measures were collected at baseline and post intervention. </w:t>
            </w:r>
          </w:p>
        </w:tc>
        <w:tc>
          <w:tcPr>
            <w:tcW w:w="2258" w:type="dxa"/>
            <w:shd w:val="clear" w:color="auto" w:fill="auto"/>
          </w:tcPr>
          <w:p w14:paraId="5102C728" w14:textId="77777777" w:rsidR="002926F7" w:rsidRPr="007F6549" w:rsidRDefault="002926F7" w:rsidP="00FD04E0">
            <w:pPr>
              <w:spacing w:after="160" w:line="480" w:lineRule="auto"/>
              <w:rPr>
                <w:rFonts w:eastAsia="Calibri" w:cstheme="minorHAnsi"/>
              </w:rPr>
            </w:pPr>
            <w:r w:rsidRPr="007F6549">
              <w:rPr>
                <w:rFonts w:eastAsia="Calibri" w:cstheme="minorHAnsi"/>
              </w:rPr>
              <w:t>Participants in the intervention condition significantly (baseline to post intervention)</w:t>
            </w:r>
            <w:r w:rsidRPr="007F6549">
              <w:rPr>
                <w:rFonts w:eastAsia="Calibri" w:cstheme="minorHAnsi"/>
                <w:b/>
                <w:bCs/>
                <w:color w:val="C00000"/>
              </w:rPr>
              <w:t>:</w:t>
            </w:r>
          </w:p>
          <w:p w14:paraId="729F3B6B" w14:textId="77777777" w:rsidR="002926F7" w:rsidRPr="007F6549" w:rsidRDefault="002926F7" w:rsidP="00FD04E0">
            <w:pPr>
              <w:pStyle w:val="ListParagraph"/>
              <w:numPr>
                <w:ilvl w:val="0"/>
                <w:numId w:val="70"/>
              </w:numPr>
              <w:spacing w:after="160" w:line="480" w:lineRule="auto"/>
              <w:rPr>
                <w:rFonts w:eastAsia="Calibri" w:cstheme="minorHAnsi"/>
                <w:iCs/>
              </w:rPr>
            </w:pPr>
            <w:r w:rsidRPr="007F6549">
              <w:rPr>
                <w:rFonts w:eastAsia="Calibri" w:cstheme="minorHAnsi"/>
                <w:iCs/>
              </w:rPr>
              <w:t>Reduced unhealthy dietary habits (</w:t>
            </w:r>
            <w:r w:rsidRPr="007F6549">
              <w:rPr>
                <w:rStyle w:val="Emphasis"/>
                <w:rFonts w:cstheme="minorHAnsi"/>
                <w:color w:val="2E2E2E"/>
              </w:rPr>
              <w:t>p</w:t>
            </w:r>
            <w:r w:rsidRPr="007F6549">
              <w:rPr>
                <w:rFonts w:cstheme="minorHAnsi"/>
                <w:color w:val="2E2E2E"/>
              </w:rPr>
              <w:t> &lt; .001)</w:t>
            </w:r>
          </w:p>
          <w:p w14:paraId="61B77BAB" w14:textId="77777777" w:rsidR="002926F7" w:rsidRPr="007F6549" w:rsidRDefault="002926F7" w:rsidP="00FD04E0">
            <w:pPr>
              <w:pStyle w:val="ListParagraph"/>
              <w:numPr>
                <w:ilvl w:val="0"/>
                <w:numId w:val="70"/>
              </w:numPr>
              <w:spacing w:after="160" w:line="480" w:lineRule="auto"/>
              <w:rPr>
                <w:rFonts w:eastAsia="Calibri" w:cstheme="minorHAnsi"/>
                <w:iCs/>
              </w:rPr>
            </w:pPr>
            <w:r w:rsidRPr="007F6549">
              <w:rPr>
                <w:rFonts w:eastAsia="Calibri" w:cstheme="minorHAnsi"/>
                <w:iCs/>
              </w:rPr>
              <w:t>Increased healthy dietary habits (</w:t>
            </w:r>
            <w:r w:rsidRPr="007F6549">
              <w:rPr>
                <w:rStyle w:val="Emphasis"/>
                <w:rFonts w:cstheme="minorHAnsi"/>
                <w:color w:val="2E2E2E"/>
              </w:rPr>
              <w:t>p</w:t>
            </w:r>
            <w:r w:rsidRPr="007F6549">
              <w:rPr>
                <w:rFonts w:cstheme="minorHAnsi"/>
                <w:color w:val="2E2E2E"/>
              </w:rPr>
              <w:t> &lt; .001)</w:t>
            </w:r>
          </w:p>
          <w:p w14:paraId="57103C71" w14:textId="77777777" w:rsidR="002926F7" w:rsidRPr="007F6549" w:rsidRDefault="002926F7" w:rsidP="00FD04E0">
            <w:pPr>
              <w:spacing w:after="160" w:line="480" w:lineRule="auto"/>
              <w:rPr>
                <w:rFonts w:eastAsia="Calibri" w:cstheme="minorHAnsi"/>
                <w:iCs/>
              </w:rPr>
            </w:pPr>
          </w:p>
        </w:tc>
        <w:tc>
          <w:tcPr>
            <w:tcW w:w="2268" w:type="dxa"/>
          </w:tcPr>
          <w:p w14:paraId="24EB956B" w14:textId="77777777" w:rsidR="002926F7" w:rsidRPr="007F6549" w:rsidRDefault="002926F7" w:rsidP="00FD04E0">
            <w:pPr>
              <w:pStyle w:val="ListParagraph"/>
              <w:numPr>
                <w:ilvl w:val="0"/>
                <w:numId w:val="69"/>
              </w:numPr>
              <w:spacing w:after="160" w:line="480" w:lineRule="auto"/>
              <w:ind w:right="30"/>
              <w:rPr>
                <w:rFonts w:eastAsia="Calibri" w:cstheme="minorHAnsi"/>
              </w:rPr>
            </w:pPr>
            <w:r w:rsidRPr="007F6549">
              <w:rPr>
                <w:rFonts w:eastAsia="Calibri" w:cstheme="minorHAnsi"/>
              </w:rPr>
              <w:t>Mean age intervention 13.05 years and mean age control 13.07 years</w:t>
            </w:r>
          </w:p>
          <w:p w14:paraId="7CCFDF97" w14:textId="77777777" w:rsidR="002926F7" w:rsidRPr="007F6549" w:rsidRDefault="002926F7" w:rsidP="00FD04E0">
            <w:pPr>
              <w:pStyle w:val="ListParagraph"/>
              <w:numPr>
                <w:ilvl w:val="0"/>
                <w:numId w:val="69"/>
              </w:numPr>
              <w:spacing w:after="160" w:line="480" w:lineRule="auto"/>
              <w:ind w:right="30"/>
              <w:rPr>
                <w:rFonts w:eastAsia="Calibri" w:cstheme="minorHAnsi"/>
              </w:rPr>
            </w:pPr>
            <w:r w:rsidRPr="007F6549">
              <w:rPr>
                <w:rFonts w:eastAsia="Calibri" w:cstheme="minorHAnsi"/>
                <w:iCs/>
              </w:rPr>
              <w:t>One academic year</w:t>
            </w:r>
          </w:p>
          <w:p w14:paraId="4DC1AD20" w14:textId="77777777" w:rsidR="002926F7" w:rsidRPr="00365699" w:rsidRDefault="00322DCE" w:rsidP="00FD04E0">
            <w:pPr>
              <w:pStyle w:val="ListParagraph"/>
              <w:numPr>
                <w:ilvl w:val="0"/>
                <w:numId w:val="69"/>
              </w:numPr>
              <w:spacing w:after="160" w:line="480" w:lineRule="auto"/>
              <w:ind w:right="30"/>
              <w:rPr>
                <w:rFonts w:eastAsia="Calibri" w:cstheme="minorHAnsi"/>
              </w:rPr>
            </w:pPr>
            <w:hyperlink r:id="rId43" w:tooltip="Learn more about Self-Determination Theory from ScienceDirect's AI-generated Topic Pages" w:history="1">
              <w:r w:rsidR="002926F7" w:rsidRPr="00365699">
                <w:rPr>
                  <w:rStyle w:val="Hyperlink"/>
                  <w:rFonts w:cstheme="minorHAnsi"/>
                  <w:color w:val="2E2E2E"/>
                  <w:u w:val="none"/>
                </w:rPr>
                <w:t>Self-Determination Theory</w:t>
              </w:r>
            </w:hyperlink>
            <w:r w:rsidR="002926F7" w:rsidRPr="00365699">
              <w:rPr>
                <w:rFonts w:cstheme="minorHAnsi"/>
                <w:color w:val="2E2E2E"/>
              </w:rPr>
              <w:t> </w:t>
            </w:r>
          </w:p>
        </w:tc>
        <w:tc>
          <w:tcPr>
            <w:tcW w:w="2126" w:type="dxa"/>
          </w:tcPr>
          <w:p w14:paraId="1A1B757A"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Pr>
                <w:rFonts w:eastAsia="Calibri" w:cstheme="minorHAnsi"/>
                <w:iCs/>
              </w:rPr>
              <w:t>Healthy eating l</w:t>
            </w:r>
            <w:r w:rsidRPr="007F6549">
              <w:rPr>
                <w:rFonts w:eastAsia="Calibri" w:cstheme="minorHAnsi"/>
                <w:iCs/>
              </w:rPr>
              <w:t>essons</w:t>
            </w:r>
          </w:p>
          <w:p w14:paraId="2A767C6C"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 xml:space="preserve">Strategies for a healthy lifestyle </w:t>
            </w:r>
          </w:p>
          <w:p w14:paraId="1E90106E"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cstheme="minorHAnsi"/>
                <w:color w:val="2E2E2E"/>
              </w:rPr>
              <w:t>Extracurricular activities. E.g., sports</w:t>
            </w:r>
          </w:p>
          <w:p w14:paraId="17D31398"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eastAsia="Calibri" w:cstheme="minorHAnsi"/>
                <w:iCs/>
              </w:rPr>
              <w:t xml:space="preserve">Parent education </w:t>
            </w:r>
          </w:p>
          <w:p w14:paraId="17A37A93" w14:textId="77777777" w:rsidR="002926F7" w:rsidRPr="007F6549" w:rsidRDefault="002926F7" w:rsidP="00FD04E0">
            <w:pPr>
              <w:pStyle w:val="ListParagraph"/>
              <w:numPr>
                <w:ilvl w:val="0"/>
                <w:numId w:val="69"/>
              </w:numPr>
              <w:spacing w:after="160" w:line="480" w:lineRule="auto"/>
              <w:ind w:right="30"/>
              <w:rPr>
                <w:rFonts w:eastAsia="Calibri" w:cstheme="minorHAnsi"/>
                <w:iCs/>
              </w:rPr>
            </w:pPr>
            <w:r w:rsidRPr="007F6549">
              <w:rPr>
                <w:rFonts w:cstheme="minorHAnsi"/>
                <w:color w:val="2E2E2E"/>
              </w:rPr>
              <w:t>Teacher involvement</w:t>
            </w:r>
            <w:r>
              <w:rPr>
                <w:rFonts w:cstheme="minorHAnsi"/>
                <w:color w:val="2E2E2E"/>
              </w:rPr>
              <w:t xml:space="preserve"> (e.g., role models)</w:t>
            </w:r>
          </w:p>
        </w:tc>
      </w:tr>
    </w:tbl>
    <w:p w14:paraId="655BFF54" w14:textId="77777777" w:rsidR="002926F7" w:rsidRPr="007F6549" w:rsidRDefault="002926F7" w:rsidP="002926F7">
      <w:pPr>
        <w:rPr>
          <w:rFonts w:cstheme="minorHAnsi"/>
        </w:rPr>
      </w:pPr>
    </w:p>
    <w:p w14:paraId="155F3779" w14:textId="77777777" w:rsidR="002926F7" w:rsidRDefault="002926F7" w:rsidP="002926F7">
      <w:pPr>
        <w:pBdr>
          <w:top w:val="single" w:sz="4" w:space="1" w:color="auto"/>
        </w:pBdr>
        <w:spacing w:line="480" w:lineRule="auto"/>
        <w:rPr>
          <w:rFonts w:cstheme="minorHAnsi"/>
        </w:rPr>
      </w:pPr>
      <w:r w:rsidRPr="007F6549">
        <w:rPr>
          <w:rFonts w:cstheme="minorHAnsi"/>
        </w:rPr>
        <w:t xml:space="preserve">*Intervention description – duration of intervention, age of participants (range and/or mean at baseline), theoretical base (if presented) </w:t>
      </w:r>
    </w:p>
    <w:p w14:paraId="00DFDD66" w14:textId="77777777" w:rsidR="002926F7" w:rsidRDefault="002926F7" w:rsidP="00D40AE5">
      <w:pPr>
        <w:widowControl w:val="0"/>
        <w:autoSpaceDE w:val="0"/>
        <w:autoSpaceDN w:val="0"/>
        <w:adjustRightInd w:val="0"/>
        <w:spacing w:line="240" w:lineRule="auto"/>
        <w:rPr>
          <w:b/>
          <w:bCs/>
        </w:rPr>
        <w:sectPr w:rsidR="002926F7" w:rsidSect="00D40AE5">
          <w:pgSz w:w="16838" w:h="11906" w:orient="landscape"/>
          <w:pgMar w:top="1440" w:right="709" w:bottom="1440" w:left="1440" w:header="708" w:footer="708" w:gutter="0"/>
          <w:cols w:space="708"/>
          <w:docGrid w:linePitch="360"/>
        </w:sectPr>
      </w:pPr>
    </w:p>
    <w:p w14:paraId="6F724458" w14:textId="77777777" w:rsidR="002926F7" w:rsidRDefault="002926F7" w:rsidP="002926F7"/>
    <w:p w14:paraId="53EA3DD9" w14:textId="27A05445" w:rsidR="00572E3D" w:rsidRPr="002E31D9" w:rsidRDefault="002E31D9" w:rsidP="00572E3D">
      <w:pPr>
        <w:rPr>
          <w:b/>
          <w:bCs/>
        </w:rPr>
      </w:pPr>
      <w:r w:rsidRPr="00E272EB">
        <w:rPr>
          <w:noProof/>
        </w:rPr>
        <w:drawing>
          <wp:anchor distT="0" distB="0" distL="114300" distR="114300" simplePos="0" relativeHeight="251659264" behindDoc="1" locked="0" layoutInCell="1" allowOverlap="1" wp14:anchorId="743B8C31" wp14:editId="430303B7">
            <wp:simplePos x="0" y="0"/>
            <wp:positionH relativeFrom="column">
              <wp:posOffset>-304800</wp:posOffset>
            </wp:positionH>
            <wp:positionV relativeFrom="paragraph">
              <wp:posOffset>280035</wp:posOffset>
            </wp:positionV>
            <wp:extent cx="6444615" cy="7663180"/>
            <wp:effectExtent l="0" t="0" r="0" b="0"/>
            <wp:wrapTight wrapText="bothSides">
              <wp:wrapPolygon edited="0">
                <wp:start x="0" y="0"/>
                <wp:lineTo x="0" y="21532"/>
                <wp:lineTo x="21517" y="21532"/>
                <wp:lineTo x="21517" y="0"/>
                <wp:lineTo x="0"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rotWithShape="1">
                    <a:blip r:embed="rId44">
                      <a:extLst>
                        <a:ext uri="{28A0092B-C50C-407E-A947-70E740481C1C}">
                          <a14:useLocalDpi xmlns:a14="http://schemas.microsoft.com/office/drawing/2010/main" val="0"/>
                        </a:ext>
                      </a:extLst>
                    </a:blip>
                    <a:srcRect l="1197" b="8654"/>
                    <a:stretch/>
                  </pic:blipFill>
                  <pic:spPr bwMode="auto">
                    <a:xfrm>
                      <a:off x="0" y="0"/>
                      <a:ext cx="6444615" cy="766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E3D" w:rsidRPr="00E272EB">
        <w:fldChar w:fldCharType="begin"/>
      </w:r>
      <w:r w:rsidR="00572E3D" w:rsidRPr="00E272EB">
        <w:instrText xml:space="preserve"> TC  " </w:instrText>
      </w:r>
      <w:bookmarkStart w:id="324" w:name="_Toc97557154"/>
      <w:r w:rsidR="00572E3D" w:rsidRPr="00E272EB">
        <w:instrText xml:space="preserve">Appendix </w:instrText>
      </w:r>
      <w:r w:rsidR="00FE5D2B">
        <w:instrText>2</w:instrText>
      </w:r>
      <w:r w:rsidR="00572E3D" w:rsidRPr="00E272EB">
        <w:instrText xml:space="preserve">: </w:instrText>
      </w:r>
      <w:r w:rsidR="00B838A9">
        <w:instrText xml:space="preserve">Ethical Approval </w:instrText>
      </w:r>
      <w:r w:rsidR="00572E3D" w:rsidRPr="00E272EB">
        <w:instrText xml:space="preserve">(Study </w:instrText>
      </w:r>
      <w:r w:rsidR="00D62699">
        <w:instrText>One</w:instrText>
      </w:r>
      <w:r w:rsidR="00572E3D" w:rsidRPr="00E272EB">
        <w:instrText>, Chapter 5)</w:instrText>
      </w:r>
      <w:bookmarkEnd w:id="324"/>
      <w:r w:rsidR="00572E3D" w:rsidRPr="00E272EB">
        <w:instrText xml:space="preserve">" \f y\l </w:instrText>
      </w:r>
      <w:r w:rsidR="00572E3D">
        <w:instrText>2</w:instrText>
      </w:r>
      <w:r w:rsidR="00572E3D" w:rsidRPr="00E272EB">
        <w:instrText xml:space="preserve"> </w:instrText>
      </w:r>
      <w:r w:rsidR="00572E3D" w:rsidRPr="00E272EB">
        <w:fldChar w:fldCharType="end"/>
      </w:r>
      <w:r w:rsidR="00572E3D" w:rsidRPr="00FB45EF">
        <w:t xml:space="preserve">Appendix </w:t>
      </w:r>
      <w:r w:rsidR="00FE5D2B">
        <w:t>2</w:t>
      </w:r>
      <w:r w:rsidR="00572E3D" w:rsidRPr="00FB45EF">
        <w:t xml:space="preserve">: </w:t>
      </w:r>
      <w:r w:rsidR="00B838A9">
        <w:t>Ethical Ap</w:t>
      </w:r>
      <w:r w:rsidR="00297B61">
        <w:t xml:space="preserve">proval </w:t>
      </w:r>
      <w:r w:rsidR="00572E3D" w:rsidRPr="00FB45EF">
        <w:t xml:space="preserve">(Study </w:t>
      </w:r>
      <w:r w:rsidR="00D62699">
        <w:t>One</w:t>
      </w:r>
      <w:r w:rsidR="00572E3D" w:rsidRPr="00FB45EF">
        <w:t>, Chapter 5)</w:t>
      </w:r>
      <w:bookmarkEnd w:id="320"/>
      <w:bookmarkEnd w:id="321"/>
    </w:p>
    <w:p w14:paraId="34BDEF6E" w14:textId="77777777" w:rsidR="00572E3D" w:rsidRDefault="00572E3D" w:rsidP="00572E3D">
      <w:pPr>
        <w:sectPr w:rsidR="00572E3D" w:rsidSect="00FD331A">
          <w:headerReference w:type="default" r:id="rId45"/>
          <w:pgSz w:w="11906" w:h="16838"/>
          <w:pgMar w:top="1440" w:right="1440" w:bottom="1440" w:left="1440" w:header="708" w:footer="708" w:gutter="0"/>
          <w:cols w:space="708"/>
          <w:docGrid w:linePitch="360"/>
        </w:sectPr>
      </w:pPr>
    </w:p>
    <w:p w14:paraId="2936E04C" w14:textId="5C96789E" w:rsidR="00572E3D" w:rsidRDefault="00572E3D" w:rsidP="00572E3D">
      <w:pPr>
        <w:sectPr w:rsidR="00572E3D" w:rsidSect="00B32EBC">
          <w:type w:val="continuous"/>
          <w:pgSz w:w="11906" w:h="16838"/>
          <w:pgMar w:top="1440" w:right="1440" w:bottom="1440" w:left="1440" w:header="708" w:footer="708" w:gutter="0"/>
          <w:cols w:num="2" w:space="708"/>
          <w:docGrid w:linePitch="360"/>
        </w:sectPr>
      </w:pPr>
    </w:p>
    <w:p w14:paraId="12E52775" w14:textId="77777777" w:rsidR="002E31D9" w:rsidRDefault="002E31D9" w:rsidP="00572E3D">
      <w:bookmarkStart w:id="325" w:name="_Toc84845174"/>
      <w:bookmarkStart w:id="326" w:name="_Toc84854185"/>
    </w:p>
    <w:p w14:paraId="39478A44" w14:textId="7DD0BCC1" w:rsidR="00572E3D" w:rsidRPr="00FB45EF" w:rsidRDefault="00572E3D" w:rsidP="00572E3D">
      <w:r w:rsidRPr="00E272EB">
        <w:lastRenderedPageBreak/>
        <w:fldChar w:fldCharType="begin"/>
      </w:r>
      <w:r w:rsidRPr="00E272EB">
        <w:instrText xml:space="preserve"> TC  " </w:instrText>
      </w:r>
      <w:bookmarkStart w:id="327" w:name="_Toc97557155"/>
      <w:r w:rsidRPr="00E272EB">
        <w:instrText xml:space="preserve">Appendix </w:instrText>
      </w:r>
      <w:r w:rsidR="00FE5D2B">
        <w:instrText>3</w:instrText>
      </w:r>
      <w:r w:rsidRPr="00E272EB">
        <w:instrText xml:space="preserve">: </w:instrText>
      </w:r>
      <w:r>
        <w:instrText>Parent information letter and opt</w:instrText>
      </w:r>
      <w:r w:rsidR="0036446D">
        <w:instrText>-</w:instrText>
      </w:r>
      <w:r>
        <w:instrText>in consent</w:instrText>
      </w:r>
      <w:r w:rsidR="00D55984">
        <w:instrText xml:space="preserve"> </w:instrText>
      </w:r>
      <w:r w:rsidRPr="00E272EB">
        <w:instrText xml:space="preserve">(Study </w:instrText>
      </w:r>
      <w:r w:rsidR="00D62699">
        <w:instrText>One</w:instrText>
      </w:r>
      <w:r w:rsidRPr="00E272EB">
        <w:instrText>, Chapter 5)</w:instrText>
      </w:r>
      <w:bookmarkEnd w:id="327"/>
      <w:r w:rsidRPr="00E272EB">
        <w:instrText xml:space="preserve">" \f y\l </w:instrText>
      </w:r>
      <w:r>
        <w:instrText>2</w:instrText>
      </w:r>
      <w:r w:rsidRPr="00E272EB">
        <w:instrText xml:space="preserve"> </w:instrText>
      </w:r>
      <w:r w:rsidRPr="00E272EB">
        <w:fldChar w:fldCharType="end"/>
      </w:r>
      <w:r w:rsidRPr="00FB45EF">
        <w:rPr>
          <w:noProof/>
        </w:rPr>
        <w:drawing>
          <wp:anchor distT="0" distB="0" distL="114300" distR="114300" simplePos="0" relativeHeight="251597824" behindDoc="1" locked="0" layoutInCell="1" allowOverlap="1" wp14:anchorId="200EA52F" wp14:editId="6CE3BF0F">
            <wp:simplePos x="0" y="0"/>
            <wp:positionH relativeFrom="margin">
              <wp:posOffset>112308</wp:posOffset>
            </wp:positionH>
            <wp:positionV relativeFrom="paragraph">
              <wp:posOffset>247902</wp:posOffset>
            </wp:positionV>
            <wp:extent cx="1426932" cy="1314026"/>
            <wp:effectExtent l="0" t="0" r="1905" b="635"/>
            <wp:wrapNone/>
            <wp:docPr id="63" name="Picture 63" descr="A picture containing fruit, fresh,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ruit, fresh, arrange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6932" cy="1314026"/>
                    </a:xfrm>
                    <a:prstGeom prst="rect">
                      <a:avLst/>
                    </a:prstGeom>
                  </pic:spPr>
                </pic:pic>
              </a:graphicData>
            </a:graphic>
            <wp14:sizeRelH relativeFrom="margin">
              <wp14:pctWidth>0</wp14:pctWidth>
            </wp14:sizeRelH>
            <wp14:sizeRelV relativeFrom="margin">
              <wp14:pctHeight>0</wp14:pctHeight>
            </wp14:sizeRelV>
          </wp:anchor>
        </w:drawing>
      </w:r>
      <w:r w:rsidRPr="00FB45EF">
        <w:t xml:space="preserve">Appendix </w:t>
      </w:r>
      <w:r w:rsidR="00FE5D2B">
        <w:t>3</w:t>
      </w:r>
      <w:r w:rsidRPr="00FB45EF">
        <w:t xml:space="preserve">: Parent information letter and </w:t>
      </w:r>
      <w:r>
        <w:t>opt</w:t>
      </w:r>
      <w:r w:rsidR="0036446D">
        <w:t>-</w:t>
      </w:r>
      <w:r>
        <w:t xml:space="preserve">in </w:t>
      </w:r>
      <w:r w:rsidRPr="00FB45EF">
        <w:t xml:space="preserve">consent (Study </w:t>
      </w:r>
      <w:r w:rsidR="00D62699">
        <w:t>One</w:t>
      </w:r>
      <w:r w:rsidRPr="00FB45EF">
        <w:t>, Chapter 5)</w:t>
      </w:r>
      <w:bookmarkEnd w:id="325"/>
      <w:bookmarkEnd w:id="326"/>
    </w:p>
    <w:p w14:paraId="0890378F" w14:textId="77777777" w:rsidR="00572E3D" w:rsidRPr="0063305B" w:rsidRDefault="00572E3D" w:rsidP="00572E3D">
      <w:pPr>
        <w:tabs>
          <w:tab w:val="left" w:pos="885"/>
          <w:tab w:val="left" w:pos="1560"/>
          <w:tab w:val="right" w:pos="10466"/>
        </w:tabs>
        <w:spacing w:before="100" w:after="200" w:line="276" w:lineRule="auto"/>
        <w:jc w:val="center"/>
        <w:rPr>
          <w:rFonts w:ascii="Calibri" w:eastAsia="Times New Roman" w:hAnsi="Calibri" w:cs="Times New Roman"/>
          <w:b/>
          <w:sz w:val="40"/>
          <w:szCs w:val="40"/>
        </w:rPr>
      </w:pPr>
      <w:r>
        <w:rPr>
          <w:rFonts w:ascii="Calibri" w:eastAsia="Times New Roman" w:hAnsi="Calibri" w:cs="Times New Roman"/>
          <w:b/>
          <w:noProof/>
          <w:sz w:val="40"/>
          <w:szCs w:val="40"/>
          <w:lang w:eastAsia="en-GB"/>
        </w:rPr>
        <w:drawing>
          <wp:anchor distT="0" distB="0" distL="114300" distR="114300" simplePos="0" relativeHeight="251598848" behindDoc="1" locked="0" layoutInCell="1" allowOverlap="1" wp14:anchorId="78258B1F" wp14:editId="53571B06">
            <wp:simplePos x="0" y="0"/>
            <wp:positionH relativeFrom="column">
              <wp:posOffset>4433813</wp:posOffset>
            </wp:positionH>
            <wp:positionV relativeFrom="paragraph">
              <wp:posOffset>58076</wp:posOffset>
            </wp:positionV>
            <wp:extent cx="1196946" cy="1217007"/>
            <wp:effectExtent l="0" t="0" r="3810" b="2540"/>
            <wp:wrapNone/>
            <wp:docPr id="229" name="Picture 2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6946" cy="1217007"/>
                    </a:xfrm>
                    <a:prstGeom prst="rect">
                      <a:avLst/>
                    </a:prstGeom>
                  </pic:spPr>
                </pic:pic>
              </a:graphicData>
            </a:graphic>
            <wp14:sizeRelH relativeFrom="margin">
              <wp14:pctWidth>0</wp14:pctWidth>
            </wp14:sizeRelH>
            <wp14:sizeRelV relativeFrom="margin">
              <wp14:pctHeight>0</wp14:pctHeight>
            </wp14:sizeRelV>
          </wp:anchor>
        </w:drawing>
      </w:r>
    </w:p>
    <w:p w14:paraId="1FB02F29" w14:textId="77777777" w:rsidR="00572E3D" w:rsidRPr="0063305B" w:rsidRDefault="00572E3D" w:rsidP="00572E3D">
      <w:pPr>
        <w:tabs>
          <w:tab w:val="left" w:pos="3000"/>
          <w:tab w:val="left" w:pos="7590"/>
        </w:tabs>
        <w:spacing w:before="100" w:after="200" w:line="276" w:lineRule="auto"/>
        <w:ind w:left="-284"/>
        <w:rPr>
          <w:rFonts w:ascii="Calibri" w:eastAsia="Times New Roman" w:hAnsi="Calibri" w:cs="Times New Roman"/>
          <w:b/>
          <w:sz w:val="40"/>
          <w:szCs w:val="40"/>
        </w:rPr>
      </w:pPr>
      <w:r>
        <w:rPr>
          <w:rFonts w:ascii="Calibri" w:eastAsia="Times New Roman" w:hAnsi="Calibri" w:cs="Times New Roman"/>
          <w:b/>
          <w:sz w:val="40"/>
          <w:szCs w:val="40"/>
        </w:rPr>
        <w:tab/>
      </w:r>
      <w:r>
        <w:rPr>
          <w:rFonts w:ascii="Calibri" w:eastAsia="Times New Roman" w:hAnsi="Calibri" w:cs="Times New Roman"/>
          <w:b/>
          <w:sz w:val="40"/>
          <w:szCs w:val="40"/>
        </w:rPr>
        <w:tab/>
      </w:r>
    </w:p>
    <w:p w14:paraId="450DF2F0" w14:textId="77777777" w:rsidR="00572E3D" w:rsidRDefault="00572E3D" w:rsidP="00572E3D">
      <w:pPr>
        <w:spacing w:before="100" w:after="200" w:line="276" w:lineRule="auto"/>
        <w:rPr>
          <w:rFonts w:ascii="Calibri" w:eastAsia="Times New Roman" w:hAnsi="Calibri" w:cs="Times New Roman"/>
          <w:b/>
          <w:sz w:val="40"/>
          <w:szCs w:val="40"/>
        </w:rPr>
      </w:pPr>
    </w:p>
    <w:p w14:paraId="432DC01F" w14:textId="77777777" w:rsidR="00572E3D" w:rsidRPr="003E27C9" w:rsidRDefault="00572E3D" w:rsidP="00572E3D">
      <w:pPr>
        <w:spacing w:before="100" w:after="200" w:line="276" w:lineRule="auto"/>
        <w:jc w:val="both"/>
        <w:rPr>
          <w:rFonts w:ascii="Calibri" w:eastAsia="Times New Roman" w:hAnsi="Calibri" w:cs="Times New Roman"/>
          <w:b/>
          <w:sz w:val="24"/>
          <w:szCs w:val="24"/>
        </w:rPr>
      </w:pPr>
      <w:r w:rsidRPr="003E27C9">
        <w:rPr>
          <w:rFonts w:ascii="Calibri" w:eastAsia="Times New Roman" w:hAnsi="Calibri" w:cs="Times New Roman"/>
          <w:b/>
          <w:sz w:val="24"/>
          <w:szCs w:val="24"/>
        </w:rPr>
        <w:t xml:space="preserve">Dear Parent or Guardian,   </w:t>
      </w:r>
    </w:p>
    <w:p w14:paraId="4D30446C" w14:textId="529F47C4" w:rsidR="00572E3D" w:rsidRPr="003E27C9" w:rsidRDefault="00572E3D" w:rsidP="00572E3D">
      <w:pPr>
        <w:spacing w:before="100" w:after="200" w:line="276" w:lineRule="auto"/>
        <w:jc w:val="both"/>
        <w:rPr>
          <w:rFonts w:ascii="Calibri" w:eastAsia="Times New Roman" w:hAnsi="Calibri" w:cs="Times New Roman"/>
        </w:rPr>
      </w:pPr>
      <w:r w:rsidRPr="003E27C9">
        <w:rPr>
          <w:rFonts w:ascii="Calibri" w:eastAsia="Times New Roman" w:hAnsi="Calibri" w:cs="Times New Roman"/>
        </w:rPr>
        <w:t xml:space="preserve"> My name is Sian Calvert I am currently undertaking my PhD in psychology at Staffordshire University with a particular interest in children’s eating behaviours.  I am researching into children’s eating behaviours from their perspective and as this is the case, I am contacting you to ask permission for your child to take part in a discussion about healthy eating. As you will also have an influence on children’s </w:t>
      </w:r>
      <w:r w:rsidR="007D734F" w:rsidRPr="003E27C9">
        <w:rPr>
          <w:rFonts w:ascii="Calibri" w:eastAsia="Times New Roman" w:hAnsi="Calibri" w:cs="Times New Roman"/>
        </w:rPr>
        <w:t>eating,</w:t>
      </w:r>
      <w:r w:rsidRPr="003E27C9">
        <w:rPr>
          <w:rFonts w:ascii="Calibri" w:eastAsia="Times New Roman" w:hAnsi="Calibri" w:cs="Times New Roman"/>
        </w:rPr>
        <w:t xml:space="preserve"> I am also interested in your own views on your child’s eating, so I would also like to ask you to take part in a discussion about healthy eating.</w:t>
      </w:r>
    </w:p>
    <w:p w14:paraId="4FBDB0EF" w14:textId="77777777" w:rsidR="00572E3D" w:rsidRPr="003E27C9" w:rsidRDefault="00572E3D" w:rsidP="00572E3D">
      <w:pPr>
        <w:spacing w:before="100" w:after="200" w:line="276" w:lineRule="auto"/>
        <w:jc w:val="both"/>
        <w:rPr>
          <w:rFonts w:ascii="Calibri" w:eastAsia="Times New Roman" w:hAnsi="Calibri" w:cs="Times New Roman"/>
          <w:b/>
        </w:rPr>
      </w:pPr>
      <w:r w:rsidRPr="003E27C9">
        <w:rPr>
          <w:rFonts w:ascii="Calibri" w:eastAsia="Times New Roman" w:hAnsi="Calibri" w:cs="Times New Roman"/>
          <w:b/>
        </w:rPr>
        <w:t>What would my child have to do?</w:t>
      </w:r>
    </w:p>
    <w:p w14:paraId="3B39A887" w14:textId="77777777" w:rsidR="00572E3D" w:rsidRPr="003E27C9" w:rsidRDefault="00572E3D" w:rsidP="00572E3D">
      <w:pPr>
        <w:spacing w:before="100" w:after="200" w:line="276" w:lineRule="auto"/>
        <w:jc w:val="both"/>
        <w:rPr>
          <w:rFonts w:ascii="Calibri" w:eastAsia="Times New Roman" w:hAnsi="Calibri" w:cs="Times New Roman"/>
        </w:rPr>
      </w:pPr>
      <w:r w:rsidRPr="003E27C9">
        <w:rPr>
          <w:rFonts w:ascii="Calibri" w:eastAsia="Times New Roman" w:hAnsi="Calibri" w:cs="Times New Roman"/>
        </w:rPr>
        <w:t xml:space="preserve">If you are willing for your child to take part, they will be asked to get involved in a focus group (group discussion) with children from the same school year.  The focus groups will be conducted in school hours and will take no longer than an hour. Your child will be asked to discuss within a group their views on healthy eating and what may or may not influence their eating behaviours.  The focus group will be recorded for later analysis, but when the recordings are transcribed, all names will be changed so no-one can be identified. From all students that give consent to take part in the focus group only a limited number will be randomly selected to take part in the final focus groups.   </w:t>
      </w:r>
    </w:p>
    <w:p w14:paraId="2E030581" w14:textId="77777777" w:rsidR="00572E3D" w:rsidRPr="0063305B" w:rsidRDefault="00572E3D" w:rsidP="00572E3D">
      <w:pPr>
        <w:spacing w:before="100" w:after="200" w:line="276" w:lineRule="auto"/>
        <w:jc w:val="both"/>
        <w:rPr>
          <w:rFonts w:ascii="Calibri" w:eastAsia="Times New Roman" w:hAnsi="Calibri" w:cs="Times New Roman"/>
          <w:b/>
        </w:rPr>
      </w:pPr>
      <w:r w:rsidRPr="0063305B">
        <w:rPr>
          <w:rFonts w:ascii="Calibri" w:eastAsia="Times New Roman" w:hAnsi="Calibri" w:cs="Times New Roman"/>
          <w:b/>
        </w:rPr>
        <w:t>Has this research been approved?</w:t>
      </w:r>
    </w:p>
    <w:p w14:paraId="44F70420" w14:textId="77777777" w:rsidR="00572E3D" w:rsidRPr="003E27C9" w:rsidRDefault="00572E3D" w:rsidP="00572E3D">
      <w:pPr>
        <w:spacing w:before="100" w:after="200" w:line="276" w:lineRule="auto"/>
        <w:jc w:val="both"/>
        <w:rPr>
          <w:rFonts w:ascii="Calibri" w:eastAsia="Times New Roman" w:hAnsi="Calibri" w:cs="Times New Roman"/>
        </w:rPr>
      </w:pPr>
      <w:r w:rsidRPr="0063305B">
        <w:rPr>
          <w:rFonts w:ascii="Calibri" w:eastAsia="Times New Roman" w:hAnsi="Calibri" w:cs="Times New Roman"/>
        </w:rPr>
        <w:t xml:space="preserve">The research has been approved by the </w:t>
      </w:r>
      <w:r w:rsidRPr="005E2D06">
        <w:rPr>
          <w:rFonts w:ascii="Calibri" w:eastAsia="Times New Roman" w:hAnsi="Calibri" w:cs="Times New Roman"/>
        </w:rPr>
        <w:t>Staffordshire University Faculty of Health Sciences Ethics Committee</w:t>
      </w:r>
      <w:r>
        <w:rPr>
          <w:rFonts w:ascii="Calibri" w:eastAsia="Times New Roman" w:hAnsi="Calibri" w:cs="Times New Roman"/>
        </w:rPr>
        <w:t xml:space="preserve"> </w:t>
      </w:r>
      <w:r w:rsidRPr="0063305B">
        <w:rPr>
          <w:rFonts w:ascii="Calibri" w:eastAsia="Times New Roman" w:hAnsi="Calibri" w:cs="Times New Roman"/>
        </w:rPr>
        <w:t xml:space="preserve">and data will be collected in accordance with the Data Protection Act 1998. Only the research team at Staffordshire University will have access to your data and it will not be passed onto third parties.  Taking part in this research should not pose any harm to you or your child, and if at any time your child no longer wishes to partake in the focus group then you are </w:t>
      </w:r>
      <w:r w:rsidRPr="003E27C9">
        <w:rPr>
          <w:rFonts w:ascii="Calibri" w:eastAsia="Times New Roman" w:hAnsi="Calibri" w:cs="Times New Roman"/>
        </w:rPr>
        <w:t>welcome to leave with no questions asked.</w:t>
      </w:r>
    </w:p>
    <w:p w14:paraId="5366066E" w14:textId="77777777" w:rsidR="00572E3D" w:rsidRPr="003E27C9" w:rsidRDefault="00572E3D" w:rsidP="00572E3D">
      <w:pPr>
        <w:spacing w:before="100" w:after="200" w:line="276" w:lineRule="auto"/>
        <w:rPr>
          <w:rFonts w:ascii="Calibri" w:eastAsia="Times New Roman" w:hAnsi="Calibri" w:cs="Times New Roman"/>
          <w:b/>
        </w:rPr>
      </w:pPr>
      <w:r w:rsidRPr="003E27C9">
        <w:rPr>
          <w:rFonts w:ascii="Calibri" w:eastAsia="Times New Roman" w:hAnsi="Calibri" w:cs="Times New Roman"/>
          <w:b/>
        </w:rPr>
        <w:t xml:space="preserve">What should I do now if I want </w:t>
      </w:r>
      <w:r w:rsidRPr="003E27C9">
        <w:rPr>
          <w:rFonts w:ascii="Calibri" w:eastAsia="Times New Roman" w:hAnsi="Calibri" w:cs="Times New Roman"/>
          <w:b/>
          <w:i/>
        </w:rPr>
        <w:t>my child</w:t>
      </w:r>
      <w:r w:rsidRPr="003E27C9">
        <w:rPr>
          <w:rFonts w:ascii="Calibri" w:eastAsia="Times New Roman" w:hAnsi="Calibri" w:cs="Times New Roman"/>
          <w:b/>
        </w:rPr>
        <w:t xml:space="preserve"> to take part?</w:t>
      </w:r>
    </w:p>
    <w:p w14:paraId="0C119CC1" w14:textId="7EE636CC" w:rsidR="00572E3D" w:rsidRPr="003E27C9" w:rsidRDefault="00572E3D" w:rsidP="00572E3D">
      <w:pPr>
        <w:spacing w:before="100" w:after="200" w:line="276" w:lineRule="auto"/>
        <w:rPr>
          <w:rFonts w:ascii="Calibri" w:eastAsia="Times New Roman" w:hAnsi="Calibri" w:cs="Times New Roman"/>
        </w:rPr>
      </w:pPr>
      <w:r w:rsidRPr="003E27C9">
        <w:rPr>
          <w:rFonts w:ascii="Calibri" w:eastAsia="Times New Roman" w:hAnsi="Calibri" w:cs="Times New Roman"/>
        </w:rPr>
        <w:t xml:space="preserve">If you would like your </w:t>
      </w:r>
      <w:r w:rsidRPr="003E27C9">
        <w:rPr>
          <w:rFonts w:ascii="Calibri" w:eastAsia="Times New Roman" w:hAnsi="Calibri" w:cs="Times New Roman"/>
          <w:b/>
        </w:rPr>
        <w:t>child</w:t>
      </w:r>
      <w:r w:rsidRPr="003E27C9">
        <w:rPr>
          <w:rFonts w:ascii="Calibri" w:eastAsia="Times New Roman" w:hAnsi="Calibri" w:cs="Times New Roman"/>
        </w:rPr>
        <w:t xml:space="preserve"> to partake in the focus </w:t>
      </w:r>
      <w:r w:rsidR="007D734F" w:rsidRPr="003E27C9">
        <w:rPr>
          <w:rFonts w:ascii="Calibri" w:eastAsia="Times New Roman" w:hAnsi="Calibri" w:cs="Times New Roman"/>
        </w:rPr>
        <w:t>group,</w:t>
      </w:r>
      <w:r w:rsidRPr="003E27C9">
        <w:rPr>
          <w:rFonts w:ascii="Calibri" w:eastAsia="Times New Roman" w:hAnsi="Calibri" w:cs="Times New Roman"/>
        </w:rPr>
        <w:t xml:space="preserve"> please fill out </w:t>
      </w:r>
      <w:r>
        <w:rPr>
          <w:rFonts w:ascii="Calibri" w:eastAsia="Times New Roman" w:hAnsi="Calibri" w:cs="Times New Roman"/>
        </w:rPr>
        <w:t xml:space="preserve">the </w:t>
      </w:r>
      <w:r w:rsidRPr="003E27C9">
        <w:rPr>
          <w:rFonts w:ascii="Calibri" w:eastAsia="Times New Roman" w:hAnsi="Calibri" w:cs="Times New Roman"/>
          <w:b/>
        </w:rPr>
        <w:t>SLIP</w:t>
      </w:r>
      <w:r w:rsidRPr="003E27C9">
        <w:rPr>
          <w:rFonts w:ascii="Calibri" w:eastAsia="Times New Roman" w:hAnsi="Calibri" w:cs="Times New Roman"/>
        </w:rPr>
        <w:t xml:space="preserve"> below and return it to the school by </w:t>
      </w:r>
      <w:r w:rsidRPr="003E27C9">
        <w:rPr>
          <w:rFonts w:ascii="Calibri" w:eastAsia="Times New Roman" w:hAnsi="Calibri" w:cs="Times New Roman"/>
          <w:b/>
        </w:rPr>
        <w:t>DATE</w:t>
      </w:r>
      <w:r w:rsidRPr="003E27C9">
        <w:rPr>
          <w:rFonts w:ascii="Calibri" w:eastAsia="Times New Roman" w:hAnsi="Calibri" w:cs="Times New Roman"/>
        </w:rPr>
        <w:t>.</w:t>
      </w:r>
    </w:p>
    <w:p w14:paraId="1AB75615" w14:textId="017F6443" w:rsidR="00572E3D" w:rsidRPr="003E27C9" w:rsidRDefault="00572E3D" w:rsidP="00572E3D">
      <w:pPr>
        <w:spacing w:before="100" w:after="200" w:line="276" w:lineRule="auto"/>
        <w:rPr>
          <w:rFonts w:ascii="Calibri" w:eastAsia="Times New Roman" w:hAnsi="Calibri" w:cs="Times New Roman"/>
        </w:rPr>
      </w:pPr>
      <w:r w:rsidRPr="003E27C9">
        <w:rPr>
          <w:rFonts w:ascii="Calibri" w:eastAsia="Times New Roman" w:hAnsi="Calibri" w:cs="Times New Roman"/>
          <w:noProof/>
          <w:lang w:eastAsia="en-GB"/>
        </w:rPr>
        <w:drawing>
          <wp:anchor distT="0" distB="0" distL="114300" distR="114300" simplePos="0" relativeHeight="251596800" behindDoc="1" locked="0" layoutInCell="1" allowOverlap="1" wp14:anchorId="4FB48B46" wp14:editId="5C4FCAF4">
            <wp:simplePos x="0" y="0"/>
            <wp:positionH relativeFrom="column">
              <wp:posOffset>4048125</wp:posOffset>
            </wp:positionH>
            <wp:positionV relativeFrom="paragraph">
              <wp:posOffset>219710</wp:posOffset>
            </wp:positionV>
            <wp:extent cx="2447925" cy="1323975"/>
            <wp:effectExtent l="0" t="0" r="9525" b="9525"/>
            <wp:wrapNone/>
            <wp:docPr id="230" name="Picture 230" descr="http://www.drodd.com/images10/school-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odd.com/images10/school-clipart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7C9">
        <w:rPr>
          <w:rFonts w:ascii="Calibri" w:eastAsia="Times New Roman" w:hAnsi="Calibri" w:cs="Times New Roman"/>
        </w:rPr>
        <w:t xml:space="preserve">Thank you for taking the time to read this and I look forward to hearing from you. If you have any further </w:t>
      </w:r>
      <w:r w:rsidR="007D734F" w:rsidRPr="003E27C9">
        <w:rPr>
          <w:rFonts w:ascii="Calibri" w:eastAsia="Times New Roman" w:hAnsi="Calibri" w:cs="Times New Roman"/>
        </w:rPr>
        <w:t>questions,</w:t>
      </w:r>
      <w:r w:rsidRPr="003E27C9">
        <w:rPr>
          <w:rFonts w:ascii="Calibri" w:eastAsia="Times New Roman" w:hAnsi="Calibri" w:cs="Times New Roman"/>
        </w:rPr>
        <w:t xml:space="preserve"> please contact</w:t>
      </w:r>
      <w:r w:rsidR="002E6FE2">
        <w:rPr>
          <w:rFonts w:ascii="Calibri" w:eastAsia="Times New Roman" w:hAnsi="Calibri" w:cs="Times New Roman"/>
        </w:rPr>
        <w:t xml:space="preserve"> me.</w:t>
      </w:r>
    </w:p>
    <w:p w14:paraId="066E1F6D" w14:textId="1E9BD5ED" w:rsidR="00572E3D" w:rsidRPr="003E27C9" w:rsidRDefault="00572E3D" w:rsidP="00572E3D">
      <w:pPr>
        <w:spacing w:before="100" w:after="200" w:line="276" w:lineRule="auto"/>
        <w:rPr>
          <w:rFonts w:ascii="Calibri" w:eastAsia="Times New Roman" w:hAnsi="Calibri" w:cs="Times New Roman"/>
        </w:rPr>
      </w:pPr>
    </w:p>
    <w:p w14:paraId="49B84A20" w14:textId="77777777" w:rsidR="00572E3D" w:rsidRDefault="00572E3D" w:rsidP="00572E3D">
      <w:pPr>
        <w:spacing w:after="0" w:line="240" w:lineRule="auto"/>
        <w:rPr>
          <w:rFonts w:ascii="Calibri" w:eastAsia="Calibri" w:hAnsi="Calibri" w:cs="Times New Roman"/>
        </w:rPr>
        <w:sectPr w:rsidR="00572E3D" w:rsidSect="00B32EBC">
          <w:type w:val="continuous"/>
          <w:pgSz w:w="11906" w:h="16838"/>
          <w:pgMar w:top="1440" w:right="1440" w:bottom="1440" w:left="1440" w:header="708" w:footer="708" w:gutter="0"/>
          <w:cols w:space="708"/>
          <w:docGrid w:linePitch="360"/>
        </w:sectPr>
      </w:pPr>
    </w:p>
    <w:p w14:paraId="7D1DBE3E" w14:textId="466853B7" w:rsidR="002E6FE2" w:rsidRDefault="002E6FE2" w:rsidP="00572E3D">
      <w:pPr>
        <w:spacing w:after="0" w:line="240" w:lineRule="auto"/>
        <w:rPr>
          <w:rFonts w:ascii="Calibri" w:eastAsia="Calibri" w:hAnsi="Calibri" w:cs="Times New Roman"/>
        </w:rPr>
      </w:pPr>
      <w:r>
        <w:rPr>
          <w:rFonts w:ascii="Calibri" w:eastAsia="Calibri" w:hAnsi="Calibri" w:cs="Times New Roman"/>
        </w:rPr>
        <w:lastRenderedPageBreak/>
        <w:t xml:space="preserve">Kind regards </w:t>
      </w:r>
    </w:p>
    <w:p w14:paraId="32AD3A76" w14:textId="77777777" w:rsidR="002E6FE2" w:rsidRDefault="002E6FE2" w:rsidP="00572E3D">
      <w:pPr>
        <w:spacing w:after="0" w:line="240" w:lineRule="auto"/>
        <w:rPr>
          <w:rFonts w:ascii="Calibri" w:eastAsia="Calibri" w:hAnsi="Calibri" w:cs="Times New Roman"/>
        </w:rPr>
      </w:pPr>
    </w:p>
    <w:p w14:paraId="3E0089F0" w14:textId="7918421D"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rPr>
        <w:t>Sian Calvert</w:t>
      </w:r>
    </w:p>
    <w:p w14:paraId="35B88DA3" w14:textId="77777777" w:rsidR="00572E3D" w:rsidRPr="003E27C9" w:rsidRDefault="00322DCE" w:rsidP="00572E3D">
      <w:pPr>
        <w:spacing w:after="0" w:line="240" w:lineRule="auto"/>
        <w:rPr>
          <w:rFonts w:ascii="Calibri" w:eastAsia="Calibri" w:hAnsi="Calibri" w:cs="Times New Roman"/>
          <w:color w:val="0563C1"/>
          <w:u w:val="single"/>
        </w:rPr>
      </w:pPr>
      <w:hyperlink r:id="rId49" w:history="1">
        <w:r w:rsidR="00572E3D" w:rsidRPr="003E27C9">
          <w:rPr>
            <w:rFonts w:ascii="Calibri" w:eastAsia="Calibri" w:hAnsi="Calibri" w:cs="Times New Roman"/>
            <w:color w:val="0563C1"/>
            <w:u w:val="single"/>
          </w:rPr>
          <w:t>Sian.calvert@research.staffs.ac.uk</w:t>
        </w:r>
      </w:hyperlink>
    </w:p>
    <w:p w14:paraId="041E6AB4" w14:textId="77777777"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i/>
        </w:rPr>
        <w:t xml:space="preserve">PhD student in psychology, at Staffordshire University </w:t>
      </w:r>
    </w:p>
    <w:p w14:paraId="1DF02F9E" w14:textId="77777777" w:rsidR="00572E3D" w:rsidRPr="003E27C9" w:rsidRDefault="00572E3D" w:rsidP="00572E3D">
      <w:pPr>
        <w:spacing w:after="0" w:line="240" w:lineRule="auto"/>
        <w:rPr>
          <w:rFonts w:ascii="Calibri" w:eastAsia="Calibri" w:hAnsi="Calibri" w:cs="Times New Roman"/>
        </w:rPr>
      </w:pPr>
    </w:p>
    <w:p w14:paraId="225F8B07" w14:textId="77777777" w:rsidR="00572E3D" w:rsidRDefault="00572E3D" w:rsidP="00572E3D">
      <w:pPr>
        <w:spacing w:after="0" w:line="240" w:lineRule="auto"/>
        <w:rPr>
          <w:rFonts w:ascii="Calibri" w:eastAsia="Calibri" w:hAnsi="Calibri" w:cs="Times New Roman"/>
        </w:rPr>
      </w:pPr>
    </w:p>
    <w:p w14:paraId="46656216" w14:textId="77777777" w:rsidR="00572E3D" w:rsidRDefault="00572E3D" w:rsidP="00572E3D">
      <w:pPr>
        <w:spacing w:after="0" w:line="240" w:lineRule="auto"/>
        <w:rPr>
          <w:rFonts w:ascii="Calibri" w:eastAsia="Calibri" w:hAnsi="Calibri" w:cs="Times New Roman"/>
        </w:rPr>
      </w:pPr>
    </w:p>
    <w:p w14:paraId="3A70B7F7" w14:textId="77777777" w:rsidR="00572E3D" w:rsidRDefault="00572E3D" w:rsidP="00572E3D">
      <w:pPr>
        <w:spacing w:after="0" w:line="240" w:lineRule="auto"/>
        <w:rPr>
          <w:rFonts w:ascii="Calibri" w:eastAsia="Calibri" w:hAnsi="Calibri" w:cs="Times New Roman"/>
        </w:rPr>
      </w:pPr>
    </w:p>
    <w:p w14:paraId="114E4DA2" w14:textId="77777777" w:rsidR="00572E3D" w:rsidRDefault="00572E3D" w:rsidP="00572E3D">
      <w:pPr>
        <w:spacing w:after="0" w:line="240" w:lineRule="auto"/>
        <w:rPr>
          <w:rFonts w:ascii="Calibri" w:eastAsia="Calibri" w:hAnsi="Calibri" w:cs="Times New Roman"/>
        </w:rPr>
        <w:sectPr w:rsidR="00572E3D" w:rsidSect="00B32EBC">
          <w:type w:val="continuous"/>
          <w:pgSz w:w="11906" w:h="16838"/>
          <w:pgMar w:top="1440" w:right="1440" w:bottom="1440" w:left="1440" w:header="708" w:footer="708" w:gutter="0"/>
          <w:cols w:num="2" w:space="708"/>
          <w:docGrid w:linePitch="360"/>
        </w:sectPr>
      </w:pPr>
    </w:p>
    <w:p w14:paraId="0404FD99" w14:textId="77777777"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rPr>
        <w:t>Supervisors:</w:t>
      </w:r>
    </w:p>
    <w:p w14:paraId="4E817D78" w14:textId="77777777" w:rsidR="00572E3D" w:rsidRDefault="00572E3D" w:rsidP="00572E3D">
      <w:pPr>
        <w:spacing w:after="0" w:line="240" w:lineRule="auto"/>
        <w:rPr>
          <w:rFonts w:ascii="Calibri" w:eastAsia="Calibri" w:hAnsi="Calibri" w:cs="Times New Roman"/>
        </w:rPr>
      </w:pPr>
    </w:p>
    <w:p w14:paraId="58B748D9" w14:textId="77777777" w:rsidR="00572E3D" w:rsidRDefault="00572E3D" w:rsidP="00572E3D">
      <w:pPr>
        <w:spacing w:after="0" w:line="240" w:lineRule="auto"/>
        <w:rPr>
          <w:rFonts w:ascii="Calibri" w:eastAsia="Calibri" w:hAnsi="Calibri" w:cs="Times New Roman"/>
        </w:rPr>
        <w:sectPr w:rsidR="00572E3D" w:rsidSect="00A53074">
          <w:type w:val="continuous"/>
          <w:pgSz w:w="11906" w:h="16838"/>
          <w:pgMar w:top="1440" w:right="1440" w:bottom="1440" w:left="1440" w:header="708" w:footer="708" w:gutter="0"/>
          <w:cols w:space="708"/>
          <w:docGrid w:linePitch="360"/>
        </w:sectPr>
      </w:pPr>
    </w:p>
    <w:p w14:paraId="0A728806" w14:textId="77777777"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rPr>
        <w:t xml:space="preserve">Dr. Robert Dempsey </w:t>
      </w:r>
    </w:p>
    <w:p w14:paraId="66D903D4" w14:textId="77777777"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rPr>
        <w:t>robert.dempsey@staffs.ac.uk</w:t>
      </w:r>
    </w:p>
    <w:p w14:paraId="2E74B7F4" w14:textId="77777777" w:rsidR="00572E3D" w:rsidRPr="003E27C9" w:rsidRDefault="00572E3D" w:rsidP="00572E3D">
      <w:pPr>
        <w:spacing w:after="0" w:line="240" w:lineRule="auto"/>
        <w:rPr>
          <w:rFonts w:ascii="Calibri" w:eastAsia="Calibri" w:hAnsi="Calibri" w:cs="Times New Roman"/>
          <w:i/>
        </w:rPr>
      </w:pPr>
      <w:r w:rsidRPr="003E27C9">
        <w:rPr>
          <w:rFonts w:ascii="Calibri" w:eastAsia="Calibri" w:hAnsi="Calibri" w:cs="Times New Roman"/>
          <w:i/>
        </w:rPr>
        <w:t xml:space="preserve">Lecturer at Staffordshire University </w:t>
      </w:r>
    </w:p>
    <w:p w14:paraId="4EC1E09C"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7ED299C2" w14:textId="77777777" w:rsidR="00572E3D" w:rsidRPr="003E27C9" w:rsidRDefault="00572E3D" w:rsidP="00572E3D">
      <w:pPr>
        <w:spacing w:after="0" w:line="240" w:lineRule="auto"/>
        <w:rPr>
          <w:rFonts w:ascii="Calibri" w:eastAsia="Calibri" w:hAnsi="Calibri" w:cs="Times New Roman"/>
        </w:rPr>
      </w:pPr>
    </w:p>
    <w:p w14:paraId="7061A68D" w14:textId="77777777"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rPr>
        <w:t xml:space="preserve">Dr. Rachel Povey </w:t>
      </w:r>
    </w:p>
    <w:p w14:paraId="6D3F71D2" w14:textId="77777777" w:rsidR="00572E3D" w:rsidRPr="003E27C9" w:rsidRDefault="00572E3D" w:rsidP="00572E3D">
      <w:pPr>
        <w:spacing w:after="0" w:line="240" w:lineRule="auto"/>
        <w:rPr>
          <w:rFonts w:ascii="Calibri" w:eastAsia="Calibri" w:hAnsi="Calibri" w:cs="Times New Roman"/>
        </w:rPr>
      </w:pPr>
      <w:r w:rsidRPr="003E27C9">
        <w:rPr>
          <w:rFonts w:ascii="Calibri" w:eastAsia="Calibri" w:hAnsi="Calibri" w:cs="Times New Roman"/>
        </w:rPr>
        <w:t>r.povey@staffs.ac.uk</w:t>
      </w:r>
    </w:p>
    <w:p w14:paraId="35FE7635" w14:textId="77777777" w:rsidR="00572E3D" w:rsidRPr="003E27C9" w:rsidRDefault="00572E3D" w:rsidP="00572E3D">
      <w:pPr>
        <w:spacing w:after="0" w:line="240" w:lineRule="auto"/>
        <w:rPr>
          <w:rFonts w:ascii="Calibri" w:eastAsia="Calibri" w:hAnsi="Calibri" w:cs="Times New Roman"/>
          <w:i/>
        </w:rPr>
      </w:pPr>
      <w:r w:rsidRPr="003E27C9">
        <w:rPr>
          <w:rFonts w:ascii="Calibri" w:eastAsia="Calibri" w:hAnsi="Calibri" w:cs="Times New Roman"/>
          <w:i/>
        </w:rPr>
        <w:t xml:space="preserve">Senior Lecturer at Staffordshire University </w:t>
      </w:r>
    </w:p>
    <w:p w14:paraId="7E099EE6"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5221E0FA" w14:textId="77777777" w:rsidR="00572E3D" w:rsidRDefault="00572E3D" w:rsidP="00572E3D">
      <w:pPr>
        <w:spacing w:before="100" w:after="200" w:line="276" w:lineRule="auto"/>
        <w:rPr>
          <w:rFonts w:ascii="Calibri" w:eastAsia="Times New Roman" w:hAnsi="Calibri" w:cs="Times New Roman"/>
        </w:rPr>
        <w:sectPr w:rsidR="00572E3D" w:rsidSect="00B32EBC">
          <w:type w:val="continuous"/>
          <w:pgSz w:w="11906" w:h="16838"/>
          <w:pgMar w:top="1440" w:right="1440" w:bottom="1440" w:left="1440" w:header="708" w:footer="708" w:gutter="0"/>
          <w:cols w:num="2" w:space="708"/>
          <w:docGrid w:linePitch="360"/>
        </w:sectPr>
      </w:pPr>
    </w:p>
    <w:p w14:paraId="78C0C7BC" w14:textId="77777777" w:rsidR="00572E3D" w:rsidRDefault="00572E3D" w:rsidP="00572E3D">
      <w:pPr>
        <w:spacing w:before="100" w:after="200" w:line="276" w:lineRule="auto"/>
        <w:rPr>
          <w:rFonts w:ascii="Calibri" w:eastAsia="Times New Roman" w:hAnsi="Calibri" w:cs="Times New Roman"/>
        </w:rPr>
        <w:sectPr w:rsidR="00572E3D" w:rsidSect="00A53074">
          <w:type w:val="continuous"/>
          <w:pgSz w:w="11906" w:h="16838"/>
          <w:pgMar w:top="1440" w:right="1440" w:bottom="1440" w:left="1440" w:header="708" w:footer="708" w:gutter="0"/>
          <w:cols w:space="708"/>
          <w:docGrid w:linePitch="360"/>
        </w:sectPr>
      </w:pPr>
      <w:r w:rsidRPr="003E27C9">
        <w:rPr>
          <w:rFonts w:ascii="Calibri" w:eastAsia="Times New Roman" w:hAnsi="Calibri" w:cs="Times New Roman"/>
          <w:b/>
          <w:noProof/>
          <w:sz w:val="32"/>
          <w:szCs w:val="32"/>
          <w:lang w:eastAsia="en-GB"/>
        </w:rPr>
        <mc:AlternateContent>
          <mc:Choice Requires="wps">
            <w:drawing>
              <wp:anchor distT="0" distB="0" distL="114300" distR="114300" simplePos="0" relativeHeight="251599872" behindDoc="0" locked="0" layoutInCell="1" allowOverlap="1" wp14:anchorId="7C29DA43" wp14:editId="6CA7448F">
                <wp:simplePos x="0" y="0"/>
                <wp:positionH relativeFrom="column">
                  <wp:posOffset>-239395</wp:posOffset>
                </wp:positionH>
                <wp:positionV relativeFrom="paragraph">
                  <wp:posOffset>417041</wp:posOffset>
                </wp:positionV>
                <wp:extent cx="6436360" cy="1709420"/>
                <wp:effectExtent l="19050" t="19050" r="21590" b="24130"/>
                <wp:wrapNone/>
                <wp:docPr id="10" name="Rectangle 10"/>
                <wp:cNvGraphicFramePr/>
                <a:graphic xmlns:a="http://schemas.openxmlformats.org/drawingml/2006/main">
                  <a:graphicData uri="http://schemas.microsoft.com/office/word/2010/wordprocessingShape">
                    <wps:wsp>
                      <wps:cNvSpPr/>
                      <wps:spPr>
                        <a:xfrm>
                          <a:off x="0" y="0"/>
                          <a:ext cx="6436360" cy="1709420"/>
                        </a:xfrm>
                        <a:prstGeom prst="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9B5141"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happy for my </w:t>
                            </w:r>
                            <w:r w:rsidRPr="00942C72">
                              <w:rPr>
                                <w:rFonts w:ascii="Calibri" w:eastAsia="Times New Roman" w:hAnsi="Calibri" w:cs="Times New Roman"/>
                                <w:b/>
                              </w:rPr>
                              <w:t>child</w:t>
                            </w:r>
                            <w:r w:rsidRPr="0063305B">
                              <w:rPr>
                                <w:rFonts w:ascii="Calibri" w:eastAsia="Times New Roman" w:hAnsi="Calibri" w:cs="Times New Roman"/>
                              </w:rPr>
                              <w:t xml:space="preserve"> to take part in the healthy eating focus group. </w:t>
                            </w:r>
                          </w:p>
                          <w:p w14:paraId="3C88E728"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6B18BA60" w14:textId="77777777" w:rsidR="00572E3D" w:rsidRDefault="00572E3D" w:rsidP="00572E3D">
                            <w:pPr>
                              <w:spacing w:before="100" w:after="200" w:line="276" w:lineRule="auto"/>
                              <w:rPr>
                                <w:rFonts w:ascii="Calibri" w:eastAsia="Times New Roman" w:hAnsi="Calibri" w:cs="Times New Roman"/>
                              </w:rPr>
                            </w:pPr>
                            <w:r>
                              <w:rPr>
                                <w:rFonts w:ascii="Calibri" w:eastAsia="Times New Roman" w:hAnsi="Calibri" w:cs="Times New Roman"/>
                              </w:rPr>
                              <w:t>Person with parental responsibility’s s</w:t>
                            </w:r>
                            <w:r w:rsidRPr="0063305B">
                              <w:rPr>
                                <w:rFonts w:ascii="Calibri" w:eastAsia="Times New Roman" w:hAnsi="Calibri" w:cs="Times New Roman"/>
                              </w:rPr>
                              <w:t>i</w:t>
                            </w:r>
                            <w:r>
                              <w:rPr>
                                <w:rFonts w:ascii="Calibri" w:eastAsia="Times New Roman" w:hAnsi="Calibri" w:cs="Times New Roman"/>
                              </w:rPr>
                              <w:t>gnature……………………………………………………………</w:t>
                            </w:r>
                            <w:r w:rsidRPr="0063305B">
                              <w:rPr>
                                <w:rFonts w:ascii="Calibri" w:eastAsia="Times New Roman" w:hAnsi="Calibri" w:cs="Times New Roman"/>
                              </w:rPr>
                              <w:t xml:space="preserve"> Date ………………………</w:t>
                            </w:r>
                          </w:p>
                          <w:p w14:paraId="2EB2F4B4" w14:textId="77777777" w:rsidR="00572E3D" w:rsidRPr="0063305B" w:rsidRDefault="00572E3D" w:rsidP="00572E3D">
                            <w:pPr>
                              <w:spacing w:before="100" w:after="200" w:line="276" w:lineRule="auto"/>
                              <w:rPr>
                                <w:rFonts w:ascii="Calibri" w:eastAsia="Times New Roman" w:hAnsi="Calibri" w:cs="Times New Roman"/>
                              </w:rPr>
                            </w:pPr>
                            <w:r w:rsidRPr="003E27C9">
                              <w:rPr>
                                <w:rFonts w:ascii="Calibri" w:eastAsia="Times New Roman" w:hAnsi="Calibri" w:cs="Times New Roman"/>
                              </w:rPr>
                              <w:t>Student’s signature…</w:t>
                            </w:r>
                            <w:r>
                              <w:rPr>
                                <w:rFonts w:ascii="Calibri" w:eastAsia="Times New Roman" w:hAnsi="Calibri" w:cs="Times New Roman"/>
                              </w:rPr>
                              <w:t xml:space="preserve">………………………………………………….. Date………………………………… </w:t>
                            </w:r>
                          </w:p>
                          <w:p w14:paraId="226272BC" w14:textId="77777777" w:rsidR="00572E3D" w:rsidRDefault="00572E3D" w:rsidP="00572E3D">
                            <w:pPr>
                              <w:jc w:val="center"/>
                            </w:pPr>
                          </w:p>
                          <w:p w14:paraId="35D86BDE" w14:textId="77777777" w:rsidR="00D1262B" w:rsidRDefault="00D1262B"/>
                          <w:p w14:paraId="6752765A" w14:textId="4AAEE7C2"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happy for my </w:t>
                            </w:r>
                            <w:r w:rsidRPr="00942C72">
                              <w:rPr>
                                <w:rFonts w:ascii="Calibri" w:eastAsia="Times New Roman" w:hAnsi="Calibri" w:cs="Times New Roman"/>
                                <w:b/>
                              </w:rPr>
                              <w:t>child</w:t>
                            </w:r>
                            <w:r w:rsidRPr="0063305B">
                              <w:rPr>
                                <w:rFonts w:ascii="Calibri" w:eastAsia="Times New Roman" w:hAnsi="Calibri" w:cs="Times New Roman"/>
                              </w:rPr>
                              <w:t xml:space="preserve"> to take part in the healthy eating focus group. </w:t>
                            </w:r>
                          </w:p>
                          <w:p w14:paraId="61934FB2"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6B653E85" w14:textId="77777777" w:rsidR="00572E3D" w:rsidRDefault="00572E3D" w:rsidP="00572E3D">
                            <w:pPr>
                              <w:spacing w:before="100" w:after="200" w:line="276" w:lineRule="auto"/>
                              <w:rPr>
                                <w:rFonts w:ascii="Calibri" w:eastAsia="Times New Roman" w:hAnsi="Calibri" w:cs="Times New Roman"/>
                              </w:rPr>
                            </w:pPr>
                            <w:r>
                              <w:rPr>
                                <w:rFonts w:ascii="Calibri" w:eastAsia="Times New Roman" w:hAnsi="Calibri" w:cs="Times New Roman"/>
                              </w:rPr>
                              <w:t>Person with parental responsibility’s s</w:t>
                            </w:r>
                            <w:r w:rsidRPr="0063305B">
                              <w:rPr>
                                <w:rFonts w:ascii="Calibri" w:eastAsia="Times New Roman" w:hAnsi="Calibri" w:cs="Times New Roman"/>
                              </w:rPr>
                              <w:t>i</w:t>
                            </w:r>
                            <w:r>
                              <w:rPr>
                                <w:rFonts w:ascii="Calibri" w:eastAsia="Times New Roman" w:hAnsi="Calibri" w:cs="Times New Roman"/>
                              </w:rPr>
                              <w:t>gnature……………………………………………………………</w:t>
                            </w:r>
                            <w:r w:rsidRPr="0063305B">
                              <w:rPr>
                                <w:rFonts w:ascii="Calibri" w:eastAsia="Times New Roman" w:hAnsi="Calibri" w:cs="Times New Roman"/>
                              </w:rPr>
                              <w:t xml:space="preserve"> Date ………………………</w:t>
                            </w:r>
                          </w:p>
                          <w:p w14:paraId="261C72DF" w14:textId="77777777" w:rsidR="00572E3D" w:rsidRPr="0063305B" w:rsidRDefault="00572E3D" w:rsidP="00572E3D">
                            <w:pPr>
                              <w:spacing w:before="100" w:after="200" w:line="276" w:lineRule="auto"/>
                              <w:rPr>
                                <w:rFonts w:ascii="Calibri" w:eastAsia="Times New Roman" w:hAnsi="Calibri" w:cs="Times New Roman"/>
                              </w:rPr>
                            </w:pPr>
                            <w:r w:rsidRPr="003E27C9">
                              <w:rPr>
                                <w:rFonts w:ascii="Calibri" w:eastAsia="Times New Roman" w:hAnsi="Calibri" w:cs="Times New Roman"/>
                              </w:rPr>
                              <w:t>Student’s signature…</w:t>
                            </w:r>
                            <w:r>
                              <w:rPr>
                                <w:rFonts w:ascii="Calibri" w:eastAsia="Times New Roman" w:hAnsi="Calibri" w:cs="Times New Roman"/>
                              </w:rPr>
                              <w:t xml:space="preserve">………………………………………………….. Date………………………………… </w:t>
                            </w:r>
                          </w:p>
                          <w:p w14:paraId="2C6FA6E9" w14:textId="77777777" w:rsidR="00572E3D"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9DA43" id="Rectangle 10" o:spid="_x0000_s1046" style="position:absolute;margin-left:-18.85pt;margin-top:32.85pt;width:506.8pt;height:134.6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" fillcolor="white [3201]" strokecolor="black [3213]" strokeweight="3pt">
                <v:textbox>
                  <w:txbxContent>
                    <w:p w14:paraId="179B5141"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happy for my </w:t>
                      </w:r>
                      <w:r w:rsidRPr="00942C72">
                        <w:rPr>
                          <w:rFonts w:ascii="Calibri" w:eastAsia="Times New Roman" w:hAnsi="Calibri" w:cs="Times New Roman"/>
                          <w:b/>
                        </w:rPr>
                        <w:t>child</w:t>
                      </w:r>
                      <w:r w:rsidRPr="0063305B">
                        <w:rPr>
                          <w:rFonts w:ascii="Calibri" w:eastAsia="Times New Roman" w:hAnsi="Calibri" w:cs="Times New Roman"/>
                        </w:rPr>
                        <w:t xml:space="preserve"> to take part in the healthy eating focus group. </w:t>
                      </w:r>
                    </w:p>
                    <w:p w14:paraId="3C88E728"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6B18BA60" w14:textId="77777777" w:rsidR="00572E3D" w:rsidRDefault="00572E3D" w:rsidP="00572E3D">
                      <w:pPr>
                        <w:spacing w:before="100" w:after="200" w:line="276" w:lineRule="auto"/>
                        <w:rPr>
                          <w:rFonts w:ascii="Calibri" w:eastAsia="Times New Roman" w:hAnsi="Calibri" w:cs="Times New Roman"/>
                        </w:rPr>
                      </w:pPr>
                      <w:r>
                        <w:rPr>
                          <w:rFonts w:ascii="Calibri" w:eastAsia="Times New Roman" w:hAnsi="Calibri" w:cs="Times New Roman"/>
                        </w:rPr>
                        <w:t>Person with parental responsibility’s s</w:t>
                      </w:r>
                      <w:r w:rsidRPr="0063305B">
                        <w:rPr>
                          <w:rFonts w:ascii="Calibri" w:eastAsia="Times New Roman" w:hAnsi="Calibri" w:cs="Times New Roman"/>
                        </w:rPr>
                        <w:t>i</w:t>
                      </w:r>
                      <w:r>
                        <w:rPr>
                          <w:rFonts w:ascii="Calibri" w:eastAsia="Times New Roman" w:hAnsi="Calibri" w:cs="Times New Roman"/>
                        </w:rPr>
                        <w:t>gnature……………………………………………………………</w:t>
                      </w:r>
                      <w:r w:rsidRPr="0063305B">
                        <w:rPr>
                          <w:rFonts w:ascii="Calibri" w:eastAsia="Times New Roman" w:hAnsi="Calibri" w:cs="Times New Roman"/>
                        </w:rPr>
                        <w:t xml:space="preserve"> Date ………………………</w:t>
                      </w:r>
                    </w:p>
                    <w:p w14:paraId="2EB2F4B4" w14:textId="77777777" w:rsidR="00572E3D" w:rsidRPr="0063305B" w:rsidRDefault="00572E3D" w:rsidP="00572E3D">
                      <w:pPr>
                        <w:spacing w:before="100" w:after="200" w:line="276" w:lineRule="auto"/>
                        <w:rPr>
                          <w:rFonts w:ascii="Calibri" w:eastAsia="Times New Roman" w:hAnsi="Calibri" w:cs="Times New Roman"/>
                        </w:rPr>
                      </w:pPr>
                      <w:r w:rsidRPr="003E27C9">
                        <w:rPr>
                          <w:rFonts w:ascii="Calibri" w:eastAsia="Times New Roman" w:hAnsi="Calibri" w:cs="Times New Roman"/>
                        </w:rPr>
                        <w:t>Student’s signature…</w:t>
                      </w:r>
                      <w:r>
                        <w:rPr>
                          <w:rFonts w:ascii="Calibri" w:eastAsia="Times New Roman" w:hAnsi="Calibri" w:cs="Times New Roman"/>
                        </w:rPr>
                        <w:t xml:space="preserve">………………………………………………….. Date………………………………… </w:t>
                      </w:r>
                    </w:p>
                    <w:p w14:paraId="226272BC" w14:textId="77777777" w:rsidR="00572E3D" w:rsidRDefault="00572E3D" w:rsidP="00572E3D">
                      <w:pPr>
                        <w:jc w:val="center"/>
                      </w:pPr>
                    </w:p>
                    <w:p w14:paraId="35D86BDE" w14:textId="77777777" w:rsidR="00D1262B" w:rsidRDefault="00D1262B"/>
                    <w:p w14:paraId="6752765A" w14:textId="4AAEE7C2"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happy for my </w:t>
                      </w:r>
                      <w:r w:rsidRPr="00942C72">
                        <w:rPr>
                          <w:rFonts w:ascii="Calibri" w:eastAsia="Times New Roman" w:hAnsi="Calibri" w:cs="Times New Roman"/>
                          <w:b/>
                        </w:rPr>
                        <w:t>child</w:t>
                      </w:r>
                      <w:r w:rsidRPr="0063305B">
                        <w:rPr>
                          <w:rFonts w:ascii="Calibri" w:eastAsia="Times New Roman" w:hAnsi="Calibri" w:cs="Times New Roman"/>
                        </w:rPr>
                        <w:t xml:space="preserve"> to take part in the healthy eating focus group. </w:t>
                      </w:r>
                    </w:p>
                    <w:p w14:paraId="61934FB2"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6B653E85" w14:textId="77777777" w:rsidR="00572E3D" w:rsidRDefault="00572E3D" w:rsidP="00572E3D">
                      <w:pPr>
                        <w:spacing w:before="100" w:after="200" w:line="276" w:lineRule="auto"/>
                        <w:rPr>
                          <w:rFonts w:ascii="Calibri" w:eastAsia="Times New Roman" w:hAnsi="Calibri" w:cs="Times New Roman"/>
                        </w:rPr>
                      </w:pPr>
                      <w:r>
                        <w:rPr>
                          <w:rFonts w:ascii="Calibri" w:eastAsia="Times New Roman" w:hAnsi="Calibri" w:cs="Times New Roman"/>
                        </w:rPr>
                        <w:t>Person with parental responsibility’s s</w:t>
                      </w:r>
                      <w:r w:rsidRPr="0063305B">
                        <w:rPr>
                          <w:rFonts w:ascii="Calibri" w:eastAsia="Times New Roman" w:hAnsi="Calibri" w:cs="Times New Roman"/>
                        </w:rPr>
                        <w:t>i</w:t>
                      </w:r>
                      <w:r>
                        <w:rPr>
                          <w:rFonts w:ascii="Calibri" w:eastAsia="Times New Roman" w:hAnsi="Calibri" w:cs="Times New Roman"/>
                        </w:rPr>
                        <w:t>gnature……………………………………………………………</w:t>
                      </w:r>
                      <w:r w:rsidRPr="0063305B">
                        <w:rPr>
                          <w:rFonts w:ascii="Calibri" w:eastAsia="Times New Roman" w:hAnsi="Calibri" w:cs="Times New Roman"/>
                        </w:rPr>
                        <w:t xml:space="preserve"> Date ………………………</w:t>
                      </w:r>
                    </w:p>
                    <w:p w14:paraId="261C72DF" w14:textId="77777777" w:rsidR="00572E3D" w:rsidRPr="0063305B" w:rsidRDefault="00572E3D" w:rsidP="00572E3D">
                      <w:pPr>
                        <w:spacing w:before="100" w:after="200" w:line="276" w:lineRule="auto"/>
                        <w:rPr>
                          <w:rFonts w:ascii="Calibri" w:eastAsia="Times New Roman" w:hAnsi="Calibri" w:cs="Times New Roman"/>
                        </w:rPr>
                      </w:pPr>
                      <w:r w:rsidRPr="003E27C9">
                        <w:rPr>
                          <w:rFonts w:ascii="Calibri" w:eastAsia="Times New Roman" w:hAnsi="Calibri" w:cs="Times New Roman"/>
                        </w:rPr>
                        <w:t>Student’s signature…</w:t>
                      </w:r>
                      <w:r>
                        <w:rPr>
                          <w:rFonts w:ascii="Calibri" w:eastAsia="Times New Roman" w:hAnsi="Calibri" w:cs="Times New Roman"/>
                        </w:rPr>
                        <w:t xml:space="preserve">………………………………………………….. Date………………………………… </w:t>
                      </w:r>
                    </w:p>
                    <w:p w14:paraId="2C6FA6E9" w14:textId="77777777" w:rsidR="00572E3D" w:rsidRDefault="00572E3D" w:rsidP="00572E3D">
                      <w:pPr>
                        <w:jc w:val="center"/>
                      </w:pPr>
                    </w:p>
                  </w:txbxContent>
                </v:textbox>
              </v:rect>
            </w:pict>
          </mc:Fallback>
        </mc:AlternateContent>
      </w:r>
      <w:r w:rsidRPr="003E27C9">
        <w:rPr>
          <w:rFonts w:ascii="Calibri" w:eastAsia="Times New Roman" w:hAnsi="Calibri" w:cs="Times New Roman"/>
        </w:rPr>
        <w:sym w:font="Wingdings" w:char="F022"/>
      </w:r>
      <w:r w:rsidRPr="003E27C9">
        <w:rPr>
          <w:rFonts w:ascii="Calibri" w:eastAsia="Times New Roman" w:hAnsi="Calibri" w:cs="Times New Roman"/>
        </w:rPr>
        <w:t>--------------------------------</w:t>
      </w:r>
      <w:r w:rsidRPr="0063305B">
        <w:rPr>
          <w:rFonts w:ascii="Calibri" w:eastAsia="Times New Roman" w:hAnsi="Calibri" w:cs="Times New Roman"/>
        </w:rPr>
        <w:t>---------------------------------------------------------------------------------------</w:t>
      </w:r>
    </w:p>
    <w:p w14:paraId="16BB6D3D" w14:textId="77777777" w:rsidR="00572E3D" w:rsidRPr="003E27C9"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w:t>
      </w:r>
    </w:p>
    <w:p w14:paraId="2F5A6D0A" w14:textId="77777777" w:rsidR="00572E3D" w:rsidRPr="0063305B" w:rsidRDefault="00572E3D" w:rsidP="00572E3D">
      <w:pPr>
        <w:spacing w:before="100" w:after="200" w:line="276" w:lineRule="auto"/>
        <w:rPr>
          <w:rFonts w:ascii="Calibri" w:eastAsia="Times New Roman" w:hAnsi="Calibri" w:cs="Times New Roman"/>
        </w:rPr>
      </w:pPr>
    </w:p>
    <w:p w14:paraId="3B15F518" w14:textId="77777777" w:rsidR="00572E3D" w:rsidRDefault="00572E3D" w:rsidP="00572E3D">
      <w:pPr>
        <w:spacing w:before="100" w:after="200" w:line="276" w:lineRule="auto"/>
        <w:rPr>
          <w:rFonts w:ascii="Calibri" w:eastAsia="Times New Roman" w:hAnsi="Calibri" w:cs="Times New Roman"/>
        </w:rPr>
      </w:pPr>
    </w:p>
    <w:p w14:paraId="5468791A" w14:textId="77777777" w:rsidR="00572E3D" w:rsidRDefault="00572E3D" w:rsidP="00572E3D">
      <w:pPr>
        <w:spacing w:before="100" w:after="200" w:line="276" w:lineRule="auto"/>
        <w:rPr>
          <w:rFonts w:ascii="Calibri" w:eastAsia="Times New Roman" w:hAnsi="Calibri" w:cs="Times New Roman"/>
        </w:rPr>
      </w:pPr>
    </w:p>
    <w:p w14:paraId="46FABD0D" w14:textId="77777777" w:rsidR="00572E3D" w:rsidRDefault="00572E3D" w:rsidP="00572E3D">
      <w:pPr>
        <w:spacing w:before="100" w:after="200" w:line="276" w:lineRule="auto"/>
        <w:rPr>
          <w:rFonts w:ascii="Calibri" w:eastAsia="Times New Roman" w:hAnsi="Calibri" w:cs="Times New Roman"/>
        </w:rPr>
      </w:pPr>
    </w:p>
    <w:p w14:paraId="1C337710" w14:textId="77777777" w:rsidR="00572E3D" w:rsidRDefault="00572E3D" w:rsidP="00572E3D"/>
    <w:p w14:paraId="7D6B6465" w14:textId="77777777" w:rsidR="00572E3D" w:rsidRDefault="00572E3D" w:rsidP="00572E3D"/>
    <w:p w14:paraId="1BF770C1" w14:textId="77777777" w:rsidR="00572E3D" w:rsidRDefault="00572E3D" w:rsidP="00572E3D"/>
    <w:p w14:paraId="7EAD4B8A" w14:textId="77777777" w:rsidR="00572E3D" w:rsidRDefault="00572E3D" w:rsidP="00572E3D"/>
    <w:p w14:paraId="5937EC82" w14:textId="77777777" w:rsidR="00572E3D" w:rsidRDefault="00572E3D" w:rsidP="00572E3D"/>
    <w:p w14:paraId="51792F56" w14:textId="77777777" w:rsidR="00572E3D" w:rsidRDefault="00572E3D" w:rsidP="00572E3D"/>
    <w:p w14:paraId="3119D69A" w14:textId="77777777" w:rsidR="00572E3D" w:rsidRDefault="00572E3D" w:rsidP="00572E3D"/>
    <w:p w14:paraId="474A9C0D" w14:textId="77777777" w:rsidR="00572E3D" w:rsidRDefault="00572E3D" w:rsidP="00572E3D">
      <w:pPr>
        <w:spacing w:after="0"/>
        <w:rPr>
          <w:b/>
          <w:sz w:val="28"/>
          <w:szCs w:val="28"/>
        </w:rPr>
      </w:pPr>
    </w:p>
    <w:p w14:paraId="14516ADA" w14:textId="77777777" w:rsidR="00572E3D" w:rsidRDefault="00572E3D" w:rsidP="00572E3D">
      <w:pPr>
        <w:spacing w:after="0"/>
        <w:rPr>
          <w:b/>
          <w:sz w:val="28"/>
          <w:szCs w:val="28"/>
        </w:rPr>
      </w:pPr>
    </w:p>
    <w:p w14:paraId="127CF5A7" w14:textId="77777777" w:rsidR="00572E3D" w:rsidRDefault="00572E3D" w:rsidP="00572E3D">
      <w:pPr>
        <w:spacing w:after="0"/>
        <w:rPr>
          <w:b/>
          <w:sz w:val="28"/>
          <w:szCs w:val="28"/>
        </w:rPr>
      </w:pPr>
    </w:p>
    <w:p w14:paraId="5EE8D3F2" w14:textId="77777777" w:rsidR="00572E3D" w:rsidRDefault="00572E3D" w:rsidP="00572E3D">
      <w:pPr>
        <w:spacing w:after="0"/>
        <w:rPr>
          <w:b/>
          <w:sz w:val="28"/>
          <w:szCs w:val="28"/>
        </w:rPr>
      </w:pPr>
    </w:p>
    <w:p w14:paraId="2517C14F" w14:textId="77777777" w:rsidR="00572E3D" w:rsidRDefault="00572E3D" w:rsidP="00572E3D">
      <w:pPr>
        <w:spacing w:after="0"/>
        <w:rPr>
          <w:b/>
          <w:sz w:val="28"/>
          <w:szCs w:val="28"/>
        </w:rPr>
      </w:pPr>
    </w:p>
    <w:p w14:paraId="1B5FB7BD" w14:textId="77777777" w:rsidR="00572E3D" w:rsidRDefault="00572E3D" w:rsidP="00572E3D">
      <w:pPr>
        <w:spacing w:after="0"/>
        <w:rPr>
          <w:b/>
          <w:sz w:val="28"/>
          <w:szCs w:val="28"/>
        </w:rPr>
      </w:pPr>
    </w:p>
    <w:p w14:paraId="42187E70" w14:textId="77777777" w:rsidR="00572E3D" w:rsidRDefault="00572E3D" w:rsidP="00572E3D">
      <w:pPr>
        <w:spacing w:after="0"/>
        <w:rPr>
          <w:b/>
          <w:sz w:val="28"/>
          <w:szCs w:val="28"/>
        </w:rPr>
      </w:pPr>
    </w:p>
    <w:p w14:paraId="40B7720B" w14:textId="77777777" w:rsidR="00572E3D" w:rsidRDefault="00572E3D" w:rsidP="00572E3D">
      <w:pPr>
        <w:spacing w:after="0"/>
        <w:rPr>
          <w:b/>
          <w:sz w:val="28"/>
          <w:szCs w:val="28"/>
        </w:rPr>
      </w:pPr>
    </w:p>
    <w:p w14:paraId="589EE44A" w14:textId="77777777" w:rsidR="00572E3D" w:rsidRDefault="00572E3D" w:rsidP="00572E3D">
      <w:pPr>
        <w:spacing w:after="0"/>
        <w:rPr>
          <w:b/>
          <w:sz w:val="28"/>
          <w:szCs w:val="28"/>
        </w:rPr>
      </w:pPr>
    </w:p>
    <w:p w14:paraId="62A8D1FB" w14:textId="77777777" w:rsidR="00572E3D" w:rsidRDefault="00572E3D" w:rsidP="00572E3D">
      <w:pPr>
        <w:spacing w:after="0"/>
        <w:rPr>
          <w:b/>
          <w:sz w:val="28"/>
          <w:szCs w:val="28"/>
        </w:rPr>
      </w:pPr>
    </w:p>
    <w:p w14:paraId="018C87FE" w14:textId="77777777" w:rsidR="00572E3D" w:rsidRDefault="00572E3D" w:rsidP="00572E3D">
      <w:pPr>
        <w:spacing w:after="0"/>
        <w:rPr>
          <w:b/>
          <w:sz w:val="28"/>
          <w:szCs w:val="28"/>
        </w:rPr>
      </w:pPr>
    </w:p>
    <w:p w14:paraId="0749CDC7" w14:textId="77777777" w:rsidR="00572E3D" w:rsidRDefault="00572E3D" w:rsidP="00572E3D">
      <w:pPr>
        <w:spacing w:after="0"/>
        <w:rPr>
          <w:b/>
          <w:sz w:val="28"/>
          <w:szCs w:val="28"/>
        </w:rPr>
      </w:pPr>
    </w:p>
    <w:p w14:paraId="35680F1B" w14:textId="77777777" w:rsidR="00572E3D" w:rsidRDefault="00572E3D" w:rsidP="00572E3D">
      <w:pPr>
        <w:spacing w:after="0"/>
        <w:rPr>
          <w:b/>
          <w:sz w:val="28"/>
          <w:szCs w:val="28"/>
        </w:rPr>
      </w:pPr>
    </w:p>
    <w:p w14:paraId="74184C8B" w14:textId="77777777" w:rsidR="00572E3D" w:rsidRDefault="00572E3D" w:rsidP="00572E3D">
      <w:pPr>
        <w:spacing w:after="0"/>
        <w:rPr>
          <w:b/>
          <w:sz w:val="28"/>
          <w:szCs w:val="28"/>
        </w:rPr>
      </w:pPr>
    </w:p>
    <w:p w14:paraId="633D6ED3" w14:textId="77777777" w:rsidR="00572E3D" w:rsidRDefault="00572E3D" w:rsidP="00572E3D">
      <w:pPr>
        <w:spacing w:after="0"/>
        <w:rPr>
          <w:b/>
          <w:sz w:val="28"/>
          <w:szCs w:val="28"/>
        </w:rPr>
      </w:pPr>
    </w:p>
    <w:p w14:paraId="46D17815" w14:textId="77777777" w:rsidR="00572E3D" w:rsidRDefault="00572E3D" w:rsidP="00572E3D">
      <w:pPr>
        <w:spacing w:after="0"/>
        <w:rPr>
          <w:b/>
          <w:sz w:val="28"/>
          <w:szCs w:val="28"/>
        </w:rPr>
      </w:pPr>
    </w:p>
    <w:p w14:paraId="6CF898E4" w14:textId="77777777" w:rsidR="00572E3D" w:rsidRDefault="00572E3D" w:rsidP="00572E3D">
      <w:pPr>
        <w:spacing w:after="0"/>
        <w:rPr>
          <w:b/>
          <w:sz w:val="28"/>
          <w:szCs w:val="28"/>
        </w:rPr>
      </w:pPr>
    </w:p>
    <w:p w14:paraId="180E45D0" w14:textId="77777777" w:rsidR="00572E3D" w:rsidRDefault="00572E3D" w:rsidP="00572E3D">
      <w:pPr>
        <w:spacing w:after="0"/>
        <w:rPr>
          <w:b/>
          <w:sz w:val="28"/>
          <w:szCs w:val="28"/>
        </w:rPr>
      </w:pPr>
    </w:p>
    <w:p w14:paraId="7698EE16" w14:textId="77777777" w:rsidR="00572E3D" w:rsidRDefault="00572E3D" w:rsidP="00572E3D">
      <w:pPr>
        <w:spacing w:after="0"/>
        <w:rPr>
          <w:b/>
          <w:sz w:val="28"/>
          <w:szCs w:val="28"/>
        </w:rPr>
      </w:pPr>
    </w:p>
    <w:p w14:paraId="63F2C4AA" w14:textId="77777777" w:rsidR="00572E3D" w:rsidRDefault="00572E3D" w:rsidP="00572E3D">
      <w:pPr>
        <w:spacing w:after="0"/>
        <w:rPr>
          <w:b/>
          <w:sz w:val="28"/>
          <w:szCs w:val="28"/>
        </w:rPr>
      </w:pPr>
    </w:p>
    <w:p w14:paraId="736FA591" w14:textId="77777777" w:rsidR="00572E3D" w:rsidRDefault="00572E3D" w:rsidP="00572E3D">
      <w:pPr>
        <w:spacing w:after="0"/>
        <w:rPr>
          <w:b/>
          <w:sz w:val="28"/>
          <w:szCs w:val="28"/>
        </w:rPr>
      </w:pPr>
    </w:p>
    <w:p w14:paraId="1D2F9687" w14:textId="77777777" w:rsidR="00572E3D" w:rsidRDefault="00572E3D" w:rsidP="00572E3D">
      <w:pPr>
        <w:spacing w:after="0"/>
        <w:rPr>
          <w:b/>
          <w:sz w:val="28"/>
          <w:szCs w:val="28"/>
        </w:rPr>
      </w:pPr>
    </w:p>
    <w:p w14:paraId="45AE6D6B" w14:textId="77777777" w:rsidR="00572E3D" w:rsidRDefault="00572E3D" w:rsidP="00572E3D">
      <w:pPr>
        <w:spacing w:after="0"/>
        <w:rPr>
          <w:b/>
          <w:sz w:val="28"/>
          <w:szCs w:val="28"/>
        </w:rPr>
      </w:pPr>
    </w:p>
    <w:p w14:paraId="4FA87A70" w14:textId="77777777" w:rsidR="00572E3D" w:rsidRDefault="00572E3D" w:rsidP="00572E3D">
      <w:pPr>
        <w:spacing w:after="0"/>
        <w:rPr>
          <w:b/>
          <w:sz w:val="28"/>
          <w:szCs w:val="28"/>
        </w:rPr>
      </w:pPr>
    </w:p>
    <w:p w14:paraId="0D6DE8FE" w14:textId="77777777" w:rsidR="00572E3D" w:rsidRDefault="00572E3D" w:rsidP="00572E3D">
      <w:pPr>
        <w:spacing w:after="0"/>
        <w:rPr>
          <w:b/>
          <w:sz w:val="28"/>
          <w:szCs w:val="28"/>
        </w:rPr>
      </w:pPr>
    </w:p>
    <w:p w14:paraId="4C9004A1" w14:textId="77777777" w:rsidR="00572E3D" w:rsidRDefault="00572E3D" w:rsidP="00572E3D">
      <w:pPr>
        <w:spacing w:after="0"/>
        <w:rPr>
          <w:b/>
          <w:sz w:val="28"/>
          <w:szCs w:val="28"/>
        </w:rPr>
      </w:pPr>
    </w:p>
    <w:p w14:paraId="4C0E82B5" w14:textId="77777777" w:rsidR="00572E3D" w:rsidRDefault="00572E3D" w:rsidP="00572E3D">
      <w:pPr>
        <w:spacing w:after="0"/>
        <w:rPr>
          <w:b/>
          <w:sz w:val="28"/>
          <w:szCs w:val="28"/>
        </w:rPr>
      </w:pPr>
    </w:p>
    <w:p w14:paraId="63B93B02" w14:textId="77777777" w:rsidR="00572E3D" w:rsidRDefault="00572E3D" w:rsidP="00572E3D">
      <w:pPr>
        <w:spacing w:after="0"/>
        <w:rPr>
          <w:b/>
          <w:sz w:val="28"/>
          <w:szCs w:val="28"/>
        </w:rPr>
      </w:pPr>
    </w:p>
    <w:p w14:paraId="5419B316" w14:textId="77777777" w:rsidR="00572E3D" w:rsidRDefault="00572E3D" w:rsidP="00572E3D">
      <w:pPr>
        <w:spacing w:after="0"/>
        <w:rPr>
          <w:b/>
          <w:sz w:val="28"/>
          <w:szCs w:val="28"/>
        </w:rPr>
      </w:pPr>
    </w:p>
    <w:p w14:paraId="78F83A64" w14:textId="77777777" w:rsidR="00572E3D" w:rsidRDefault="00572E3D" w:rsidP="00572E3D">
      <w:pPr>
        <w:spacing w:after="0"/>
        <w:rPr>
          <w:b/>
          <w:sz w:val="28"/>
          <w:szCs w:val="28"/>
        </w:rPr>
      </w:pPr>
    </w:p>
    <w:p w14:paraId="65E501A4" w14:textId="77777777" w:rsidR="00572E3D" w:rsidRDefault="00572E3D" w:rsidP="00572E3D">
      <w:pPr>
        <w:spacing w:after="0"/>
        <w:rPr>
          <w:b/>
          <w:sz w:val="28"/>
          <w:szCs w:val="28"/>
        </w:rPr>
      </w:pPr>
    </w:p>
    <w:p w14:paraId="1D7CDF66" w14:textId="77777777" w:rsidR="00572E3D" w:rsidRDefault="00572E3D" w:rsidP="00572E3D">
      <w:pPr>
        <w:spacing w:after="0"/>
        <w:rPr>
          <w:b/>
          <w:sz w:val="28"/>
          <w:szCs w:val="28"/>
        </w:rPr>
      </w:pPr>
    </w:p>
    <w:p w14:paraId="5A931855" w14:textId="77777777" w:rsidR="00572E3D" w:rsidRDefault="00572E3D" w:rsidP="00572E3D">
      <w:pPr>
        <w:spacing w:after="0"/>
        <w:rPr>
          <w:b/>
          <w:sz w:val="28"/>
          <w:szCs w:val="28"/>
        </w:rPr>
      </w:pPr>
    </w:p>
    <w:p w14:paraId="58194B45" w14:textId="77777777" w:rsidR="00572E3D" w:rsidRDefault="00572E3D" w:rsidP="00572E3D">
      <w:pPr>
        <w:spacing w:after="0"/>
        <w:rPr>
          <w:b/>
          <w:sz w:val="28"/>
          <w:szCs w:val="28"/>
        </w:rPr>
      </w:pPr>
    </w:p>
    <w:p w14:paraId="5D698077" w14:textId="77777777" w:rsidR="00572E3D" w:rsidRDefault="00572E3D" w:rsidP="00572E3D">
      <w:pPr>
        <w:spacing w:after="0"/>
        <w:rPr>
          <w:b/>
          <w:sz w:val="28"/>
          <w:szCs w:val="28"/>
        </w:rPr>
      </w:pPr>
    </w:p>
    <w:p w14:paraId="3EC33E06" w14:textId="77777777" w:rsidR="00572E3D" w:rsidRDefault="00572E3D" w:rsidP="00572E3D">
      <w:pPr>
        <w:spacing w:after="0"/>
        <w:rPr>
          <w:b/>
          <w:bCs/>
        </w:rPr>
        <w:sectPr w:rsidR="00572E3D" w:rsidSect="00B32EBC">
          <w:type w:val="continuous"/>
          <w:pgSz w:w="11906" w:h="16838"/>
          <w:pgMar w:top="1440" w:right="1440" w:bottom="1440" w:left="1440" w:header="708" w:footer="708" w:gutter="0"/>
          <w:cols w:num="2" w:space="708"/>
          <w:docGrid w:linePitch="360"/>
        </w:sectPr>
      </w:pPr>
    </w:p>
    <w:bookmarkStart w:id="328" w:name="_Toc84845175"/>
    <w:bookmarkStart w:id="329" w:name="_Toc84854186"/>
    <w:p w14:paraId="632F3F59" w14:textId="765C4164" w:rsidR="00572E3D" w:rsidRPr="00FB45EF" w:rsidRDefault="00572E3D" w:rsidP="00572E3D">
      <w:r w:rsidRPr="00E272EB">
        <w:lastRenderedPageBreak/>
        <w:fldChar w:fldCharType="begin"/>
      </w:r>
      <w:r w:rsidRPr="00E272EB">
        <w:instrText xml:space="preserve"> TC  " </w:instrText>
      </w:r>
      <w:bookmarkStart w:id="330" w:name="_Toc97557156"/>
      <w:r w:rsidRPr="00E272EB">
        <w:instrText xml:space="preserve">Appendix </w:instrText>
      </w:r>
      <w:r w:rsidR="00FE5D2B">
        <w:instrText>4</w:instrText>
      </w:r>
      <w:r w:rsidRPr="00E272EB">
        <w:instrText xml:space="preserve">: </w:instrText>
      </w:r>
      <w:r>
        <w:instrText xml:space="preserve">Student information sheet </w:instrText>
      </w:r>
      <w:r w:rsidRPr="00E272EB">
        <w:instrText xml:space="preserve"> (Study </w:instrText>
      </w:r>
      <w:r w:rsidR="00D62699">
        <w:instrText>One</w:instrText>
      </w:r>
      <w:r w:rsidRPr="00E272EB">
        <w:instrText>, Chapter 5)</w:instrText>
      </w:r>
      <w:bookmarkEnd w:id="330"/>
      <w:r w:rsidRPr="00E272EB">
        <w:instrText xml:space="preserve">" \f y\l </w:instrText>
      </w:r>
      <w:r>
        <w:instrText>2</w:instrText>
      </w:r>
      <w:r w:rsidRPr="00E272EB">
        <w:instrText xml:space="preserve"> </w:instrText>
      </w:r>
      <w:r w:rsidRPr="00E272EB">
        <w:fldChar w:fldCharType="end"/>
      </w:r>
      <w:r w:rsidRPr="00FB45EF">
        <w:rPr>
          <w:noProof/>
        </w:rPr>
        <w:drawing>
          <wp:anchor distT="0" distB="0" distL="114300" distR="114300" simplePos="0" relativeHeight="251601920" behindDoc="0" locked="0" layoutInCell="1" allowOverlap="1" wp14:anchorId="67FE047A" wp14:editId="16FEB721">
            <wp:simplePos x="0" y="0"/>
            <wp:positionH relativeFrom="column">
              <wp:posOffset>4229529</wp:posOffset>
            </wp:positionH>
            <wp:positionV relativeFrom="paragraph">
              <wp:posOffset>139814</wp:posOffset>
            </wp:positionV>
            <wp:extent cx="1230164" cy="1189990"/>
            <wp:effectExtent l="0" t="0" r="8255" b="0"/>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0164" cy="1189990"/>
                    </a:xfrm>
                    <a:prstGeom prst="rect">
                      <a:avLst/>
                    </a:prstGeom>
                    <a:noFill/>
                  </pic:spPr>
                </pic:pic>
              </a:graphicData>
            </a:graphic>
            <wp14:sizeRelH relativeFrom="margin">
              <wp14:pctWidth>0</wp14:pctWidth>
            </wp14:sizeRelH>
            <wp14:sizeRelV relativeFrom="margin">
              <wp14:pctHeight>0</wp14:pctHeight>
            </wp14:sizeRelV>
          </wp:anchor>
        </w:drawing>
      </w:r>
      <w:r w:rsidRPr="00FB45EF">
        <w:t xml:space="preserve">Appendix </w:t>
      </w:r>
      <w:r w:rsidR="00FE5D2B">
        <w:t>4</w:t>
      </w:r>
      <w:r w:rsidRPr="00FB45EF">
        <w:t xml:space="preserve">: Student information sheet (Study </w:t>
      </w:r>
      <w:r w:rsidR="00D62699">
        <w:t>One</w:t>
      </w:r>
      <w:r w:rsidRPr="00FB45EF">
        <w:t>, Chapter 5)</w:t>
      </w:r>
      <w:bookmarkEnd w:id="328"/>
      <w:bookmarkEnd w:id="329"/>
    </w:p>
    <w:p w14:paraId="269E2B00" w14:textId="77777777" w:rsidR="00572E3D" w:rsidRDefault="00572E3D" w:rsidP="00572E3D">
      <w:pPr>
        <w:spacing w:after="0"/>
        <w:rPr>
          <w:b/>
          <w:sz w:val="28"/>
          <w:szCs w:val="28"/>
        </w:rPr>
        <w:sectPr w:rsidR="00572E3D" w:rsidSect="000304ED">
          <w:type w:val="continuous"/>
          <w:pgSz w:w="11906" w:h="16838"/>
          <w:pgMar w:top="1440" w:right="1440" w:bottom="1440" w:left="1440" w:header="708" w:footer="708" w:gutter="0"/>
          <w:cols w:space="708"/>
          <w:docGrid w:linePitch="360"/>
        </w:sectPr>
      </w:pPr>
    </w:p>
    <w:p w14:paraId="1CE46788" w14:textId="77777777" w:rsidR="00572E3D" w:rsidRDefault="00572E3D" w:rsidP="00572E3D">
      <w:pPr>
        <w:spacing w:after="0"/>
        <w:rPr>
          <w:b/>
          <w:sz w:val="28"/>
          <w:szCs w:val="28"/>
        </w:rPr>
      </w:pPr>
    </w:p>
    <w:p w14:paraId="01649FA8" w14:textId="77777777" w:rsidR="00572E3D" w:rsidRDefault="00572E3D" w:rsidP="00572E3D">
      <w:pPr>
        <w:spacing w:after="0"/>
        <w:rPr>
          <w:b/>
          <w:sz w:val="28"/>
          <w:szCs w:val="28"/>
        </w:rPr>
      </w:pPr>
    </w:p>
    <w:p w14:paraId="0C4D9BF1" w14:textId="77777777" w:rsidR="00572E3D" w:rsidRDefault="00572E3D" w:rsidP="00572E3D">
      <w:pPr>
        <w:rPr>
          <w:b/>
          <w:sz w:val="32"/>
          <w:szCs w:val="32"/>
          <w:u w:val="single"/>
        </w:rPr>
      </w:pPr>
    </w:p>
    <w:p w14:paraId="186430F7" w14:textId="77777777" w:rsidR="00572E3D" w:rsidRDefault="00572E3D" w:rsidP="00572E3D">
      <w:pPr>
        <w:rPr>
          <w:b/>
          <w:sz w:val="32"/>
          <w:szCs w:val="32"/>
          <w:u w:val="single"/>
        </w:rPr>
      </w:pPr>
    </w:p>
    <w:p w14:paraId="56B72C7D" w14:textId="77777777" w:rsidR="00572E3D" w:rsidRDefault="00572E3D" w:rsidP="00572E3D">
      <w:pPr>
        <w:rPr>
          <w:b/>
        </w:rPr>
      </w:pPr>
      <w:r w:rsidRPr="0043781D">
        <w:rPr>
          <w:b/>
        </w:rPr>
        <w:t>What is involved in taking part in this research?</w:t>
      </w:r>
    </w:p>
    <w:p w14:paraId="4C3294CF" w14:textId="5D09AED5" w:rsidR="00572E3D" w:rsidRDefault="00572E3D" w:rsidP="00572E3D">
      <w:pPr>
        <w:jc w:val="both"/>
      </w:pPr>
      <w:r>
        <w:t xml:space="preserve">The aim of this research is to investigate your views on healthy and unhealthy eating.  To investigate </w:t>
      </w:r>
      <w:r w:rsidR="007D734F">
        <w:t>this,</w:t>
      </w:r>
      <w:r>
        <w:t xml:space="preserve"> you have been selected at random to take part in a focus group (group discussion) discussing the topic of healthy eating.  The focus group will take no longer than an hour and you are free to take a break at any time. </w:t>
      </w:r>
      <w:r w:rsidRPr="0043781D">
        <w:t xml:space="preserve">Taking part in the focus groups is voluntary, and </w:t>
      </w:r>
      <w:r>
        <w:t>if you wish to no longer take part in the discussion you are free to leave and return to your class with no questions asked.</w:t>
      </w:r>
    </w:p>
    <w:p w14:paraId="4B839FD1" w14:textId="77777777" w:rsidR="00572E3D" w:rsidRPr="0043781D" w:rsidRDefault="00572E3D" w:rsidP="00572E3D">
      <w:pPr>
        <w:jc w:val="both"/>
        <w:rPr>
          <w:b/>
          <w:color w:val="171717" w:themeColor="background2" w:themeShade="1A"/>
        </w:rPr>
      </w:pPr>
      <w:r w:rsidRPr="0043781D">
        <w:rPr>
          <w:b/>
          <w:color w:val="171717" w:themeColor="background2" w:themeShade="1A"/>
        </w:rPr>
        <w:t>What will happen to the data that is collected today?</w:t>
      </w:r>
    </w:p>
    <w:p w14:paraId="1396EDDE" w14:textId="77777777" w:rsidR="00572E3D" w:rsidRPr="0043781D" w:rsidRDefault="00572E3D" w:rsidP="00572E3D">
      <w:pPr>
        <w:jc w:val="both"/>
      </w:pPr>
      <w:r w:rsidRPr="0043781D">
        <w:t>The focus group will be recorded via Dictaphone</w:t>
      </w:r>
      <w:r>
        <w:t xml:space="preserve"> and later written up,</w:t>
      </w:r>
      <w:r w:rsidRPr="0043781D">
        <w:t xml:space="preserve"> but when the recordings are </w:t>
      </w:r>
      <w:r>
        <w:t>written up</w:t>
      </w:r>
      <w:r w:rsidRPr="0043781D">
        <w:t xml:space="preserve"> all names and any personal information will be removed so participants cannot be identified, and the digital recordings will be deleted. All information is confidential and will be kept securely at Staffordshire University and only the research team working on this project will have access to the raw data; it will not be passed on to anyo</w:t>
      </w:r>
      <w:r>
        <w:t>ne else.</w:t>
      </w:r>
      <w:r w:rsidRPr="0043781D">
        <w:t xml:space="preserve"> Quotes from the discussion may potentially be used in the final piece of research but there will no information that will personally identify you.</w:t>
      </w:r>
    </w:p>
    <w:p w14:paraId="2030286E" w14:textId="77777777" w:rsidR="00572E3D" w:rsidRDefault="00572E3D" w:rsidP="00572E3D">
      <w:pPr>
        <w:spacing w:after="0"/>
        <w:jc w:val="both"/>
      </w:pPr>
      <w:r w:rsidRPr="00B03810">
        <w:t>If you have any questions, I am happy to answer them before the focus group</w:t>
      </w:r>
      <w:r>
        <w:t xml:space="preserve"> starts</w:t>
      </w:r>
      <w:r w:rsidRPr="00B03810">
        <w:t>, or you can contact me on the details below.</w:t>
      </w:r>
    </w:p>
    <w:p w14:paraId="728BC213" w14:textId="77777777" w:rsidR="00572E3D" w:rsidRDefault="00572E3D" w:rsidP="00572E3D">
      <w:pPr>
        <w:spacing w:after="0"/>
      </w:pPr>
    </w:p>
    <w:p w14:paraId="76A142FE" w14:textId="77777777" w:rsidR="00572E3D" w:rsidRPr="003E27C9" w:rsidRDefault="00572E3D" w:rsidP="00572E3D">
      <w:pPr>
        <w:spacing w:after="0"/>
        <w:rPr>
          <w:b/>
        </w:rPr>
      </w:pPr>
      <w:r w:rsidRPr="003E27C9">
        <w:rPr>
          <w:b/>
        </w:rPr>
        <w:t>What are the guidelines for participation in the focus group?</w:t>
      </w:r>
    </w:p>
    <w:p w14:paraId="2394004A" w14:textId="77777777" w:rsidR="00572E3D" w:rsidRPr="003E27C9" w:rsidRDefault="00572E3D" w:rsidP="00572E3D">
      <w:pPr>
        <w:spacing w:after="0"/>
        <w:rPr>
          <w:b/>
        </w:rPr>
      </w:pPr>
    </w:p>
    <w:p w14:paraId="7FDBCDA7" w14:textId="77777777" w:rsidR="00572E3D" w:rsidRPr="003E27C9" w:rsidRDefault="00572E3D" w:rsidP="00572E3D">
      <w:pPr>
        <w:spacing w:after="0"/>
      </w:pPr>
      <w:r w:rsidRPr="003E27C9">
        <w:t>All information discussed by participants will not be further discussed outside the focus group this ensures that information remains confidential. Participants are required to be respectful of one another and of their opinions</w:t>
      </w:r>
      <w:r>
        <w:t xml:space="preserve"> </w:t>
      </w:r>
      <w:r w:rsidRPr="003E27C9">
        <w:t xml:space="preserve">and to follow the focus group guidelines. </w:t>
      </w:r>
    </w:p>
    <w:p w14:paraId="2E6D7768" w14:textId="77777777" w:rsidR="00572E3D" w:rsidRPr="003E27C9" w:rsidRDefault="00572E3D" w:rsidP="00572E3D">
      <w:pPr>
        <w:spacing w:after="0"/>
      </w:pPr>
      <w:r w:rsidRPr="003E27C9">
        <w:rPr>
          <w:noProof/>
          <w:lang w:eastAsia="en-GB"/>
        </w:rPr>
        <w:drawing>
          <wp:anchor distT="0" distB="0" distL="114300" distR="114300" simplePos="0" relativeHeight="251600896" behindDoc="1" locked="0" layoutInCell="1" allowOverlap="1" wp14:anchorId="44C43BAA" wp14:editId="3731B7F5">
            <wp:simplePos x="0" y="0"/>
            <wp:positionH relativeFrom="column">
              <wp:posOffset>3926205</wp:posOffset>
            </wp:positionH>
            <wp:positionV relativeFrom="paragraph">
              <wp:posOffset>11430</wp:posOffset>
            </wp:positionV>
            <wp:extent cx="2019300" cy="1400175"/>
            <wp:effectExtent l="0" t="0" r="0" b="9525"/>
            <wp:wrapNone/>
            <wp:docPr id="231" name="Picture 231" descr="http://blog.iwantavilla.com/wp-content/uploads/2011/05/Healthy-Eating-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wantavilla.com/wp-content/uploads/2011/05/Healthy-Eating-Final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14:sizeRelV relativeFrom="margin">
              <wp14:pctHeight>0</wp14:pctHeight>
            </wp14:sizeRelV>
          </wp:anchor>
        </w:drawing>
      </w:r>
    </w:p>
    <w:p w14:paraId="388A8E73" w14:textId="77777777" w:rsidR="00572E3D" w:rsidRPr="003E27C9" w:rsidRDefault="00572E3D" w:rsidP="00572E3D">
      <w:pPr>
        <w:spacing w:after="0"/>
      </w:pPr>
      <w:r w:rsidRPr="003E27C9">
        <w:t xml:space="preserve">Thank you for your participation. </w:t>
      </w:r>
    </w:p>
    <w:p w14:paraId="36879810" w14:textId="77777777" w:rsidR="00572E3D" w:rsidRPr="003E27C9" w:rsidRDefault="00572E3D" w:rsidP="00572E3D">
      <w:pPr>
        <w:spacing w:after="0" w:line="240" w:lineRule="auto"/>
      </w:pPr>
      <w:r w:rsidRPr="003E27C9">
        <w:t>Sian Calvert</w:t>
      </w:r>
    </w:p>
    <w:p w14:paraId="0AE15FD4" w14:textId="77777777" w:rsidR="00572E3D" w:rsidRPr="003E27C9" w:rsidRDefault="00572E3D" w:rsidP="00572E3D">
      <w:pPr>
        <w:spacing w:after="0" w:line="240" w:lineRule="auto"/>
      </w:pPr>
    </w:p>
    <w:p w14:paraId="0325FC78" w14:textId="77777777" w:rsidR="00572E3D" w:rsidRPr="003E27C9" w:rsidRDefault="00322DCE" w:rsidP="00572E3D">
      <w:pPr>
        <w:spacing w:after="0" w:line="240" w:lineRule="auto"/>
        <w:rPr>
          <w:rStyle w:val="Hyperlink"/>
        </w:rPr>
      </w:pPr>
      <w:hyperlink r:id="rId52" w:history="1">
        <w:r w:rsidR="00572E3D" w:rsidRPr="003E27C9">
          <w:rPr>
            <w:rStyle w:val="Hyperlink"/>
          </w:rPr>
          <w:t>Sian.calvert@research.staffs.ac.uk</w:t>
        </w:r>
      </w:hyperlink>
    </w:p>
    <w:p w14:paraId="635340C3" w14:textId="77777777" w:rsidR="00572E3D" w:rsidRPr="003E27C9" w:rsidRDefault="00572E3D" w:rsidP="00572E3D">
      <w:pPr>
        <w:spacing w:after="0" w:line="240" w:lineRule="auto"/>
      </w:pPr>
      <w:r w:rsidRPr="003E27C9">
        <w:rPr>
          <w:i/>
        </w:rPr>
        <w:t xml:space="preserve">PhD student in psychology, Staffordshire University </w:t>
      </w:r>
    </w:p>
    <w:p w14:paraId="0BE86963"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6E1FBEB3" w14:textId="77777777" w:rsidR="00572E3D" w:rsidRPr="003E27C9" w:rsidRDefault="00572E3D" w:rsidP="00572E3D">
      <w:pPr>
        <w:spacing w:after="0" w:line="240" w:lineRule="auto"/>
      </w:pPr>
      <w:r>
        <w:t>Supervisors:</w:t>
      </w:r>
    </w:p>
    <w:p w14:paraId="52E3BAA8" w14:textId="77777777" w:rsidR="00572E3D" w:rsidRPr="003E27C9" w:rsidRDefault="00572E3D" w:rsidP="00572E3D">
      <w:pPr>
        <w:spacing w:after="0" w:line="240" w:lineRule="auto"/>
        <w:ind w:firstLine="720"/>
      </w:pPr>
    </w:p>
    <w:p w14:paraId="057CB2F3" w14:textId="77777777" w:rsidR="00572E3D" w:rsidRPr="003E27C9" w:rsidRDefault="00572E3D" w:rsidP="00572E3D">
      <w:pPr>
        <w:spacing w:after="0" w:line="240" w:lineRule="auto"/>
        <w:sectPr w:rsidR="00572E3D" w:rsidRPr="003E27C9" w:rsidSect="00B32EBC">
          <w:type w:val="continuous"/>
          <w:pgSz w:w="11906" w:h="16838"/>
          <w:pgMar w:top="1440" w:right="1440" w:bottom="1440" w:left="1440" w:header="708" w:footer="708" w:gutter="0"/>
          <w:cols w:space="708"/>
          <w:docGrid w:linePitch="360"/>
        </w:sectPr>
      </w:pPr>
    </w:p>
    <w:p w14:paraId="1BE9C7AE" w14:textId="77777777" w:rsidR="00572E3D" w:rsidRPr="003E27C9" w:rsidRDefault="00572E3D" w:rsidP="00572E3D">
      <w:pPr>
        <w:spacing w:after="0" w:line="240" w:lineRule="auto"/>
      </w:pPr>
      <w:r w:rsidRPr="003E27C9">
        <w:t xml:space="preserve">Dr. Robert Dempsey </w:t>
      </w:r>
    </w:p>
    <w:p w14:paraId="729E28E9" w14:textId="77777777" w:rsidR="00572E3D" w:rsidRPr="003E27C9" w:rsidRDefault="00322DCE" w:rsidP="00572E3D">
      <w:pPr>
        <w:spacing w:after="0" w:line="240" w:lineRule="auto"/>
      </w:pPr>
      <w:hyperlink r:id="rId53" w:history="1">
        <w:r w:rsidR="00572E3D" w:rsidRPr="003E27C9">
          <w:rPr>
            <w:rStyle w:val="Hyperlink"/>
          </w:rPr>
          <w:t>robert.dempsey@staffs.ac.uk</w:t>
        </w:r>
      </w:hyperlink>
    </w:p>
    <w:p w14:paraId="38947685" w14:textId="77777777" w:rsidR="00572E3D" w:rsidRPr="003E27C9" w:rsidRDefault="00572E3D" w:rsidP="00572E3D">
      <w:pPr>
        <w:spacing w:after="0" w:line="240" w:lineRule="auto"/>
        <w:rPr>
          <w:i/>
        </w:rPr>
      </w:pPr>
      <w:r w:rsidRPr="003E27C9">
        <w:rPr>
          <w:i/>
        </w:rPr>
        <w:t xml:space="preserve">Lecturer at Staffordshire University </w:t>
      </w:r>
    </w:p>
    <w:p w14:paraId="32939A2B"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638E32E5" w14:textId="77777777" w:rsidR="00572E3D" w:rsidRPr="003E27C9" w:rsidRDefault="00572E3D" w:rsidP="00572E3D">
      <w:pPr>
        <w:spacing w:after="0" w:line="240" w:lineRule="auto"/>
      </w:pPr>
    </w:p>
    <w:p w14:paraId="01F86AEE" w14:textId="77777777" w:rsidR="00733440" w:rsidRDefault="00733440" w:rsidP="00572E3D">
      <w:pPr>
        <w:spacing w:after="0" w:line="240" w:lineRule="auto"/>
      </w:pPr>
    </w:p>
    <w:p w14:paraId="702499F0" w14:textId="322AD273" w:rsidR="00572E3D" w:rsidRPr="003E27C9" w:rsidRDefault="00572E3D" w:rsidP="00572E3D">
      <w:pPr>
        <w:spacing w:after="0" w:line="240" w:lineRule="auto"/>
      </w:pPr>
      <w:r w:rsidRPr="003E27C9">
        <w:t xml:space="preserve">Dr. Rachel Povey </w:t>
      </w:r>
    </w:p>
    <w:p w14:paraId="47327251" w14:textId="77777777" w:rsidR="00572E3D" w:rsidRPr="003E27C9" w:rsidRDefault="00322DCE" w:rsidP="00572E3D">
      <w:pPr>
        <w:spacing w:after="0" w:line="240" w:lineRule="auto"/>
      </w:pPr>
      <w:hyperlink r:id="rId54" w:history="1">
        <w:r w:rsidR="00572E3D" w:rsidRPr="003E27C9">
          <w:rPr>
            <w:rStyle w:val="Hyperlink"/>
          </w:rPr>
          <w:t>r.povey@staffs.ac.uk</w:t>
        </w:r>
      </w:hyperlink>
    </w:p>
    <w:p w14:paraId="75585714" w14:textId="77777777" w:rsidR="00572E3D" w:rsidRPr="003E27C9" w:rsidRDefault="00572E3D" w:rsidP="00572E3D">
      <w:pPr>
        <w:spacing w:after="0" w:line="240" w:lineRule="auto"/>
        <w:rPr>
          <w:i/>
        </w:rPr>
      </w:pPr>
      <w:r w:rsidRPr="003E27C9">
        <w:rPr>
          <w:i/>
        </w:rPr>
        <w:t xml:space="preserve">Senior Lecturer at Staffordshire University </w:t>
      </w:r>
    </w:p>
    <w:p w14:paraId="5911894F"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10CD7D09" w14:textId="77777777" w:rsidR="00572E3D" w:rsidRDefault="00572E3D" w:rsidP="00572E3D">
      <w:pPr>
        <w:rPr>
          <w:b/>
          <w:sz w:val="28"/>
          <w:szCs w:val="28"/>
        </w:rPr>
        <w:sectPr w:rsidR="00572E3D" w:rsidSect="00B32EBC">
          <w:type w:val="continuous"/>
          <w:pgSz w:w="11906" w:h="16838"/>
          <w:pgMar w:top="1440" w:right="1440" w:bottom="1440" w:left="1440" w:header="708" w:footer="708" w:gutter="0"/>
          <w:cols w:num="2" w:space="708"/>
          <w:docGrid w:linePitch="360"/>
        </w:sectPr>
      </w:pPr>
    </w:p>
    <w:bookmarkStart w:id="331" w:name="_Toc84845176"/>
    <w:bookmarkStart w:id="332" w:name="_Toc84854187"/>
    <w:p w14:paraId="364273DF" w14:textId="77A45B73" w:rsidR="00572E3D" w:rsidRPr="00FB45EF" w:rsidRDefault="00572E3D" w:rsidP="00572E3D">
      <w:r w:rsidRPr="00E272EB">
        <w:lastRenderedPageBreak/>
        <w:fldChar w:fldCharType="begin"/>
      </w:r>
      <w:r w:rsidRPr="00E272EB">
        <w:instrText xml:space="preserve"> TC  " </w:instrText>
      </w:r>
      <w:bookmarkStart w:id="333" w:name="_Toc97557157"/>
      <w:r w:rsidRPr="00E272EB">
        <w:instrText xml:space="preserve">Appendix </w:instrText>
      </w:r>
      <w:r w:rsidR="00FE5D2B">
        <w:instrText>5</w:instrText>
      </w:r>
      <w:r w:rsidRPr="00E272EB">
        <w:instrText xml:space="preserve">: </w:instrText>
      </w:r>
      <w:r>
        <w:instrText xml:space="preserve">Focus group guidelines </w:instrText>
      </w:r>
      <w:r w:rsidRPr="00E272EB">
        <w:instrText xml:space="preserve">(Study </w:instrText>
      </w:r>
      <w:r w:rsidR="00D62699">
        <w:instrText>One</w:instrText>
      </w:r>
      <w:r w:rsidRPr="00E272EB">
        <w:instrText>, Chapter 5)</w:instrText>
      </w:r>
      <w:bookmarkEnd w:id="333"/>
      <w:r w:rsidRPr="00E272EB">
        <w:instrText xml:space="preserve">" \f y\l </w:instrText>
      </w:r>
      <w:r>
        <w:instrText>2</w:instrText>
      </w:r>
      <w:r w:rsidRPr="00E272EB">
        <w:instrText xml:space="preserve"> </w:instrText>
      </w:r>
      <w:r w:rsidRPr="00E272EB">
        <w:fldChar w:fldCharType="end"/>
      </w:r>
      <w:r w:rsidRPr="00FB45EF">
        <w:rPr>
          <w:noProof/>
        </w:rPr>
        <w:drawing>
          <wp:anchor distT="0" distB="0" distL="114300" distR="114300" simplePos="0" relativeHeight="251602944" behindDoc="1" locked="0" layoutInCell="1" allowOverlap="1" wp14:anchorId="096B0B9F" wp14:editId="6AA98F87">
            <wp:simplePos x="0" y="0"/>
            <wp:positionH relativeFrom="column">
              <wp:posOffset>4841715</wp:posOffset>
            </wp:positionH>
            <wp:positionV relativeFrom="paragraph">
              <wp:posOffset>-85519</wp:posOffset>
            </wp:positionV>
            <wp:extent cx="1032510" cy="1092017"/>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6215" cy="1095936"/>
                    </a:xfrm>
                    <a:prstGeom prst="rect">
                      <a:avLst/>
                    </a:prstGeom>
                    <a:noFill/>
                  </pic:spPr>
                </pic:pic>
              </a:graphicData>
            </a:graphic>
            <wp14:sizeRelH relativeFrom="page">
              <wp14:pctWidth>0</wp14:pctWidth>
            </wp14:sizeRelH>
            <wp14:sizeRelV relativeFrom="page">
              <wp14:pctHeight>0</wp14:pctHeight>
            </wp14:sizeRelV>
          </wp:anchor>
        </w:drawing>
      </w:r>
      <w:r w:rsidRPr="00FB45EF">
        <w:t xml:space="preserve">Appendix </w:t>
      </w:r>
      <w:r w:rsidR="00FE5D2B">
        <w:t>5</w:t>
      </w:r>
      <w:r w:rsidRPr="00FB45EF">
        <w:t xml:space="preserve">: Focus group guidelines (Study </w:t>
      </w:r>
      <w:r w:rsidR="00D62699">
        <w:t>One</w:t>
      </w:r>
      <w:r w:rsidRPr="00FB45EF">
        <w:t>, Chapter 5)</w:t>
      </w:r>
      <w:bookmarkEnd w:id="331"/>
      <w:bookmarkEnd w:id="332"/>
    </w:p>
    <w:p w14:paraId="2E64154B" w14:textId="77777777" w:rsidR="00572E3D" w:rsidRDefault="00572E3D" w:rsidP="00572E3D">
      <w:pPr>
        <w:spacing w:after="200" w:line="276" w:lineRule="auto"/>
        <w:jc w:val="center"/>
        <w:rPr>
          <w:rFonts w:ascii="Calibri" w:eastAsia="Calibri" w:hAnsi="Calibri" w:cs="Times New Roman"/>
          <w:sz w:val="32"/>
          <w:szCs w:val="32"/>
          <w:u w:val="single"/>
        </w:rPr>
      </w:pPr>
      <w:r w:rsidRPr="00C431A0">
        <w:rPr>
          <w:rFonts w:ascii="Calibri" w:eastAsia="Calibri" w:hAnsi="Calibri" w:cs="Times New Roman"/>
          <w:sz w:val="32"/>
          <w:szCs w:val="32"/>
          <w:u w:val="single"/>
        </w:rPr>
        <w:t xml:space="preserve"> </w:t>
      </w:r>
    </w:p>
    <w:p w14:paraId="5091AB92" w14:textId="77777777" w:rsidR="00572E3D" w:rsidRDefault="00572E3D" w:rsidP="00572E3D">
      <w:pPr>
        <w:spacing w:after="200" w:line="276" w:lineRule="auto"/>
        <w:jc w:val="center"/>
        <w:rPr>
          <w:rFonts w:ascii="Calibri" w:eastAsia="Calibri" w:hAnsi="Calibri" w:cs="Times New Roman"/>
          <w:b/>
          <w:sz w:val="32"/>
          <w:szCs w:val="32"/>
          <w:u w:val="single"/>
        </w:rPr>
      </w:pPr>
    </w:p>
    <w:p w14:paraId="7F6FEB42" w14:textId="77777777" w:rsidR="00572E3D" w:rsidRPr="003E27C9" w:rsidRDefault="00572E3D" w:rsidP="00572E3D">
      <w:pPr>
        <w:spacing w:after="200" w:line="276" w:lineRule="auto"/>
        <w:jc w:val="center"/>
        <w:rPr>
          <w:rFonts w:ascii="Calibri" w:eastAsia="Calibri" w:hAnsi="Calibri" w:cs="Times New Roman"/>
          <w:b/>
          <w:sz w:val="32"/>
          <w:szCs w:val="32"/>
          <w:u w:val="single"/>
        </w:rPr>
      </w:pPr>
      <w:r w:rsidRPr="003E27C9">
        <w:rPr>
          <w:rFonts w:ascii="Calibri" w:eastAsia="Calibri" w:hAnsi="Calibri" w:cs="Times New Roman"/>
          <w:b/>
          <w:sz w:val="32"/>
          <w:szCs w:val="32"/>
          <w:u w:val="single"/>
        </w:rPr>
        <w:t>Guidelines of the focus group to</w:t>
      </w:r>
    </w:p>
    <w:p w14:paraId="03A14069" w14:textId="77777777" w:rsidR="00572E3D" w:rsidRPr="003E27C9" w:rsidRDefault="00572E3D" w:rsidP="00572E3D">
      <w:pPr>
        <w:spacing w:after="200" w:line="276" w:lineRule="auto"/>
        <w:jc w:val="center"/>
        <w:rPr>
          <w:rFonts w:ascii="Calibri" w:eastAsia="Calibri" w:hAnsi="Calibri" w:cs="Times New Roman"/>
          <w:sz w:val="32"/>
          <w:szCs w:val="32"/>
          <w:u w:val="single"/>
        </w:rPr>
      </w:pPr>
      <w:r w:rsidRPr="003E27C9">
        <w:rPr>
          <w:rFonts w:ascii="Calibri" w:eastAsia="Calibri" w:hAnsi="Calibri" w:cs="Times New Roman"/>
          <w:sz w:val="32"/>
          <w:szCs w:val="32"/>
          <w:u w:val="single"/>
        </w:rPr>
        <w:t>Investigate healthy eating behaviours in high school students.</w:t>
      </w:r>
    </w:p>
    <w:p w14:paraId="5C30B251" w14:textId="77777777" w:rsidR="00572E3D" w:rsidRPr="003E27C9" w:rsidRDefault="00572E3D" w:rsidP="00572E3D">
      <w:pPr>
        <w:spacing w:after="200" w:line="276" w:lineRule="auto"/>
        <w:jc w:val="center"/>
        <w:rPr>
          <w:rFonts w:ascii="Calibri" w:eastAsia="Calibri" w:hAnsi="Calibri" w:cs="Times New Roman"/>
          <w:sz w:val="32"/>
          <w:szCs w:val="32"/>
          <w:u w:val="single"/>
        </w:rPr>
      </w:pPr>
    </w:p>
    <w:p w14:paraId="5335B3C7" w14:textId="77777777" w:rsidR="00572E3D" w:rsidRPr="003E27C9" w:rsidRDefault="00572E3D" w:rsidP="00AA5DD9">
      <w:pPr>
        <w:numPr>
          <w:ilvl w:val="0"/>
          <w:numId w:val="1"/>
        </w:numPr>
        <w:spacing w:after="200" w:line="276" w:lineRule="auto"/>
        <w:contextualSpacing/>
        <w:rPr>
          <w:rFonts w:ascii="Calibri" w:eastAsia="Calibri" w:hAnsi="Calibri" w:cs="Times New Roman"/>
          <w:sz w:val="32"/>
          <w:szCs w:val="32"/>
        </w:rPr>
      </w:pPr>
      <w:r w:rsidRPr="003E27C9">
        <w:rPr>
          <w:rFonts w:ascii="Calibri" w:eastAsia="Calibri" w:hAnsi="Calibri" w:cs="Times New Roman"/>
          <w:sz w:val="32"/>
          <w:szCs w:val="32"/>
        </w:rPr>
        <w:t>Participants have the right to their own opinions, but</w:t>
      </w:r>
      <w:r w:rsidRPr="003E27C9">
        <w:rPr>
          <w:rFonts w:ascii="Calibri" w:eastAsia="Calibri" w:hAnsi="Calibri" w:cs="Times New Roman"/>
        </w:rPr>
        <w:t xml:space="preserve"> </w:t>
      </w:r>
      <w:r w:rsidRPr="003E27C9">
        <w:rPr>
          <w:rFonts w:ascii="Calibri" w:eastAsia="Calibri" w:hAnsi="Calibri" w:cs="Times New Roman"/>
          <w:sz w:val="32"/>
          <w:szCs w:val="32"/>
        </w:rPr>
        <w:t>participants are required to be respectful of one another and of their opinions.</w:t>
      </w:r>
    </w:p>
    <w:p w14:paraId="4E3EB7C7" w14:textId="77777777" w:rsidR="00572E3D" w:rsidRPr="003E27C9" w:rsidRDefault="00572E3D" w:rsidP="00572E3D">
      <w:pPr>
        <w:spacing w:after="200" w:line="276" w:lineRule="auto"/>
        <w:ind w:left="720"/>
        <w:contextualSpacing/>
        <w:rPr>
          <w:rFonts w:ascii="Calibri" w:eastAsia="Calibri" w:hAnsi="Calibri" w:cs="Times New Roman"/>
          <w:sz w:val="32"/>
          <w:szCs w:val="32"/>
        </w:rPr>
      </w:pPr>
    </w:p>
    <w:p w14:paraId="571D2901" w14:textId="77777777" w:rsidR="00572E3D" w:rsidRPr="003E27C9" w:rsidRDefault="00572E3D" w:rsidP="00AA5DD9">
      <w:pPr>
        <w:numPr>
          <w:ilvl w:val="0"/>
          <w:numId w:val="1"/>
        </w:numPr>
        <w:spacing w:after="200" w:line="276" w:lineRule="auto"/>
        <w:contextualSpacing/>
        <w:rPr>
          <w:rFonts w:ascii="Calibri" w:eastAsia="Calibri" w:hAnsi="Calibri" w:cs="Times New Roman"/>
          <w:sz w:val="32"/>
          <w:szCs w:val="32"/>
        </w:rPr>
      </w:pPr>
      <w:r w:rsidRPr="003E27C9">
        <w:rPr>
          <w:rFonts w:ascii="Calibri" w:eastAsia="Calibri" w:hAnsi="Calibri" w:cs="Times New Roman"/>
          <w:sz w:val="32"/>
          <w:szCs w:val="32"/>
        </w:rPr>
        <w:t xml:space="preserve">All participants should be polite and respectful during the discussion to each other and the researcher. </w:t>
      </w:r>
    </w:p>
    <w:p w14:paraId="14BAF1CB" w14:textId="77777777" w:rsidR="00572E3D" w:rsidRPr="003E27C9" w:rsidRDefault="00572E3D" w:rsidP="00572E3D">
      <w:pPr>
        <w:spacing w:after="200" w:line="276" w:lineRule="auto"/>
        <w:rPr>
          <w:rFonts w:ascii="Calibri" w:eastAsia="Calibri" w:hAnsi="Calibri" w:cs="Times New Roman"/>
          <w:sz w:val="32"/>
          <w:szCs w:val="32"/>
        </w:rPr>
      </w:pPr>
    </w:p>
    <w:p w14:paraId="62DAB7D5" w14:textId="77777777" w:rsidR="00572E3D" w:rsidRPr="003E27C9" w:rsidRDefault="00572E3D" w:rsidP="00AA5DD9">
      <w:pPr>
        <w:numPr>
          <w:ilvl w:val="0"/>
          <w:numId w:val="1"/>
        </w:numPr>
        <w:spacing w:after="200" w:line="276" w:lineRule="auto"/>
        <w:contextualSpacing/>
        <w:rPr>
          <w:rFonts w:ascii="Calibri" w:eastAsia="Calibri" w:hAnsi="Calibri" w:cs="Times New Roman"/>
          <w:sz w:val="32"/>
          <w:szCs w:val="32"/>
        </w:rPr>
      </w:pPr>
      <w:r w:rsidRPr="003E27C9">
        <w:rPr>
          <w:rFonts w:ascii="Calibri" w:eastAsia="Calibri" w:hAnsi="Calibri" w:cs="Times New Roman"/>
          <w:sz w:val="32"/>
          <w:szCs w:val="32"/>
        </w:rPr>
        <w:t xml:space="preserve">All information discussed by you as participants, should not be further discussed outside the focus group. This ensures that information remains confidential. </w:t>
      </w:r>
    </w:p>
    <w:p w14:paraId="7BCB6454" w14:textId="77777777" w:rsidR="00572E3D" w:rsidRPr="003E27C9" w:rsidRDefault="00572E3D" w:rsidP="00572E3D">
      <w:pPr>
        <w:spacing w:after="200" w:line="276" w:lineRule="auto"/>
        <w:rPr>
          <w:rFonts w:ascii="Calibri" w:eastAsia="Calibri" w:hAnsi="Calibri" w:cs="Times New Roman"/>
          <w:sz w:val="32"/>
          <w:szCs w:val="32"/>
        </w:rPr>
      </w:pPr>
    </w:p>
    <w:p w14:paraId="44D4F7AE" w14:textId="77777777" w:rsidR="00572E3D" w:rsidRPr="00C431A0" w:rsidRDefault="00572E3D" w:rsidP="00572E3D">
      <w:pPr>
        <w:spacing w:after="200" w:line="240" w:lineRule="auto"/>
        <w:rPr>
          <w:rFonts w:ascii="Calibri" w:eastAsia="Calibri" w:hAnsi="Calibri" w:cs="Times New Roman"/>
          <w:b/>
          <w:sz w:val="32"/>
          <w:szCs w:val="32"/>
        </w:rPr>
      </w:pPr>
      <w:r w:rsidRPr="003E27C9">
        <w:rPr>
          <w:rFonts w:ascii="Calibri" w:eastAsia="Calibri" w:hAnsi="Calibri" w:cs="Times New Roman"/>
          <w:b/>
          <w:sz w:val="32"/>
          <w:szCs w:val="32"/>
        </w:rPr>
        <w:t>Participants that do not follow the guidelines will be asked to return to class.</w:t>
      </w:r>
      <w:r w:rsidRPr="00C431A0">
        <w:rPr>
          <w:rFonts w:ascii="Calibri" w:eastAsia="Calibri" w:hAnsi="Calibri" w:cs="Times New Roman"/>
          <w:b/>
          <w:sz w:val="32"/>
          <w:szCs w:val="32"/>
        </w:rPr>
        <w:t xml:space="preserve"> </w:t>
      </w:r>
    </w:p>
    <w:p w14:paraId="392EB025" w14:textId="77777777" w:rsidR="00572E3D" w:rsidRDefault="00572E3D" w:rsidP="00572E3D">
      <w:pPr>
        <w:rPr>
          <w:b/>
          <w:sz w:val="28"/>
          <w:szCs w:val="28"/>
        </w:rPr>
      </w:pPr>
    </w:p>
    <w:p w14:paraId="4F283E6D" w14:textId="77777777" w:rsidR="00572E3D" w:rsidRDefault="00572E3D" w:rsidP="00572E3D">
      <w:pPr>
        <w:rPr>
          <w:b/>
          <w:sz w:val="28"/>
          <w:szCs w:val="28"/>
        </w:rPr>
      </w:pPr>
    </w:p>
    <w:p w14:paraId="55EFC445" w14:textId="77777777" w:rsidR="00572E3D" w:rsidRDefault="00572E3D" w:rsidP="00572E3D">
      <w:pPr>
        <w:rPr>
          <w:b/>
          <w:sz w:val="28"/>
          <w:szCs w:val="28"/>
        </w:rPr>
      </w:pPr>
    </w:p>
    <w:p w14:paraId="6A4981C0" w14:textId="77777777" w:rsidR="00572E3D" w:rsidRDefault="00572E3D" w:rsidP="00572E3D">
      <w:pPr>
        <w:ind w:right="-1440"/>
        <w:rPr>
          <w:b/>
          <w:sz w:val="28"/>
          <w:szCs w:val="28"/>
        </w:rPr>
      </w:pPr>
    </w:p>
    <w:p w14:paraId="2103982A" w14:textId="77777777" w:rsidR="00572E3D" w:rsidRDefault="00572E3D" w:rsidP="00572E3D">
      <w:pPr>
        <w:ind w:right="-1440"/>
        <w:rPr>
          <w:b/>
          <w:sz w:val="28"/>
          <w:szCs w:val="28"/>
        </w:rPr>
      </w:pPr>
    </w:p>
    <w:p w14:paraId="21F14EF0" w14:textId="77777777" w:rsidR="00572E3D" w:rsidRDefault="00572E3D" w:rsidP="00572E3D">
      <w:pPr>
        <w:ind w:right="-1440"/>
        <w:rPr>
          <w:b/>
          <w:sz w:val="28"/>
          <w:szCs w:val="28"/>
        </w:rPr>
      </w:pPr>
    </w:p>
    <w:p w14:paraId="416E1232" w14:textId="77777777" w:rsidR="00572E3D" w:rsidRDefault="00572E3D" w:rsidP="00572E3D">
      <w:pPr>
        <w:ind w:right="-1440"/>
        <w:rPr>
          <w:b/>
          <w:sz w:val="28"/>
          <w:szCs w:val="28"/>
        </w:rPr>
      </w:pPr>
    </w:p>
    <w:p w14:paraId="36BCED2B" w14:textId="77777777" w:rsidR="00572E3D" w:rsidRDefault="00572E3D" w:rsidP="00572E3D">
      <w:pPr>
        <w:ind w:right="-1440"/>
        <w:rPr>
          <w:b/>
          <w:sz w:val="28"/>
          <w:szCs w:val="28"/>
        </w:rPr>
      </w:pPr>
      <w:r w:rsidRPr="003E27C9">
        <w:rPr>
          <w:b/>
          <w:noProof/>
          <w:lang w:eastAsia="en-GB"/>
        </w:rPr>
        <w:lastRenderedPageBreak/>
        <w:drawing>
          <wp:anchor distT="0" distB="0" distL="114300" distR="114300" simplePos="0" relativeHeight="251610112" behindDoc="1" locked="0" layoutInCell="1" allowOverlap="1" wp14:anchorId="05F413CD" wp14:editId="7FA84635">
            <wp:simplePos x="0" y="0"/>
            <wp:positionH relativeFrom="column">
              <wp:posOffset>4229684</wp:posOffset>
            </wp:positionH>
            <wp:positionV relativeFrom="paragraph">
              <wp:posOffset>229619</wp:posOffset>
            </wp:positionV>
            <wp:extent cx="1415512" cy="1091565"/>
            <wp:effectExtent l="0" t="0" r="0" b="0"/>
            <wp:wrapNone/>
            <wp:docPr id="232" name="Picture 2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512" cy="1091565"/>
                    </a:xfrm>
                    <a:prstGeom prst="rect">
                      <a:avLst/>
                    </a:prstGeom>
                    <a:noFill/>
                  </pic:spPr>
                </pic:pic>
              </a:graphicData>
            </a:graphic>
            <wp14:sizeRelH relativeFrom="page">
              <wp14:pctWidth>0</wp14:pctWidth>
            </wp14:sizeRelH>
            <wp14:sizeRelV relativeFrom="page">
              <wp14:pctHeight>0</wp14:pctHeight>
            </wp14:sizeRelV>
          </wp:anchor>
        </w:drawing>
      </w:r>
    </w:p>
    <w:p w14:paraId="08E35EC5" w14:textId="3A677EE9" w:rsidR="00572E3D" w:rsidRPr="00265133" w:rsidRDefault="00572E3D" w:rsidP="00572E3D">
      <w:r w:rsidRPr="00265133">
        <w:t xml:space="preserve"> </w:t>
      </w:r>
      <w:bookmarkStart w:id="334" w:name="_Toc84845177"/>
      <w:bookmarkStart w:id="335" w:name="_Toc84854188"/>
      <w:r w:rsidRPr="00E272EB">
        <w:fldChar w:fldCharType="begin"/>
      </w:r>
      <w:r w:rsidRPr="00E272EB">
        <w:instrText xml:space="preserve"> TC  " </w:instrText>
      </w:r>
      <w:bookmarkStart w:id="336" w:name="_Toc97557158"/>
      <w:r w:rsidRPr="00E272EB">
        <w:instrText xml:space="preserve">Appendix </w:instrText>
      </w:r>
      <w:r w:rsidR="00FE5D2B">
        <w:instrText>6</w:instrText>
      </w:r>
      <w:r w:rsidRPr="00E272EB">
        <w:instrText xml:space="preserve">: </w:instrText>
      </w:r>
      <w:r>
        <w:instrText xml:space="preserve">Student </w:instrText>
      </w:r>
      <w:r w:rsidR="00E145A4">
        <w:instrText>assent</w:instrText>
      </w:r>
      <w:r>
        <w:instrText xml:space="preserve"> form</w:instrText>
      </w:r>
      <w:r w:rsidRPr="00E272EB">
        <w:instrText xml:space="preserve"> (Study </w:instrText>
      </w:r>
      <w:r w:rsidR="00D62699">
        <w:instrText>One</w:instrText>
      </w:r>
      <w:r w:rsidRPr="00E272EB">
        <w:instrText>, Chapter 5)</w:instrText>
      </w:r>
      <w:bookmarkEnd w:id="336"/>
      <w:r w:rsidRPr="00E272EB">
        <w:instrText xml:space="preserve">" \f y\l </w:instrText>
      </w:r>
      <w:r>
        <w:instrText>2</w:instrText>
      </w:r>
      <w:r w:rsidRPr="00E272EB">
        <w:instrText xml:space="preserve"> </w:instrText>
      </w:r>
      <w:r w:rsidRPr="00E272EB">
        <w:fldChar w:fldCharType="end"/>
      </w:r>
      <w:r w:rsidRPr="00265133">
        <w:t xml:space="preserve">Appendix </w:t>
      </w:r>
      <w:r w:rsidR="00C834E3">
        <w:t>5</w:t>
      </w:r>
      <w:r w:rsidRPr="00265133">
        <w:t xml:space="preserve">: Student </w:t>
      </w:r>
      <w:r w:rsidR="00DD2B89">
        <w:t>assent</w:t>
      </w:r>
      <w:r w:rsidRPr="00265133">
        <w:t xml:space="preserve"> form (Study </w:t>
      </w:r>
      <w:r w:rsidR="00D62699">
        <w:t>One,</w:t>
      </w:r>
      <w:r w:rsidRPr="00265133">
        <w:t xml:space="preserve"> Chapter </w:t>
      </w:r>
      <w:r w:rsidR="00FE5D2B">
        <w:t>6</w:t>
      </w:r>
      <w:r w:rsidRPr="00265133">
        <w:t>)</w:t>
      </w:r>
      <w:bookmarkEnd w:id="334"/>
      <w:bookmarkEnd w:id="335"/>
    </w:p>
    <w:p w14:paraId="15B75E5F" w14:textId="77777777" w:rsidR="00572E3D" w:rsidRDefault="00572E3D" w:rsidP="00572E3D">
      <w:pPr>
        <w:ind w:right="-1440"/>
        <w:rPr>
          <w:b/>
        </w:rPr>
      </w:pPr>
    </w:p>
    <w:p w14:paraId="36AC1BD5" w14:textId="77777777" w:rsidR="00572E3D" w:rsidRDefault="00572E3D" w:rsidP="00572E3D">
      <w:pPr>
        <w:ind w:right="-1440"/>
        <w:rPr>
          <w:b/>
        </w:rPr>
      </w:pPr>
    </w:p>
    <w:p w14:paraId="4164DCFE" w14:textId="7DFA05AE" w:rsidR="00572E3D" w:rsidRPr="003E27C9" w:rsidRDefault="00572E3D" w:rsidP="00603C00">
      <w:pPr>
        <w:ind w:right="-1440"/>
        <w:rPr>
          <w:b/>
          <w:sz w:val="28"/>
          <w:szCs w:val="28"/>
          <w:u w:val="single"/>
        </w:rPr>
      </w:pPr>
      <w:r w:rsidRPr="003E27C9">
        <w:rPr>
          <w:b/>
          <w:sz w:val="36"/>
          <w:szCs w:val="36"/>
        </w:rPr>
        <w:t xml:space="preserve">                                    </w:t>
      </w:r>
      <w:r w:rsidRPr="003E27C9">
        <w:rPr>
          <w:b/>
          <w:sz w:val="28"/>
          <w:szCs w:val="28"/>
          <w:u w:val="single"/>
        </w:rPr>
        <w:t xml:space="preserve">Student </w:t>
      </w:r>
      <w:r w:rsidR="00DD2B89">
        <w:rPr>
          <w:b/>
          <w:sz w:val="28"/>
          <w:szCs w:val="28"/>
          <w:u w:val="single"/>
        </w:rPr>
        <w:t>assent</w:t>
      </w:r>
      <w:r w:rsidRPr="003E27C9">
        <w:rPr>
          <w:b/>
          <w:sz w:val="28"/>
          <w:szCs w:val="28"/>
          <w:u w:val="single"/>
        </w:rPr>
        <w:t xml:space="preserve"> form</w:t>
      </w:r>
    </w:p>
    <w:p w14:paraId="557EC15B" w14:textId="77777777" w:rsidR="00572E3D" w:rsidRPr="003E27C9" w:rsidRDefault="00572E3D" w:rsidP="00572E3D">
      <w:pPr>
        <w:rPr>
          <w:b/>
          <w:sz w:val="24"/>
          <w:szCs w:val="24"/>
        </w:rPr>
        <w:sectPr w:rsidR="00572E3D" w:rsidRPr="003E27C9" w:rsidSect="00B32EBC">
          <w:pgSz w:w="11906" w:h="16838"/>
          <w:pgMar w:top="1440" w:right="1440" w:bottom="1440" w:left="1440" w:header="708" w:footer="708" w:gutter="0"/>
          <w:cols w:space="708"/>
          <w:docGrid w:linePitch="360"/>
        </w:sectPr>
      </w:pPr>
      <w:r w:rsidRPr="003E27C9">
        <w:rPr>
          <w:b/>
          <w:sz w:val="24"/>
          <w:szCs w:val="24"/>
        </w:rPr>
        <w:t xml:space="preserve">Please read the following statements and tick the boxes to agree with the statements, then sign and date the consent form where advised. </w:t>
      </w:r>
    </w:p>
    <w:tbl>
      <w:tblPr>
        <w:tblStyle w:val="TableGrid"/>
        <w:tblpPr w:leftFromText="180" w:rightFromText="180" w:vertAnchor="text" w:horzAnchor="margin" w:tblpY="27"/>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9"/>
        <w:gridCol w:w="1196"/>
      </w:tblGrid>
      <w:tr w:rsidR="00572E3D" w:rsidRPr="003E27C9" w14:paraId="5D424A00" w14:textId="77777777" w:rsidTr="00611086">
        <w:trPr>
          <w:trHeight w:val="851"/>
        </w:trPr>
        <w:tc>
          <w:tcPr>
            <w:tcW w:w="7999" w:type="dxa"/>
          </w:tcPr>
          <w:p w14:paraId="7ACCAC07" w14:textId="77777777" w:rsidR="00572E3D" w:rsidRPr="003E27C9" w:rsidRDefault="00572E3D" w:rsidP="00611086">
            <w:pPr>
              <w:rPr>
                <w:sz w:val="24"/>
                <w:szCs w:val="24"/>
              </w:rPr>
            </w:pPr>
            <w:r w:rsidRPr="003E27C9">
              <w:rPr>
                <w:sz w:val="24"/>
                <w:szCs w:val="24"/>
              </w:rPr>
              <w:t>I agree that I have read and understood the information sheet and had the chance to ask questions and was happy with the given answers.</w:t>
            </w:r>
          </w:p>
        </w:tc>
        <w:tc>
          <w:tcPr>
            <w:tcW w:w="1196" w:type="dxa"/>
          </w:tcPr>
          <w:p w14:paraId="18F07EEF" w14:textId="77777777" w:rsidR="00572E3D" w:rsidRPr="003E27C9" w:rsidRDefault="00572E3D" w:rsidP="00611086">
            <w:pPr>
              <w:rPr>
                <w:sz w:val="48"/>
                <w:szCs w:val="48"/>
              </w:rPr>
            </w:pPr>
            <w:r w:rsidRPr="003E27C9">
              <w:rPr>
                <w:sz w:val="48"/>
                <w:szCs w:val="48"/>
              </w:rPr>
              <w:sym w:font="Wingdings" w:char="F072"/>
            </w:r>
          </w:p>
        </w:tc>
      </w:tr>
      <w:tr w:rsidR="00572E3D" w:rsidRPr="003E27C9" w14:paraId="7CF49515" w14:textId="77777777" w:rsidTr="00611086">
        <w:trPr>
          <w:trHeight w:val="694"/>
        </w:trPr>
        <w:tc>
          <w:tcPr>
            <w:tcW w:w="7999" w:type="dxa"/>
          </w:tcPr>
          <w:p w14:paraId="531DBE29" w14:textId="77777777" w:rsidR="00572E3D" w:rsidRPr="003E27C9" w:rsidRDefault="00572E3D" w:rsidP="00611086">
            <w:pPr>
              <w:tabs>
                <w:tab w:val="left" w:pos="6030"/>
              </w:tabs>
              <w:rPr>
                <w:sz w:val="24"/>
                <w:szCs w:val="24"/>
              </w:rPr>
            </w:pPr>
            <w:r w:rsidRPr="003E27C9">
              <w:rPr>
                <w:sz w:val="24"/>
                <w:szCs w:val="24"/>
              </w:rPr>
              <w:t>I understand that participating in this research is voluntary and I have the right to withdraw at any time in the discussion period.</w:t>
            </w:r>
          </w:p>
          <w:p w14:paraId="371514C5" w14:textId="77777777" w:rsidR="00572E3D" w:rsidRPr="003E27C9" w:rsidRDefault="00572E3D" w:rsidP="00611086">
            <w:pPr>
              <w:tabs>
                <w:tab w:val="left" w:pos="6030"/>
              </w:tabs>
              <w:rPr>
                <w:sz w:val="24"/>
                <w:szCs w:val="24"/>
              </w:rPr>
            </w:pPr>
          </w:p>
        </w:tc>
        <w:tc>
          <w:tcPr>
            <w:tcW w:w="1196" w:type="dxa"/>
          </w:tcPr>
          <w:p w14:paraId="3ECA964B" w14:textId="77777777" w:rsidR="00572E3D" w:rsidRPr="003E27C9" w:rsidRDefault="00572E3D" w:rsidP="00611086">
            <w:r w:rsidRPr="003E27C9">
              <w:rPr>
                <w:sz w:val="48"/>
                <w:szCs w:val="48"/>
              </w:rPr>
              <w:sym w:font="Wingdings" w:char="F072"/>
            </w:r>
          </w:p>
        </w:tc>
      </w:tr>
      <w:tr w:rsidR="00572E3D" w:rsidRPr="003E27C9" w14:paraId="264AB371" w14:textId="77777777" w:rsidTr="00611086">
        <w:trPr>
          <w:trHeight w:val="694"/>
        </w:trPr>
        <w:tc>
          <w:tcPr>
            <w:tcW w:w="7999" w:type="dxa"/>
          </w:tcPr>
          <w:p w14:paraId="4E083EAA" w14:textId="77777777" w:rsidR="00572E3D" w:rsidRPr="003E27C9" w:rsidRDefault="00572E3D" w:rsidP="00611086">
            <w:pPr>
              <w:tabs>
                <w:tab w:val="left" w:pos="6030"/>
              </w:tabs>
              <w:rPr>
                <w:sz w:val="24"/>
                <w:szCs w:val="24"/>
              </w:rPr>
            </w:pPr>
            <w:r w:rsidRPr="003E27C9">
              <w:rPr>
                <w:sz w:val="24"/>
                <w:szCs w:val="24"/>
              </w:rPr>
              <w:t>I understand that quotations may be taken from the focus group discussions for use in future publications and Sian Calvert’s PhD thesis. I understand that these quotes will not include any information that will personally identify me.</w:t>
            </w:r>
          </w:p>
          <w:p w14:paraId="2D58D94C" w14:textId="77777777" w:rsidR="00572E3D" w:rsidRPr="003E27C9" w:rsidRDefault="00572E3D" w:rsidP="00611086">
            <w:pPr>
              <w:tabs>
                <w:tab w:val="left" w:pos="6030"/>
              </w:tabs>
              <w:rPr>
                <w:sz w:val="24"/>
                <w:szCs w:val="24"/>
              </w:rPr>
            </w:pPr>
          </w:p>
        </w:tc>
        <w:tc>
          <w:tcPr>
            <w:tcW w:w="1196" w:type="dxa"/>
          </w:tcPr>
          <w:p w14:paraId="449514C5" w14:textId="77777777" w:rsidR="00572E3D" w:rsidRPr="003E27C9" w:rsidRDefault="00572E3D" w:rsidP="00611086">
            <w:r w:rsidRPr="003E27C9">
              <w:rPr>
                <w:sz w:val="48"/>
                <w:szCs w:val="48"/>
              </w:rPr>
              <w:sym w:font="Wingdings" w:char="F072"/>
            </w:r>
          </w:p>
        </w:tc>
      </w:tr>
      <w:tr w:rsidR="00572E3D" w:rsidRPr="003E27C9" w14:paraId="56769791" w14:textId="77777777" w:rsidTr="00611086">
        <w:trPr>
          <w:trHeight w:val="694"/>
        </w:trPr>
        <w:tc>
          <w:tcPr>
            <w:tcW w:w="7999" w:type="dxa"/>
          </w:tcPr>
          <w:p w14:paraId="1AD2C2C8" w14:textId="77777777" w:rsidR="00572E3D" w:rsidRPr="003E27C9" w:rsidRDefault="00572E3D" w:rsidP="00611086">
            <w:pPr>
              <w:tabs>
                <w:tab w:val="left" w:pos="6030"/>
              </w:tabs>
              <w:rPr>
                <w:sz w:val="24"/>
                <w:szCs w:val="24"/>
              </w:rPr>
            </w:pPr>
            <w:r w:rsidRPr="003E27C9">
              <w:rPr>
                <w:sz w:val="24"/>
                <w:szCs w:val="24"/>
              </w:rPr>
              <w:t>I understand that no individual will be identified or identifiable from the transcripts.</w:t>
            </w:r>
          </w:p>
          <w:p w14:paraId="22872622" w14:textId="77777777" w:rsidR="00572E3D" w:rsidRPr="003E27C9" w:rsidRDefault="00572E3D" w:rsidP="00611086">
            <w:pPr>
              <w:tabs>
                <w:tab w:val="left" w:pos="6030"/>
              </w:tabs>
              <w:rPr>
                <w:sz w:val="24"/>
                <w:szCs w:val="24"/>
              </w:rPr>
            </w:pPr>
          </w:p>
        </w:tc>
        <w:tc>
          <w:tcPr>
            <w:tcW w:w="1196" w:type="dxa"/>
          </w:tcPr>
          <w:p w14:paraId="35CEB806" w14:textId="77777777" w:rsidR="00572E3D" w:rsidRPr="003E27C9" w:rsidRDefault="00572E3D" w:rsidP="00611086">
            <w:pPr>
              <w:rPr>
                <w:sz w:val="48"/>
                <w:szCs w:val="48"/>
              </w:rPr>
            </w:pPr>
            <w:r w:rsidRPr="003E27C9">
              <w:rPr>
                <w:sz w:val="48"/>
                <w:szCs w:val="48"/>
              </w:rPr>
              <w:sym w:font="Wingdings" w:char="F072"/>
            </w:r>
          </w:p>
        </w:tc>
      </w:tr>
      <w:tr w:rsidR="00572E3D" w:rsidRPr="003E27C9" w14:paraId="21973A7C" w14:textId="77777777" w:rsidTr="00611086">
        <w:trPr>
          <w:trHeight w:val="655"/>
        </w:trPr>
        <w:tc>
          <w:tcPr>
            <w:tcW w:w="7999" w:type="dxa"/>
          </w:tcPr>
          <w:p w14:paraId="1EA18A44" w14:textId="77777777" w:rsidR="00572E3D" w:rsidRPr="003E27C9" w:rsidRDefault="00572E3D" w:rsidP="00611086">
            <w:pPr>
              <w:tabs>
                <w:tab w:val="left" w:pos="6030"/>
              </w:tabs>
              <w:rPr>
                <w:sz w:val="24"/>
                <w:szCs w:val="24"/>
              </w:rPr>
            </w:pPr>
            <w:r w:rsidRPr="003E27C9">
              <w:rPr>
                <w:sz w:val="24"/>
                <w:szCs w:val="24"/>
              </w:rPr>
              <w:t>I have read and understood the guidelines of the focus group and I give consent to participate in this research.</w:t>
            </w:r>
          </w:p>
        </w:tc>
        <w:tc>
          <w:tcPr>
            <w:tcW w:w="1196" w:type="dxa"/>
          </w:tcPr>
          <w:p w14:paraId="36421E75" w14:textId="77777777" w:rsidR="00572E3D" w:rsidRPr="003E27C9" w:rsidRDefault="00572E3D" w:rsidP="00611086">
            <w:r w:rsidRPr="003E27C9">
              <w:rPr>
                <w:sz w:val="48"/>
                <w:szCs w:val="48"/>
              </w:rPr>
              <w:sym w:font="Wingdings" w:char="F072"/>
            </w:r>
          </w:p>
        </w:tc>
      </w:tr>
    </w:tbl>
    <w:p w14:paraId="41AB6191" w14:textId="77777777" w:rsidR="00572E3D" w:rsidRPr="003E27C9" w:rsidRDefault="00572E3D" w:rsidP="00572E3D">
      <w:pPr>
        <w:jc w:val="center"/>
        <w:sectPr w:rsidR="00572E3D" w:rsidRPr="003E27C9" w:rsidSect="00B32EBC">
          <w:type w:val="continuous"/>
          <w:pgSz w:w="11906" w:h="16838"/>
          <w:pgMar w:top="1440" w:right="1440" w:bottom="1440" w:left="1440" w:header="708" w:footer="708" w:gutter="0"/>
          <w:cols w:num="2" w:space="708" w:equalWidth="0">
            <w:col w:w="5780" w:space="708"/>
            <w:col w:w="2536"/>
          </w:cols>
          <w:docGrid w:linePitch="360"/>
        </w:sectPr>
      </w:pPr>
    </w:p>
    <w:p w14:paraId="66CACC31" w14:textId="77777777" w:rsidR="00572E3D" w:rsidRPr="003E27C9" w:rsidRDefault="00572E3D" w:rsidP="00572E3D">
      <w:r w:rsidRPr="003E27C9">
        <w:t>Signatures:</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943"/>
        <w:gridCol w:w="3091"/>
      </w:tblGrid>
      <w:tr w:rsidR="00572E3D" w:rsidRPr="003E27C9" w14:paraId="3F9459E7" w14:textId="77777777" w:rsidTr="00611086">
        <w:trPr>
          <w:trHeight w:val="1191"/>
        </w:trPr>
        <w:tc>
          <w:tcPr>
            <w:tcW w:w="3556" w:type="dxa"/>
          </w:tcPr>
          <w:p w14:paraId="0D086FCF" w14:textId="77777777" w:rsidR="00572E3D" w:rsidRPr="003E27C9" w:rsidRDefault="00572E3D" w:rsidP="00611086">
            <w:pPr>
              <w:spacing w:after="160" w:line="259" w:lineRule="auto"/>
            </w:pPr>
          </w:p>
          <w:p w14:paraId="17B62348" w14:textId="77777777" w:rsidR="00572E3D" w:rsidRPr="003E27C9" w:rsidRDefault="00572E3D" w:rsidP="00611086">
            <w:pPr>
              <w:spacing w:after="160" w:line="259" w:lineRule="auto"/>
            </w:pPr>
            <w:r w:rsidRPr="003E27C9">
              <w:rPr>
                <w:noProof/>
                <w:lang w:eastAsia="en-GB"/>
              </w:rPr>
              <mc:AlternateContent>
                <mc:Choice Requires="wps">
                  <w:drawing>
                    <wp:anchor distT="0" distB="0" distL="114300" distR="114300" simplePos="0" relativeHeight="251603968" behindDoc="0" locked="0" layoutInCell="1" allowOverlap="1" wp14:anchorId="759A5BEE" wp14:editId="3DC5C341">
                      <wp:simplePos x="0" y="0"/>
                      <wp:positionH relativeFrom="column">
                        <wp:posOffset>1905</wp:posOffset>
                      </wp:positionH>
                      <wp:positionV relativeFrom="paragraph">
                        <wp:posOffset>99695</wp:posOffset>
                      </wp:positionV>
                      <wp:extent cx="2009775" cy="0"/>
                      <wp:effectExtent l="0" t="0" r="952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2D793" id="Straight Arrow Connector 13" o:spid="_x0000_s1026" type="#_x0000_t32" style="position:absolute;margin-left:.15pt;margin-top:7.85pt;width:158.25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"/>
                  </w:pict>
                </mc:Fallback>
              </mc:AlternateContent>
            </w:r>
            <w:r w:rsidRPr="003E27C9">
              <w:t xml:space="preserve">  </w:t>
            </w:r>
          </w:p>
          <w:p w14:paraId="417434C8" w14:textId="77777777" w:rsidR="00572E3D" w:rsidRPr="003E27C9" w:rsidRDefault="00572E3D" w:rsidP="00611086">
            <w:pPr>
              <w:spacing w:after="160" w:line="259" w:lineRule="auto"/>
            </w:pPr>
            <w:r w:rsidRPr="003E27C9">
              <w:t>Name of participant (block capitals)</w:t>
            </w:r>
          </w:p>
          <w:p w14:paraId="2219BC44" w14:textId="77777777" w:rsidR="00572E3D" w:rsidRPr="003E27C9" w:rsidRDefault="00572E3D" w:rsidP="00611086">
            <w:pPr>
              <w:spacing w:after="160" w:line="259" w:lineRule="auto"/>
            </w:pPr>
          </w:p>
        </w:tc>
        <w:tc>
          <w:tcPr>
            <w:tcW w:w="2943" w:type="dxa"/>
          </w:tcPr>
          <w:p w14:paraId="50584DDA" w14:textId="77777777" w:rsidR="00572E3D" w:rsidRPr="003E27C9" w:rsidRDefault="00572E3D" w:rsidP="00611086">
            <w:pPr>
              <w:spacing w:after="160" w:line="259" w:lineRule="auto"/>
            </w:pPr>
          </w:p>
          <w:p w14:paraId="66AF732B" w14:textId="77777777" w:rsidR="00572E3D" w:rsidRPr="003E27C9" w:rsidRDefault="00572E3D" w:rsidP="00611086">
            <w:pPr>
              <w:spacing w:after="160" w:line="259" w:lineRule="auto"/>
            </w:pPr>
            <w:r w:rsidRPr="003E27C9">
              <w:rPr>
                <w:noProof/>
                <w:lang w:eastAsia="en-GB"/>
              </w:rPr>
              <mc:AlternateContent>
                <mc:Choice Requires="wps">
                  <w:drawing>
                    <wp:anchor distT="0" distB="0" distL="114300" distR="114300" simplePos="0" relativeHeight="251604992" behindDoc="0" locked="0" layoutInCell="1" allowOverlap="1" wp14:anchorId="66E06FF3" wp14:editId="4B33A73A">
                      <wp:simplePos x="0" y="0"/>
                      <wp:positionH relativeFrom="column">
                        <wp:posOffset>-6985</wp:posOffset>
                      </wp:positionH>
                      <wp:positionV relativeFrom="paragraph">
                        <wp:posOffset>100330</wp:posOffset>
                      </wp:positionV>
                      <wp:extent cx="1711960" cy="0"/>
                      <wp:effectExtent l="12065" t="5080" r="9525"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39F3C" id="Straight Arrow Connector 25" o:spid="_x0000_s1026" type="#_x0000_t32" style="position:absolute;margin-left:-.55pt;margin-top:7.9pt;width:134.8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"/>
                  </w:pict>
                </mc:Fallback>
              </mc:AlternateContent>
            </w:r>
          </w:p>
          <w:p w14:paraId="73E223B1" w14:textId="77777777" w:rsidR="00572E3D" w:rsidRPr="003E27C9" w:rsidRDefault="00572E3D" w:rsidP="00611086">
            <w:pPr>
              <w:spacing w:after="160" w:line="259" w:lineRule="auto"/>
            </w:pPr>
            <w:r w:rsidRPr="003E27C9">
              <w:t>Date</w:t>
            </w:r>
          </w:p>
        </w:tc>
        <w:tc>
          <w:tcPr>
            <w:tcW w:w="3091" w:type="dxa"/>
          </w:tcPr>
          <w:p w14:paraId="45802CCB" w14:textId="77777777" w:rsidR="00572E3D" w:rsidRPr="003E27C9" w:rsidRDefault="00572E3D" w:rsidP="00611086">
            <w:pPr>
              <w:spacing w:after="160" w:line="259" w:lineRule="auto"/>
            </w:pPr>
          </w:p>
          <w:p w14:paraId="61434C60" w14:textId="77777777" w:rsidR="00572E3D" w:rsidRPr="003E27C9" w:rsidRDefault="00572E3D" w:rsidP="00611086">
            <w:pPr>
              <w:spacing w:after="160" w:line="259" w:lineRule="auto"/>
            </w:pPr>
            <w:r w:rsidRPr="003E27C9">
              <w:rPr>
                <w:noProof/>
                <w:lang w:eastAsia="en-GB"/>
              </w:rPr>
              <mc:AlternateContent>
                <mc:Choice Requires="wps">
                  <w:drawing>
                    <wp:anchor distT="0" distB="0" distL="114300" distR="114300" simplePos="0" relativeHeight="251606016" behindDoc="0" locked="0" layoutInCell="1" allowOverlap="1" wp14:anchorId="17A32FC5" wp14:editId="6A6C47EB">
                      <wp:simplePos x="0" y="0"/>
                      <wp:positionH relativeFrom="column">
                        <wp:posOffset>41910</wp:posOffset>
                      </wp:positionH>
                      <wp:positionV relativeFrom="paragraph">
                        <wp:posOffset>89535</wp:posOffset>
                      </wp:positionV>
                      <wp:extent cx="1711960" cy="0"/>
                      <wp:effectExtent l="13335" t="13335" r="8255" b="57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C174B" id="Straight Arrow Connector 26" o:spid="_x0000_s1026" type="#_x0000_t32" style="position:absolute;margin-left:3.3pt;margin-top:7.05pt;width:134.8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"/>
                  </w:pict>
                </mc:Fallback>
              </mc:AlternateContent>
            </w:r>
          </w:p>
          <w:p w14:paraId="6DD5D68A" w14:textId="77777777" w:rsidR="00572E3D" w:rsidRPr="003E27C9" w:rsidRDefault="00572E3D" w:rsidP="00611086">
            <w:pPr>
              <w:spacing w:after="160" w:line="259" w:lineRule="auto"/>
            </w:pPr>
            <w:r w:rsidRPr="003E27C9">
              <w:t>Signature</w:t>
            </w:r>
          </w:p>
        </w:tc>
      </w:tr>
      <w:tr w:rsidR="00572E3D" w:rsidRPr="003E27C9" w14:paraId="29902F89" w14:textId="77777777" w:rsidTr="00611086">
        <w:trPr>
          <w:trHeight w:val="596"/>
        </w:trPr>
        <w:tc>
          <w:tcPr>
            <w:tcW w:w="3556" w:type="dxa"/>
            <w:hideMark/>
          </w:tcPr>
          <w:p w14:paraId="3949D0CE" w14:textId="77777777" w:rsidR="00572E3D" w:rsidRPr="003E27C9" w:rsidRDefault="00572E3D" w:rsidP="00611086">
            <w:pPr>
              <w:spacing w:after="160" w:line="259" w:lineRule="auto"/>
            </w:pPr>
            <w:r w:rsidRPr="003E27C9">
              <w:rPr>
                <w:noProof/>
                <w:lang w:eastAsia="en-GB"/>
              </w:rPr>
              <mc:AlternateContent>
                <mc:Choice Requires="wps">
                  <w:drawing>
                    <wp:anchor distT="0" distB="0" distL="114300" distR="114300" simplePos="0" relativeHeight="251607040" behindDoc="0" locked="0" layoutInCell="1" allowOverlap="1" wp14:anchorId="570FFAC8" wp14:editId="1B14A087">
                      <wp:simplePos x="0" y="0"/>
                      <wp:positionH relativeFrom="column">
                        <wp:posOffset>1905</wp:posOffset>
                      </wp:positionH>
                      <wp:positionV relativeFrom="paragraph">
                        <wp:posOffset>131445</wp:posOffset>
                      </wp:positionV>
                      <wp:extent cx="2009775" cy="0"/>
                      <wp:effectExtent l="0" t="0" r="952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1F712" id="Straight Arrow Connector 27" o:spid="_x0000_s1026" type="#_x0000_t32" style="position:absolute;margin-left:.15pt;margin-top:10.35pt;width:158.2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"/>
                  </w:pict>
                </mc:Fallback>
              </mc:AlternateContent>
            </w:r>
          </w:p>
          <w:p w14:paraId="5FDC392A" w14:textId="77777777" w:rsidR="00572E3D" w:rsidRPr="003E27C9" w:rsidRDefault="00572E3D" w:rsidP="00611086">
            <w:pPr>
              <w:spacing w:after="160" w:line="259" w:lineRule="auto"/>
              <w:rPr>
                <w:i/>
              </w:rPr>
            </w:pPr>
            <w:r w:rsidRPr="003E27C9">
              <w:t>Researcher (block capitals)</w:t>
            </w:r>
          </w:p>
        </w:tc>
        <w:tc>
          <w:tcPr>
            <w:tcW w:w="2943" w:type="dxa"/>
            <w:hideMark/>
          </w:tcPr>
          <w:p w14:paraId="1E89E14B" w14:textId="77777777" w:rsidR="00572E3D" w:rsidRPr="003E27C9" w:rsidRDefault="00572E3D" w:rsidP="00611086">
            <w:pPr>
              <w:spacing w:after="160" w:line="259" w:lineRule="auto"/>
            </w:pPr>
            <w:r w:rsidRPr="003E27C9">
              <w:rPr>
                <w:noProof/>
                <w:lang w:eastAsia="en-GB"/>
              </w:rPr>
              <mc:AlternateContent>
                <mc:Choice Requires="wps">
                  <w:drawing>
                    <wp:anchor distT="0" distB="0" distL="114300" distR="114300" simplePos="0" relativeHeight="251608064" behindDoc="0" locked="0" layoutInCell="1" allowOverlap="1" wp14:anchorId="015F14AB" wp14:editId="37A88B62">
                      <wp:simplePos x="0" y="0"/>
                      <wp:positionH relativeFrom="column">
                        <wp:posOffset>-6985</wp:posOffset>
                      </wp:positionH>
                      <wp:positionV relativeFrom="paragraph">
                        <wp:posOffset>133350</wp:posOffset>
                      </wp:positionV>
                      <wp:extent cx="1711960" cy="0"/>
                      <wp:effectExtent l="12065" t="9525" r="952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9F0E3" id="Straight Arrow Connector 28" o:spid="_x0000_s1026" type="#_x0000_t32" style="position:absolute;margin-left:-.55pt;margin-top:10.5pt;width:134.8pt;height: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"/>
                  </w:pict>
                </mc:Fallback>
              </mc:AlternateContent>
            </w:r>
          </w:p>
          <w:p w14:paraId="2A94B657" w14:textId="77777777" w:rsidR="00572E3D" w:rsidRPr="003E27C9" w:rsidRDefault="00572E3D" w:rsidP="00611086">
            <w:pPr>
              <w:spacing w:after="160" w:line="259" w:lineRule="auto"/>
            </w:pPr>
            <w:r w:rsidRPr="003E27C9">
              <w:t>Date</w:t>
            </w:r>
          </w:p>
        </w:tc>
        <w:tc>
          <w:tcPr>
            <w:tcW w:w="3091" w:type="dxa"/>
            <w:hideMark/>
          </w:tcPr>
          <w:p w14:paraId="2623F502" w14:textId="77777777" w:rsidR="00572E3D" w:rsidRPr="003E27C9" w:rsidRDefault="00572E3D" w:rsidP="00611086">
            <w:pPr>
              <w:spacing w:after="160" w:line="259" w:lineRule="auto"/>
            </w:pPr>
            <w:r w:rsidRPr="003E27C9">
              <w:rPr>
                <w:noProof/>
                <w:lang w:eastAsia="en-GB"/>
              </w:rPr>
              <mc:AlternateContent>
                <mc:Choice Requires="wps">
                  <w:drawing>
                    <wp:anchor distT="0" distB="0" distL="114300" distR="114300" simplePos="0" relativeHeight="251609088" behindDoc="0" locked="0" layoutInCell="1" allowOverlap="1" wp14:anchorId="57F80F56" wp14:editId="62712849">
                      <wp:simplePos x="0" y="0"/>
                      <wp:positionH relativeFrom="column">
                        <wp:posOffset>32385</wp:posOffset>
                      </wp:positionH>
                      <wp:positionV relativeFrom="paragraph">
                        <wp:posOffset>133350</wp:posOffset>
                      </wp:positionV>
                      <wp:extent cx="1711960" cy="0"/>
                      <wp:effectExtent l="13335" t="9525" r="825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B0697" id="Straight Arrow Connector 29" o:spid="_x0000_s1026" type="#_x0000_t32" style="position:absolute;margin-left:2.55pt;margin-top:10.5pt;width:134.8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"/>
                  </w:pict>
                </mc:Fallback>
              </mc:AlternateContent>
            </w:r>
          </w:p>
          <w:p w14:paraId="4C7B198E" w14:textId="77777777" w:rsidR="00572E3D" w:rsidRPr="003E27C9" w:rsidRDefault="00572E3D" w:rsidP="00611086">
            <w:pPr>
              <w:spacing w:after="160" w:line="259" w:lineRule="auto"/>
            </w:pPr>
            <w:r w:rsidRPr="003E27C9">
              <w:t>Signature</w:t>
            </w:r>
          </w:p>
        </w:tc>
      </w:tr>
    </w:tbl>
    <w:p w14:paraId="1B7C512C" w14:textId="77777777" w:rsidR="00572E3D" w:rsidRDefault="00572E3D" w:rsidP="00572E3D">
      <w:pPr>
        <w:sectPr w:rsidR="00572E3D" w:rsidSect="00B32EBC">
          <w:type w:val="continuous"/>
          <w:pgSz w:w="11906" w:h="16838"/>
          <w:pgMar w:top="1440" w:right="1440" w:bottom="1440" w:left="1440" w:header="708" w:footer="708" w:gutter="0"/>
          <w:cols w:space="708"/>
          <w:docGrid w:linePitch="360"/>
        </w:sectPr>
      </w:pPr>
      <w:r w:rsidRPr="003E27C9">
        <w:br/>
        <w:t xml:space="preserve">If you have any further questions please contact the researcher, Sian Calvert, via </w:t>
      </w:r>
      <w:hyperlink r:id="rId57" w:history="1">
        <w:r w:rsidRPr="003E27C9">
          <w:rPr>
            <w:rStyle w:val="Hyperlink"/>
          </w:rPr>
          <w:t>sian.calvert@research.staffs.ac.uk</w:t>
        </w:r>
      </w:hyperlink>
      <w:r w:rsidRPr="003E27C9">
        <w:t xml:space="preserve"> or Supervisor:</w:t>
      </w:r>
    </w:p>
    <w:p w14:paraId="0B42B385" w14:textId="77777777" w:rsidR="00572E3D" w:rsidRPr="003E27C9" w:rsidRDefault="00572E3D" w:rsidP="00572E3D">
      <w:pPr>
        <w:spacing w:after="0" w:line="240" w:lineRule="auto"/>
      </w:pPr>
      <w:r w:rsidRPr="003E27C9">
        <w:t xml:space="preserve">Dr. Robert Dempsey </w:t>
      </w:r>
    </w:p>
    <w:p w14:paraId="18EDA114" w14:textId="77777777" w:rsidR="00572E3D" w:rsidRPr="003E27C9" w:rsidRDefault="00322DCE" w:rsidP="00572E3D">
      <w:pPr>
        <w:spacing w:after="0" w:line="240" w:lineRule="auto"/>
      </w:pPr>
      <w:hyperlink r:id="rId58" w:history="1">
        <w:r w:rsidR="00572E3D" w:rsidRPr="003E27C9">
          <w:rPr>
            <w:rStyle w:val="Hyperlink"/>
          </w:rPr>
          <w:t>robert.dempsey@staffs.ac.uk</w:t>
        </w:r>
      </w:hyperlink>
    </w:p>
    <w:p w14:paraId="6F4932BC" w14:textId="77777777" w:rsidR="00572E3D" w:rsidRPr="003E27C9" w:rsidRDefault="00572E3D" w:rsidP="00572E3D">
      <w:pPr>
        <w:spacing w:after="0" w:line="240" w:lineRule="auto"/>
        <w:rPr>
          <w:i/>
        </w:rPr>
      </w:pPr>
      <w:r w:rsidRPr="003E27C9">
        <w:rPr>
          <w:i/>
        </w:rPr>
        <w:t xml:space="preserve">Lecturer at Staffordshire University </w:t>
      </w:r>
    </w:p>
    <w:p w14:paraId="662C5885"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4E4CDAD4" w14:textId="77777777" w:rsidR="00572E3D" w:rsidRPr="003E27C9" w:rsidRDefault="00572E3D" w:rsidP="00572E3D">
      <w:pPr>
        <w:spacing w:after="0" w:line="240" w:lineRule="auto"/>
      </w:pPr>
    </w:p>
    <w:p w14:paraId="7D3EA947" w14:textId="77777777" w:rsidR="00733440" w:rsidRDefault="00733440" w:rsidP="00572E3D">
      <w:pPr>
        <w:spacing w:after="0" w:line="240" w:lineRule="auto"/>
      </w:pPr>
    </w:p>
    <w:p w14:paraId="7573E229" w14:textId="60C83FA6" w:rsidR="00572E3D" w:rsidRPr="003E27C9" w:rsidRDefault="00572E3D" w:rsidP="00572E3D">
      <w:pPr>
        <w:spacing w:after="0" w:line="240" w:lineRule="auto"/>
      </w:pPr>
      <w:r w:rsidRPr="003E27C9">
        <w:t xml:space="preserve">Dr. Rachel Povey </w:t>
      </w:r>
    </w:p>
    <w:p w14:paraId="79B8355A" w14:textId="77777777" w:rsidR="00572E3D" w:rsidRPr="003E27C9" w:rsidRDefault="00322DCE" w:rsidP="00572E3D">
      <w:pPr>
        <w:spacing w:after="0" w:line="240" w:lineRule="auto"/>
      </w:pPr>
      <w:hyperlink r:id="rId59" w:history="1">
        <w:r w:rsidR="00572E3D" w:rsidRPr="003E27C9">
          <w:rPr>
            <w:rStyle w:val="Hyperlink"/>
          </w:rPr>
          <w:t>r.povey@staffs.ac.uk</w:t>
        </w:r>
      </w:hyperlink>
    </w:p>
    <w:p w14:paraId="2AE3C4A5" w14:textId="77777777" w:rsidR="00572E3D" w:rsidRPr="003E27C9" w:rsidRDefault="00572E3D" w:rsidP="00572E3D">
      <w:pPr>
        <w:spacing w:after="0" w:line="240" w:lineRule="auto"/>
        <w:rPr>
          <w:i/>
        </w:rPr>
      </w:pPr>
      <w:r w:rsidRPr="003E27C9">
        <w:rPr>
          <w:i/>
        </w:rPr>
        <w:t xml:space="preserve">Senior Lecturer at Staffordshire University </w:t>
      </w:r>
    </w:p>
    <w:p w14:paraId="7EFBA6A9" w14:textId="77777777" w:rsidR="00572E3D" w:rsidRPr="003E27C9" w:rsidRDefault="00572E3D" w:rsidP="00572E3D">
      <w:pPr>
        <w:spacing w:after="0" w:line="240" w:lineRule="auto"/>
        <w:rPr>
          <w:rFonts w:ascii="Calibri" w:eastAsia="Calibri" w:hAnsi="Calibri" w:cs="Times New Roman"/>
        </w:rPr>
      </w:pPr>
      <w:r>
        <w:rPr>
          <w:rFonts w:ascii="Calibri" w:eastAsia="Calibri" w:hAnsi="Calibri" w:cs="Times New Roman"/>
        </w:rPr>
        <w:t>[Telephone number]</w:t>
      </w:r>
    </w:p>
    <w:p w14:paraId="17358E7E" w14:textId="77777777" w:rsidR="00572E3D" w:rsidRDefault="00572E3D" w:rsidP="00572E3D">
      <w:pPr>
        <w:spacing w:after="0"/>
        <w:rPr>
          <w:i/>
        </w:rPr>
        <w:sectPr w:rsidR="00572E3D" w:rsidSect="001170AD">
          <w:type w:val="continuous"/>
          <w:pgSz w:w="11906" w:h="16838"/>
          <w:pgMar w:top="1440" w:right="1440" w:bottom="1440" w:left="1440" w:header="708" w:footer="708" w:gutter="0"/>
          <w:cols w:num="2" w:space="708"/>
          <w:docGrid w:linePitch="360"/>
        </w:sectPr>
      </w:pPr>
    </w:p>
    <w:bookmarkStart w:id="337" w:name="_Toc84845178"/>
    <w:bookmarkStart w:id="338" w:name="_Toc84854189"/>
    <w:p w14:paraId="4D59927D" w14:textId="1A76C989" w:rsidR="00625365" w:rsidRPr="00FB45EF" w:rsidRDefault="00625365" w:rsidP="00625365">
      <w:r w:rsidRPr="00E272EB">
        <w:lastRenderedPageBreak/>
        <w:fldChar w:fldCharType="begin"/>
      </w:r>
      <w:r w:rsidRPr="00E272EB">
        <w:instrText xml:space="preserve"> TC  " </w:instrText>
      </w:r>
      <w:bookmarkStart w:id="339" w:name="_Toc97557159"/>
      <w:r w:rsidRPr="00E272EB">
        <w:instrText xml:space="preserve">Appendix </w:instrText>
      </w:r>
      <w:r w:rsidR="00FE5D2B">
        <w:instrText>7</w:instrText>
      </w:r>
      <w:r w:rsidRPr="00E272EB">
        <w:instrText xml:space="preserve">: </w:instrText>
      </w:r>
      <w:r>
        <w:instrText>Focus group questions</w:instrText>
      </w:r>
      <w:r w:rsidRPr="00E272EB">
        <w:instrText xml:space="preserve"> (Study </w:instrText>
      </w:r>
      <w:r w:rsidR="00D62699">
        <w:instrText>One</w:instrText>
      </w:r>
      <w:r w:rsidRPr="00E272EB">
        <w:instrText>, Chapter 5)</w:instrText>
      </w:r>
      <w:bookmarkEnd w:id="339"/>
      <w:r w:rsidRPr="00E272EB">
        <w:instrText xml:space="preserve">" \f y\l </w:instrText>
      </w:r>
      <w:r>
        <w:instrText>2</w:instrText>
      </w:r>
      <w:r w:rsidRPr="00E272EB">
        <w:instrText xml:space="preserve"> </w:instrText>
      </w:r>
      <w:r w:rsidRPr="00E272EB">
        <w:fldChar w:fldCharType="end"/>
      </w:r>
      <w:r>
        <w:t>A</w:t>
      </w:r>
      <w:r w:rsidRPr="00FB45EF">
        <w:t xml:space="preserve">ppendix </w:t>
      </w:r>
      <w:r w:rsidR="00FE5D2B">
        <w:t>7</w:t>
      </w:r>
      <w:r w:rsidRPr="00FB45EF">
        <w:t xml:space="preserve">: Focus group questions (Study </w:t>
      </w:r>
      <w:r w:rsidR="00D62699">
        <w:t>One</w:t>
      </w:r>
      <w:r w:rsidRPr="00FB45EF">
        <w:t>, Chapter 5)</w:t>
      </w:r>
    </w:p>
    <w:p w14:paraId="00559CDB" w14:textId="77777777" w:rsidR="00625365" w:rsidRDefault="00625365" w:rsidP="00625365">
      <w:pPr>
        <w:rPr>
          <w:u w:val="single"/>
        </w:rPr>
      </w:pPr>
    </w:p>
    <w:p w14:paraId="7DB5B67C" w14:textId="39655D01" w:rsidR="00522915" w:rsidRPr="006B7092" w:rsidRDefault="00522915" w:rsidP="006B7092">
      <w:pPr>
        <w:jc w:val="center"/>
        <w:rPr>
          <w:b/>
          <w:bCs/>
          <w:u w:val="single"/>
        </w:rPr>
      </w:pPr>
      <w:r w:rsidRPr="006B7092">
        <w:rPr>
          <w:b/>
          <w:bCs/>
          <w:u w:val="single"/>
        </w:rPr>
        <w:t xml:space="preserve">Focus group </w:t>
      </w:r>
      <w:r w:rsidR="006B7092" w:rsidRPr="006B7092">
        <w:rPr>
          <w:b/>
          <w:bCs/>
          <w:u w:val="single"/>
        </w:rPr>
        <w:t>questions</w:t>
      </w:r>
    </w:p>
    <w:p w14:paraId="00ADB9D9" w14:textId="77777777" w:rsidR="006B7092" w:rsidRDefault="006B7092" w:rsidP="006B7092">
      <w:pPr>
        <w:jc w:val="center"/>
        <w:rPr>
          <w:u w:val="single"/>
        </w:rPr>
      </w:pPr>
    </w:p>
    <w:p w14:paraId="6F6F300F" w14:textId="2D1AF1A9" w:rsidR="00625365" w:rsidRPr="00B84955" w:rsidRDefault="00625365" w:rsidP="00625365">
      <w:pPr>
        <w:rPr>
          <w:u w:val="single"/>
        </w:rPr>
      </w:pPr>
      <w:r>
        <w:rPr>
          <w:u w:val="single"/>
        </w:rPr>
        <w:t>Eating questions</w:t>
      </w:r>
    </w:p>
    <w:p w14:paraId="179399A0" w14:textId="77777777" w:rsidR="00625365" w:rsidRDefault="00625365" w:rsidP="00625365">
      <w:r>
        <w:t>What do you understand (think) to be healthy food?</w:t>
      </w:r>
    </w:p>
    <w:p w14:paraId="14795FD3" w14:textId="77777777" w:rsidR="00625365" w:rsidRDefault="00625365" w:rsidP="00625365">
      <w:r>
        <w:t>What do you understand (think) to be unhealthy food?</w:t>
      </w:r>
    </w:p>
    <w:p w14:paraId="0F5DED2F" w14:textId="77777777" w:rsidR="00625365" w:rsidRPr="00B84955" w:rsidRDefault="00625365" w:rsidP="00625365">
      <w:pPr>
        <w:rPr>
          <w:u w:val="single"/>
        </w:rPr>
      </w:pPr>
      <w:r w:rsidRPr="00B84955">
        <w:rPr>
          <w:u w:val="single"/>
        </w:rPr>
        <w:t xml:space="preserve">Benefits </w:t>
      </w:r>
      <w:r>
        <w:rPr>
          <w:u w:val="single"/>
        </w:rPr>
        <w:t xml:space="preserve">questions </w:t>
      </w:r>
    </w:p>
    <w:p w14:paraId="2160DB26" w14:textId="77777777" w:rsidR="00625365" w:rsidRDefault="00625365" w:rsidP="00625365">
      <w:r w:rsidRPr="00B84955">
        <w:t>What do you think would be the benefits of healthy eating?</w:t>
      </w:r>
    </w:p>
    <w:p w14:paraId="1BC407B0" w14:textId="77777777" w:rsidR="00625365" w:rsidRDefault="00625365" w:rsidP="00625365">
      <w:r>
        <w:t>What makes it easier to eat healthily?</w:t>
      </w:r>
    </w:p>
    <w:p w14:paraId="4A67BE55" w14:textId="77777777" w:rsidR="00625365" w:rsidRDefault="00625365" w:rsidP="00625365">
      <w:pPr>
        <w:rPr>
          <w:u w:val="single"/>
        </w:rPr>
      </w:pPr>
      <w:r w:rsidRPr="00B84955">
        <w:rPr>
          <w:u w:val="single"/>
        </w:rPr>
        <w:t>Barrier questions</w:t>
      </w:r>
    </w:p>
    <w:p w14:paraId="08FDA317" w14:textId="77777777" w:rsidR="00625365" w:rsidRDefault="00625365" w:rsidP="00625365">
      <w:r w:rsidRPr="00B84955">
        <w:t xml:space="preserve">What </w:t>
      </w:r>
      <w:r>
        <w:t>would</w:t>
      </w:r>
      <w:r w:rsidRPr="00B84955">
        <w:t xml:space="preserve"> stop someone </w:t>
      </w:r>
      <w:r>
        <w:t xml:space="preserve">(you) </w:t>
      </w:r>
      <w:r w:rsidRPr="00B84955">
        <w:t>eating healthy foods?</w:t>
      </w:r>
    </w:p>
    <w:p w14:paraId="05666587" w14:textId="77777777" w:rsidR="00625365" w:rsidRDefault="00625365" w:rsidP="00625365">
      <w:r>
        <w:t xml:space="preserve">What could they (you) do to overcome these barriers? </w:t>
      </w:r>
    </w:p>
    <w:p w14:paraId="44519A0D" w14:textId="77777777" w:rsidR="00625365" w:rsidRPr="00557661" w:rsidRDefault="00625365" w:rsidP="00625365">
      <w:r w:rsidRPr="00557661">
        <w:t xml:space="preserve">Sometimes it is hard to eat healthy foods even if you really want to. What could </w:t>
      </w:r>
      <w:r>
        <w:t>stop</w:t>
      </w:r>
      <w:r w:rsidRPr="00557661">
        <w:t xml:space="preserve"> someone from eating healthy foods at school? </w:t>
      </w:r>
    </w:p>
    <w:p w14:paraId="098FAC6F" w14:textId="77777777" w:rsidR="00625365" w:rsidRPr="00B84955" w:rsidRDefault="00625365" w:rsidP="00625365">
      <w:pPr>
        <w:rPr>
          <w:u w:val="single"/>
        </w:rPr>
      </w:pPr>
      <w:r w:rsidRPr="00B84955">
        <w:rPr>
          <w:u w:val="single"/>
        </w:rPr>
        <w:t xml:space="preserve">Social norm questions </w:t>
      </w:r>
    </w:p>
    <w:p w14:paraId="67D6CB47" w14:textId="77777777" w:rsidR="00625365" w:rsidRDefault="00625365" w:rsidP="00625365">
      <w:r>
        <w:t>What do you think that the boys/girls in your year eat? And why?</w:t>
      </w:r>
    </w:p>
    <w:p w14:paraId="36416266" w14:textId="77777777" w:rsidR="00625365" w:rsidRDefault="00625365" w:rsidP="00625365">
      <w:r>
        <w:t xml:space="preserve">Do you think that your other boys/girls class mates eat the same things as you? </w:t>
      </w:r>
    </w:p>
    <w:p w14:paraId="0568A359" w14:textId="77777777" w:rsidR="00625365" w:rsidRDefault="00625365" w:rsidP="00625365">
      <w:r>
        <w:t>What sort of foods do both you and your friends eat?</w:t>
      </w:r>
    </w:p>
    <w:p w14:paraId="1A4F3AF7" w14:textId="77777777" w:rsidR="00625365" w:rsidRDefault="00625365" w:rsidP="00625365">
      <w:r>
        <w:t>What sort of food do boys and girls at your school eat?</w:t>
      </w:r>
    </w:p>
    <w:p w14:paraId="6C95E0F5" w14:textId="77777777" w:rsidR="00625365" w:rsidRDefault="00625365" w:rsidP="00625365">
      <w:r>
        <w:t>What sort of similar foods do they eat?</w:t>
      </w:r>
    </w:p>
    <w:p w14:paraId="4CE3FEEE" w14:textId="77777777" w:rsidR="00625365" w:rsidRDefault="00625365" w:rsidP="00625365">
      <w:pPr>
        <w:rPr>
          <w:u w:val="single"/>
        </w:rPr>
      </w:pPr>
      <w:r w:rsidRPr="00416086">
        <w:rPr>
          <w:u w:val="single"/>
        </w:rPr>
        <w:t xml:space="preserve">Intervention </w:t>
      </w:r>
    </w:p>
    <w:p w14:paraId="61B7C7E7" w14:textId="77777777" w:rsidR="00625365" w:rsidRDefault="00625365" w:rsidP="00625365">
      <w:r w:rsidRPr="00416086">
        <w:t xml:space="preserve">What </w:t>
      </w:r>
      <w:r>
        <w:t xml:space="preserve">would encourage you (or your friends) </w:t>
      </w:r>
      <w:r w:rsidRPr="00416086">
        <w:t>to eat healthy</w:t>
      </w:r>
      <w:r>
        <w:t xml:space="preserve"> or healthier (in school/out of school)? </w:t>
      </w:r>
    </w:p>
    <w:p w14:paraId="627CC1C8" w14:textId="77777777" w:rsidR="00625365" w:rsidRDefault="00625365" w:rsidP="00625365">
      <w:r>
        <w:t>Is there anything that would make it more difficult to eat healthier?</w:t>
      </w:r>
      <w:r w:rsidRPr="00416086">
        <w:t xml:space="preserve"> </w:t>
      </w:r>
    </w:p>
    <w:p w14:paraId="0263C4F4" w14:textId="77777777" w:rsidR="00625365" w:rsidRDefault="00625365" w:rsidP="00572E3D"/>
    <w:p w14:paraId="728E9377" w14:textId="77777777" w:rsidR="006B0054" w:rsidRDefault="006B0054">
      <w:pPr>
        <w:rPr>
          <w:u w:val="single"/>
        </w:rPr>
      </w:pPr>
      <w:r w:rsidRPr="006B0054">
        <w:rPr>
          <w:u w:val="single"/>
        </w:rPr>
        <w:t>Prompts</w:t>
      </w:r>
    </w:p>
    <w:p w14:paraId="41B4319D" w14:textId="77777777" w:rsidR="006B0054" w:rsidRDefault="006B0054" w:rsidP="006B0054">
      <w:r w:rsidRPr="006B0054">
        <w:t>-</w:t>
      </w:r>
      <w:r>
        <w:t>Can you explain more?</w:t>
      </w:r>
    </w:p>
    <w:p w14:paraId="2FA39C25" w14:textId="16223811" w:rsidR="00576572" w:rsidRDefault="006B0054" w:rsidP="00576572">
      <w:r>
        <w:t>-</w:t>
      </w:r>
      <w:r w:rsidR="00576572" w:rsidRPr="00576572">
        <w:t xml:space="preserve"> </w:t>
      </w:r>
      <w:r w:rsidR="00576572">
        <w:t>Why do you think that?</w:t>
      </w:r>
    </w:p>
    <w:p w14:paraId="32AA0358" w14:textId="329F11F1" w:rsidR="00576572" w:rsidRDefault="00576572" w:rsidP="00576572">
      <w:r>
        <w:t xml:space="preserve">- What does that mean? Or what do you mean by that? </w:t>
      </w:r>
    </w:p>
    <w:p w14:paraId="3F4F20E2" w14:textId="1C1837FD" w:rsidR="00576572" w:rsidRDefault="00576572" w:rsidP="00576572">
      <w:r>
        <w:t>- Please tell me more</w:t>
      </w:r>
    </w:p>
    <w:p w14:paraId="59AD56BE" w14:textId="79DACF14" w:rsidR="00576572" w:rsidRDefault="00576572" w:rsidP="00576572">
      <w:r>
        <w:t xml:space="preserve">- Can you give me an example? </w:t>
      </w:r>
    </w:p>
    <w:p w14:paraId="7CA83D3B" w14:textId="65EE3009" w:rsidR="00572E3D" w:rsidRPr="00265133" w:rsidRDefault="00572E3D" w:rsidP="00572E3D">
      <w:r w:rsidRPr="00265133">
        <w:rPr>
          <w:noProof/>
        </w:rPr>
        <w:lastRenderedPageBreak/>
        <w:drawing>
          <wp:anchor distT="0" distB="0" distL="114300" distR="114300" simplePos="0" relativeHeight="251611136" behindDoc="1" locked="0" layoutInCell="1" allowOverlap="1" wp14:anchorId="2A2374C1" wp14:editId="2D42C9BC">
            <wp:simplePos x="0" y="0"/>
            <wp:positionH relativeFrom="column">
              <wp:posOffset>4364369</wp:posOffset>
            </wp:positionH>
            <wp:positionV relativeFrom="paragraph">
              <wp:posOffset>154437</wp:posOffset>
            </wp:positionV>
            <wp:extent cx="1196975" cy="1242060"/>
            <wp:effectExtent l="0" t="0" r="3175" b="0"/>
            <wp:wrapThrough wrapText="bothSides">
              <wp:wrapPolygon edited="0">
                <wp:start x="0" y="0"/>
                <wp:lineTo x="0" y="17890"/>
                <wp:lineTo x="3094" y="21202"/>
                <wp:lineTo x="21314" y="21202"/>
                <wp:lineTo x="21314" y="0"/>
                <wp:lineTo x="0" y="0"/>
              </wp:wrapPolygon>
            </wp:wrapThrough>
            <wp:docPr id="233" name="Picture 2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6975" cy="1242060"/>
                    </a:xfrm>
                    <a:prstGeom prst="rect">
                      <a:avLst/>
                    </a:prstGeom>
                    <a:noFill/>
                  </pic:spPr>
                </pic:pic>
              </a:graphicData>
            </a:graphic>
            <wp14:sizeRelH relativeFrom="page">
              <wp14:pctWidth>0</wp14:pctWidth>
            </wp14:sizeRelH>
            <wp14:sizeRelV relativeFrom="page">
              <wp14:pctHeight>0</wp14:pctHeight>
            </wp14:sizeRelV>
          </wp:anchor>
        </w:drawing>
      </w:r>
      <w:r w:rsidRPr="00265133">
        <w:t xml:space="preserve"> </w:t>
      </w:r>
      <w:r w:rsidRPr="00E272EB">
        <w:fldChar w:fldCharType="begin"/>
      </w:r>
      <w:r w:rsidRPr="00E272EB">
        <w:instrText xml:space="preserve"> TC  " </w:instrText>
      </w:r>
      <w:bookmarkStart w:id="340" w:name="_Toc97557160"/>
      <w:r w:rsidRPr="00E272EB">
        <w:instrText xml:space="preserve">Appendix </w:instrText>
      </w:r>
      <w:r w:rsidR="00FE5D2B">
        <w:instrText>8</w:instrText>
      </w:r>
      <w:r w:rsidRPr="00E272EB">
        <w:instrText xml:space="preserve">: </w:instrText>
      </w:r>
      <w:r>
        <w:instrText>Student debrief form</w:instrText>
      </w:r>
      <w:r w:rsidRPr="00E272EB">
        <w:instrText xml:space="preserve"> (Study </w:instrText>
      </w:r>
      <w:r w:rsidR="00D62699">
        <w:instrText>One</w:instrText>
      </w:r>
      <w:r w:rsidRPr="00E272EB">
        <w:instrText>, Chapter 5)</w:instrText>
      </w:r>
      <w:bookmarkEnd w:id="340"/>
      <w:r w:rsidRPr="00E272EB">
        <w:instrText xml:space="preserve">" \f y\l </w:instrText>
      </w:r>
      <w:r>
        <w:instrText>2</w:instrText>
      </w:r>
      <w:r w:rsidRPr="00E272EB">
        <w:instrText xml:space="preserve"> </w:instrText>
      </w:r>
      <w:r w:rsidRPr="00E272EB">
        <w:fldChar w:fldCharType="end"/>
      </w:r>
      <w:r w:rsidRPr="00265133">
        <w:t xml:space="preserve">Appendix </w:t>
      </w:r>
      <w:r w:rsidR="00FE5D2B">
        <w:t>8</w:t>
      </w:r>
      <w:r w:rsidRPr="00265133">
        <w:t xml:space="preserve">: Student debrief form (Study </w:t>
      </w:r>
      <w:r w:rsidR="00D62699">
        <w:t>One</w:t>
      </w:r>
      <w:r w:rsidRPr="00265133">
        <w:t>, Chapter 5)</w:t>
      </w:r>
      <w:bookmarkEnd w:id="337"/>
      <w:bookmarkEnd w:id="338"/>
    </w:p>
    <w:p w14:paraId="5D41E8E2" w14:textId="77777777" w:rsidR="00572E3D" w:rsidRDefault="00572E3D" w:rsidP="00572E3D"/>
    <w:p w14:paraId="44900808" w14:textId="77777777" w:rsidR="00572E3D" w:rsidRDefault="00572E3D" w:rsidP="00572E3D"/>
    <w:p w14:paraId="64910441" w14:textId="77777777" w:rsidR="00572E3D" w:rsidRDefault="00572E3D" w:rsidP="00572E3D"/>
    <w:p w14:paraId="2A5D1A4A" w14:textId="77777777" w:rsidR="00572E3D" w:rsidRDefault="00572E3D" w:rsidP="00572E3D"/>
    <w:p w14:paraId="50C65935" w14:textId="77777777" w:rsidR="00572E3D" w:rsidRDefault="00572E3D" w:rsidP="00572E3D"/>
    <w:p w14:paraId="6459154D" w14:textId="77777777" w:rsidR="00572E3D" w:rsidRDefault="00572E3D" w:rsidP="00572E3D"/>
    <w:p w14:paraId="48931D03" w14:textId="77777777" w:rsidR="00572E3D" w:rsidRPr="00642109" w:rsidRDefault="00572E3D" w:rsidP="00572E3D">
      <w:pPr>
        <w:jc w:val="center"/>
      </w:pPr>
      <w:r>
        <w:rPr>
          <w:b/>
          <w:sz w:val="32"/>
          <w:szCs w:val="32"/>
          <w:u w:val="single"/>
        </w:rPr>
        <w:t>Debrief</w:t>
      </w:r>
    </w:p>
    <w:p w14:paraId="4ECCE776" w14:textId="77777777" w:rsidR="00572E3D" w:rsidRDefault="00572E3D" w:rsidP="00572E3D">
      <w:r>
        <w:t>Thank you for taking part in the focus group discussing healthy eating. The research aims to look at</w:t>
      </w:r>
      <w:r w:rsidRPr="00F60986">
        <w:t xml:space="preserve"> influences on healthy eating </w:t>
      </w:r>
      <w:r>
        <w:t>amongst</w:t>
      </w:r>
      <w:r w:rsidRPr="00F60986">
        <w:t xml:space="preserve"> </w:t>
      </w:r>
      <w:r>
        <w:t xml:space="preserve">high school </w:t>
      </w:r>
      <w:r w:rsidRPr="00F60986">
        <w:t>students. The recordings from the focus group will be analysed to look for patterns and themes that arise in the discussion of healthy eating</w:t>
      </w:r>
      <w:r>
        <w:t xml:space="preserve">. Please be assured </w:t>
      </w:r>
      <w:r w:rsidRPr="00A0064A">
        <w:t>that no individual will be identified or identifiable from the transcripts.</w:t>
      </w:r>
      <w:r>
        <w:t xml:space="preserve"> To make sure the information is kept confidential as per the guidelines, that conversation from the focus group should not be further discussed once the focus group has disbanded.  We hope to use these findings in the future to help us to plan what we would need to include in a school-based programme to help students to choose to eat more healthily.    </w:t>
      </w:r>
    </w:p>
    <w:p w14:paraId="25D87EDF" w14:textId="77777777" w:rsidR="00572E3D" w:rsidRDefault="00572E3D" w:rsidP="00572E3D">
      <w:r>
        <w:t>Thank you again for taking part in the focus group. If you have any further questions, please contact me or one of my supervisors.</w:t>
      </w:r>
    </w:p>
    <w:p w14:paraId="7D880527" w14:textId="77777777" w:rsidR="00572E3D" w:rsidRDefault="00572E3D" w:rsidP="00572E3D">
      <w:pPr>
        <w:spacing w:after="0" w:line="240" w:lineRule="auto"/>
      </w:pPr>
    </w:p>
    <w:p w14:paraId="663AA8B2" w14:textId="77777777" w:rsidR="00572E3D" w:rsidRDefault="00572E3D" w:rsidP="00572E3D">
      <w:pPr>
        <w:spacing w:after="0" w:line="240" w:lineRule="auto"/>
      </w:pPr>
      <w:r>
        <w:t>Sian Calvert</w:t>
      </w:r>
    </w:p>
    <w:p w14:paraId="7366947F" w14:textId="77777777" w:rsidR="00572E3D" w:rsidRDefault="00322DCE" w:rsidP="00572E3D">
      <w:pPr>
        <w:spacing w:after="0" w:line="240" w:lineRule="auto"/>
        <w:rPr>
          <w:rStyle w:val="Hyperlink"/>
        </w:rPr>
      </w:pPr>
      <w:hyperlink r:id="rId60" w:history="1">
        <w:r w:rsidR="00572E3D" w:rsidRPr="00401B67">
          <w:rPr>
            <w:rStyle w:val="Hyperlink"/>
          </w:rPr>
          <w:t>Sian.calvert@research.staffs.ac.uk</w:t>
        </w:r>
      </w:hyperlink>
    </w:p>
    <w:p w14:paraId="415BB230" w14:textId="77777777" w:rsidR="00572E3D" w:rsidRPr="00463B92" w:rsidRDefault="00572E3D" w:rsidP="00572E3D">
      <w:pPr>
        <w:spacing w:after="0" w:line="240" w:lineRule="auto"/>
      </w:pPr>
      <w:r>
        <w:rPr>
          <w:i/>
        </w:rPr>
        <w:t xml:space="preserve">PhD student in psychology, Staffordshire University </w:t>
      </w:r>
    </w:p>
    <w:p w14:paraId="75CFC48F" w14:textId="77777777" w:rsidR="00572E3D" w:rsidRPr="003E27C9" w:rsidRDefault="00572E3D" w:rsidP="00572E3D">
      <w:pPr>
        <w:spacing w:after="0" w:line="240" w:lineRule="auto"/>
      </w:pPr>
      <w:r w:rsidRPr="003E27C9">
        <w:t>01782 294121</w:t>
      </w:r>
    </w:p>
    <w:p w14:paraId="3EB49C15" w14:textId="77777777" w:rsidR="00572E3D" w:rsidRPr="003E27C9" w:rsidRDefault="00572E3D" w:rsidP="00572E3D">
      <w:pPr>
        <w:spacing w:after="0" w:line="240" w:lineRule="auto"/>
        <w:rPr>
          <w:u w:val="single"/>
        </w:rPr>
      </w:pPr>
    </w:p>
    <w:p w14:paraId="31D4AE77" w14:textId="77777777" w:rsidR="00572E3D" w:rsidRPr="003E27C9" w:rsidRDefault="00572E3D" w:rsidP="00572E3D">
      <w:pPr>
        <w:spacing w:after="0" w:line="240" w:lineRule="auto"/>
        <w:ind w:firstLine="720"/>
      </w:pPr>
    </w:p>
    <w:p w14:paraId="4735E718" w14:textId="77777777" w:rsidR="00572E3D" w:rsidRPr="003E27C9" w:rsidRDefault="00572E3D" w:rsidP="00572E3D">
      <w:pPr>
        <w:spacing w:after="0" w:line="240" w:lineRule="auto"/>
      </w:pPr>
      <w:r w:rsidRPr="003E27C9">
        <w:t xml:space="preserve">Dr. Robert Dempsey </w:t>
      </w:r>
    </w:p>
    <w:p w14:paraId="79EF51B7" w14:textId="77777777" w:rsidR="00572E3D" w:rsidRPr="003E27C9" w:rsidRDefault="00322DCE" w:rsidP="00572E3D">
      <w:pPr>
        <w:spacing w:after="0" w:line="240" w:lineRule="auto"/>
      </w:pPr>
      <w:hyperlink r:id="rId61" w:history="1">
        <w:r w:rsidR="00572E3D" w:rsidRPr="003E27C9">
          <w:rPr>
            <w:rStyle w:val="Hyperlink"/>
          </w:rPr>
          <w:t>robert.dempsey@staffs.ac.uk</w:t>
        </w:r>
      </w:hyperlink>
    </w:p>
    <w:p w14:paraId="6D1EDD0D" w14:textId="77777777" w:rsidR="00572E3D" w:rsidRPr="003E27C9" w:rsidRDefault="00572E3D" w:rsidP="00572E3D">
      <w:pPr>
        <w:spacing w:after="0" w:line="240" w:lineRule="auto"/>
        <w:rPr>
          <w:i/>
        </w:rPr>
      </w:pPr>
      <w:r w:rsidRPr="003E27C9">
        <w:rPr>
          <w:i/>
        </w:rPr>
        <w:t xml:space="preserve">Lecturer at Staffordshire University </w:t>
      </w:r>
    </w:p>
    <w:p w14:paraId="54133A6D" w14:textId="77777777" w:rsidR="00572E3D" w:rsidRPr="003E27C9" w:rsidRDefault="00572E3D" w:rsidP="00572E3D">
      <w:pPr>
        <w:spacing w:after="0" w:line="240" w:lineRule="auto"/>
      </w:pPr>
      <w:r>
        <w:t>[Telephone number]</w:t>
      </w:r>
    </w:p>
    <w:p w14:paraId="00B5476F" w14:textId="77777777" w:rsidR="00572E3D" w:rsidRPr="003E27C9" w:rsidRDefault="00572E3D" w:rsidP="00572E3D">
      <w:pPr>
        <w:spacing w:after="0" w:line="240" w:lineRule="auto"/>
      </w:pPr>
    </w:p>
    <w:p w14:paraId="45822D03" w14:textId="77777777" w:rsidR="00572E3D" w:rsidRPr="003E27C9" w:rsidRDefault="00572E3D" w:rsidP="00572E3D">
      <w:pPr>
        <w:spacing w:after="0" w:line="240" w:lineRule="auto"/>
      </w:pPr>
      <w:r w:rsidRPr="003E27C9">
        <w:t xml:space="preserve">Dr. Rachel Povey </w:t>
      </w:r>
    </w:p>
    <w:p w14:paraId="2E05B511" w14:textId="77777777" w:rsidR="00572E3D" w:rsidRPr="003E27C9" w:rsidRDefault="00322DCE" w:rsidP="00572E3D">
      <w:pPr>
        <w:spacing w:after="0" w:line="240" w:lineRule="auto"/>
      </w:pPr>
      <w:hyperlink r:id="rId62" w:history="1">
        <w:r w:rsidR="00572E3D" w:rsidRPr="003E27C9">
          <w:rPr>
            <w:rStyle w:val="Hyperlink"/>
          </w:rPr>
          <w:t>r.povey@staffs.ac.uk</w:t>
        </w:r>
      </w:hyperlink>
    </w:p>
    <w:p w14:paraId="2C001E79" w14:textId="77777777" w:rsidR="00572E3D" w:rsidRPr="003E27C9" w:rsidRDefault="00572E3D" w:rsidP="00572E3D">
      <w:pPr>
        <w:spacing w:after="0" w:line="240" w:lineRule="auto"/>
        <w:rPr>
          <w:i/>
        </w:rPr>
      </w:pPr>
      <w:r w:rsidRPr="003E27C9">
        <w:rPr>
          <w:i/>
        </w:rPr>
        <w:t xml:space="preserve">Senior Lecturer at Staffordshire University </w:t>
      </w:r>
    </w:p>
    <w:p w14:paraId="1B9DE4DF" w14:textId="77777777" w:rsidR="00572E3D" w:rsidRPr="003E27C9" w:rsidRDefault="00572E3D" w:rsidP="00572E3D">
      <w:pPr>
        <w:spacing w:after="0" w:line="240" w:lineRule="auto"/>
      </w:pPr>
      <w:r>
        <w:t>[Telephone number]</w:t>
      </w:r>
    </w:p>
    <w:p w14:paraId="1361FB7B" w14:textId="77777777" w:rsidR="00572E3D" w:rsidRDefault="00572E3D" w:rsidP="00572E3D">
      <w:pPr>
        <w:rPr>
          <w:b/>
          <w:sz w:val="28"/>
          <w:szCs w:val="28"/>
        </w:rPr>
      </w:pPr>
    </w:p>
    <w:p w14:paraId="30F96790" w14:textId="77777777" w:rsidR="00572E3D" w:rsidRDefault="00572E3D" w:rsidP="00572E3D">
      <w:pPr>
        <w:rPr>
          <w:b/>
          <w:sz w:val="28"/>
          <w:szCs w:val="28"/>
        </w:rPr>
      </w:pPr>
    </w:p>
    <w:p w14:paraId="6B06DCE5" w14:textId="77777777" w:rsidR="00572E3D" w:rsidRDefault="00572E3D" w:rsidP="00572E3D"/>
    <w:p w14:paraId="01553861" w14:textId="77777777" w:rsidR="00572E3D" w:rsidRDefault="00572E3D" w:rsidP="00572E3D"/>
    <w:p w14:paraId="3D608607" w14:textId="77777777" w:rsidR="00572E3D" w:rsidRDefault="00572E3D" w:rsidP="00572E3D"/>
    <w:bookmarkStart w:id="341" w:name="_Toc84845179"/>
    <w:bookmarkStart w:id="342" w:name="_Toc84854190"/>
    <w:p w14:paraId="4A10EE61" w14:textId="68A5E0DC" w:rsidR="00FC392C" w:rsidRDefault="00FC392C" w:rsidP="00FC392C">
      <w:pPr>
        <w:rPr>
          <w:rFonts w:cstheme="minorHAnsi"/>
        </w:rPr>
      </w:pPr>
      <w:r w:rsidRPr="009C4370">
        <w:rPr>
          <w:rFonts w:cstheme="minorHAnsi"/>
        </w:rPr>
        <w:lastRenderedPageBreak/>
        <w:fldChar w:fldCharType="begin"/>
      </w:r>
      <w:r w:rsidRPr="009C4370">
        <w:rPr>
          <w:rFonts w:cstheme="minorHAnsi"/>
        </w:rPr>
        <w:instrText xml:space="preserve"> TC  " </w:instrText>
      </w:r>
      <w:bookmarkStart w:id="343" w:name="_Toc97557161"/>
      <w:r w:rsidRPr="009C4370">
        <w:rPr>
          <w:rFonts w:cstheme="minorHAnsi"/>
        </w:rPr>
        <w:instrText xml:space="preserve">Appendix </w:instrText>
      </w:r>
      <w:r w:rsidR="00FE5D2B">
        <w:rPr>
          <w:rFonts w:cstheme="minorHAnsi"/>
        </w:rPr>
        <w:instrText>9</w:instrText>
      </w:r>
      <w:r w:rsidRPr="009C4370">
        <w:rPr>
          <w:rFonts w:cstheme="minorHAnsi"/>
        </w:rPr>
        <w:instrText xml:space="preserve">: </w:instrText>
      </w:r>
      <w:r>
        <w:rPr>
          <w:rFonts w:cstheme="minorHAnsi"/>
        </w:rPr>
        <w:instrText xml:space="preserve">Ethics approval </w:instrText>
      </w:r>
      <w:r w:rsidRPr="009C4370">
        <w:rPr>
          <w:rFonts w:cstheme="minorHAnsi"/>
        </w:rPr>
        <w:instrText>(</w:instrText>
      </w:r>
      <w:r>
        <w:rPr>
          <w:rFonts w:cstheme="minorHAnsi"/>
        </w:rPr>
        <w:instrText>Student advisory group</w:instrText>
      </w:r>
      <w:r w:rsidRPr="009C4370">
        <w:rPr>
          <w:rFonts w:cstheme="minorHAnsi"/>
        </w:rPr>
        <w:instrText>)</w:instrText>
      </w:r>
      <w:bookmarkEnd w:id="343"/>
      <w:r w:rsidRPr="009C4370">
        <w:rPr>
          <w:rFonts w:cstheme="minorHAnsi"/>
        </w:rPr>
        <w:instrText xml:space="preserve">" \f y\l 2 </w:instrText>
      </w:r>
      <w:r w:rsidRPr="009C4370">
        <w:rPr>
          <w:rFonts w:cstheme="minorHAnsi"/>
        </w:rPr>
        <w:fldChar w:fldCharType="end"/>
      </w:r>
      <w:r w:rsidRPr="009C4370">
        <w:rPr>
          <w:rFonts w:cstheme="minorHAnsi"/>
        </w:rPr>
        <w:t xml:space="preserve">Appendix </w:t>
      </w:r>
      <w:r w:rsidR="00FE5D2B">
        <w:rPr>
          <w:rFonts w:cstheme="minorHAnsi"/>
        </w:rPr>
        <w:t>9</w:t>
      </w:r>
      <w:r w:rsidRPr="009C4370">
        <w:rPr>
          <w:rFonts w:cstheme="minorHAnsi"/>
        </w:rPr>
        <w:t xml:space="preserve">: </w:t>
      </w:r>
      <w:r>
        <w:rPr>
          <w:rFonts w:cstheme="minorHAnsi"/>
        </w:rPr>
        <w:t>Ethic</w:t>
      </w:r>
      <w:r w:rsidR="00154222">
        <w:rPr>
          <w:rFonts w:cstheme="minorHAnsi"/>
        </w:rPr>
        <w:t>al</w:t>
      </w:r>
      <w:r>
        <w:rPr>
          <w:rFonts w:cstheme="minorHAnsi"/>
        </w:rPr>
        <w:t xml:space="preserve"> </w:t>
      </w:r>
      <w:r w:rsidR="00154222">
        <w:rPr>
          <w:rFonts w:cstheme="minorHAnsi"/>
        </w:rPr>
        <w:t>A</w:t>
      </w:r>
      <w:r>
        <w:rPr>
          <w:rFonts w:cstheme="minorHAnsi"/>
        </w:rPr>
        <w:t xml:space="preserve">pproval </w:t>
      </w:r>
      <w:r w:rsidRPr="009C4370">
        <w:rPr>
          <w:rFonts w:cstheme="minorHAnsi"/>
        </w:rPr>
        <w:t>(</w:t>
      </w:r>
      <w:r>
        <w:rPr>
          <w:rFonts w:cstheme="minorHAnsi"/>
        </w:rPr>
        <w:t>Student advisory group)</w:t>
      </w:r>
      <w:r w:rsidR="001252E5">
        <w:rPr>
          <w:rFonts w:ascii="Calibri" w:eastAsia="Calibri" w:hAnsi="Calibri"/>
          <w:noProof/>
        </w:rPr>
        <w:drawing>
          <wp:anchor distT="0" distB="0" distL="114300" distR="114300" simplePos="0" relativeHeight="251717632" behindDoc="1" locked="0" layoutInCell="1" allowOverlap="1" wp14:anchorId="6AD5825B" wp14:editId="5BEA136D">
            <wp:simplePos x="0" y="0"/>
            <wp:positionH relativeFrom="column">
              <wp:posOffset>-620395</wp:posOffset>
            </wp:positionH>
            <wp:positionV relativeFrom="paragraph">
              <wp:posOffset>573405</wp:posOffset>
            </wp:positionV>
            <wp:extent cx="7014210" cy="7999095"/>
            <wp:effectExtent l="0" t="0" r="0" b="1905"/>
            <wp:wrapTight wrapText="bothSides">
              <wp:wrapPolygon edited="0">
                <wp:start x="0" y="0"/>
                <wp:lineTo x="0" y="21554"/>
                <wp:lineTo x="21530" y="21554"/>
                <wp:lineTo x="21530" y="0"/>
                <wp:lineTo x="0" y="0"/>
              </wp:wrapPolygon>
            </wp:wrapTight>
            <wp:docPr id="16205" name="Picture 1620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 name="Picture 16205" descr="Text, letter&#10;&#10;Description automatically generated"/>
                    <pic:cNvPicPr/>
                  </pic:nvPicPr>
                  <pic:blipFill rotWithShape="1">
                    <a:blip r:embed="rId63">
                      <a:extLst>
                        <a:ext uri="{28A0092B-C50C-407E-A947-70E740481C1C}">
                          <a14:useLocalDpi xmlns:a14="http://schemas.microsoft.com/office/drawing/2010/main" val="0"/>
                        </a:ext>
                      </a:extLst>
                    </a:blip>
                    <a:srcRect t="2428"/>
                    <a:stretch/>
                  </pic:blipFill>
                  <pic:spPr bwMode="auto">
                    <a:xfrm>
                      <a:off x="0" y="0"/>
                      <a:ext cx="7014210" cy="799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77DFE" w14:textId="0A1B3ABE" w:rsidR="00FC392C" w:rsidRPr="009C4370" w:rsidRDefault="00FC392C" w:rsidP="00FC392C">
      <w:pPr>
        <w:rPr>
          <w:rFonts w:ascii="Calibri" w:eastAsia="Calibri" w:hAnsi="Calibri"/>
        </w:rPr>
        <w:sectPr w:rsidR="00FC392C" w:rsidRPr="009C4370" w:rsidSect="00FC392C">
          <w:pgSz w:w="11906" w:h="16838"/>
          <w:pgMar w:top="1440" w:right="1440" w:bottom="1440" w:left="1440" w:header="708" w:footer="708" w:gutter="0"/>
          <w:cols w:space="720"/>
          <w:docGrid w:linePitch="299"/>
        </w:sectPr>
      </w:pPr>
    </w:p>
    <w:p w14:paraId="49F9B729" w14:textId="760B5C82" w:rsidR="00833C6B" w:rsidRPr="002B07B0" w:rsidRDefault="00833C6B" w:rsidP="00833C6B">
      <w:pPr>
        <w:spacing w:after="0" w:line="240" w:lineRule="auto"/>
        <w:rPr>
          <w:rFonts w:cstheme="minorHAnsi"/>
          <w:lang w:eastAsia="en-GB"/>
        </w:rPr>
      </w:pPr>
      <w:r w:rsidRPr="009C4370">
        <w:rPr>
          <w:rFonts w:cstheme="minorHAnsi"/>
        </w:rPr>
        <w:lastRenderedPageBreak/>
        <w:fldChar w:fldCharType="begin"/>
      </w:r>
      <w:r w:rsidRPr="009C4370">
        <w:rPr>
          <w:rFonts w:cstheme="minorHAnsi"/>
        </w:rPr>
        <w:instrText xml:space="preserve"> TC  " </w:instrText>
      </w:r>
      <w:bookmarkStart w:id="344" w:name="_Toc97557162"/>
      <w:r w:rsidRPr="009C4370">
        <w:rPr>
          <w:rFonts w:cstheme="minorHAnsi"/>
        </w:rPr>
        <w:instrText xml:space="preserve">Appendix </w:instrText>
      </w:r>
      <w:r w:rsidR="00FE5D2B">
        <w:rPr>
          <w:rFonts w:cstheme="minorHAnsi"/>
        </w:rPr>
        <w:instrText>10</w:instrText>
      </w:r>
      <w:r w:rsidRPr="009C4370">
        <w:rPr>
          <w:rFonts w:cstheme="minorHAnsi"/>
        </w:rPr>
        <w:instrText xml:space="preserve">: </w:instrText>
      </w:r>
      <w:r w:rsidR="00D55984" w:rsidRPr="00FB45EF">
        <w:instrText xml:space="preserve">Parent information letter and </w:instrText>
      </w:r>
      <w:r w:rsidR="00D55984">
        <w:instrText xml:space="preserve">opt-out </w:instrText>
      </w:r>
      <w:r w:rsidR="00D55984" w:rsidRPr="00FB45EF">
        <w:instrText>consent</w:instrText>
      </w:r>
      <w:r w:rsidRPr="009C4370">
        <w:rPr>
          <w:rFonts w:cstheme="minorHAnsi"/>
        </w:rPr>
        <w:instrText xml:space="preserve"> (</w:instrText>
      </w:r>
      <w:r>
        <w:rPr>
          <w:rFonts w:cstheme="minorHAnsi"/>
        </w:rPr>
        <w:instrText>Student advisory group</w:instrText>
      </w:r>
      <w:r w:rsidRPr="009C4370">
        <w:rPr>
          <w:rFonts w:cstheme="minorHAnsi"/>
        </w:rPr>
        <w:instrText>)</w:instrText>
      </w:r>
      <w:bookmarkEnd w:id="344"/>
      <w:r w:rsidRPr="009C4370">
        <w:rPr>
          <w:rFonts w:cstheme="minorHAnsi"/>
        </w:rPr>
        <w:instrText xml:space="preserve">" \f y\l 2 </w:instrText>
      </w:r>
      <w:r w:rsidRPr="009C4370">
        <w:rPr>
          <w:rFonts w:cstheme="minorHAnsi"/>
        </w:rPr>
        <w:fldChar w:fldCharType="end"/>
      </w:r>
      <w:r w:rsidRPr="009C4370">
        <w:rPr>
          <w:rFonts w:cstheme="minorHAnsi"/>
        </w:rPr>
        <w:t xml:space="preserve">Appendix </w:t>
      </w:r>
      <w:r w:rsidR="00FE5D2B">
        <w:rPr>
          <w:rFonts w:cstheme="minorHAnsi"/>
        </w:rPr>
        <w:t>10</w:t>
      </w:r>
      <w:r w:rsidRPr="009C4370">
        <w:rPr>
          <w:rFonts w:cstheme="minorHAnsi"/>
        </w:rPr>
        <w:t xml:space="preserve">: </w:t>
      </w:r>
      <w:r w:rsidR="00D55984" w:rsidRPr="00FB45EF">
        <w:t xml:space="preserve">Parent information letter and </w:t>
      </w:r>
      <w:r w:rsidR="00D55984">
        <w:t xml:space="preserve">opt-out </w:t>
      </w:r>
      <w:r w:rsidR="00D55984" w:rsidRPr="00FB45EF">
        <w:t>consent</w:t>
      </w:r>
      <w:r>
        <w:rPr>
          <w:rFonts w:cstheme="minorHAnsi"/>
        </w:rPr>
        <w:t xml:space="preserve"> </w:t>
      </w:r>
      <w:r w:rsidRPr="009C4370">
        <w:rPr>
          <w:rFonts w:cstheme="minorHAnsi"/>
        </w:rPr>
        <w:t>(</w:t>
      </w:r>
      <w:r>
        <w:rPr>
          <w:rFonts w:cstheme="minorHAnsi"/>
        </w:rPr>
        <w:t>Student advisory group</w:t>
      </w:r>
      <w:r w:rsidRPr="009C4370">
        <w:rPr>
          <w:rFonts w:cstheme="minorHAnsi"/>
        </w:rPr>
        <w:t>)</w:t>
      </w:r>
    </w:p>
    <w:p w14:paraId="0BF47265" w14:textId="77777777" w:rsidR="00833C6B" w:rsidRDefault="00833C6B" w:rsidP="00833C6B">
      <w:pPr>
        <w:tabs>
          <w:tab w:val="left" w:pos="885"/>
          <w:tab w:val="left" w:pos="1560"/>
          <w:tab w:val="right" w:pos="10466"/>
        </w:tabs>
        <w:spacing w:before="100" w:after="200" w:line="276" w:lineRule="auto"/>
        <w:jc w:val="center"/>
        <w:rPr>
          <w:rFonts w:ascii="Calibri" w:hAnsi="Calibri"/>
          <w:b/>
          <w:sz w:val="28"/>
          <w:szCs w:val="28"/>
          <w:u w:val="single"/>
        </w:rPr>
      </w:pPr>
      <w:r w:rsidRPr="009C4370">
        <w:rPr>
          <w:noProof/>
        </w:rPr>
        <w:drawing>
          <wp:anchor distT="0" distB="0" distL="114300" distR="114300" simplePos="0" relativeHeight="251729920" behindDoc="1" locked="0" layoutInCell="1" allowOverlap="1" wp14:anchorId="5C628127" wp14:editId="4A01AEC7">
            <wp:simplePos x="0" y="0"/>
            <wp:positionH relativeFrom="margin">
              <wp:posOffset>-97790</wp:posOffset>
            </wp:positionH>
            <wp:positionV relativeFrom="paragraph">
              <wp:posOffset>360045</wp:posOffset>
            </wp:positionV>
            <wp:extent cx="1333500" cy="875030"/>
            <wp:effectExtent l="0" t="0" r="0" b="1270"/>
            <wp:wrapNone/>
            <wp:docPr id="16201" name="Picture 16201" descr="A picture containing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sh&#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370">
        <w:rPr>
          <w:noProof/>
        </w:rPr>
        <w:drawing>
          <wp:anchor distT="0" distB="0" distL="114300" distR="114300" simplePos="0" relativeHeight="251731968" behindDoc="1" locked="0" layoutInCell="1" allowOverlap="1" wp14:anchorId="3D9ADA91" wp14:editId="78BFB115">
            <wp:simplePos x="0" y="0"/>
            <wp:positionH relativeFrom="column">
              <wp:posOffset>4874895</wp:posOffset>
            </wp:positionH>
            <wp:positionV relativeFrom="paragraph">
              <wp:posOffset>299085</wp:posOffset>
            </wp:positionV>
            <wp:extent cx="1080770" cy="1043940"/>
            <wp:effectExtent l="0" t="0" r="5080" b="3810"/>
            <wp:wrapSquare wrapText="bothSides"/>
            <wp:docPr id="16200" name="Picture 1620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77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54B1B" w14:textId="77777777" w:rsidR="00833C6B" w:rsidRDefault="00833C6B" w:rsidP="00833C6B">
      <w:pPr>
        <w:tabs>
          <w:tab w:val="left" w:pos="885"/>
          <w:tab w:val="left" w:pos="1560"/>
          <w:tab w:val="right" w:pos="10466"/>
        </w:tabs>
        <w:spacing w:before="100" w:after="200" w:line="276" w:lineRule="auto"/>
        <w:jc w:val="center"/>
        <w:rPr>
          <w:rFonts w:ascii="Calibri" w:hAnsi="Calibri"/>
          <w:b/>
          <w:sz w:val="28"/>
          <w:szCs w:val="28"/>
          <w:u w:val="single"/>
        </w:rPr>
      </w:pPr>
    </w:p>
    <w:p w14:paraId="00AF306A" w14:textId="77777777" w:rsidR="00833C6B" w:rsidRDefault="00833C6B" w:rsidP="00833C6B">
      <w:pPr>
        <w:tabs>
          <w:tab w:val="left" w:pos="885"/>
          <w:tab w:val="left" w:pos="1560"/>
          <w:tab w:val="right" w:pos="10466"/>
        </w:tabs>
        <w:spacing w:before="100" w:after="200" w:line="276" w:lineRule="auto"/>
        <w:jc w:val="center"/>
        <w:rPr>
          <w:rFonts w:ascii="Calibri" w:hAnsi="Calibri"/>
          <w:b/>
          <w:sz w:val="28"/>
          <w:szCs w:val="28"/>
          <w:u w:val="single"/>
        </w:rPr>
      </w:pPr>
    </w:p>
    <w:p w14:paraId="5BE111AC" w14:textId="77777777" w:rsidR="00833C6B" w:rsidRPr="009C4370" w:rsidRDefault="00833C6B" w:rsidP="00833C6B">
      <w:pPr>
        <w:tabs>
          <w:tab w:val="left" w:pos="885"/>
          <w:tab w:val="left" w:pos="1560"/>
          <w:tab w:val="right" w:pos="10466"/>
        </w:tabs>
        <w:spacing w:before="100" w:after="200" w:line="276" w:lineRule="auto"/>
        <w:jc w:val="center"/>
        <w:rPr>
          <w:rFonts w:ascii="Calibri" w:hAnsi="Calibri"/>
          <w:b/>
          <w:sz w:val="28"/>
          <w:szCs w:val="28"/>
          <w:u w:val="single"/>
        </w:rPr>
      </w:pPr>
      <w:r w:rsidRPr="00F92006">
        <w:rPr>
          <w:rFonts w:ascii="Calibri" w:hAnsi="Calibri"/>
          <w:b/>
          <w:sz w:val="28"/>
          <w:szCs w:val="28"/>
        </w:rPr>
        <w:t xml:space="preserve">             </w:t>
      </w:r>
      <w:r>
        <w:rPr>
          <w:rFonts w:ascii="Calibri" w:hAnsi="Calibri"/>
          <w:b/>
          <w:sz w:val="28"/>
          <w:szCs w:val="28"/>
          <w:u w:val="single"/>
        </w:rPr>
        <w:t xml:space="preserve"> </w:t>
      </w:r>
      <w:r w:rsidRPr="009C4370">
        <w:rPr>
          <w:rFonts w:ascii="Calibri" w:hAnsi="Calibri"/>
          <w:b/>
          <w:sz w:val="28"/>
          <w:szCs w:val="28"/>
          <w:u w:val="single"/>
        </w:rPr>
        <w:t>Development of healthy eating resources</w:t>
      </w:r>
    </w:p>
    <w:p w14:paraId="646FD20B" w14:textId="77777777" w:rsidR="00833C6B" w:rsidRDefault="00833C6B" w:rsidP="00833C6B">
      <w:pPr>
        <w:spacing w:before="100" w:after="200" w:line="276" w:lineRule="auto"/>
        <w:rPr>
          <w:rFonts w:ascii="Calibri" w:hAnsi="Calibri"/>
          <w:b/>
        </w:rPr>
      </w:pPr>
    </w:p>
    <w:p w14:paraId="30D9DE24" w14:textId="77777777" w:rsidR="00833C6B" w:rsidRPr="009C4370" w:rsidRDefault="00833C6B" w:rsidP="00833C6B">
      <w:pPr>
        <w:spacing w:before="100" w:after="200" w:line="276" w:lineRule="auto"/>
        <w:rPr>
          <w:rFonts w:ascii="Calibri" w:hAnsi="Calibri"/>
          <w:b/>
        </w:rPr>
      </w:pPr>
      <w:r w:rsidRPr="009C4370">
        <w:rPr>
          <w:rFonts w:ascii="Calibri" w:hAnsi="Calibri"/>
          <w:b/>
        </w:rPr>
        <w:t xml:space="preserve">Dear Parent or Guardian,   </w:t>
      </w:r>
    </w:p>
    <w:p w14:paraId="312BE55E" w14:textId="77777777" w:rsidR="00833C6B" w:rsidRPr="009C4370" w:rsidRDefault="00833C6B" w:rsidP="00833C6B">
      <w:pPr>
        <w:spacing w:before="100" w:after="200" w:line="276" w:lineRule="auto"/>
        <w:jc w:val="both"/>
        <w:rPr>
          <w:rFonts w:ascii="Calibri" w:hAnsi="Calibri"/>
        </w:rPr>
      </w:pPr>
      <w:r w:rsidRPr="009C4370">
        <w:rPr>
          <w:rFonts w:ascii="Calibri" w:hAnsi="Calibri"/>
        </w:rPr>
        <w:t xml:space="preserve">My name is Sian Calvert I am currently undertaking my PhD in psychology at Staffordshire University with a particular interest in children’s eating behaviours.  I am contacting you to ask permission for your child to take part in a discussion about developing healthy eating resources. The benefits of this research may include improving eating behaviours within the school. </w:t>
      </w:r>
    </w:p>
    <w:p w14:paraId="7C0B1C43" w14:textId="77777777" w:rsidR="00833C6B" w:rsidRDefault="00833C6B" w:rsidP="00833C6B">
      <w:pPr>
        <w:spacing w:before="100" w:after="200" w:line="276" w:lineRule="auto"/>
        <w:jc w:val="both"/>
        <w:rPr>
          <w:rFonts w:ascii="Calibri" w:hAnsi="Calibri"/>
          <w:b/>
        </w:rPr>
      </w:pPr>
    </w:p>
    <w:p w14:paraId="514843BB" w14:textId="77777777" w:rsidR="00833C6B" w:rsidRPr="009C4370" w:rsidRDefault="00833C6B" w:rsidP="00833C6B">
      <w:pPr>
        <w:spacing w:before="100" w:after="200" w:line="276" w:lineRule="auto"/>
        <w:jc w:val="both"/>
        <w:rPr>
          <w:rFonts w:ascii="Calibri" w:hAnsi="Calibri"/>
          <w:b/>
        </w:rPr>
      </w:pPr>
      <w:r w:rsidRPr="009C4370">
        <w:rPr>
          <w:rFonts w:ascii="Calibri" w:hAnsi="Calibri"/>
          <w:b/>
        </w:rPr>
        <w:t>What would my child have to do?</w:t>
      </w:r>
    </w:p>
    <w:p w14:paraId="5C5B2D7B" w14:textId="77777777" w:rsidR="00833C6B" w:rsidRPr="009C4370" w:rsidRDefault="00833C6B" w:rsidP="00833C6B">
      <w:pPr>
        <w:spacing w:before="100" w:after="200" w:line="276" w:lineRule="auto"/>
        <w:jc w:val="both"/>
        <w:rPr>
          <w:rFonts w:ascii="Calibri" w:hAnsi="Calibri"/>
        </w:rPr>
      </w:pPr>
      <w:r w:rsidRPr="009C4370">
        <w:rPr>
          <w:rFonts w:ascii="Calibri" w:hAnsi="Calibri"/>
        </w:rPr>
        <w:t xml:space="preserve">If you are willing for your child to take part, they will be asked to get involved in a small number of steering groups (group discussion) with children from the same school year.  The steering groups will be conducted in school hours and will take no longer than an hour. Your child will be asked to discuss within a group their views on what resources we could use to promote healthy eating within their school. From all students who give consent to take part in the steering group only a limited number will be randomly selected to take part in the final steering groups.   </w:t>
      </w:r>
    </w:p>
    <w:p w14:paraId="30ECABA4" w14:textId="77777777" w:rsidR="00833C6B" w:rsidRDefault="00833C6B" w:rsidP="00833C6B">
      <w:pPr>
        <w:spacing w:before="100" w:after="200" w:line="276" w:lineRule="auto"/>
        <w:jc w:val="both"/>
        <w:rPr>
          <w:rFonts w:ascii="Calibri" w:hAnsi="Calibri"/>
          <w:b/>
        </w:rPr>
      </w:pPr>
    </w:p>
    <w:p w14:paraId="028171E6" w14:textId="77777777" w:rsidR="00833C6B" w:rsidRPr="009C4370" w:rsidRDefault="00833C6B" w:rsidP="00833C6B">
      <w:pPr>
        <w:spacing w:before="100" w:after="200" w:line="276" w:lineRule="auto"/>
        <w:jc w:val="both"/>
        <w:rPr>
          <w:rFonts w:ascii="Calibri" w:hAnsi="Calibri"/>
          <w:b/>
        </w:rPr>
      </w:pPr>
      <w:r w:rsidRPr="009C4370">
        <w:rPr>
          <w:rFonts w:ascii="Calibri" w:hAnsi="Calibri"/>
          <w:b/>
        </w:rPr>
        <w:t>Has this research been approved?</w:t>
      </w:r>
    </w:p>
    <w:p w14:paraId="3AFB2453" w14:textId="77777777" w:rsidR="00833C6B" w:rsidRPr="009C4370" w:rsidRDefault="00833C6B" w:rsidP="00833C6B">
      <w:pPr>
        <w:spacing w:before="100" w:after="200" w:line="276" w:lineRule="auto"/>
        <w:jc w:val="both"/>
        <w:rPr>
          <w:rFonts w:ascii="Calibri" w:hAnsi="Calibri"/>
        </w:rPr>
      </w:pPr>
      <w:r w:rsidRPr="009C4370">
        <w:rPr>
          <w:rFonts w:ascii="Calibri" w:hAnsi="Calibri"/>
        </w:rPr>
        <w:t>The research has been approved by the Staffordshire University Faculty of Health Sciences Ethics Committee and data will be collected in accordance with the Data Protection Act 1998. Only the research team at Staffordshire University will have access to the data and it will not be passed onto third parties.  Taking part in this research should not pose any harm to you or your child, and if at any time your child no longer wishes to partake in the steering group then they are welcome to leave with no questions asked. Participants have the right to withdraw at any time within the discussion period if they no longer wish to take part and can return to their normal lessons, but anything already contributed up until that point will be included.</w:t>
      </w:r>
    </w:p>
    <w:p w14:paraId="4FAD5E98" w14:textId="77777777" w:rsidR="00833C6B" w:rsidRDefault="00833C6B" w:rsidP="00833C6B">
      <w:pPr>
        <w:spacing w:before="100" w:after="200" w:line="276" w:lineRule="auto"/>
        <w:rPr>
          <w:rFonts w:ascii="Calibri" w:hAnsi="Calibri"/>
          <w:b/>
        </w:rPr>
      </w:pPr>
    </w:p>
    <w:p w14:paraId="4912C0EA" w14:textId="77777777" w:rsidR="00833C6B" w:rsidRDefault="00833C6B" w:rsidP="00833C6B">
      <w:pPr>
        <w:spacing w:before="100" w:after="200" w:line="276" w:lineRule="auto"/>
        <w:rPr>
          <w:rFonts w:ascii="Calibri" w:hAnsi="Calibri"/>
          <w:b/>
        </w:rPr>
      </w:pPr>
    </w:p>
    <w:p w14:paraId="6F7FA6B9" w14:textId="23BF5C14" w:rsidR="00833C6B" w:rsidRDefault="00833C6B" w:rsidP="00833C6B">
      <w:pPr>
        <w:spacing w:before="100" w:after="200" w:line="276" w:lineRule="auto"/>
        <w:rPr>
          <w:rFonts w:ascii="Calibri" w:hAnsi="Calibri"/>
          <w:b/>
        </w:rPr>
      </w:pPr>
    </w:p>
    <w:p w14:paraId="7F3C1F1D" w14:textId="77777777" w:rsidR="006B7092" w:rsidRDefault="006B7092" w:rsidP="00833C6B">
      <w:pPr>
        <w:spacing w:before="100" w:after="200" w:line="276" w:lineRule="auto"/>
        <w:rPr>
          <w:rFonts w:ascii="Calibri" w:hAnsi="Calibri"/>
          <w:b/>
        </w:rPr>
      </w:pPr>
    </w:p>
    <w:p w14:paraId="0F2BFF9F" w14:textId="77777777" w:rsidR="00833C6B" w:rsidRPr="009C4370" w:rsidRDefault="00833C6B" w:rsidP="00833C6B">
      <w:pPr>
        <w:spacing w:before="100" w:after="200" w:line="276" w:lineRule="auto"/>
        <w:rPr>
          <w:rFonts w:ascii="Calibri" w:hAnsi="Calibri"/>
          <w:b/>
        </w:rPr>
      </w:pPr>
      <w:r w:rsidRPr="009C4370">
        <w:rPr>
          <w:rFonts w:ascii="Calibri" w:hAnsi="Calibri"/>
          <w:b/>
        </w:rPr>
        <w:lastRenderedPageBreak/>
        <w:t xml:space="preserve">What should I do if I do </w:t>
      </w:r>
      <w:r w:rsidRPr="009C4370">
        <w:rPr>
          <w:rFonts w:ascii="Calibri" w:hAnsi="Calibri"/>
          <w:b/>
          <w:u w:val="single"/>
        </w:rPr>
        <w:t>NOT</w:t>
      </w:r>
      <w:r w:rsidRPr="009C4370">
        <w:rPr>
          <w:rFonts w:ascii="Calibri" w:hAnsi="Calibri"/>
          <w:b/>
        </w:rPr>
        <w:t xml:space="preserve"> want my child to take part?</w:t>
      </w:r>
    </w:p>
    <w:p w14:paraId="25FA2658" w14:textId="77777777" w:rsidR="00833C6B" w:rsidRPr="009C4370" w:rsidRDefault="00833C6B" w:rsidP="00833C6B">
      <w:pPr>
        <w:spacing w:before="100" w:after="200" w:line="276" w:lineRule="auto"/>
        <w:rPr>
          <w:rFonts w:ascii="Calibri" w:hAnsi="Calibri"/>
        </w:rPr>
      </w:pPr>
      <w:r w:rsidRPr="009C4370">
        <w:rPr>
          <w:rFonts w:ascii="Calibri" w:hAnsi="Calibri"/>
        </w:rPr>
        <w:t xml:space="preserve">If you would </w:t>
      </w:r>
      <w:r w:rsidRPr="009C4370">
        <w:rPr>
          <w:rFonts w:ascii="Calibri" w:hAnsi="Calibri"/>
          <w:b/>
          <w:u w:val="single"/>
        </w:rPr>
        <w:t>NOT</w:t>
      </w:r>
      <w:r w:rsidRPr="009C4370">
        <w:rPr>
          <w:rFonts w:ascii="Calibri" w:hAnsi="Calibri"/>
        </w:rPr>
        <w:t xml:space="preserve"> like your child to partake in the steering groups please fill out slip below and return it to the school by </w:t>
      </w:r>
      <w:r w:rsidRPr="009C4370">
        <w:rPr>
          <w:rFonts w:ascii="Calibri" w:hAnsi="Calibri"/>
          <w:b/>
        </w:rPr>
        <w:t>DATE</w:t>
      </w:r>
      <w:r w:rsidRPr="009C4370">
        <w:rPr>
          <w:rFonts w:ascii="Calibri" w:hAnsi="Calibri"/>
        </w:rPr>
        <w:t>. Thank you for taking the time to read this. If you have any further questions please contact me.</w:t>
      </w:r>
    </w:p>
    <w:p w14:paraId="089DBE90" w14:textId="77777777" w:rsidR="00833C6B" w:rsidRPr="009C4370" w:rsidRDefault="00833C6B" w:rsidP="00833C6B">
      <w:pPr>
        <w:spacing w:before="100" w:after="200" w:line="276" w:lineRule="auto"/>
        <w:rPr>
          <w:rFonts w:ascii="Calibri" w:hAnsi="Calibri"/>
        </w:rPr>
      </w:pPr>
      <w:r w:rsidRPr="009C4370">
        <w:rPr>
          <w:rFonts w:ascii="Calibri" w:hAnsi="Calibri"/>
        </w:rPr>
        <w:t>Kind regards</w:t>
      </w:r>
    </w:p>
    <w:p w14:paraId="26A43D75" w14:textId="77777777" w:rsidR="00833C6B" w:rsidRDefault="00833C6B" w:rsidP="00833C6B">
      <w:pPr>
        <w:spacing w:after="0"/>
        <w:rPr>
          <w:rFonts w:ascii="Calibri" w:eastAsia="Calibri" w:hAnsi="Calibri"/>
        </w:rPr>
      </w:pPr>
      <w:r w:rsidRPr="009C4370">
        <w:rPr>
          <w:rFonts w:ascii="Calibri" w:eastAsia="Calibri" w:hAnsi="Calibri"/>
        </w:rPr>
        <w:t>Sian Calvert</w:t>
      </w:r>
    </w:p>
    <w:p w14:paraId="05D66C40" w14:textId="77777777" w:rsidR="00833C6B" w:rsidRPr="00074092" w:rsidRDefault="00322DCE" w:rsidP="00833C6B">
      <w:pPr>
        <w:spacing w:after="0"/>
        <w:rPr>
          <w:rFonts w:ascii="Calibri" w:eastAsia="Calibri" w:hAnsi="Calibri"/>
        </w:rPr>
      </w:pPr>
      <w:hyperlink r:id="rId66" w:history="1">
        <w:r w:rsidR="00833C6B" w:rsidRPr="006128ED">
          <w:rPr>
            <w:rStyle w:val="Hyperlink"/>
            <w:rFonts w:ascii="Calibri" w:eastAsia="Calibri" w:hAnsi="Calibri"/>
          </w:rPr>
          <w:t>Sian.calvert@research.staffs.ac.uk</w:t>
        </w:r>
      </w:hyperlink>
    </w:p>
    <w:p w14:paraId="0E039650" w14:textId="77777777" w:rsidR="00833C6B" w:rsidRPr="009C4370" w:rsidRDefault="00833C6B" w:rsidP="00833C6B">
      <w:pPr>
        <w:spacing w:after="0"/>
        <w:rPr>
          <w:rFonts w:ascii="Calibri" w:eastAsia="Calibri" w:hAnsi="Calibri"/>
        </w:rPr>
      </w:pPr>
      <w:r w:rsidRPr="009C4370">
        <w:rPr>
          <w:rFonts w:ascii="Calibri" w:eastAsia="Calibri" w:hAnsi="Calibri"/>
          <w:i/>
        </w:rPr>
        <w:t xml:space="preserve">PhD student in psychology, at Staffordshire University </w:t>
      </w:r>
    </w:p>
    <w:p w14:paraId="3AAA4458" w14:textId="77777777" w:rsidR="00833C6B" w:rsidRDefault="00833C6B" w:rsidP="00833C6B">
      <w:pPr>
        <w:spacing w:after="0"/>
        <w:ind w:left="-709"/>
        <w:rPr>
          <w:rFonts w:ascii="Calibri" w:eastAsia="Calibri" w:hAnsi="Calibri"/>
        </w:rPr>
      </w:pPr>
      <w:r>
        <w:rPr>
          <w:rFonts w:ascii="Calibri" w:eastAsia="Calibri" w:hAnsi="Calibri"/>
        </w:rPr>
        <w:t xml:space="preserve">              [telephone number]</w:t>
      </w:r>
    </w:p>
    <w:p w14:paraId="310CB02C" w14:textId="77777777" w:rsidR="00833C6B" w:rsidRDefault="00833C6B" w:rsidP="00833C6B">
      <w:pPr>
        <w:spacing w:after="0"/>
        <w:ind w:left="-709"/>
        <w:rPr>
          <w:rFonts w:ascii="Calibri" w:eastAsia="Calibri" w:hAnsi="Calibri"/>
        </w:rPr>
      </w:pPr>
    </w:p>
    <w:p w14:paraId="4ECF5768" w14:textId="77777777" w:rsidR="00833C6B" w:rsidRPr="009C4370" w:rsidRDefault="00833C6B" w:rsidP="00833C6B">
      <w:pPr>
        <w:spacing w:after="0" w:line="240" w:lineRule="auto"/>
        <w:rPr>
          <w:rFonts w:ascii="Calibri" w:eastAsia="Calibri" w:hAnsi="Calibri"/>
        </w:rPr>
      </w:pPr>
      <w:r w:rsidRPr="009C4370">
        <w:rPr>
          <w:rFonts w:ascii="Calibri" w:eastAsia="Calibri" w:hAnsi="Calibri"/>
        </w:rPr>
        <w:t>Supervisors:</w:t>
      </w:r>
    </w:p>
    <w:p w14:paraId="03591F4E" w14:textId="77777777" w:rsidR="00833C6B" w:rsidRPr="009C4370" w:rsidRDefault="00833C6B" w:rsidP="00833C6B">
      <w:pPr>
        <w:spacing w:after="0" w:line="240" w:lineRule="auto"/>
        <w:rPr>
          <w:rFonts w:ascii="Calibri" w:eastAsia="Calibri" w:hAnsi="Calibri"/>
        </w:rPr>
        <w:sectPr w:rsidR="00833C6B" w:rsidRPr="009C4370" w:rsidSect="00FE489D">
          <w:pgSz w:w="11906" w:h="16838"/>
          <w:pgMar w:top="426" w:right="849" w:bottom="1440" w:left="1440" w:header="708" w:footer="708" w:gutter="0"/>
          <w:cols w:space="720"/>
        </w:sectPr>
      </w:pPr>
    </w:p>
    <w:p w14:paraId="0D12A3BE" w14:textId="77777777" w:rsidR="00833C6B" w:rsidRPr="009C4370" w:rsidRDefault="00833C6B" w:rsidP="00833C6B">
      <w:pPr>
        <w:spacing w:after="0" w:line="240" w:lineRule="auto"/>
        <w:rPr>
          <w:rFonts w:ascii="Calibri" w:eastAsia="Calibri" w:hAnsi="Calibri"/>
          <w:sz w:val="21"/>
          <w:szCs w:val="21"/>
        </w:rPr>
      </w:pPr>
      <w:r w:rsidRPr="009C4370">
        <w:rPr>
          <w:rFonts w:ascii="Calibri" w:eastAsia="Calibri" w:hAnsi="Calibri"/>
          <w:sz w:val="21"/>
          <w:szCs w:val="21"/>
        </w:rPr>
        <w:t xml:space="preserve">Dr. Robert Dempsey </w:t>
      </w:r>
    </w:p>
    <w:p w14:paraId="1F20708A" w14:textId="77777777" w:rsidR="00833C6B" w:rsidRPr="009C4370" w:rsidRDefault="00833C6B" w:rsidP="00833C6B">
      <w:pPr>
        <w:spacing w:after="0" w:line="240" w:lineRule="auto"/>
        <w:rPr>
          <w:rFonts w:ascii="Calibri" w:eastAsia="Calibri" w:hAnsi="Calibri"/>
          <w:sz w:val="21"/>
          <w:szCs w:val="21"/>
        </w:rPr>
      </w:pPr>
      <w:r w:rsidRPr="009C4370">
        <w:rPr>
          <w:rFonts w:ascii="Calibri" w:eastAsia="Calibri" w:hAnsi="Calibri"/>
          <w:sz w:val="21"/>
          <w:szCs w:val="21"/>
        </w:rPr>
        <w:t>robert.dempsey@staffs.ac.uk</w:t>
      </w:r>
    </w:p>
    <w:p w14:paraId="3A8A20AB" w14:textId="77777777" w:rsidR="00833C6B" w:rsidRPr="009C4370" w:rsidRDefault="00833C6B" w:rsidP="00833C6B">
      <w:pPr>
        <w:spacing w:after="0" w:line="240" w:lineRule="auto"/>
        <w:rPr>
          <w:rFonts w:ascii="Calibri" w:eastAsia="Calibri" w:hAnsi="Calibri"/>
          <w:i/>
          <w:sz w:val="21"/>
          <w:szCs w:val="21"/>
        </w:rPr>
      </w:pPr>
      <w:r w:rsidRPr="009C4370">
        <w:rPr>
          <w:rFonts w:ascii="Calibri" w:eastAsia="Calibri" w:hAnsi="Calibri"/>
          <w:i/>
          <w:sz w:val="21"/>
          <w:szCs w:val="21"/>
        </w:rPr>
        <w:t xml:space="preserve">Lecturer in Psychology, Staffordshire University </w:t>
      </w:r>
    </w:p>
    <w:p w14:paraId="60142559" w14:textId="590462F6" w:rsidR="00833C6B" w:rsidRDefault="00833C6B" w:rsidP="00833C6B">
      <w:pPr>
        <w:spacing w:after="0" w:line="240" w:lineRule="auto"/>
        <w:ind w:left="-709"/>
        <w:rPr>
          <w:rFonts w:ascii="Calibri" w:eastAsia="Calibri" w:hAnsi="Calibri"/>
        </w:rPr>
      </w:pPr>
      <w:r>
        <w:rPr>
          <w:rFonts w:ascii="Calibri" w:eastAsia="Calibri" w:hAnsi="Calibri"/>
        </w:rPr>
        <w:t xml:space="preserve">              [telephone number]</w:t>
      </w:r>
    </w:p>
    <w:p w14:paraId="18556584" w14:textId="77777777" w:rsidR="00833C6B" w:rsidRDefault="00833C6B" w:rsidP="00833C6B">
      <w:pPr>
        <w:spacing w:after="0" w:line="240" w:lineRule="auto"/>
        <w:ind w:left="-709"/>
        <w:rPr>
          <w:rFonts w:ascii="Calibri" w:eastAsia="Calibri" w:hAnsi="Calibri"/>
        </w:rPr>
      </w:pPr>
    </w:p>
    <w:p w14:paraId="7FE9B061" w14:textId="77777777" w:rsidR="00833C6B" w:rsidRPr="009C4370" w:rsidRDefault="00833C6B" w:rsidP="00833C6B">
      <w:pPr>
        <w:spacing w:after="0" w:line="240" w:lineRule="auto"/>
        <w:rPr>
          <w:rFonts w:ascii="Calibri" w:eastAsia="Calibri" w:hAnsi="Calibri"/>
          <w:sz w:val="21"/>
          <w:szCs w:val="21"/>
        </w:rPr>
      </w:pPr>
      <w:r w:rsidRPr="009C4370">
        <w:rPr>
          <w:rFonts w:ascii="Calibri" w:eastAsia="Calibri" w:hAnsi="Calibri"/>
          <w:sz w:val="21"/>
          <w:szCs w:val="21"/>
        </w:rPr>
        <w:t xml:space="preserve">Dr. Rachel Povey </w:t>
      </w:r>
    </w:p>
    <w:p w14:paraId="43206C67" w14:textId="77777777" w:rsidR="00833C6B" w:rsidRPr="009C4370" w:rsidRDefault="00833C6B" w:rsidP="00833C6B">
      <w:pPr>
        <w:spacing w:after="0" w:line="240" w:lineRule="auto"/>
        <w:rPr>
          <w:rFonts w:ascii="Calibri" w:eastAsia="Calibri" w:hAnsi="Calibri"/>
          <w:sz w:val="21"/>
          <w:szCs w:val="21"/>
        </w:rPr>
      </w:pPr>
      <w:r w:rsidRPr="009C4370">
        <w:rPr>
          <w:rFonts w:ascii="Calibri" w:eastAsia="Calibri" w:hAnsi="Calibri"/>
          <w:sz w:val="21"/>
          <w:szCs w:val="21"/>
        </w:rPr>
        <w:t>r.povey@staffs.ac.uk</w:t>
      </w:r>
    </w:p>
    <w:p w14:paraId="6D8A213D" w14:textId="77777777" w:rsidR="00833C6B" w:rsidRDefault="00833C6B" w:rsidP="00833C6B">
      <w:pPr>
        <w:spacing w:after="0" w:line="240" w:lineRule="auto"/>
        <w:rPr>
          <w:rFonts w:ascii="Calibri" w:eastAsia="Calibri" w:hAnsi="Calibri"/>
        </w:rPr>
      </w:pPr>
      <w:r w:rsidRPr="009C4370">
        <w:rPr>
          <w:rFonts w:ascii="Calibri" w:eastAsia="Calibri" w:hAnsi="Calibri"/>
          <w:i/>
          <w:sz w:val="21"/>
          <w:szCs w:val="21"/>
        </w:rPr>
        <w:t xml:space="preserve">Associate Professor Staffordshire University </w:t>
      </w:r>
    </w:p>
    <w:p w14:paraId="7A9405A7" w14:textId="60A94AD7" w:rsidR="00833C6B" w:rsidRDefault="00833C6B" w:rsidP="00833C6B">
      <w:pPr>
        <w:spacing w:after="0" w:line="240" w:lineRule="auto"/>
        <w:rPr>
          <w:rFonts w:ascii="Calibri" w:eastAsia="Calibri" w:hAnsi="Calibri"/>
        </w:rPr>
      </w:pPr>
      <w:r>
        <w:rPr>
          <w:rFonts w:ascii="Calibri" w:eastAsia="Calibri" w:hAnsi="Calibri"/>
        </w:rPr>
        <w:t>[telephone number]</w:t>
      </w:r>
    </w:p>
    <w:p w14:paraId="590838CA" w14:textId="561A77AC" w:rsidR="00833C6B" w:rsidRPr="009C4370" w:rsidRDefault="00A84488" w:rsidP="00833C6B">
      <w:pPr>
        <w:spacing w:before="100" w:after="200" w:line="276" w:lineRule="auto"/>
        <w:rPr>
          <w:rFonts w:ascii="Calibri" w:hAnsi="Calibri"/>
        </w:rPr>
      </w:pPr>
      <w:r w:rsidRPr="009C4370">
        <w:rPr>
          <w:noProof/>
        </w:rPr>
        <mc:AlternateContent>
          <mc:Choice Requires="wps">
            <w:drawing>
              <wp:anchor distT="0" distB="0" distL="114300" distR="114300" simplePos="0" relativeHeight="251730944" behindDoc="0" locked="0" layoutInCell="1" allowOverlap="1" wp14:anchorId="6CF96C9C" wp14:editId="22C2E279">
                <wp:simplePos x="0" y="0"/>
                <wp:positionH relativeFrom="margin">
                  <wp:posOffset>-180975</wp:posOffset>
                </wp:positionH>
                <wp:positionV relativeFrom="paragraph">
                  <wp:posOffset>430530</wp:posOffset>
                </wp:positionV>
                <wp:extent cx="6436360" cy="1064260"/>
                <wp:effectExtent l="19050" t="19050" r="21590" b="21590"/>
                <wp:wrapNone/>
                <wp:docPr id="16196" name="Rectangle 16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6360" cy="106426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198899C3"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I would </w:t>
                            </w:r>
                            <w:r w:rsidRPr="00293EF4">
                              <w:rPr>
                                <w:rFonts w:ascii="Calibri" w:hAnsi="Calibri"/>
                                <w:b/>
                                <w:u w:val="single"/>
                              </w:rPr>
                              <w:t>NOT</w:t>
                            </w:r>
                            <w:r w:rsidRPr="00293EF4">
                              <w:rPr>
                                <w:rFonts w:ascii="Calibri" w:hAnsi="Calibri"/>
                              </w:rPr>
                              <w:t xml:space="preserve"> like my child to take part in the healthy eating steering group</w:t>
                            </w:r>
                            <w:r>
                              <w:rPr>
                                <w:rFonts w:ascii="Calibri" w:hAnsi="Calibri"/>
                              </w:rPr>
                              <w:t>s</w:t>
                            </w:r>
                            <w:r w:rsidRPr="00293EF4">
                              <w:rPr>
                                <w:rFonts w:ascii="Calibri" w:hAnsi="Calibri"/>
                              </w:rPr>
                              <w:t xml:space="preserve">. </w:t>
                            </w:r>
                          </w:p>
                          <w:p w14:paraId="287F886F"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My child’s name is …………………………………………………  Class …………………….. </w:t>
                            </w:r>
                          </w:p>
                          <w:p w14:paraId="3FA1E5D0" w14:textId="77777777" w:rsidR="00833C6B" w:rsidRDefault="00833C6B" w:rsidP="00833C6B">
                            <w:pPr>
                              <w:spacing w:before="100" w:after="200" w:line="276" w:lineRule="auto"/>
                            </w:pPr>
                            <w:r w:rsidRPr="00293EF4">
                              <w:rPr>
                                <w:rFonts w:ascii="Calibri" w:hAnsi="Calibri"/>
                              </w:rPr>
                              <w:t>Signature (Of person with parental responsibility)…………………………………………………………… Date……………….</w:t>
                            </w:r>
                            <w:r>
                              <w:t xml:space="preserve"> </w:t>
                            </w:r>
                          </w:p>
                          <w:p w14:paraId="40FA2E16" w14:textId="77777777" w:rsidR="00833C6B" w:rsidRDefault="00833C6B" w:rsidP="00833C6B">
                            <w:pPr>
                              <w:jc w:val="center"/>
                              <w:rPr>
                                <w:rFonts w:eastAsia="Calibri"/>
                              </w:rPr>
                            </w:pPr>
                          </w:p>
                          <w:p w14:paraId="58C6CD72" w14:textId="77777777" w:rsidR="00833C6B" w:rsidRDefault="00833C6B" w:rsidP="00833C6B"/>
                          <w:p w14:paraId="5DC464E1"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I would </w:t>
                            </w:r>
                            <w:r w:rsidRPr="00293EF4">
                              <w:rPr>
                                <w:rFonts w:ascii="Calibri" w:hAnsi="Calibri"/>
                                <w:b/>
                                <w:u w:val="single"/>
                              </w:rPr>
                              <w:t>NOT</w:t>
                            </w:r>
                            <w:r w:rsidRPr="00293EF4">
                              <w:rPr>
                                <w:rFonts w:ascii="Calibri" w:hAnsi="Calibri"/>
                              </w:rPr>
                              <w:t xml:space="preserve"> like my child to take part in the healthy eating steering group</w:t>
                            </w:r>
                            <w:r>
                              <w:rPr>
                                <w:rFonts w:ascii="Calibri" w:hAnsi="Calibri"/>
                              </w:rPr>
                              <w:t>s</w:t>
                            </w:r>
                            <w:r w:rsidRPr="00293EF4">
                              <w:rPr>
                                <w:rFonts w:ascii="Calibri" w:hAnsi="Calibri"/>
                              </w:rPr>
                              <w:t xml:space="preserve">. </w:t>
                            </w:r>
                          </w:p>
                          <w:p w14:paraId="525EFD1B"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My child’s name is …………………………………………………  Class …………………….. </w:t>
                            </w:r>
                          </w:p>
                          <w:p w14:paraId="2120C7D5" w14:textId="77777777" w:rsidR="00833C6B" w:rsidRDefault="00833C6B" w:rsidP="00833C6B">
                            <w:pPr>
                              <w:spacing w:before="100" w:after="200" w:line="276" w:lineRule="auto"/>
                            </w:pPr>
                            <w:r w:rsidRPr="00293EF4">
                              <w:rPr>
                                <w:rFonts w:ascii="Calibri" w:hAnsi="Calibri"/>
                              </w:rPr>
                              <w:t>Signature (Of person with parental responsibility)…………………………………………………………… Date……………….</w:t>
                            </w:r>
                            <w:r>
                              <w:t xml:space="preserve"> </w:t>
                            </w:r>
                          </w:p>
                          <w:p w14:paraId="019EF3C0" w14:textId="77777777" w:rsidR="00833C6B" w:rsidRDefault="00833C6B" w:rsidP="00833C6B">
                            <w:pPr>
                              <w:jc w:val="center"/>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F96C9C" id="Rectangle 16196" o:spid="_x0000_s1047" style="position:absolute;margin-left:-14.25pt;margin-top:33.9pt;width:506.8pt;height:83.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" fillcolor="window" strokecolor="windowText" strokeweight="3pt">
                <v:path arrowok="t"/>
                <v:textbox>
                  <w:txbxContent>
                    <w:p w14:paraId="198899C3"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I would </w:t>
                      </w:r>
                      <w:r w:rsidRPr="00293EF4">
                        <w:rPr>
                          <w:rFonts w:ascii="Calibri" w:hAnsi="Calibri"/>
                          <w:b/>
                          <w:u w:val="single"/>
                        </w:rPr>
                        <w:t>NOT</w:t>
                      </w:r>
                      <w:r w:rsidRPr="00293EF4">
                        <w:rPr>
                          <w:rFonts w:ascii="Calibri" w:hAnsi="Calibri"/>
                        </w:rPr>
                        <w:t xml:space="preserve"> like my child to take part in the healthy eating steering group</w:t>
                      </w:r>
                      <w:r>
                        <w:rPr>
                          <w:rFonts w:ascii="Calibri" w:hAnsi="Calibri"/>
                        </w:rPr>
                        <w:t>s</w:t>
                      </w:r>
                      <w:r w:rsidRPr="00293EF4">
                        <w:rPr>
                          <w:rFonts w:ascii="Calibri" w:hAnsi="Calibri"/>
                        </w:rPr>
                        <w:t xml:space="preserve">. </w:t>
                      </w:r>
                    </w:p>
                    <w:p w14:paraId="287F886F"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My child’s name is …………………………………………………  Class …………………….. </w:t>
                      </w:r>
                    </w:p>
                    <w:p w14:paraId="3FA1E5D0" w14:textId="77777777" w:rsidR="00833C6B" w:rsidRDefault="00833C6B" w:rsidP="00833C6B">
                      <w:pPr>
                        <w:spacing w:before="100" w:after="200" w:line="276" w:lineRule="auto"/>
                      </w:pPr>
                      <w:r w:rsidRPr="00293EF4">
                        <w:rPr>
                          <w:rFonts w:ascii="Calibri" w:hAnsi="Calibri"/>
                        </w:rPr>
                        <w:t>Signature (Of person with parental responsibility)…………………………………………………………… Date……………….</w:t>
                      </w:r>
                      <w:r>
                        <w:t xml:space="preserve"> </w:t>
                      </w:r>
                    </w:p>
                    <w:p w14:paraId="40FA2E16" w14:textId="77777777" w:rsidR="00833C6B" w:rsidRDefault="00833C6B" w:rsidP="00833C6B">
                      <w:pPr>
                        <w:jc w:val="center"/>
                        <w:rPr>
                          <w:rFonts w:eastAsia="Calibri"/>
                        </w:rPr>
                      </w:pPr>
                    </w:p>
                    <w:p w14:paraId="58C6CD72" w14:textId="77777777" w:rsidR="00833C6B" w:rsidRDefault="00833C6B" w:rsidP="00833C6B"/>
                    <w:p w14:paraId="5DC464E1"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I would </w:t>
                      </w:r>
                      <w:r w:rsidRPr="00293EF4">
                        <w:rPr>
                          <w:rFonts w:ascii="Calibri" w:hAnsi="Calibri"/>
                          <w:b/>
                          <w:u w:val="single"/>
                        </w:rPr>
                        <w:t>NOT</w:t>
                      </w:r>
                      <w:r w:rsidRPr="00293EF4">
                        <w:rPr>
                          <w:rFonts w:ascii="Calibri" w:hAnsi="Calibri"/>
                        </w:rPr>
                        <w:t xml:space="preserve"> like my child to take part in the healthy eating steering group</w:t>
                      </w:r>
                      <w:r>
                        <w:rPr>
                          <w:rFonts w:ascii="Calibri" w:hAnsi="Calibri"/>
                        </w:rPr>
                        <w:t>s</w:t>
                      </w:r>
                      <w:r w:rsidRPr="00293EF4">
                        <w:rPr>
                          <w:rFonts w:ascii="Calibri" w:hAnsi="Calibri"/>
                        </w:rPr>
                        <w:t xml:space="preserve">. </w:t>
                      </w:r>
                    </w:p>
                    <w:p w14:paraId="525EFD1B" w14:textId="77777777" w:rsidR="00833C6B" w:rsidRPr="00293EF4" w:rsidRDefault="00833C6B" w:rsidP="00833C6B">
                      <w:pPr>
                        <w:spacing w:before="100" w:after="200" w:line="276" w:lineRule="auto"/>
                        <w:rPr>
                          <w:rFonts w:ascii="Calibri" w:hAnsi="Calibri"/>
                        </w:rPr>
                      </w:pPr>
                      <w:r w:rsidRPr="00293EF4">
                        <w:rPr>
                          <w:rFonts w:ascii="Calibri" w:hAnsi="Calibri"/>
                        </w:rPr>
                        <w:t xml:space="preserve">My child’s name is …………………………………………………  Class …………………….. </w:t>
                      </w:r>
                    </w:p>
                    <w:p w14:paraId="2120C7D5" w14:textId="77777777" w:rsidR="00833C6B" w:rsidRDefault="00833C6B" w:rsidP="00833C6B">
                      <w:pPr>
                        <w:spacing w:before="100" w:after="200" w:line="276" w:lineRule="auto"/>
                      </w:pPr>
                      <w:r w:rsidRPr="00293EF4">
                        <w:rPr>
                          <w:rFonts w:ascii="Calibri" w:hAnsi="Calibri"/>
                        </w:rPr>
                        <w:t>Signature (Of person with parental responsibility)…………………………………………………………… Date……………….</w:t>
                      </w:r>
                      <w:r>
                        <w:t xml:space="preserve"> </w:t>
                      </w:r>
                    </w:p>
                    <w:p w14:paraId="019EF3C0" w14:textId="77777777" w:rsidR="00833C6B" w:rsidRDefault="00833C6B" w:rsidP="00833C6B">
                      <w:pPr>
                        <w:jc w:val="center"/>
                        <w:rPr>
                          <w:rFonts w:eastAsia="Calibri"/>
                        </w:rPr>
                      </w:pPr>
                    </w:p>
                  </w:txbxContent>
                </v:textbox>
                <w10:wrap anchorx="margin"/>
              </v:rect>
            </w:pict>
          </mc:Fallback>
        </mc:AlternateContent>
      </w:r>
      <w:r w:rsidR="00833C6B" w:rsidRPr="009C4370">
        <w:rPr>
          <w:rFonts w:ascii="Calibri" w:hAnsi="Calibri"/>
        </w:rPr>
        <w:sym w:font="Wingdings" w:char="F022"/>
      </w:r>
      <w:r w:rsidR="00833C6B" w:rsidRPr="009C4370">
        <w:rPr>
          <w:rFonts w:ascii="Calibri" w:hAnsi="Calibri"/>
        </w:rPr>
        <w:t>----------------------------------------------------------------------------------------------------------------------------------</w:t>
      </w:r>
    </w:p>
    <w:p w14:paraId="2DEF8684" w14:textId="77777777" w:rsidR="00833C6B" w:rsidRDefault="00833C6B" w:rsidP="00833C6B">
      <w:pPr>
        <w:spacing w:after="0" w:line="240" w:lineRule="auto"/>
        <w:rPr>
          <w:rFonts w:ascii="Calibri" w:eastAsia="Calibri" w:hAnsi="Calibri"/>
        </w:rPr>
      </w:pPr>
    </w:p>
    <w:p w14:paraId="60723A7D" w14:textId="1BA9DC25" w:rsidR="00833C6B" w:rsidRPr="009C4370" w:rsidRDefault="00833C6B" w:rsidP="00833C6B">
      <w:pPr>
        <w:spacing w:after="0" w:line="240" w:lineRule="auto"/>
        <w:rPr>
          <w:rFonts w:ascii="Calibri" w:hAnsi="Calibri"/>
        </w:rPr>
        <w:sectPr w:rsidR="00833C6B" w:rsidRPr="009C4370" w:rsidSect="00833C6B">
          <w:type w:val="continuous"/>
          <w:pgSz w:w="11906" w:h="16838"/>
          <w:pgMar w:top="426" w:right="849" w:bottom="1440" w:left="1440" w:header="708" w:footer="708" w:gutter="0"/>
          <w:cols w:space="708"/>
        </w:sectPr>
      </w:pPr>
    </w:p>
    <w:p w14:paraId="52837C2F" w14:textId="5B7B3959" w:rsidR="001E05C4" w:rsidRPr="009C4370" w:rsidRDefault="00A84488" w:rsidP="001E05C4">
      <w:pPr>
        <w:rPr>
          <w:rFonts w:cstheme="minorHAnsi"/>
        </w:rPr>
      </w:pPr>
      <w:r>
        <w:rPr>
          <w:rFonts w:ascii="Calibri" w:eastAsia="Calibri" w:hAnsi="Calibri"/>
          <w:b/>
          <w:noProof/>
          <w:sz w:val="32"/>
          <w:szCs w:val="32"/>
          <w:u w:val="single"/>
        </w:rPr>
        <w:lastRenderedPageBreak/>
        <w:drawing>
          <wp:anchor distT="0" distB="0" distL="114300" distR="114300" simplePos="0" relativeHeight="251713536" behindDoc="1" locked="0" layoutInCell="1" allowOverlap="1" wp14:anchorId="69E2F8BB" wp14:editId="3BEA34F6">
            <wp:simplePos x="0" y="0"/>
            <wp:positionH relativeFrom="margin">
              <wp:posOffset>4481195</wp:posOffset>
            </wp:positionH>
            <wp:positionV relativeFrom="paragraph">
              <wp:posOffset>208280</wp:posOffset>
            </wp:positionV>
            <wp:extent cx="1078865" cy="1296670"/>
            <wp:effectExtent l="0" t="0" r="6985" b="0"/>
            <wp:wrapTight wrapText="bothSides">
              <wp:wrapPolygon edited="0">
                <wp:start x="0" y="0"/>
                <wp:lineTo x="0" y="21262"/>
                <wp:lineTo x="21358" y="21262"/>
                <wp:lineTo x="21358" y="0"/>
                <wp:lineTo x="0" y="0"/>
              </wp:wrapPolygon>
            </wp:wrapTight>
            <wp:docPr id="16197" name="Picture 161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 name="Picture 16197" descr="Graphical user interface,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8865" cy="1296670"/>
                    </a:xfrm>
                    <a:prstGeom prst="rect">
                      <a:avLst/>
                    </a:prstGeom>
                    <a:noFill/>
                    <a:ln>
                      <a:noFill/>
                    </a:ln>
                  </pic:spPr>
                </pic:pic>
              </a:graphicData>
            </a:graphic>
            <wp14:sizeRelH relativeFrom="page">
              <wp14:pctWidth>0</wp14:pctWidth>
            </wp14:sizeRelH>
            <wp14:sizeRelV relativeFrom="margin">
              <wp14:pctHeight>0</wp14:pctHeight>
            </wp14:sizeRelV>
          </wp:anchor>
        </w:drawing>
      </w:r>
      <w:r w:rsidR="001E05C4" w:rsidRPr="009C4370">
        <w:rPr>
          <w:rFonts w:cstheme="minorHAnsi"/>
        </w:rPr>
        <w:fldChar w:fldCharType="begin"/>
      </w:r>
      <w:r w:rsidR="001E05C4" w:rsidRPr="009C4370">
        <w:rPr>
          <w:rFonts w:cstheme="minorHAnsi"/>
        </w:rPr>
        <w:instrText xml:space="preserve"> TC  " </w:instrText>
      </w:r>
      <w:bookmarkStart w:id="345" w:name="_Toc97557163"/>
      <w:r w:rsidR="001E05C4" w:rsidRPr="009C4370">
        <w:rPr>
          <w:rFonts w:cstheme="minorHAnsi"/>
        </w:rPr>
        <w:instrText xml:space="preserve">Appendix </w:instrText>
      </w:r>
      <w:r w:rsidR="009121A9">
        <w:rPr>
          <w:rFonts w:cstheme="minorHAnsi"/>
        </w:rPr>
        <w:instrText>1</w:instrText>
      </w:r>
      <w:r w:rsidR="00FE5D2B">
        <w:rPr>
          <w:rFonts w:cstheme="minorHAnsi"/>
        </w:rPr>
        <w:instrText>1</w:instrText>
      </w:r>
      <w:r w:rsidR="001E05C4" w:rsidRPr="009C4370">
        <w:rPr>
          <w:rFonts w:cstheme="minorHAnsi"/>
        </w:rPr>
        <w:instrText>: Student information sheet (</w:instrText>
      </w:r>
      <w:r w:rsidR="001E05C4">
        <w:rPr>
          <w:rFonts w:cstheme="minorHAnsi"/>
        </w:rPr>
        <w:instrText>Student advisory group</w:instrText>
      </w:r>
      <w:r w:rsidR="001E05C4" w:rsidRPr="009C4370">
        <w:rPr>
          <w:rFonts w:cstheme="minorHAnsi"/>
        </w:rPr>
        <w:instrText>)</w:instrText>
      </w:r>
      <w:bookmarkEnd w:id="345"/>
      <w:r w:rsidR="001E05C4" w:rsidRPr="009C4370">
        <w:rPr>
          <w:rFonts w:cstheme="minorHAnsi"/>
        </w:rPr>
        <w:instrText xml:space="preserve">" \f y\l 2 </w:instrText>
      </w:r>
      <w:r w:rsidR="001E05C4" w:rsidRPr="009C4370">
        <w:rPr>
          <w:rFonts w:cstheme="minorHAnsi"/>
        </w:rPr>
        <w:fldChar w:fldCharType="end"/>
      </w:r>
      <w:r w:rsidR="001E05C4" w:rsidRPr="009C4370">
        <w:rPr>
          <w:rFonts w:cstheme="minorHAnsi"/>
        </w:rPr>
        <w:t xml:space="preserve">Appendix </w:t>
      </w:r>
      <w:r w:rsidR="009121A9">
        <w:rPr>
          <w:rFonts w:cstheme="minorHAnsi"/>
        </w:rPr>
        <w:t>1</w:t>
      </w:r>
      <w:r w:rsidR="00FE5D2B">
        <w:rPr>
          <w:rFonts w:cstheme="minorHAnsi"/>
        </w:rPr>
        <w:t>1</w:t>
      </w:r>
      <w:r w:rsidR="001E05C4" w:rsidRPr="009C4370">
        <w:rPr>
          <w:rFonts w:cstheme="minorHAnsi"/>
        </w:rPr>
        <w:t>: Student information sheet (</w:t>
      </w:r>
      <w:r w:rsidR="001E05C4">
        <w:rPr>
          <w:rFonts w:cstheme="minorHAnsi"/>
        </w:rPr>
        <w:t>Student advisory group</w:t>
      </w:r>
      <w:r w:rsidR="001E05C4" w:rsidRPr="009C4370">
        <w:rPr>
          <w:rFonts w:cstheme="minorHAnsi"/>
        </w:rPr>
        <w:t>)</w:t>
      </w:r>
    </w:p>
    <w:p w14:paraId="72A326B6" w14:textId="35E505A8" w:rsidR="001E05C4" w:rsidRDefault="001E05C4" w:rsidP="00FC392C">
      <w:pPr>
        <w:spacing w:line="256" w:lineRule="auto"/>
        <w:jc w:val="right"/>
        <w:rPr>
          <w:rFonts w:ascii="Calibri" w:eastAsia="Calibri" w:hAnsi="Calibri"/>
          <w:b/>
          <w:sz w:val="32"/>
          <w:szCs w:val="32"/>
          <w:u w:val="single"/>
        </w:rPr>
      </w:pPr>
    </w:p>
    <w:p w14:paraId="07544657" w14:textId="471B1BCC" w:rsidR="00FC392C" w:rsidRDefault="00FC392C" w:rsidP="00FC392C">
      <w:pPr>
        <w:spacing w:line="256" w:lineRule="auto"/>
        <w:jc w:val="right"/>
        <w:rPr>
          <w:rFonts w:ascii="Calibri" w:eastAsia="Calibri" w:hAnsi="Calibri"/>
          <w:b/>
          <w:sz w:val="32"/>
          <w:szCs w:val="32"/>
          <w:u w:val="single"/>
        </w:rPr>
      </w:pPr>
    </w:p>
    <w:p w14:paraId="760630AE" w14:textId="77777777" w:rsidR="00FC392C" w:rsidRPr="00FE489D" w:rsidRDefault="00FC392C" w:rsidP="00FC392C">
      <w:pPr>
        <w:spacing w:line="256" w:lineRule="auto"/>
        <w:jc w:val="right"/>
        <w:rPr>
          <w:rFonts w:ascii="Calibri" w:eastAsia="Calibri" w:hAnsi="Calibri"/>
          <w:b/>
          <w:sz w:val="32"/>
          <w:szCs w:val="32"/>
          <w:u w:val="single"/>
        </w:rPr>
      </w:pPr>
    </w:p>
    <w:p w14:paraId="78111A9C" w14:textId="77777777" w:rsidR="001E05C4" w:rsidRDefault="001E05C4" w:rsidP="001E05C4">
      <w:pPr>
        <w:spacing w:line="256" w:lineRule="auto"/>
        <w:jc w:val="center"/>
        <w:rPr>
          <w:rFonts w:ascii="Calibri" w:eastAsia="Calibri" w:hAnsi="Calibri"/>
          <w:b/>
          <w:sz w:val="28"/>
          <w:szCs w:val="28"/>
          <w:u w:val="single"/>
        </w:rPr>
      </w:pPr>
    </w:p>
    <w:p w14:paraId="4336D4AC" w14:textId="77777777" w:rsidR="001E05C4" w:rsidRPr="009C4370" w:rsidRDefault="001E05C4" w:rsidP="001E05C4">
      <w:pPr>
        <w:spacing w:line="256" w:lineRule="auto"/>
        <w:jc w:val="center"/>
        <w:rPr>
          <w:rFonts w:ascii="Calibri" w:eastAsia="Calibri" w:hAnsi="Calibri"/>
          <w:b/>
          <w:sz w:val="28"/>
          <w:szCs w:val="28"/>
          <w:u w:val="single"/>
        </w:rPr>
      </w:pPr>
      <w:r w:rsidRPr="009C4370">
        <w:rPr>
          <w:rFonts w:ascii="Calibri" w:eastAsia="Calibri" w:hAnsi="Calibri"/>
          <w:b/>
          <w:sz w:val="28"/>
          <w:szCs w:val="28"/>
          <w:u w:val="single"/>
        </w:rPr>
        <w:t>Information sheet for students for the development of healthy eating resources</w:t>
      </w:r>
    </w:p>
    <w:p w14:paraId="2989AA05" w14:textId="77777777" w:rsidR="001E05C4" w:rsidRPr="009C4370" w:rsidRDefault="001E05C4" w:rsidP="001E05C4">
      <w:pPr>
        <w:spacing w:line="256" w:lineRule="auto"/>
        <w:rPr>
          <w:rFonts w:ascii="Calibri" w:eastAsia="Calibri" w:hAnsi="Calibri"/>
          <w:b/>
        </w:rPr>
      </w:pPr>
    </w:p>
    <w:p w14:paraId="214C4BFF" w14:textId="77777777" w:rsidR="001E05C4" w:rsidRPr="009C4370" w:rsidRDefault="001E05C4" w:rsidP="001E05C4">
      <w:pPr>
        <w:spacing w:line="256" w:lineRule="auto"/>
        <w:rPr>
          <w:rFonts w:ascii="Calibri" w:eastAsia="Calibri" w:hAnsi="Calibri"/>
          <w:b/>
        </w:rPr>
      </w:pPr>
      <w:r w:rsidRPr="009C4370">
        <w:rPr>
          <w:rFonts w:ascii="Calibri" w:eastAsia="Calibri" w:hAnsi="Calibri"/>
          <w:b/>
        </w:rPr>
        <w:t>What is involved in taking part in this research?</w:t>
      </w:r>
    </w:p>
    <w:p w14:paraId="070C48BC" w14:textId="77777777" w:rsidR="001E05C4" w:rsidRPr="009C4370" w:rsidRDefault="001E05C4" w:rsidP="001E05C4">
      <w:pPr>
        <w:spacing w:line="256" w:lineRule="auto"/>
        <w:rPr>
          <w:rFonts w:ascii="Calibri" w:eastAsia="Calibri" w:hAnsi="Calibri"/>
        </w:rPr>
      </w:pPr>
      <w:r w:rsidRPr="009C4370">
        <w:rPr>
          <w:rFonts w:ascii="Calibri" w:eastAsia="Calibri" w:hAnsi="Calibri"/>
        </w:rPr>
        <w:t xml:space="preserve">We are interested in your views on how to encourage healthy eating within your school. To do this you have been selected at random to take part in a number of steering groups (group discussions). You will be discussing the topic of healthy eating to help develop material for a healthy eating campaign; this will be beneficial as potentially it could lead to improvements in eating behaviours within your school. The steering group will take no longer than an hour per meeting and you are free to take a break at any time. Taking part in the steering group is voluntary; we will be asking your opinions on how to best deliver the healthy eating campaign in your school there is a low risk of distress. You are free to take a break at any time, or if you do not wish to carry on you can return to your normal lessons no queations asked, or a teacher will be available if you want to discuss anything further.  </w:t>
      </w:r>
    </w:p>
    <w:p w14:paraId="7D4F18A1" w14:textId="77777777" w:rsidR="001E05C4" w:rsidRPr="009C4370" w:rsidRDefault="001E05C4" w:rsidP="001E05C4">
      <w:pPr>
        <w:spacing w:line="256" w:lineRule="auto"/>
        <w:rPr>
          <w:rFonts w:ascii="Calibri" w:eastAsia="Calibri" w:hAnsi="Calibri"/>
        </w:rPr>
      </w:pPr>
      <w:r w:rsidRPr="009C4370">
        <w:rPr>
          <w:rFonts w:ascii="Calibri" w:eastAsia="Calibri" w:hAnsi="Calibri"/>
        </w:rPr>
        <w:t>If you have any questions I am happy to answer them before the steering group starts, or you can contact me on the details below.</w:t>
      </w:r>
    </w:p>
    <w:p w14:paraId="5E70CB80" w14:textId="77777777" w:rsidR="001E05C4" w:rsidRPr="009C4370" w:rsidRDefault="001E05C4" w:rsidP="001E05C4">
      <w:pPr>
        <w:spacing w:line="256" w:lineRule="auto"/>
        <w:rPr>
          <w:rFonts w:ascii="Calibri" w:eastAsia="Calibri" w:hAnsi="Calibri"/>
        </w:rPr>
      </w:pPr>
      <w:r w:rsidRPr="009C4370">
        <w:rPr>
          <w:noProof/>
        </w:rPr>
        <w:drawing>
          <wp:anchor distT="0" distB="0" distL="114300" distR="114300" simplePos="0" relativeHeight="251706368" behindDoc="1" locked="0" layoutInCell="1" allowOverlap="1" wp14:anchorId="49DF90C5" wp14:editId="20C1ABA9">
            <wp:simplePos x="0" y="0"/>
            <wp:positionH relativeFrom="column">
              <wp:posOffset>3926205</wp:posOffset>
            </wp:positionH>
            <wp:positionV relativeFrom="paragraph">
              <wp:posOffset>11430</wp:posOffset>
            </wp:positionV>
            <wp:extent cx="2019300" cy="1400175"/>
            <wp:effectExtent l="0" t="0" r="0" b="9525"/>
            <wp:wrapNone/>
            <wp:docPr id="16198" name="Picture 16198" descr="http://blog.iwantavilla.com/wp-content/uploads/2011/05/Healthy-Eating-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iwantavilla.com/wp-content/uploads/2011/05/Healthy-Eating-Final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83BE6D0" w14:textId="77777777" w:rsidR="001E05C4" w:rsidRPr="009C4370" w:rsidRDefault="001E05C4" w:rsidP="001E05C4">
      <w:pPr>
        <w:spacing w:line="256" w:lineRule="auto"/>
        <w:rPr>
          <w:rFonts w:ascii="Calibri" w:eastAsia="Calibri" w:hAnsi="Calibri"/>
        </w:rPr>
      </w:pPr>
      <w:r w:rsidRPr="009C4370">
        <w:rPr>
          <w:rFonts w:ascii="Calibri" w:eastAsia="Calibri" w:hAnsi="Calibri"/>
        </w:rPr>
        <w:t xml:space="preserve">Thank you for your participation. </w:t>
      </w:r>
    </w:p>
    <w:p w14:paraId="1D126FF7" w14:textId="77777777" w:rsidR="001E05C4" w:rsidRPr="009C4370" w:rsidRDefault="001E05C4" w:rsidP="001E05C4">
      <w:pPr>
        <w:spacing w:line="256" w:lineRule="auto"/>
        <w:rPr>
          <w:rFonts w:ascii="Calibri" w:eastAsia="Calibri" w:hAnsi="Calibri"/>
        </w:rPr>
      </w:pPr>
    </w:p>
    <w:p w14:paraId="675E0542" w14:textId="77777777" w:rsidR="001E05C4" w:rsidRPr="009C4370" w:rsidRDefault="001E05C4" w:rsidP="001E05C4">
      <w:pPr>
        <w:rPr>
          <w:rFonts w:ascii="Calibri" w:eastAsia="Calibri" w:hAnsi="Calibri"/>
        </w:rPr>
      </w:pPr>
      <w:r w:rsidRPr="009C4370">
        <w:rPr>
          <w:rFonts w:ascii="Calibri" w:eastAsia="Calibri" w:hAnsi="Calibri"/>
        </w:rPr>
        <w:t>Sian Calvert</w:t>
      </w:r>
    </w:p>
    <w:p w14:paraId="249764B5" w14:textId="24E385B1" w:rsidR="001E05C4" w:rsidRPr="009C4370" w:rsidRDefault="00322DCE" w:rsidP="00FC392C">
      <w:pPr>
        <w:spacing w:after="0"/>
        <w:rPr>
          <w:rFonts w:ascii="Calibri" w:eastAsia="Calibri" w:hAnsi="Calibri"/>
          <w:color w:val="0563C1"/>
          <w:u w:val="single"/>
        </w:rPr>
      </w:pPr>
      <w:hyperlink r:id="rId68" w:history="1">
        <w:r w:rsidR="00A84488" w:rsidRPr="00356181">
          <w:rPr>
            <w:rStyle w:val="Hyperlink"/>
            <w:rFonts w:ascii="Calibri" w:eastAsia="Calibri" w:hAnsi="Calibri"/>
          </w:rPr>
          <w:t>Sian.calvert@research.staffs.ac.uk</w:t>
        </w:r>
      </w:hyperlink>
    </w:p>
    <w:p w14:paraId="5EFF2940" w14:textId="77777777" w:rsidR="001E05C4" w:rsidRPr="009C4370" w:rsidRDefault="001E05C4" w:rsidP="00FC392C">
      <w:pPr>
        <w:spacing w:after="0"/>
        <w:rPr>
          <w:rFonts w:ascii="Calibri" w:eastAsia="Calibri" w:hAnsi="Calibri"/>
        </w:rPr>
      </w:pPr>
      <w:r w:rsidRPr="009C4370">
        <w:rPr>
          <w:rFonts w:ascii="Calibri" w:eastAsia="Calibri" w:hAnsi="Calibri"/>
          <w:i/>
        </w:rPr>
        <w:t xml:space="preserve">PhD student in psychology, Staffordshire University </w:t>
      </w:r>
    </w:p>
    <w:p w14:paraId="7DDE709C" w14:textId="77777777" w:rsidR="001E05C4" w:rsidRDefault="001E05C4" w:rsidP="00FC392C">
      <w:pPr>
        <w:spacing w:after="0"/>
        <w:rPr>
          <w:rFonts w:ascii="Calibri" w:eastAsia="Calibri" w:hAnsi="Calibri"/>
        </w:rPr>
      </w:pPr>
      <w:r>
        <w:rPr>
          <w:rFonts w:ascii="Calibri" w:eastAsia="Calibri" w:hAnsi="Calibri"/>
        </w:rPr>
        <w:t>[telephone number]</w:t>
      </w:r>
    </w:p>
    <w:p w14:paraId="5993143F" w14:textId="77777777" w:rsidR="001E05C4" w:rsidRPr="009C4370" w:rsidRDefault="001E05C4" w:rsidP="00FC392C">
      <w:pPr>
        <w:spacing w:after="0"/>
        <w:rPr>
          <w:rFonts w:ascii="Calibri" w:eastAsia="Calibri" w:hAnsi="Calibri"/>
        </w:rPr>
      </w:pPr>
    </w:p>
    <w:p w14:paraId="1742C9D5" w14:textId="77777777" w:rsidR="001E05C4" w:rsidRPr="009C4370" w:rsidRDefault="001E05C4" w:rsidP="00FC392C">
      <w:pPr>
        <w:spacing w:after="0" w:line="256" w:lineRule="auto"/>
        <w:rPr>
          <w:rFonts w:ascii="Calibri" w:eastAsia="Calibri" w:hAnsi="Calibri"/>
        </w:rPr>
      </w:pPr>
      <w:r w:rsidRPr="009C4370">
        <w:rPr>
          <w:rFonts w:ascii="Calibri" w:eastAsia="Calibri" w:hAnsi="Calibri"/>
        </w:rPr>
        <w:t xml:space="preserve">Dr. Robert Dempsey </w:t>
      </w:r>
    </w:p>
    <w:p w14:paraId="7845A93F" w14:textId="77777777" w:rsidR="001E05C4" w:rsidRPr="009C4370" w:rsidRDefault="001E05C4" w:rsidP="00FC392C">
      <w:pPr>
        <w:spacing w:after="0" w:line="256" w:lineRule="auto"/>
        <w:rPr>
          <w:rFonts w:ascii="Calibri" w:eastAsia="Calibri" w:hAnsi="Calibri"/>
        </w:rPr>
      </w:pPr>
      <w:r w:rsidRPr="009C4370">
        <w:rPr>
          <w:rFonts w:ascii="Calibri" w:eastAsia="Calibri" w:hAnsi="Calibri"/>
        </w:rPr>
        <w:t>robert.dempsey@staffs.ac.uk</w:t>
      </w:r>
    </w:p>
    <w:p w14:paraId="237AD0EC" w14:textId="77777777" w:rsidR="001E05C4" w:rsidRPr="009C4370" w:rsidRDefault="001E05C4" w:rsidP="00FC392C">
      <w:pPr>
        <w:spacing w:after="0"/>
        <w:rPr>
          <w:rFonts w:ascii="Calibri" w:eastAsia="Calibri" w:hAnsi="Calibri"/>
          <w:i/>
        </w:rPr>
      </w:pPr>
      <w:r w:rsidRPr="009C4370">
        <w:rPr>
          <w:rFonts w:ascii="Calibri" w:eastAsia="Calibri" w:hAnsi="Calibri"/>
          <w:i/>
        </w:rPr>
        <w:t xml:space="preserve">Lecturer in Psychology, Staffordshire University </w:t>
      </w:r>
    </w:p>
    <w:p w14:paraId="39ADAB1A" w14:textId="77777777" w:rsidR="001E05C4" w:rsidRPr="009C4370" w:rsidRDefault="001E05C4" w:rsidP="00FC392C">
      <w:pPr>
        <w:spacing w:after="0" w:line="256" w:lineRule="auto"/>
        <w:rPr>
          <w:rFonts w:ascii="Calibri" w:eastAsia="Calibri" w:hAnsi="Calibri"/>
        </w:rPr>
      </w:pPr>
    </w:p>
    <w:p w14:paraId="5689D538" w14:textId="77777777" w:rsidR="001E05C4" w:rsidRPr="009C4370" w:rsidRDefault="001E05C4" w:rsidP="00FC392C">
      <w:pPr>
        <w:spacing w:after="0" w:line="256" w:lineRule="auto"/>
        <w:rPr>
          <w:rFonts w:ascii="Calibri" w:eastAsia="Calibri" w:hAnsi="Calibri"/>
        </w:rPr>
      </w:pPr>
      <w:r w:rsidRPr="009C4370">
        <w:rPr>
          <w:rFonts w:ascii="Calibri" w:eastAsia="Calibri" w:hAnsi="Calibri"/>
        </w:rPr>
        <w:t xml:space="preserve">Dr. Rachel Povey </w:t>
      </w:r>
    </w:p>
    <w:p w14:paraId="00C597D8" w14:textId="77777777" w:rsidR="001E05C4" w:rsidRPr="009C4370" w:rsidRDefault="001E05C4" w:rsidP="00FC392C">
      <w:pPr>
        <w:spacing w:after="0" w:line="256" w:lineRule="auto"/>
        <w:rPr>
          <w:rFonts w:ascii="Calibri" w:eastAsia="Calibri" w:hAnsi="Calibri"/>
        </w:rPr>
      </w:pPr>
      <w:r w:rsidRPr="009C4370">
        <w:rPr>
          <w:rFonts w:ascii="Calibri" w:eastAsia="Calibri" w:hAnsi="Calibri"/>
        </w:rPr>
        <w:t>r.povey@staffs.ac.uk</w:t>
      </w:r>
    </w:p>
    <w:p w14:paraId="375EEC6C" w14:textId="77777777" w:rsidR="001E05C4" w:rsidRPr="009C4370" w:rsidRDefault="001E05C4" w:rsidP="00FC392C">
      <w:pPr>
        <w:spacing w:after="0"/>
        <w:rPr>
          <w:rFonts w:ascii="Calibri" w:eastAsia="Calibri" w:hAnsi="Calibri"/>
          <w:i/>
        </w:rPr>
      </w:pPr>
      <w:r w:rsidRPr="009C4370">
        <w:rPr>
          <w:rFonts w:ascii="Calibri" w:eastAsia="Calibri" w:hAnsi="Calibri"/>
          <w:i/>
        </w:rPr>
        <w:t xml:space="preserve">Associate Professor in Health Psychology, Staffordshire University </w:t>
      </w:r>
    </w:p>
    <w:p w14:paraId="62EC671C" w14:textId="32B9CA03" w:rsidR="001E05C4" w:rsidRPr="009C4370" w:rsidRDefault="001E05C4" w:rsidP="001E05C4">
      <w:pPr>
        <w:rPr>
          <w:rFonts w:cstheme="minorHAnsi"/>
        </w:rPr>
      </w:pPr>
      <w:r>
        <w:rPr>
          <w:rFonts w:ascii="Calibri" w:eastAsia="Calibri" w:hAnsi="Calibri"/>
          <w:b/>
          <w:noProof/>
          <w:sz w:val="32"/>
          <w:szCs w:val="32"/>
          <w:u w:val="single"/>
        </w:rPr>
        <w:lastRenderedPageBreak/>
        <w:drawing>
          <wp:anchor distT="0" distB="0" distL="114300" distR="114300" simplePos="0" relativeHeight="251714560" behindDoc="1" locked="0" layoutInCell="1" allowOverlap="1" wp14:anchorId="40E340EB" wp14:editId="09FED86D">
            <wp:simplePos x="0" y="0"/>
            <wp:positionH relativeFrom="margin">
              <wp:posOffset>5322570</wp:posOffset>
            </wp:positionH>
            <wp:positionV relativeFrom="paragraph">
              <wp:posOffset>81915</wp:posOffset>
            </wp:positionV>
            <wp:extent cx="1078865" cy="1296670"/>
            <wp:effectExtent l="0" t="0" r="6985" b="0"/>
            <wp:wrapTight wrapText="bothSides">
              <wp:wrapPolygon edited="0">
                <wp:start x="0" y="0"/>
                <wp:lineTo x="0" y="21262"/>
                <wp:lineTo x="21358" y="21262"/>
                <wp:lineTo x="21358" y="0"/>
                <wp:lineTo x="0" y="0"/>
              </wp:wrapPolygon>
            </wp:wrapTight>
            <wp:docPr id="16199" name="Picture 16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8865" cy="129667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9C4370">
        <w:rPr>
          <w:rFonts w:cstheme="minorHAnsi"/>
        </w:rPr>
        <w:fldChar w:fldCharType="begin"/>
      </w:r>
      <w:r w:rsidRPr="009C4370">
        <w:rPr>
          <w:rFonts w:cstheme="minorHAnsi"/>
        </w:rPr>
        <w:instrText xml:space="preserve"> TC  " </w:instrText>
      </w:r>
      <w:bookmarkStart w:id="346" w:name="_Toc97557164"/>
      <w:r w:rsidRPr="009C4370">
        <w:rPr>
          <w:rFonts w:cstheme="minorHAnsi"/>
        </w:rPr>
        <w:instrText xml:space="preserve">Appendix </w:instrText>
      </w:r>
      <w:r w:rsidR="009121A9">
        <w:rPr>
          <w:rFonts w:cstheme="minorHAnsi"/>
        </w:rPr>
        <w:instrText>1</w:instrText>
      </w:r>
      <w:r w:rsidR="00C831D8">
        <w:rPr>
          <w:rFonts w:cstheme="minorHAnsi"/>
        </w:rPr>
        <w:instrText>2</w:instrText>
      </w:r>
      <w:r w:rsidRPr="009C4370">
        <w:rPr>
          <w:rFonts w:cstheme="minorHAnsi"/>
        </w:rPr>
        <w:instrText xml:space="preserve">: Student </w:instrText>
      </w:r>
      <w:r w:rsidR="00E145A4">
        <w:rPr>
          <w:rFonts w:cstheme="minorHAnsi"/>
        </w:rPr>
        <w:instrText>assent</w:instrText>
      </w:r>
      <w:r>
        <w:rPr>
          <w:rFonts w:cstheme="minorHAnsi"/>
        </w:rPr>
        <w:instrText xml:space="preserve"> form</w:instrText>
      </w:r>
      <w:r w:rsidRPr="009C4370">
        <w:rPr>
          <w:rFonts w:cstheme="minorHAnsi"/>
        </w:rPr>
        <w:instrText xml:space="preserve"> (</w:instrText>
      </w:r>
      <w:r>
        <w:rPr>
          <w:rFonts w:cstheme="minorHAnsi"/>
        </w:rPr>
        <w:instrText>Student advisory group</w:instrText>
      </w:r>
      <w:r w:rsidRPr="009C4370">
        <w:rPr>
          <w:rFonts w:cstheme="minorHAnsi"/>
        </w:rPr>
        <w:instrText>)</w:instrText>
      </w:r>
      <w:bookmarkEnd w:id="346"/>
      <w:r w:rsidRPr="009C4370">
        <w:rPr>
          <w:rFonts w:cstheme="minorHAnsi"/>
        </w:rPr>
        <w:instrText xml:space="preserve">" \f y\l 2 </w:instrText>
      </w:r>
      <w:r w:rsidRPr="009C4370">
        <w:rPr>
          <w:rFonts w:cstheme="minorHAnsi"/>
        </w:rPr>
        <w:fldChar w:fldCharType="end"/>
      </w:r>
      <w:r w:rsidRPr="009C4370">
        <w:rPr>
          <w:rFonts w:cstheme="minorHAnsi"/>
        </w:rPr>
        <w:t xml:space="preserve">Appendix </w:t>
      </w:r>
      <w:r w:rsidR="009121A9">
        <w:rPr>
          <w:rFonts w:cstheme="minorHAnsi"/>
        </w:rPr>
        <w:t>1</w:t>
      </w:r>
      <w:r w:rsidR="00C831D8">
        <w:rPr>
          <w:rFonts w:cstheme="minorHAnsi"/>
        </w:rPr>
        <w:t>2</w:t>
      </w:r>
      <w:r w:rsidRPr="009C4370">
        <w:rPr>
          <w:rFonts w:cstheme="minorHAnsi"/>
        </w:rPr>
        <w:t xml:space="preserve">: Student </w:t>
      </w:r>
      <w:r w:rsidR="00E145A4">
        <w:rPr>
          <w:rFonts w:cstheme="minorHAnsi"/>
        </w:rPr>
        <w:t>assent</w:t>
      </w:r>
      <w:r>
        <w:rPr>
          <w:rFonts w:cstheme="minorHAnsi"/>
        </w:rPr>
        <w:t xml:space="preserve"> form </w:t>
      </w:r>
      <w:r w:rsidRPr="009C4370">
        <w:rPr>
          <w:rFonts w:cstheme="minorHAnsi"/>
        </w:rPr>
        <w:t>(</w:t>
      </w:r>
      <w:r>
        <w:rPr>
          <w:rFonts w:cstheme="minorHAnsi"/>
        </w:rPr>
        <w:t>Student advisory group</w:t>
      </w:r>
      <w:r w:rsidRPr="009C4370">
        <w:rPr>
          <w:rFonts w:cstheme="minorHAnsi"/>
        </w:rPr>
        <w:t>)</w:t>
      </w:r>
    </w:p>
    <w:p w14:paraId="223C871F" w14:textId="77777777" w:rsidR="001E05C4" w:rsidRPr="009C4370" w:rsidRDefault="001E05C4" w:rsidP="001E05C4">
      <w:pPr>
        <w:spacing w:line="256" w:lineRule="auto"/>
        <w:ind w:right="-1440"/>
        <w:rPr>
          <w:rFonts w:ascii="Calibri" w:eastAsia="Calibri" w:hAnsi="Calibri"/>
          <w:b/>
        </w:rPr>
      </w:pPr>
    </w:p>
    <w:p w14:paraId="68A0A386" w14:textId="77777777" w:rsidR="00D40AE5" w:rsidRDefault="00D40AE5" w:rsidP="00D40AE5">
      <w:pPr>
        <w:spacing w:line="256" w:lineRule="auto"/>
        <w:ind w:right="-1440"/>
        <w:rPr>
          <w:rFonts w:ascii="Calibri" w:eastAsia="Calibri" w:hAnsi="Calibri"/>
          <w:b/>
          <w:sz w:val="28"/>
          <w:szCs w:val="28"/>
          <w:u w:val="single"/>
        </w:rPr>
      </w:pPr>
    </w:p>
    <w:p w14:paraId="22888D7C" w14:textId="5DBB80B7" w:rsidR="001E05C4" w:rsidRPr="00074092" w:rsidRDefault="001E05C4" w:rsidP="00074092">
      <w:pPr>
        <w:spacing w:line="256" w:lineRule="auto"/>
        <w:ind w:right="-1440"/>
        <w:jc w:val="center"/>
        <w:rPr>
          <w:rFonts w:ascii="Calibri" w:eastAsia="Calibri" w:hAnsi="Calibri"/>
          <w:b/>
          <w:sz w:val="36"/>
          <w:szCs w:val="36"/>
        </w:rPr>
      </w:pPr>
      <w:r w:rsidRPr="009C4370">
        <w:rPr>
          <w:rFonts w:ascii="Calibri" w:eastAsia="Calibri" w:hAnsi="Calibri"/>
          <w:b/>
          <w:sz w:val="28"/>
          <w:szCs w:val="28"/>
          <w:u w:val="single"/>
        </w:rPr>
        <w:t xml:space="preserve">Student </w:t>
      </w:r>
      <w:r w:rsidR="00E145A4">
        <w:rPr>
          <w:rFonts w:ascii="Calibri" w:eastAsia="Calibri" w:hAnsi="Calibri"/>
          <w:b/>
          <w:sz w:val="28"/>
          <w:szCs w:val="28"/>
          <w:u w:val="single"/>
        </w:rPr>
        <w:t>assent</w:t>
      </w:r>
      <w:r w:rsidRPr="009C4370">
        <w:rPr>
          <w:rFonts w:ascii="Calibri" w:eastAsia="Calibri" w:hAnsi="Calibri"/>
          <w:b/>
          <w:sz w:val="28"/>
          <w:szCs w:val="28"/>
          <w:u w:val="single"/>
        </w:rPr>
        <w:t xml:space="preserve"> form for</w:t>
      </w:r>
      <w:r w:rsidRPr="009C4370">
        <w:rPr>
          <w:rFonts w:ascii="Calibri" w:eastAsia="Calibri" w:hAnsi="Calibri"/>
        </w:rPr>
        <w:t xml:space="preserve"> </w:t>
      </w:r>
      <w:r w:rsidRPr="009C4370">
        <w:rPr>
          <w:rFonts w:ascii="Calibri" w:eastAsia="Calibri" w:hAnsi="Calibri"/>
          <w:b/>
          <w:sz w:val="28"/>
          <w:szCs w:val="28"/>
          <w:u w:val="single"/>
        </w:rPr>
        <w:t>the development of healthy eating resources</w:t>
      </w:r>
    </w:p>
    <w:p w14:paraId="6BA887AA" w14:textId="77777777" w:rsidR="001E05C4" w:rsidRPr="009C4370" w:rsidRDefault="001E05C4" w:rsidP="001E05C4">
      <w:pPr>
        <w:spacing w:line="256" w:lineRule="auto"/>
        <w:ind w:right="-1440"/>
        <w:rPr>
          <w:rFonts w:ascii="Calibri" w:eastAsia="Calibri" w:hAnsi="Calibri"/>
        </w:rPr>
      </w:pPr>
    </w:p>
    <w:p w14:paraId="3B6978BF" w14:textId="77777777" w:rsidR="001E05C4" w:rsidRPr="009C4370" w:rsidRDefault="001E05C4" w:rsidP="001E05C4">
      <w:pPr>
        <w:spacing w:line="256" w:lineRule="auto"/>
        <w:rPr>
          <w:rFonts w:ascii="Calibri" w:eastAsia="Calibri" w:hAnsi="Calibri"/>
          <w:b/>
        </w:rPr>
      </w:pPr>
      <w:r w:rsidRPr="009C4370">
        <w:rPr>
          <w:rFonts w:ascii="Calibri" w:eastAsia="Calibri" w:hAnsi="Calibri"/>
          <w:b/>
        </w:rPr>
        <w:t xml:space="preserve">Please read the following statements and tick the boxes to agree with the statements, then sign and date the consent form where advised. </w:t>
      </w:r>
    </w:p>
    <w:p w14:paraId="584A181E" w14:textId="77777777" w:rsidR="001E05C4" w:rsidRPr="009C4370" w:rsidRDefault="001E05C4" w:rsidP="001E05C4">
      <w:pPr>
        <w:spacing w:line="256" w:lineRule="auto"/>
        <w:rPr>
          <w:rFonts w:ascii="Calibri" w:eastAsia="Calibri" w:hAnsi="Calibri"/>
          <w:b/>
        </w:rPr>
        <w:sectPr w:rsidR="001E05C4" w:rsidRPr="009C4370" w:rsidSect="00733440">
          <w:pgSz w:w="11906" w:h="16838"/>
          <w:pgMar w:top="1440" w:right="1440" w:bottom="1440" w:left="1440" w:header="708" w:footer="708" w:gutter="0"/>
          <w:cols w:space="720"/>
          <w:docGrid w:linePitch="299"/>
        </w:sectPr>
      </w:pPr>
    </w:p>
    <w:tbl>
      <w:tblPr>
        <w:tblpPr w:leftFromText="180" w:rightFromText="180" w:vertAnchor="text" w:horzAnchor="margin" w:tblpY="27"/>
        <w:tblW w:w="9195" w:type="dxa"/>
        <w:tblLook w:val="04A0" w:firstRow="1" w:lastRow="0" w:firstColumn="1" w:lastColumn="0" w:noHBand="0" w:noVBand="1"/>
      </w:tblPr>
      <w:tblGrid>
        <w:gridCol w:w="7999"/>
        <w:gridCol w:w="1196"/>
      </w:tblGrid>
      <w:tr w:rsidR="001E05C4" w:rsidRPr="009C4370" w14:paraId="074FB464" w14:textId="77777777" w:rsidTr="009779BC">
        <w:trPr>
          <w:trHeight w:val="851"/>
        </w:trPr>
        <w:tc>
          <w:tcPr>
            <w:tcW w:w="7999" w:type="dxa"/>
            <w:shd w:val="clear" w:color="auto" w:fill="auto"/>
            <w:hideMark/>
          </w:tcPr>
          <w:p w14:paraId="2D8C23D8" w14:textId="77777777" w:rsidR="001E05C4" w:rsidRPr="009C4370" w:rsidRDefault="001E05C4" w:rsidP="009779BC">
            <w:pPr>
              <w:rPr>
                <w:rFonts w:ascii="Calibri" w:eastAsia="Calibri" w:hAnsi="Calibri"/>
              </w:rPr>
            </w:pPr>
            <w:r w:rsidRPr="009C4370">
              <w:rPr>
                <w:rFonts w:ascii="Calibri" w:eastAsia="Calibri" w:hAnsi="Calibri"/>
              </w:rPr>
              <w:t>I agree that I have read and understood the information sheet and had the chance to ask questions and was happy with the given answers.</w:t>
            </w:r>
          </w:p>
        </w:tc>
        <w:tc>
          <w:tcPr>
            <w:tcW w:w="1196" w:type="dxa"/>
            <w:shd w:val="clear" w:color="auto" w:fill="auto"/>
            <w:hideMark/>
          </w:tcPr>
          <w:p w14:paraId="7447F35A" w14:textId="77777777" w:rsidR="001E05C4" w:rsidRPr="009C4370" w:rsidRDefault="001E05C4" w:rsidP="009779BC">
            <w:pPr>
              <w:rPr>
                <w:rFonts w:ascii="Calibri" w:eastAsia="Calibri" w:hAnsi="Calibri"/>
                <w:sz w:val="48"/>
                <w:szCs w:val="48"/>
              </w:rPr>
            </w:pPr>
            <w:r w:rsidRPr="009C4370">
              <w:rPr>
                <w:rFonts w:ascii="Calibri" w:eastAsia="Calibri" w:hAnsi="Calibri"/>
                <w:sz w:val="48"/>
                <w:szCs w:val="48"/>
              </w:rPr>
              <w:sym w:font="Wingdings" w:char="F072"/>
            </w:r>
          </w:p>
        </w:tc>
      </w:tr>
      <w:tr w:rsidR="001E05C4" w:rsidRPr="009C4370" w14:paraId="5FA4E51E" w14:textId="77777777" w:rsidTr="009779BC">
        <w:trPr>
          <w:trHeight w:val="694"/>
        </w:trPr>
        <w:tc>
          <w:tcPr>
            <w:tcW w:w="7999" w:type="dxa"/>
            <w:shd w:val="clear" w:color="auto" w:fill="auto"/>
            <w:hideMark/>
          </w:tcPr>
          <w:p w14:paraId="17C81B00" w14:textId="77777777" w:rsidR="001E05C4" w:rsidRPr="009C4370" w:rsidRDefault="001E05C4" w:rsidP="009779BC">
            <w:pPr>
              <w:tabs>
                <w:tab w:val="left" w:pos="6030"/>
              </w:tabs>
              <w:rPr>
                <w:rFonts w:ascii="Calibri" w:eastAsia="Calibri" w:hAnsi="Calibri"/>
              </w:rPr>
            </w:pPr>
            <w:r w:rsidRPr="009C4370">
              <w:rPr>
                <w:rFonts w:ascii="Calibri" w:eastAsia="Calibri" w:hAnsi="Calibri"/>
              </w:rPr>
              <w:t>I understand that participating in this research is voluntary and I have the right to withdraw at any time in the discussion period.</w:t>
            </w:r>
          </w:p>
        </w:tc>
        <w:tc>
          <w:tcPr>
            <w:tcW w:w="1196" w:type="dxa"/>
            <w:shd w:val="clear" w:color="auto" w:fill="auto"/>
            <w:hideMark/>
          </w:tcPr>
          <w:p w14:paraId="72C08B17" w14:textId="77777777" w:rsidR="001E05C4" w:rsidRPr="009C4370" w:rsidRDefault="001E05C4" w:rsidP="009779BC">
            <w:pPr>
              <w:rPr>
                <w:rFonts w:ascii="Calibri" w:eastAsia="Calibri" w:hAnsi="Calibri"/>
              </w:rPr>
            </w:pPr>
            <w:r w:rsidRPr="009C4370">
              <w:rPr>
                <w:rFonts w:ascii="Calibri" w:eastAsia="Calibri" w:hAnsi="Calibri"/>
                <w:sz w:val="48"/>
                <w:szCs w:val="48"/>
              </w:rPr>
              <w:sym w:font="Wingdings" w:char="F072"/>
            </w:r>
          </w:p>
        </w:tc>
      </w:tr>
      <w:tr w:rsidR="001E05C4" w:rsidRPr="009C4370" w14:paraId="2B8EB665" w14:textId="77777777" w:rsidTr="009779BC">
        <w:trPr>
          <w:trHeight w:val="694"/>
        </w:trPr>
        <w:tc>
          <w:tcPr>
            <w:tcW w:w="7999" w:type="dxa"/>
            <w:shd w:val="clear" w:color="auto" w:fill="auto"/>
          </w:tcPr>
          <w:p w14:paraId="53F6A22A" w14:textId="77777777" w:rsidR="001E05C4" w:rsidRPr="009C4370" w:rsidRDefault="001E05C4" w:rsidP="009779BC">
            <w:pPr>
              <w:tabs>
                <w:tab w:val="left" w:pos="6030"/>
              </w:tabs>
              <w:rPr>
                <w:rFonts w:ascii="Calibri" w:eastAsia="Calibri" w:hAnsi="Calibri"/>
              </w:rPr>
            </w:pPr>
            <w:r w:rsidRPr="009C4370">
              <w:rPr>
                <w:rFonts w:ascii="Calibri" w:eastAsia="Calibri" w:hAnsi="Calibri"/>
              </w:rPr>
              <w:t xml:space="preserve">I understand that no individual will be identified or identifiable from the notes taken </w:t>
            </w:r>
          </w:p>
          <w:p w14:paraId="37B7FF2C" w14:textId="77777777" w:rsidR="001E05C4" w:rsidRPr="009C4370" w:rsidRDefault="001E05C4" w:rsidP="009779BC">
            <w:pPr>
              <w:tabs>
                <w:tab w:val="left" w:pos="6030"/>
              </w:tabs>
              <w:rPr>
                <w:rFonts w:ascii="Calibri" w:eastAsia="Calibri" w:hAnsi="Calibri"/>
              </w:rPr>
            </w:pPr>
          </w:p>
        </w:tc>
        <w:tc>
          <w:tcPr>
            <w:tcW w:w="1196" w:type="dxa"/>
            <w:shd w:val="clear" w:color="auto" w:fill="auto"/>
            <w:hideMark/>
          </w:tcPr>
          <w:p w14:paraId="28C513A0" w14:textId="77777777" w:rsidR="001E05C4" w:rsidRPr="009C4370" w:rsidRDefault="001E05C4" w:rsidP="009779BC">
            <w:pPr>
              <w:rPr>
                <w:rFonts w:ascii="Calibri" w:eastAsia="Calibri" w:hAnsi="Calibri"/>
                <w:sz w:val="48"/>
                <w:szCs w:val="48"/>
              </w:rPr>
            </w:pPr>
            <w:r w:rsidRPr="009C4370">
              <w:rPr>
                <w:rFonts w:ascii="Calibri" w:eastAsia="Calibri" w:hAnsi="Calibri"/>
                <w:sz w:val="48"/>
                <w:szCs w:val="48"/>
              </w:rPr>
              <w:sym w:font="Wingdings" w:char="F072"/>
            </w:r>
          </w:p>
        </w:tc>
      </w:tr>
      <w:tr w:rsidR="001E05C4" w:rsidRPr="009C4370" w14:paraId="166DBE0F" w14:textId="77777777" w:rsidTr="009779BC">
        <w:trPr>
          <w:trHeight w:val="655"/>
        </w:trPr>
        <w:tc>
          <w:tcPr>
            <w:tcW w:w="7999" w:type="dxa"/>
            <w:shd w:val="clear" w:color="auto" w:fill="auto"/>
            <w:hideMark/>
          </w:tcPr>
          <w:p w14:paraId="1CF80F4B" w14:textId="77777777" w:rsidR="001E05C4" w:rsidRPr="009C4370" w:rsidRDefault="001E05C4" w:rsidP="009779BC">
            <w:pPr>
              <w:tabs>
                <w:tab w:val="left" w:pos="6030"/>
              </w:tabs>
              <w:rPr>
                <w:rFonts w:ascii="Calibri" w:eastAsia="Calibri" w:hAnsi="Calibri"/>
              </w:rPr>
            </w:pPr>
            <w:r w:rsidRPr="009C4370">
              <w:rPr>
                <w:rFonts w:ascii="Calibri" w:eastAsia="Calibri" w:hAnsi="Calibri"/>
              </w:rPr>
              <w:t>I give consent to participate in this research.</w:t>
            </w:r>
          </w:p>
        </w:tc>
        <w:tc>
          <w:tcPr>
            <w:tcW w:w="1196" w:type="dxa"/>
            <w:shd w:val="clear" w:color="auto" w:fill="auto"/>
            <w:hideMark/>
          </w:tcPr>
          <w:p w14:paraId="736F7879" w14:textId="77777777" w:rsidR="001E05C4" w:rsidRPr="009C4370" w:rsidRDefault="001E05C4" w:rsidP="009779BC">
            <w:pPr>
              <w:rPr>
                <w:rFonts w:ascii="Calibri" w:eastAsia="Calibri" w:hAnsi="Calibri"/>
              </w:rPr>
            </w:pPr>
            <w:r w:rsidRPr="009C4370">
              <w:rPr>
                <w:rFonts w:ascii="Calibri" w:eastAsia="Calibri" w:hAnsi="Calibri"/>
                <w:sz w:val="48"/>
                <w:szCs w:val="48"/>
              </w:rPr>
              <w:sym w:font="Wingdings" w:char="F072"/>
            </w:r>
          </w:p>
        </w:tc>
      </w:tr>
      <w:tr w:rsidR="001E05C4" w:rsidRPr="009C4370" w14:paraId="75539AD5" w14:textId="77777777" w:rsidTr="009779BC">
        <w:trPr>
          <w:trHeight w:val="655"/>
        </w:trPr>
        <w:tc>
          <w:tcPr>
            <w:tcW w:w="7999" w:type="dxa"/>
            <w:shd w:val="clear" w:color="auto" w:fill="auto"/>
          </w:tcPr>
          <w:p w14:paraId="0B2101EB" w14:textId="77777777" w:rsidR="001E05C4" w:rsidRPr="009C4370" w:rsidRDefault="001E05C4" w:rsidP="009779BC">
            <w:pPr>
              <w:tabs>
                <w:tab w:val="left" w:pos="6030"/>
              </w:tabs>
              <w:rPr>
                <w:rFonts w:ascii="Calibri" w:eastAsia="Calibri" w:hAnsi="Calibri"/>
              </w:rPr>
            </w:pPr>
            <w:r w:rsidRPr="009C4370">
              <w:rPr>
                <w:rFonts w:ascii="Calibri" w:eastAsia="Calibri" w:hAnsi="Calibri"/>
              </w:rPr>
              <w:t>I give consent to participate in all the steering group discussions</w:t>
            </w:r>
          </w:p>
        </w:tc>
        <w:tc>
          <w:tcPr>
            <w:tcW w:w="1196" w:type="dxa"/>
            <w:shd w:val="clear" w:color="auto" w:fill="auto"/>
          </w:tcPr>
          <w:p w14:paraId="0C535E41" w14:textId="77777777" w:rsidR="001E05C4" w:rsidRPr="009C4370" w:rsidRDefault="001E05C4" w:rsidP="009779BC">
            <w:pPr>
              <w:rPr>
                <w:rFonts w:ascii="Calibri" w:eastAsia="Calibri" w:hAnsi="Calibri"/>
                <w:sz w:val="48"/>
                <w:szCs w:val="48"/>
              </w:rPr>
            </w:pPr>
            <w:r w:rsidRPr="009C4370">
              <w:rPr>
                <w:rFonts w:ascii="Calibri" w:eastAsia="Calibri" w:hAnsi="Calibri"/>
                <w:sz w:val="48"/>
                <w:szCs w:val="48"/>
              </w:rPr>
              <w:sym w:font="Wingdings" w:char="F072"/>
            </w:r>
          </w:p>
        </w:tc>
      </w:tr>
    </w:tbl>
    <w:p w14:paraId="2367D890" w14:textId="77777777" w:rsidR="001E05C4" w:rsidRPr="009C4370" w:rsidRDefault="001E05C4" w:rsidP="001E05C4">
      <w:pPr>
        <w:spacing w:line="256" w:lineRule="auto"/>
        <w:rPr>
          <w:rFonts w:ascii="Calibri" w:eastAsia="Calibri" w:hAnsi="Calibri"/>
        </w:rPr>
        <w:sectPr w:rsidR="001E05C4" w:rsidRPr="009C4370">
          <w:type w:val="continuous"/>
          <w:pgSz w:w="11906" w:h="16838"/>
          <w:pgMar w:top="1440" w:right="1440" w:bottom="1440" w:left="1440" w:header="708" w:footer="708" w:gutter="0"/>
          <w:cols w:num="2" w:space="720" w:equalWidth="0">
            <w:col w:w="5780" w:space="708"/>
            <w:col w:w="2536"/>
          </w:cols>
        </w:sectPr>
      </w:pPr>
    </w:p>
    <w:p w14:paraId="61EBD777" w14:textId="77777777" w:rsidR="001E05C4" w:rsidRPr="009C4370" w:rsidRDefault="001E05C4" w:rsidP="001E05C4">
      <w:pPr>
        <w:spacing w:line="256" w:lineRule="auto"/>
        <w:rPr>
          <w:rFonts w:ascii="Calibri" w:eastAsia="Calibri" w:hAnsi="Calibri"/>
        </w:rPr>
      </w:pPr>
      <w:r w:rsidRPr="009C4370">
        <w:rPr>
          <w:rFonts w:ascii="Calibri" w:eastAsia="Calibri" w:hAnsi="Calibri"/>
        </w:rPr>
        <w:t>Signatures:</w:t>
      </w:r>
    </w:p>
    <w:tbl>
      <w:tblPr>
        <w:tblW w:w="9590" w:type="dxa"/>
        <w:tblLook w:val="04A0" w:firstRow="1" w:lastRow="0" w:firstColumn="1" w:lastColumn="0" w:noHBand="0" w:noVBand="1"/>
      </w:tblPr>
      <w:tblGrid>
        <w:gridCol w:w="3556"/>
        <w:gridCol w:w="2943"/>
        <w:gridCol w:w="3091"/>
      </w:tblGrid>
      <w:tr w:rsidR="001E05C4" w:rsidRPr="009C4370" w14:paraId="61C049CD" w14:textId="77777777" w:rsidTr="009779BC">
        <w:trPr>
          <w:trHeight w:val="1191"/>
        </w:trPr>
        <w:tc>
          <w:tcPr>
            <w:tcW w:w="3556" w:type="dxa"/>
            <w:shd w:val="clear" w:color="auto" w:fill="auto"/>
          </w:tcPr>
          <w:p w14:paraId="2FB5D130" w14:textId="77777777" w:rsidR="001E05C4" w:rsidRPr="009C4370" w:rsidRDefault="001E05C4" w:rsidP="009779BC">
            <w:pPr>
              <w:spacing w:line="256" w:lineRule="auto"/>
              <w:rPr>
                <w:rFonts w:ascii="Calibri" w:eastAsia="Calibri" w:hAnsi="Calibri"/>
              </w:rPr>
            </w:pPr>
          </w:p>
          <w:p w14:paraId="6D26F9EC" w14:textId="77777777" w:rsidR="001E05C4" w:rsidRPr="009C4370" w:rsidRDefault="001E05C4" w:rsidP="009779BC">
            <w:pPr>
              <w:spacing w:line="256" w:lineRule="auto"/>
              <w:rPr>
                <w:rFonts w:ascii="Calibri" w:eastAsia="Calibri" w:hAnsi="Calibri"/>
              </w:rPr>
            </w:pPr>
            <w:r w:rsidRPr="009C4370">
              <w:rPr>
                <w:rFonts w:ascii="Calibri" w:eastAsia="Calibri" w:hAnsi="Calibri"/>
                <w:noProof/>
              </w:rPr>
              <mc:AlternateContent>
                <mc:Choice Requires="wps">
                  <w:drawing>
                    <wp:anchor distT="4294967295" distB="4294967295" distL="114300" distR="114300" simplePos="0" relativeHeight="251707392" behindDoc="0" locked="0" layoutInCell="1" allowOverlap="1" wp14:anchorId="18CF3E7F" wp14:editId="619D4A27">
                      <wp:simplePos x="0" y="0"/>
                      <wp:positionH relativeFrom="column">
                        <wp:posOffset>1905</wp:posOffset>
                      </wp:positionH>
                      <wp:positionV relativeFrom="paragraph">
                        <wp:posOffset>99694</wp:posOffset>
                      </wp:positionV>
                      <wp:extent cx="200977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80679" id="Straight Arrow Connector 3" o:spid="_x0000_s1026" type="#_x0000_t32" style="position:absolute;margin-left:.15pt;margin-top:7.85pt;width:158.2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"/>
                  </w:pict>
                </mc:Fallback>
              </mc:AlternateContent>
            </w:r>
            <w:r w:rsidRPr="009C4370">
              <w:rPr>
                <w:rFonts w:ascii="Calibri" w:eastAsia="Calibri" w:hAnsi="Calibri"/>
              </w:rPr>
              <w:t xml:space="preserve">  </w:t>
            </w:r>
          </w:p>
          <w:p w14:paraId="0B4ECAA0" w14:textId="77777777" w:rsidR="001E05C4" w:rsidRPr="009C4370" w:rsidRDefault="001E05C4" w:rsidP="009779BC">
            <w:pPr>
              <w:spacing w:line="256" w:lineRule="auto"/>
              <w:rPr>
                <w:rFonts w:ascii="Calibri" w:eastAsia="Calibri" w:hAnsi="Calibri"/>
              </w:rPr>
            </w:pPr>
            <w:r w:rsidRPr="009C4370">
              <w:rPr>
                <w:rFonts w:ascii="Calibri" w:eastAsia="Calibri" w:hAnsi="Calibri"/>
              </w:rPr>
              <w:t>Name of participant (block capitals)</w:t>
            </w:r>
          </w:p>
          <w:p w14:paraId="68C00136" w14:textId="77777777" w:rsidR="001E05C4" w:rsidRPr="009C4370" w:rsidRDefault="001E05C4" w:rsidP="009779BC">
            <w:pPr>
              <w:spacing w:line="256" w:lineRule="auto"/>
              <w:rPr>
                <w:rFonts w:ascii="Calibri" w:eastAsia="Calibri" w:hAnsi="Calibri"/>
              </w:rPr>
            </w:pPr>
          </w:p>
        </w:tc>
        <w:tc>
          <w:tcPr>
            <w:tcW w:w="2943" w:type="dxa"/>
            <w:shd w:val="clear" w:color="auto" w:fill="auto"/>
          </w:tcPr>
          <w:p w14:paraId="28FB7173" w14:textId="77777777" w:rsidR="001E05C4" w:rsidRPr="009C4370" w:rsidRDefault="001E05C4" w:rsidP="009779BC">
            <w:pPr>
              <w:spacing w:line="256" w:lineRule="auto"/>
              <w:rPr>
                <w:rFonts w:ascii="Calibri" w:eastAsia="Calibri" w:hAnsi="Calibri"/>
              </w:rPr>
            </w:pPr>
          </w:p>
          <w:p w14:paraId="513C13C8" w14:textId="77777777" w:rsidR="001E05C4" w:rsidRPr="009C4370" w:rsidRDefault="001E05C4" w:rsidP="009779BC">
            <w:pPr>
              <w:spacing w:line="256" w:lineRule="auto"/>
              <w:rPr>
                <w:rFonts w:ascii="Calibri" w:eastAsia="Calibri" w:hAnsi="Calibri"/>
              </w:rPr>
            </w:pPr>
            <w:r w:rsidRPr="009C4370">
              <w:rPr>
                <w:rFonts w:ascii="Calibri" w:eastAsia="Calibri" w:hAnsi="Calibri"/>
                <w:noProof/>
              </w:rPr>
              <mc:AlternateContent>
                <mc:Choice Requires="wps">
                  <w:drawing>
                    <wp:anchor distT="4294967295" distB="4294967295" distL="114300" distR="114300" simplePos="0" relativeHeight="251708416" behindDoc="0" locked="0" layoutInCell="1" allowOverlap="1" wp14:anchorId="6A32A6F6" wp14:editId="343C21AE">
                      <wp:simplePos x="0" y="0"/>
                      <wp:positionH relativeFrom="column">
                        <wp:posOffset>-6985</wp:posOffset>
                      </wp:positionH>
                      <wp:positionV relativeFrom="paragraph">
                        <wp:posOffset>100329</wp:posOffset>
                      </wp:positionV>
                      <wp:extent cx="171196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C0A6F" id="Straight Arrow Connector 5" o:spid="_x0000_s1026" type="#_x0000_t32" style="position:absolute;margin-left:-.55pt;margin-top:7.9pt;width:134.8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"/>
                  </w:pict>
                </mc:Fallback>
              </mc:AlternateContent>
            </w:r>
          </w:p>
          <w:p w14:paraId="08CFB2AE" w14:textId="77777777" w:rsidR="001E05C4" w:rsidRPr="009C4370" w:rsidRDefault="001E05C4" w:rsidP="009779BC">
            <w:pPr>
              <w:spacing w:line="256" w:lineRule="auto"/>
              <w:rPr>
                <w:rFonts w:ascii="Calibri" w:eastAsia="Calibri" w:hAnsi="Calibri"/>
              </w:rPr>
            </w:pPr>
            <w:r w:rsidRPr="009C4370">
              <w:rPr>
                <w:rFonts w:ascii="Calibri" w:eastAsia="Calibri" w:hAnsi="Calibri"/>
              </w:rPr>
              <w:t>Date</w:t>
            </w:r>
          </w:p>
        </w:tc>
        <w:tc>
          <w:tcPr>
            <w:tcW w:w="3091" w:type="dxa"/>
            <w:shd w:val="clear" w:color="auto" w:fill="auto"/>
          </w:tcPr>
          <w:p w14:paraId="23067A94" w14:textId="77777777" w:rsidR="001E05C4" w:rsidRPr="009C4370" w:rsidRDefault="001E05C4" w:rsidP="009779BC">
            <w:pPr>
              <w:spacing w:line="256" w:lineRule="auto"/>
              <w:rPr>
                <w:rFonts w:ascii="Calibri" w:eastAsia="Calibri" w:hAnsi="Calibri"/>
              </w:rPr>
            </w:pPr>
          </w:p>
          <w:p w14:paraId="4A99508A" w14:textId="77777777" w:rsidR="001E05C4" w:rsidRPr="009C4370" w:rsidRDefault="001E05C4" w:rsidP="009779BC">
            <w:pPr>
              <w:spacing w:line="256" w:lineRule="auto"/>
              <w:rPr>
                <w:rFonts w:ascii="Calibri" w:eastAsia="Calibri" w:hAnsi="Calibri"/>
              </w:rPr>
            </w:pPr>
            <w:r w:rsidRPr="009C4370">
              <w:rPr>
                <w:rFonts w:ascii="Calibri" w:eastAsia="Calibri" w:hAnsi="Calibri"/>
                <w:noProof/>
              </w:rPr>
              <mc:AlternateContent>
                <mc:Choice Requires="wps">
                  <w:drawing>
                    <wp:anchor distT="4294967295" distB="4294967295" distL="114300" distR="114300" simplePos="0" relativeHeight="251709440" behindDoc="0" locked="0" layoutInCell="1" allowOverlap="1" wp14:anchorId="01E4E2C9" wp14:editId="44DCF2F0">
                      <wp:simplePos x="0" y="0"/>
                      <wp:positionH relativeFrom="column">
                        <wp:posOffset>41910</wp:posOffset>
                      </wp:positionH>
                      <wp:positionV relativeFrom="paragraph">
                        <wp:posOffset>89534</wp:posOffset>
                      </wp:positionV>
                      <wp:extent cx="1711960" cy="0"/>
                      <wp:effectExtent l="0" t="0" r="0" b="0"/>
                      <wp:wrapNone/>
                      <wp:docPr id="16192" name="Straight Arrow Connector 16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58923" id="Straight Arrow Connector 16192" o:spid="_x0000_s1026" type="#_x0000_t32" style="position:absolute;margin-left:3.3pt;margin-top:7.05pt;width:134.8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"/>
                  </w:pict>
                </mc:Fallback>
              </mc:AlternateContent>
            </w:r>
          </w:p>
          <w:p w14:paraId="76B390A0" w14:textId="77777777" w:rsidR="001E05C4" w:rsidRPr="009C4370" w:rsidRDefault="001E05C4" w:rsidP="009779BC">
            <w:pPr>
              <w:spacing w:line="256" w:lineRule="auto"/>
              <w:rPr>
                <w:rFonts w:ascii="Calibri" w:eastAsia="Calibri" w:hAnsi="Calibri"/>
              </w:rPr>
            </w:pPr>
            <w:r w:rsidRPr="009C4370">
              <w:rPr>
                <w:rFonts w:ascii="Calibri" w:eastAsia="Calibri" w:hAnsi="Calibri"/>
              </w:rPr>
              <w:t>Signature</w:t>
            </w:r>
          </w:p>
        </w:tc>
      </w:tr>
      <w:tr w:rsidR="001E05C4" w:rsidRPr="009C4370" w14:paraId="463B57C8" w14:textId="77777777" w:rsidTr="009779BC">
        <w:trPr>
          <w:trHeight w:val="596"/>
        </w:trPr>
        <w:tc>
          <w:tcPr>
            <w:tcW w:w="3556" w:type="dxa"/>
            <w:shd w:val="clear" w:color="auto" w:fill="auto"/>
            <w:hideMark/>
          </w:tcPr>
          <w:p w14:paraId="28DC2B18" w14:textId="77777777" w:rsidR="001E05C4" w:rsidRPr="009C4370" w:rsidRDefault="001E05C4" w:rsidP="009779BC">
            <w:pPr>
              <w:spacing w:line="256" w:lineRule="auto"/>
              <w:rPr>
                <w:rFonts w:ascii="Calibri" w:eastAsia="Calibri" w:hAnsi="Calibri"/>
              </w:rPr>
            </w:pPr>
            <w:r w:rsidRPr="009C4370">
              <w:rPr>
                <w:rFonts w:ascii="Calibri" w:eastAsia="Calibri" w:hAnsi="Calibri"/>
                <w:noProof/>
              </w:rPr>
              <mc:AlternateContent>
                <mc:Choice Requires="wps">
                  <w:drawing>
                    <wp:anchor distT="4294967295" distB="4294967295" distL="114300" distR="114300" simplePos="0" relativeHeight="251710464" behindDoc="0" locked="0" layoutInCell="1" allowOverlap="1" wp14:anchorId="6B60CAB0" wp14:editId="7B4CA92F">
                      <wp:simplePos x="0" y="0"/>
                      <wp:positionH relativeFrom="column">
                        <wp:posOffset>1905</wp:posOffset>
                      </wp:positionH>
                      <wp:positionV relativeFrom="paragraph">
                        <wp:posOffset>131444</wp:posOffset>
                      </wp:positionV>
                      <wp:extent cx="2009775" cy="0"/>
                      <wp:effectExtent l="0" t="0" r="0" b="0"/>
                      <wp:wrapNone/>
                      <wp:docPr id="16193" name="Straight Arrow Connector 16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61D25" id="Straight Arrow Connector 16193" o:spid="_x0000_s1026" type="#_x0000_t32" style="position:absolute;margin-left:.15pt;margin-top:10.35pt;width:158.2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"/>
                  </w:pict>
                </mc:Fallback>
              </mc:AlternateContent>
            </w:r>
          </w:p>
          <w:p w14:paraId="216E0798" w14:textId="77777777" w:rsidR="001E05C4" w:rsidRPr="009C4370" w:rsidRDefault="001E05C4" w:rsidP="009779BC">
            <w:pPr>
              <w:spacing w:line="256" w:lineRule="auto"/>
              <w:rPr>
                <w:rFonts w:ascii="Calibri" w:eastAsia="Calibri" w:hAnsi="Calibri"/>
                <w:i/>
              </w:rPr>
            </w:pPr>
            <w:r w:rsidRPr="009C4370">
              <w:rPr>
                <w:rFonts w:ascii="Calibri" w:eastAsia="Calibri" w:hAnsi="Calibri"/>
              </w:rPr>
              <w:t>Researcher (block capitals)</w:t>
            </w:r>
          </w:p>
        </w:tc>
        <w:tc>
          <w:tcPr>
            <w:tcW w:w="2943" w:type="dxa"/>
            <w:shd w:val="clear" w:color="auto" w:fill="auto"/>
            <w:hideMark/>
          </w:tcPr>
          <w:p w14:paraId="15261DD3" w14:textId="77777777" w:rsidR="001E05C4" w:rsidRPr="009C4370" w:rsidRDefault="001E05C4" w:rsidP="009779BC">
            <w:pPr>
              <w:spacing w:line="256" w:lineRule="auto"/>
              <w:rPr>
                <w:rFonts w:ascii="Calibri" w:eastAsia="Calibri" w:hAnsi="Calibri"/>
              </w:rPr>
            </w:pPr>
            <w:r w:rsidRPr="009C4370">
              <w:rPr>
                <w:rFonts w:ascii="Calibri" w:eastAsia="Calibri" w:hAnsi="Calibri"/>
                <w:noProof/>
              </w:rPr>
              <mc:AlternateContent>
                <mc:Choice Requires="wps">
                  <w:drawing>
                    <wp:anchor distT="4294967295" distB="4294967295" distL="114300" distR="114300" simplePos="0" relativeHeight="251711488" behindDoc="0" locked="0" layoutInCell="1" allowOverlap="1" wp14:anchorId="47037BF7" wp14:editId="6BB7915D">
                      <wp:simplePos x="0" y="0"/>
                      <wp:positionH relativeFrom="column">
                        <wp:posOffset>-6985</wp:posOffset>
                      </wp:positionH>
                      <wp:positionV relativeFrom="paragraph">
                        <wp:posOffset>133349</wp:posOffset>
                      </wp:positionV>
                      <wp:extent cx="1711960" cy="0"/>
                      <wp:effectExtent l="0" t="0" r="0" b="0"/>
                      <wp:wrapNone/>
                      <wp:docPr id="16194" name="Straight Arrow Connector 1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DF928" id="Straight Arrow Connector 16194" o:spid="_x0000_s1026" type="#_x0000_t32" style="position:absolute;margin-left:-.55pt;margin-top:10.5pt;width:134.8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"/>
                  </w:pict>
                </mc:Fallback>
              </mc:AlternateContent>
            </w:r>
          </w:p>
          <w:p w14:paraId="7252E5B1" w14:textId="77777777" w:rsidR="001E05C4" w:rsidRPr="009C4370" w:rsidRDefault="001E05C4" w:rsidP="009779BC">
            <w:pPr>
              <w:spacing w:line="256" w:lineRule="auto"/>
              <w:rPr>
                <w:rFonts w:ascii="Calibri" w:eastAsia="Calibri" w:hAnsi="Calibri"/>
              </w:rPr>
            </w:pPr>
            <w:r w:rsidRPr="009C4370">
              <w:rPr>
                <w:rFonts w:ascii="Calibri" w:eastAsia="Calibri" w:hAnsi="Calibri"/>
              </w:rPr>
              <w:t>Date</w:t>
            </w:r>
          </w:p>
        </w:tc>
        <w:tc>
          <w:tcPr>
            <w:tcW w:w="3091" w:type="dxa"/>
            <w:shd w:val="clear" w:color="auto" w:fill="auto"/>
            <w:hideMark/>
          </w:tcPr>
          <w:p w14:paraId="7142A06C" w14:textId="77777777" w:rsidR="001E05C4" w:rsidRPr="009C4370" w:rsidRDefault="001E05C4" w:rsidP="009779BC">
            <w:pPr>
              <w:spacing w:line="256" w:lineRule="auto"/>
              <w:rPr>
                <w:rFonts w:ascii="Calibri" w:eastAsia="Calibri" w:hAnsi="Calibri"/>
              </w:rPr>
            </w:pPr>
            <w:r w:rsidRPr="009C4370">
              <w:rPr>
                <w:rFonts w:ascii="Calibri" w:eastAsia="Calibri" w:hAnsi="Calibri"/>
                <w:noProof/>
              </w:rPr>
              <mc:AlternateContent>
                <mc:Choice Requires="wps">
                  <w:drawing>
                    <wp:anchor distT="4294967295" distB="4294967295" distL="114300" distR="114300" simplePos="0" relativeHeight="251712512" behindDoc="0" locked="0" layoutInCell="1" allowOverlap="1" wp14:anchorId="7C50866E" wp14:editId="38422EA9">
                      <wp:simplePos x="0" y="0"/>
                      <wp:positionH relativeFrom="column">
                        <wp:posOffset>32385</wp:posOffset>
                      </wp:positionH>
                      <wp:positionV relativeFrom="paragraph">
                        <wp:posOffset>133349</wp:posOffset>
                      </wp:positionV>
                      <wp:extent cx="1711960" cy="0"/>
                      <wp:effectExtent l="0" t="0" r="0" b="0"/>
                      <wp:wrapNone/>
                      <wp:docPr id="16195" name="Straight Arrow Connector 16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105A0" id="Straight Arrow Connector 16195" o:spid="_x0000_s1026" type="#_x0000_t32" style="position:absolute;margin-left:2.55pt;margin-top:10.5pt;width:134.8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"/>
                  </w:pict>
                </mc:Fallback>
              </mc:AlternateContent>
            </w:r>
          </w:p>
          <w:p w14:paraId="24114972" w14:textId="77777777" w:rsidR="001E05C4" w:rsidRPr="009C4370" w:rsidRDefault="001E05C4" w:rsidP="009779BC">
            <w:pPr>
              <w:spacing w:line="256" w:lineRule="auto"/>
              <w:rPr>
                <w:rFonts w:ascii="Calibri" w:eastAsia="Calibri" w:hAnsi="Calibri"/>
              </w:rPr>
            </w:pPr>
            <w:r w:rsidRPr="009C4370">
              <w:rPr>
                <w:rFonts w:ascii="Calibri" w:eastAsia="Calibri" w:hAnsi="Calibri"/>
              </w:rPr>
              <w:t>Signature</w:t>
            </w:r>
          </w:p>
        </w:tc>
      </w:tr>
    </w:tbl>
    <w:p w14:paraId="6DA3646D" w14:textId="77777777" w:rsidR="001E05C4" w:rsidRPr="009C4370" w:rsidRDefault="001E05C4" w:rsidP="00BA453D">
      <w:pPr>
        <w:spacing w:line="256" w:lineRule="auto"/>
        <w:rPr>
          <w:rFonts w:ascii="Calibri" w:eastAsia="Calibri" w:hAnsi="Calibri"/>
        </w:rPr>
      </w:pPr>
      <w:r w:rsidRPr="009C4370">
        <w:rPr>
          <w:rFonts w:ascii="Calibri" w:eastAsia="Calibri" w:hAnsi="Calibri"/>
        </w:rPr>
        <w:br/>
        <w:t xml:space="preserve">If you have any further questions please contact the researcher, Sian Calvert, via </w:t>
      </w:r>
      <w:hyperlink r:id="rId69" w:history="1">
        <w:r w:rsidRPr="009C4370">
          <w:rPr>
            <w:rFonts w:ascii="Calibri" w:eastAsia="Calibri" w:hAnsi="Calibri"/>
            <w:color w:val="0563C1"/>
            <w:u w:val="single"/>
          </w:rPr>
          <w:t>sian.calvert@research.staffs.ac.uk</w:t>
        </w:r>
      </w:hyperlink>
      <w:r w:rsidRPr="009C4370">
        <w:rPr>
          <w:rFonts w:ascii="Calibri" w:eastAsia="Calibri" w:hAnsi="Calibri"/>
        </w:rPr>
        <w:t xml:space="preserve"> or Supervisors:-</w:t>
      </w:r>
    </w:p>
    <w:p w14:paraId="202B118D" w14:textId="77777777" w:rsidR="001E05C4" w:rsidRDefault="001E05C4" w:rsidP="00BA453D">
      <w:pPr>
        <w:spacing w:line="240" w:lineRule="auto"/>
        <w:rPr>
          <w:rFonts w:ascii="Calibri" w:eastAsia="Calibri" w:hAnsi="Calibri"/>
        </w:rPr>
        <w:sectPr w:rsidR="001E05C4" w:rsidSect="00F92006">
          <w:type w:val="continuous"/>
          <w:pgSz w:w="11906" w:h="16838"/>
          <w:pgMar w:top="1440" w:right="1440" w:bottom="1440" w:left="1440" w:header="708" w:footer="708" w:gutter="0"/>
          <w:cols w:space="720"/>
          <w:docGrid w:linePitch="299"/>
        </w:sectPr>
      </w:pPr>
    </w:p>
    <w:p w14:paraId="20753BE5" w14:textId="2D3332A8" w:rsidR="001E05C4" w:rsidRPr="009C4370" w:rsidRDefault="001E05C4" w:rsidP="00BA453D">
      <w:pPr>
        <w:spacing w:after="0" w:line="240" w:lineRule="auto"/>
        <w:rPr>
          <w:rFonts w:ascii="Calibri" w:eastAsia="Calibri" w:hAnsi="Calibri"/>
        </w:rPr>
      </w:pPr>
      <w:r w:rsidRPr="009C4370">
        <w:rPr>
          <w:rFonts w:ascii="Calibri" w:eastAsia="Calibri" w:hAnsi="Calibri"/>
        </w:rPr>
        <w:t xml:space="preserve">Dr. Robert Dempsey </w:t>
      </w:r>
    </w:p>
    <w:p w14:paraId="4C878E6B" w14:textId="77777777" w:rsidR="001E05C4" w:rsidRPr="009C4370" w:rsidRDefault="001E05C4" w:rsidP="00BA453D">
      <w:pPr>
        <w:spacing w:after="0" w:line="240" w:lineRule="auto"/>
        <w:rPr>
          <w:rFonts w:ascii="Calibri" w:eastAsia="Calibri" w:hAnsi="Calibri"/>
        </w:rPr>
      </w:pPr>
      <w:r w:rsidRPr="009C4370">
        <w:rPr>
          <w:rFonts w:ascii="Calibri" w:eastAsia="Calibri" w:hAnsi="Calibri"/>
        </w:rPr>
        <w:t>robert.dempsey@staffs.ac.uk</w:t>
      </w:r>
    </w:p>
    <w:p w14:paraId="1DEFA1AD" w14:textId="6E017974" w:rsidR="00074092" w:rsidRDefault="001E05C4" w:rsidP="00BA453D">
      <w:pPr>
        <w:spacing w:after="0" w:line="240" w:lineRule="auto"/>
        <w:ind w:left="142" w:hanging="142"/>
        <w:rPr>
          <w:rFonts w:ascii="Calibri" w:eastAsia="Calibri" w:hAnsi="Calibri"/>
          <w:i/>
        </w:rPr>
      </w:pPr>
      <w:r w:rsidRPr="009C4370">
        <w:rPr>
          <w:rFonts w:ascii="Calibri" w:eastAsia="Calibri" w:hAnsi="Calibri"/>
          <w:i/>
        </w:rPr>
        <w:t xml:space="preserve">Lecturer in Psychology, Staffordshire University </w:t>
      </w:r>
    </w:p>
    <w:p w14:paraId="499D3AB8" w14:textId="77777777" w:rsidR="00D40AE5" w:rsidRDefault="00D40AE5" w:rsidP="00BA453D">
      <w:pPr>
        <w:spacing w:after="0" w:line="240" w:lineRule="auto"/>
        <w:ind w:left="142" w:hanging="142"/>
        <w:rPr>
          <w:rFonts w:ascii="Calibri" w:eastAsia="Calibri" w:hAnsi="Calibri"/>
          <w:i/>
        </w:rPr>
      </w:pPr>
    </w:p>
    <w:p w14:paraId="1A8CEE55" w14:textId="0D1A20B3" w:rsidR="001E05C4" w:rsidRPr="00074092" w:rsidRDefault="001E05C4" w:rsidP="00D40AE5">
      <w:pPr>
        <w:spacing w:after="0" w:line="240" w:lineRule="auto"/>
        <w:rPr>
          <w:rFonts w:ascii="Calibri" w:eastAsia="Calibri" w:hAnsi="Calibri"/>
          <w:i/>
        </w:rPr>
      </w:pPr>
      <w:r w:rsidRPr="009C4370">
        <w:rPr>
          <w:rFonts w:ascii="Calibri" w:eastAsia="Calibri" w:hAnsi="Calibri"/>
        </w:rPr>
        <w:t xml:space="preserve">Dr. Rachel Povey </w:t>
      </w:r>
    </w:p>
    <w:p w14:paraId="2B9FE109" w14:textId="77777777" w:rsidR="001E05C4" w:rsidRPr="009C4370" w:rsidRDefault="001E05C4" w:rsidP="00BA453D">
      <w:pPr>
        <w:spacing w:after="0" w:line="240" w:lineRule="auto"/>
        <w:rPr>
          <w:rFonts w:ascii="Calibri" w:eastAsia="Calibri" w:hAnsi="Calibri"/>
        </w:rPr>
      </w:pPr>
      <w:r w:rsidRPr="009C4370">
        <w:rPr>
          <w:rFonts w:ascii="Calibri" w:eastAsia="Calibri" w:hAnsi="Calibri"/>
        </w:rPr>
        <w:t>r.povey@staffs.ac.uk</w:t>
      </w:r>
    </w:p>
    <w:p w14:paraId="5096F31A" w14:textId="77777777" w:rsidR="001E05C4" w:rsidRDefault="001E05C4" w:rsidP="00BA453D">
      <w:pPr>
        <w:spacing w:after="0" w:line="240" w:lineRule="auto"/>
        <w:ind w:left="142" w:hanging="142"/>
        <w:rPr>
          <w:rFonts w:ascii="Calibri" w:eastAsia="Calibri" w:hAnsi="Calibri"/>
          <w:i/>
        </w:rPr>
      </w:pPr>
      <w:r w:rsidRPr="009C4370">
        <w:rPr>
          <w:rFonts w:ascii="Calibri" w:eastAsia="Calibri" w:hAnsi="Calibri"/>
          <w:i/>
        </w:rPr>
        <w:t xml:space="preserve">Associate Professor in Health Psychology, Staffordshire University </w:t>
      </w:r>
    </w:p>
    <w:p w14:paraId="32CF3B16" w14:textId="7294C6AE" w:rsidR="00733440" w:rsidRPr="009C4370" w:rsidRDefault="00733440" w:rsidP="00A84488">
      <w:pPr>
        <w:spacing w:after="0" w:line="240" w:lineRule="auto"/>
        <w:rPr>
          <w:rFonts w:ascii="Calibri" w:eastAsia="Calibri" w:hAnsi="Calibri"/>
          <w:i/>
        </w:rPr>
        <w:sectPr w:rsidR="00733440" w:rsidRPr="009C4370" w:rsidSect="00F92006">
          <w:type w:val="continuous"/>
          <w:pgSz w:w="11906" w:h="16838"/>
          <w:pgMar w:top="1440" w:right="1440" w:bottom="1440" w:left="1440" w:header="708" w:footer="708" w:gutter="0"/>
          <w:cols w:space="720"/>
          <w:docGrid w:linePitch="299"/>
        </w:sectPr>
      </w:pPr>
    </w:p>
    <w:p w14:paraId="7943EAE5" w14:textId="49040FB9" w:rsidR="001E05C4" w:rsidRPr="009C4370" w:rsidRDefault="00A84488" w:rsidP="001E05C4">
      <w:pPr>
        <w:rPr>
          <w:rFonts w:cstheme="minorHAnsi"/>
        </w:rPr>
      </w:pPr>
      <w:r w:rsidRPr="009C4370">
        <w:rPr>
          <w:noProof/>
        </w:rPr>
        <w:lastRenderedPageBreak/>
        <w:drawing>
          <wp:anchor distT="0" distB="0" distL="114300" distR="114300" simplePos="0" relativeHeight="251705344" behindDoc="1" locked="0" layoutInCell="1" allowOverlap="1" wp14:anchorId="476E3098" wp14:editId="37AB6C30">
            <wp:simplePos x="0" y="0"/>
            <wp:positionH relativeFrom="margin">
              <wp:posOffset>4481195</wp:posOffset>
            </wp:positionH>
            <wp:positionV relativeFrom="paragraph">
              <wp:posOffset>197485</wp:posOffset>
            </wp:positionV>
            <wp:extent cx="1078865" cy="1256030"/>
            <wp:effectExtent l="0" t="0" r="6985" b="1270"/>
            <wp:wrapTight wrapText="bothSides">
              <wp:wrapPolygon edited="0">
                <wp:start x="0" y="0"/>
                <wp:lineTo x="0" y="21294"/>
                <wp:lineTo x="21358" y="21294"/>
                <wp:lineTo x="21358" y="0"/>
                <wp:lineTo x="0" y="0"/>
              </wp:wrapPolygon>
            </wp:wrapTight>
            <wp:docPr id="16202" name="Picture 162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886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C4" w:rsidRPr="009C4370">
        <w:rPr>
          <w:rFonts w:cstheme="minorHAnsi"/>
        </w:rPr>
        <w:fldChar w:fldCharType="begin"/>
      </w:r>
      <w:r w:rsidR="001E05C4" w:rsidRPr="009C4370">
        <w:rPr>
          <w:rFonts w:cstheme="minorHAnsi"/>
        </w:rPr>
        <w:instrText xml:space="preserve"> TC  " </w:instrText>
      </w:r>
      <w:bookmarkStart w:id="347" w:name="_Toc97557165"/>
      <w:r w:rsidR="001E05C4" w:rsidRPr="009C4370">
        <w:rPr>
          <w:rFonts w:cstheme="minorHAnsi"/>
        </w:rPr>
        <w:instrText xml:space="preserve">Appendix </w:instrText>
      </w:r>
      <w:r w:rsidR="00833C6B">
        <w:rPr>
          <w:rFonts w:cstheme="minorHAnsi"/>
        </w:rPr>
        <w:instrText>1</w:instrText>
      </w:r>
      <w:r w:rsidR="00C831D8">
        <w:rPr>
          <w:rFonts w:cstheme="minorHAnsi"/>
        </w:rPr>
        <w:instrText>3</w:instrText>
      </w:r>
      <w:r w:rsidR="001E05C4" w:rsidRPr="009C4370">
        <w:rPr>
          <w:rFonts w:cstheme="minorHAnsi"/>
        </w:rPr>
        <w:instrText xml:space="preserve">: </w:instrText>
      </w:r>
      <w:r w:rsidR="001E05C4">
        <w:rPr>
          <w:rFonts w:cstheme="minorHAnsi"/>
        </w:rPr>
        <w:instrText>Debr</w:instrText>
      </w:r>
      <w:r w:rsidR="001252E5">
        <w:rPr>
          <w:rFonts w:cstheme="minorHAnsi"/>
        </w:rPr>
        <w:instrText>ief</w:instrText>
      </w:r>
      <w:r w:rsidR="001E05C4" w:rsidRPr="009C4370">
        <w:rPr>
          <w:rFonts w:cstheme="minorHAnsi"/>
        </w:rPr>
        <w:instrText xml:space="preserve"> (</w:instrText>
      </w:r>
      <w:r w:rsidR="001E05C4">
        <w:rPr>
          <w:rFonts w:cstheme="minorHAnsi"/>
        </w:rPr>
        <w:instrText>Student advisory group</w:instrText>
      </w:r>
      <w:r w:rsidR="001E05C4" w:rsidRPr="009C4370">
        <w:rPr>
          <w:rFonts w:cstheme="minorHAnsi"/>
        </w:rPr>
        <w:instrText>)</w:instrText>
      </w:r>
      <w:bookmarkEnd w:id="347"/>
      <w:r w:rsidR="001E05C4" w:rsidRPr="009C4370">
        <w:rPr>
          <w:rFonts w:cstheme="minorHAnsi"/>
        </w:rPr>
        <w:instrText xml:space="preserve">" \f y\l 2 </w:instrText>
      </w:r>
      <w:r w:rsidR="001E05C4" w:rsidRPr="009C4370">
        <w:rPr>
          <w:rFonts w:cstheme="minorHAnsi"/>
        </w:rPr>
        <w:fldChar w:fldCharType="end"/>
      </w:r>
      <w:r w:rsidR="001E05C4" w:rsidRPr="009C4370">
        <w:rPr>
          <w:rFonts w:cstheme="minorHAnsi"/>
        </w:rPr>
        <w:t xml:space="preserve">Appendix </w:t>
      </w:r>
      <w:r w:rsidR="00833C6B">
        <w:rPr>
          <w:rFonts w:cstheme="minorHAnsi"/>
        </w:rPr>
        <w:t>1</w:t>
      </w:r>
      <w:r w:rsidR="00C831D8">
        <w:rPr>
          <w:rFonts w:cstheme="minorHAnsi"/>
        </w:rPr>
        <w:t>3</w:t>
      </w:r>
      <w:r w:rsidR="001E05C4" w:rsidRPr="009C4370">
        <w:rPr>
          <w:rFonts w:cstheme="minorHAnsi"/>
        </w:rPr>
        <w:t xml:space="preserve">: </w:t>
      </w:r>
      <w:r w:rsidR="001E05C4">
        <w:rPr>
          <w:rFonts w:cstheme="minorHAnsi"/>
        </w:rPr>
        <w:t xml:space="preserve">Debrief </w:t>
      </w:r>
      <w:r w:rsidR="001E05C4" w:rsidRPr="009C4370">
        <w:rPr>
          <w:rFonts w:cstheme="minorHAnsi"/>
        </w:rPr>
        <w:t>(</w:t>
      </w:r>
      <w:r w:rsidR="001E05C4">
        <w:rPr>
          <w:rFonts w:cstheme="minorHAnsi"/>
        </w:rPr>
        <w:t>Student advisory group</w:t>
      </w:r>
      <w:r w:rsidR="001E05C4" w:rsidRPr="009C4370">
        <w:rPr>
          <w:rFonts w:cstheme="minorHAnsi"/>
        </w:rPr>
        <w:t>)</w:t>
      </w:r>
    </w:p>
    <w:p w14:paraId="3D975C50" w14:textId="21524786" w:rsidR="001E05C4" w:rsidRPr="009C4370" w:rsidRDefault="001E05C4" w:rsidP="001E05C4">
      <w:pPr>
        <w:tabs>
          <w:tab w:val="left" w:pos="9214"/>
        </w:tabs>
        <w:spacing w:line="256" w:lineRule="auto"/>
        <w:ind w:right="1252"/>
        <w:rPr>
          <w:rFonts w:ascii="Calibri" w:eastAsia="Calibri" w:hAnsi="Calibri"/>
          <w:b/>
          <w:sz w:val="32"/>
          <w:szCs w:val="32"/>
        </w:rPr>
      </w:pPr>
    </w:p>
    <w:p w14:paraId="72BD2C1F" w14:textId="77777777" w:rsidR="001E05C4" w:rsidRPr="009C4370" w:rsidRDefault="001E05C4" w:rsidP="001E05C4">
      <w:pPr>
        <w:spacing w:line="256" w:lineRule="auto"/>
        <w:rPr>
          <w:rFonts w:ascii="Calibri" w:eastAsia="Calibri" w:hAnsi="Calibri"/>
        </w:rPr>
      </w:pPr>
    </w:p>
    <w:p w14:paraId="5E5290E7" w14:textId="77777777" w:rsidR="001E05C4" w:rsidRPr="009C4370" w:rsidRDefault="001E05C4" w:rsidP="001E05C4">
      <w:pPr>
        <w:spacing w:line="256" w:lineRule="auto"/>
        <w:rPr>
          <w:rFonts w:ascii="Calibri" w:eastAsia="Calibri" w:hAnsi="Calibri"/>
        </w:rPr>
      </w:pPr>
    </w:p>
    <w:p w14:paraId="208DE0A3" w14:textId="77777777" w:rsidR="001E05C4" w:rsidRPr="009C4370" w:rsidRDefault="001E05C4" w:rsidP="001E05C4">
      <w:pPr>
        <w:spacing w:line="256" w:lineRule="auto"/>
        <w:rPr>
          <w:rFonts w:ascii="Calibri" w:eastAsia="Calibri" w:hAnsi="Calibri"/>
        </w:rPr>
      </w:pPr>
    </w:p>
    <w:p w14:paraId="7DEF8435" w14:textId="77777777" w:rsidR="001E05C4" w:rsidRPr="009C4370" w:rsidRDefault="001E05C4" w:rsidP="001E05C4">
      <w:pPr>
        <w:spacing w:line="256" w:lineRule="auto"/>
        <w:rPr>
          <w:rFonts w:ascii="Calibri" w:eastAsia="Calibri" w:hAnsi="Calibri"/>
        </w:rPr>
      </w:pPr>
    </w:p>
    <w:p w14:paraId="68AFF1E4" w14:textId="77777777" w:rsidR="001E05C4" w:rsidRPr="009C4370" w:rsidRDefault="001E05C4" w:rsidP="001E05C4">
      <w:pPr>
        <w:spacing w:line="256" w:lineRule="auto"/>
        <w:rPr>
          <w:rFonts w:ascii="Calibri" w:eastAsia="Calibri" w:hAnsi="Calibri"/>
        </w:rPr>
      </w:pPr>
    </w:p>
    <w:p w14:paraId="40DFB5C8" w14:textId="77777777" w:rsidR="001E05C4" w:rsidRPr="009C4370" w:rsidRDefault="001E05C4" w:rsidP="001E05C4">
      <w:pPr>
        <w:spacing w:line="256" w:lineRule="auto"/>
        <w:rPr>
          <w:rFonts w:ascii="Calibri" w:eastAsia="Calibri" w:hAnsi="Calibri"/>
        </w:rPr>
      </w:pPr>
    </w:p>
    <w:p w14:paraId="614DA075" w14:textId="77777777" w:rsidR="001E05C4" w:rsidRPr="009C4370" w:rsidRDefault="001E05C4" w:rsidP="001E05C4">
      <w:pPr>
        <w:spacing w:line="256" w:lineRule="auto"/>
        <w:jc w:val="center"/>
        <w:rPr>
          <w:rFonts w:ascii="Calibri" w:eastAsia="Calibri" w:hAnsi="Calibri"/>
          <w:sz w:val="28"/>
          <w:szCs w:val="28"/>
        </w:rPr>
      </w:pPr>
      <w:r w:rsidRPr="009C4370">
        <w:rPr>
          <w:rFonts w:ascii="Calibri" w:eastAsia="Calibri" w:hAnsi="Calibri"/>
          <w:b/>
          <w:sz w:val="28"/>
          <w:szCs w:val="28"/>
          <w:u w:val="single"/>
        </w:rPr>
        <w:t>Thank you</w:t>
      </w:r>
    </w:p>
    <w:p w14:paraId="7A118A6F" w14:textId="77777777" w:rsidR="001E05C4" w:rsidRPr="009C4370" w:rsidRDefault="001E05C4" w:rsidP="001E05C4">
      <w:pPr>
        <w:spacing w:line="256" w:lineRule="auto"/>
        <w:rPr>
          <w:rFonts w:ascii="Calibri" w:eastAsia="Calibri" w:hAnsi="Calibri"/>
        </w:rPr>
      </w:pPr>
      <w:r w:rsidRPr="009C4370">
        <w:rPr>
          <w:rFonts w:ascii="Calibri" w:eastAsia="Calibri" w:hAnsi="Calibri"/>
        </w:rPr>
        <w:t xml:space="preserve">Thank you for taking part in the steering group discussing healthy eating resources. The research aims to help develop healthy eating promotional material that will be used within your school. The hand-written notes taken in the steering groups will be used to inform the development of the healthy eating material. Please be assured that no individual will be identified or identifiable from the notes taken. </w:t>
      </w:r>
    </w:p>
    <w:p w14:paraId="0DF8ADAD" w14:textId="77777777" w:rsidR="001E05C4" w:rsidRPr="009C4370" w:rsidRDefault="001E05C4" w:rsidP="001E05C4">
      <w:pPr>
        <w:spacing w:line="256" w:lineRule="auto"/>
        <w:rPr>
          <w:rFonts w:ascii="Calibri" w:eastAsia="Calibri" w:hAnsi="Calibri"/>
        </w:rPr>
      </w:pPr>
      <w:r w:rsidRPr="009C4370">
        <w:rPr>
          <w:rFonts w:ascii="Calibri" w:eastAsia="Calibri" w:hAnsi="Calibri"/>
        </w:rPr>
        <w:t>Thank you again for taking part in the steering groups. If you have any further questions please contact me or one of my supervisors.</w:t>
      </w:r>
    </w:p>
    <w:p w14:paraId="182B8850" w14:textId="77777777" w:rsidR="001E05C4" w:rsidRPr="009C4370" w:rsidRDefault="001E05C4" w:rsidP="001E05C4">
      <w:pPr>
        <w:rPr>
          <w:rFonts w:ascii="Calibri" w:eastAsia="Calibri" w:hAnsi="Calibri"/>
        </w:rPr>
      </w:pPr>
    </w:p>
    <w:p w14:paraId="59191CF5" w14:textId="77777777" w:rsidR="001E05C4" w:rsidRPr="009C4370" w:rsidRDefault="001E05C4" w:rsidP="001E05C4">
      <w:pPr>
        <w:rPr>
          <w:rFonts w:ascii="Calibri" w:eastAsia="Calibri" w:hAnsi="Calibri"/>
        </w:rPr>
      </w:pPr>
      <w:r w:rsidRPr="009C4370">
        <w:rPr>
          <w:rFonts w:ascii="Calibri" w:eastAsia="Calibri" w:hAnsi="Calibri"/>
        </w:rPr>
        <w:t>Sian Calvert</w:t>
      </w:r>
    </w:p>
    <w:p w14:paraId="3CD71AC6" w14:textId="2B5372BF" w:rsidR="001E05C4" w:rsidRPr="009C4370" w:rsidRDefault="00322DCE" w:rsidP="00074092">
      <w:pPr>
        <w:spacing w:after="0"/>
        <w:jc w:val="both"/>
        <w:rPr>
          <w:rFonts w:ascii="Calibri" w:eastAsia="Calibri" w:hAnsi="Calibri"/>
          <w:color w:val="0563C1"/>
          <w:u w:val="single"/>
        </w:rPr>
      </w:pPr>
      <w:hyperlink r:id="rId70" w:history="1">
        <w:r w:rsidR="00074092" w:rsidRPr="006128ED">
          <w:rPr>
            <w:rStyle w:val="Hyperlink"/>
            <w:rFonts w:ascii="Calibri" w:eastAsia="Calibri" w:hAnsi="Calibri"/>
          </w:rPr>
          <w:t>Sian.calvert@research.staffs.ac.uk</w:t>
        </w:r>
      </w:hyperlink>
    </w:p>
    <w:p w14:paraId="232B0243" w14:textId="77777777" w:rsidR="001E05C4" w:rsidRPr="009C4370" w:rsidRDefault="001E05C4" w:rsidP="00074092">
      <w:pPr>
        <w:spacing w:after="0"/>
        <w:rPr>
          <w:rFonts w:ascii="Calibri" w:eastAsia="Calibri" w:hAnsi="Calibri"/>
        </w:rPr>
      </w:pPr>
      <w:r w:rsidRPr="009C4370">
        <w:rPr>
          <w:rFonts w:ascii="Calibri" w:eastAsia="Calibri" w:hAnsi="Calibri"/>
          <w:i/>
        </w:rPr>
        <w:t xml:space="preserve">PhD student in Psychology, Staffordshire University </w:t>
      </w:r>
    </w:p>
    <w:p w14:paraId="44028022" w14:textId="77777777" w:rsidR="001E05C4" w:rsidRDefault="001E05C4" w:rsidP="00074092">
      <w:pPr>
        <w:spacing w:after="0"/>
        <w:ind w:left="-709"/>
        <w:rPr>
          <w:rFonts w:ascii="Calibri" w:eastAsia="Calibri" w:hAnsi="Calibri"/>
        </w:rPr>
      </w:pPr>
      <w:r>
        <w:rPr>
          <w:rFonts w:ascii="Calibri" w:eastAsia="Calibri" w:hAnsi="Calibri"/>
        </w:rPr>
        <w:t xml:space="preserve">              [telephone number]</w:t>
      </w:r>
    </w:p>
    <w:p w14:paraId="2EFA703E" w14:textId="77777777" w:rsidR="001E05C4" w:rsidRPr="009C4370" w:rsidRDefault="001E05C4" w:rsidP="001E05C4">
      <w:pPr>
        <w:rPr>
          <w:rFonts w:ascii="Calibri" w:eastAsia="Calibri" w:hAnsi="Calibri"/>
          <w:u w:val="single"/>
        </w:rPr>
        <w:sectPr w:rsidR="001E05C4" w:rsidRPr="009C4370" w:rsidSect="00A84488">
          <w:type w:val="continuous"/>
          <w:pgSz w:w="11906" w:h="16838"/>
          <w:pgMar w:top="1440" w:right="1440" w:bottom="1440" w:left="1440" w:header="708" w:footer="708" w:gutter="0"/>
          <w:cols w:space="720"/>
          <w:docGrid w:linePitch="299"/>
        </w:sectPr>
      </w:pPr>
    </w:p>
    <w:p w14:paraId="58B0D6D5" w14:textId="77777777" w:rsidR="001E05C4" w:rsidRPr="009C4370" w:rsidRDefault="001E05C4" w:rsidP="001E05C4">
      <w:pPr>
        <w:rPr>
          <w:rFonts w:ascii="Calibri" w:eastAsia="Calibri" w:hAnsi="Calibri"/>
          <w:u w:val="single"/>
        </w:rPr>
      </w:pPr>
    </w:p>
    <w:p w14:paraId="132EA131" w14:textId="77777777" w:rsidR="001E05C4" w:rsidRPr="009C4370" w:rsidRDefault="001E05C4" w:rsidP="001E05C4">
      <w:pPr>
        <w:rPr>
          <w:rFonts w:ascii="Calibri" w:eastAsia="Calibri" w:hAnsi="Calibri"/>
        </w:rPr>
        <w:sectPr w:rsidR="001E05C4" w:rsidRPr="009C4370" w:rsidSect="00E34C74">
          <w:type w:val="continuous"/>
          <w:pgSz w:w="11906" w:h="16838"/>
          <w:pgMar w:top="720" w:right="720" w:bottom="720" w:left="720" w:header="708" w:footer="708" w:gutter="0"/>
          <w:cols w:num="2" w:space="720"/>
        </w:sectPr>
      </w:pPr>
    </w:p>
    <w:p w14:paraId="7EEA9948" w14:textId="77777777" w:rsidR="001E05C4" w:rsidRPr="009C4370" w:rsidRDefault="001E05C4" w:rsidP="00A84488">
      <w:pPr>
        <w:spacing w:after="0"/>
        <w:rPr>
          <w:rFonts w:ascii="Calibri" w:eastAsia="Calibri" w:hAnsi="Calibri"/>
        </w:rPr>
      </w:pPr>
      <w:r w:rsidRPr="009C4370">
        <w:rPr>
          <w:rFonts w:ascii="Calibri" w:eastAsia="Calibri" w:hAnsi="Calibri"/>
        </w:rPr>
        <w:t>Dr. Robert Dempsey</w:t>
      </w:r>
    </w:p>
    <w:p w14:paraId="67EC93BB" w14:textId="77777777" w:rsidR="00074092" w:rsidRDefault="00322DCE" w:rsidP="00A84488">
      <w:pPr>
        <w:spacing w:after="0"/>
        <w:rPr>
          <w:rFonts w:ascii="Calibri" w:eastAsia="Calibri" w:hAnsi="Calibri"/>
        </w:rPr>
      </w:pPr>
      <w:hyperlink r:id="rId71" w:history="1">
        <w:r w:rsidR="001E05C4" w:rsidRPr="009C4370">
          <w:rPr>
            <w:rFonts w:ascii="Calibri" w:eastAsia="Calibri" w:hAnsi="Calibri"/>
            <w:color w:val="0563C1"/>
            <w:u w:val="single"/>
          </w:rPr>
          <w:t>robert.dempsey@staffs.ac.uk</w:t>
        </w:r>
      </w:hyperlink>
    </w:p>
    <w:p w14:paraId="7AFEDCDF" w14:textId="4814FAF6" w:rsidR="001E05C4" w:rsidRPr="009C4370" w:rsidRDefault="001E05C4" w:rsidP="00A84488">
      <w:pPr>
        <w:spacing w:after="0"/>
        <w:rPr>
          <w:rFonts w:ascii="Calibri" w:eastAsia="Calibri" w:hAnsi="Calibri"/>
          <w:i/>
        </w:rPr>
      </w:pPr>
      <w:r w:rsidRPr="009C4370">
        <w:rPr>
          <w:rFonts w:ascii="Calibri" w:eastAsia="Calibri" w:hAnsi="Calibri"/>
          <w:i/>
        </w:rPr>
        <w:t>Lecturer in Psychology, Staffordshire University</w:t>
      </w:r>
    </w:p>
    <w:p w14:paraId="1E6C5AE3" w14:textId="77777777" w:rsidR="001E05C4" w:rsidRDefault="001E05C4" w:rsidP="00A84488">
      <w:pPr>
        <w:spacing w:after="0"/>
        <w:rPr>
          <w:rFonts w:ascii="Calibri" w:eastAsia="Calibri" w:hAnsi="Calibri"/>
        </w:rPr>
      </w:pPr>
      <w:r>
        <w:rPr>
          <w:rFonts w:ascii="Calibri" w:eastAsia="Calibri" w:hAnsi="Calibri"/>
        </w:rPr>
        <w:t>[telephone number]</w:t>
      </w:r>
    </w:p>
    <w:p w14:paraId="3DE78451" w14:textId="77777777" w:rsidR="001E05C4" w:rsidRDefault="001E05C4" w:rsidP="00A84488">
      <w:pPr>
        <w:spacing w:after="0"/>
        <w:rPr>
          <w:rFonts w:ascii="Calibri" w:eastAsia="Calibri" w:hAnsi="Calibri"/>
        </w:rPr>
      </w:pPr>
    </w:p>
    <w:p w14:paraId="75CBE6B2" w14:textId="0101D24D" w:rsidR="001E05C4" w:rsidRDefault="001E05C4" w:rsidP="00A84488">
      <w:pPr>
        <w:spacing w:after="0"/>
        <w:rPr>
          <w:rFonts w:ascii="Calibri" w:eastAsia="Calibri" w:hAnsi="Calibri"/>
        </w:rPr>
      </w:pPr>
      <w:r w:rsidRPr="009C4370">
        <w:rPr>
          <w:rFonts w:ascii="Calibri" w:eastAsia="Calibri" w:hAnsi="Calibri"/>
        </w:rPr>
        <w:t>Dr. Rachel Povey</w:t>
      </w:r>
    </w:p>
    <w:p w14:paraId="2A5E419D" w14:textId="77777777" w:rsidR="001E05C4" w:rsidRDefault="00322DCE" w:rsidP="00A84488">
      <w:pPr>
        <w:spacing w:after="0"/>
        <w:rPr>
          <w:rFonts w:ascii="Calibri" w:eastAsia="Calibri" w:hAnsi="Calibri"/>
        </w:rPr>
      </w:pPr>
      <w:hyperlink r:id="rId72" w:history="1">
        <w:r w:rsidR="001E05C4" w:rsidRPr="006128ED">
          <w:rPr>
            <w:rStyle w:val="Hyperlink"/>
            <w:rFonts w:ascii="Calibri" w:hAnsi="Calibri"/>
          </w:rPr>
          <w:t>r.povey@staffs.ac.uk</w:t>
        </w:r>
      </w:hyperlink>
    </w:p>
    <w:p w14:paraId="7D07DCC1" w14:textId="3DED81D4" w:rsidR="001E05C4" w:rsidRPr="002B07B0" w:rsidRDefault="001E05C4" w:rsidP="00A84488">
      <w:pPr>
        <w:spacing w:after="0"/>
        <w:rPr>
          <w:rFonts w:ascii="Calibri" w:eastAsia="Calibri" w:hAnsi="Calibri"/>
        </w:rPr>
      </w:pPr>
      <w:r w:rsidRPr="009C4370">
        <w:rPr>
          <w:rFonts w:ascii="Calibri" w:eastAsia="Calibri" w:hAnsi="Calibri"/>
          <w:i/>
        </w:rPr>
        <w:t>Associate Professor in Health Psychology, Staffordshire University</w:t>
      </w:r>
    </w:p>
    <w:p w14:paraId="4C166E13" w14:textId="689EFFF7" w:rsidR="001E05C4" w:rsidRDefault="001E05C4" w:rsidP="00A84488">
      <w:pPr>
        <w:spacing w:after="0"/>
        <w:rPr>
          <w:rFonts w:ascii="Calibri" w:eastAsia="Calibri" w:hAnsi="Calibri"/>
        </w:rPr>
        <w:sectPr w:rsidR="001E05C4" w:rsidSect="00A84488">
          <w:type w:val="continuous"/>
          <w:pgSz w:w="11906" w:h="16838"/>
          <w:pgMar w:top="1440" w:right="1440" w:bottom="1440" w:left="1440" w:header="708" w:footer="708" w:gutter="0"/>
          <w:cols w:num="2" w:space="708"/>
          <w:docGrid w:linePitch="360"/>
        </w:sectPr>
      </w:pPr>
      <w:r>
        <w:rPr>
          <w:rFonts w:ascii="Calibri" w:eastAsia="Calibri" w:hAnsi="Calibri"/>
        </w:rPr>
        <w:t>[telephone number]</w:t>
      </w:r>
    </w:p>
    <w:p w14:paraId="42106F14" w14:textId="77777777" w:rsidR="00A84488" w:rsidRDefault="00A84488" w:rsidP="00A84488">
      <w:pPr>
        <w:spacing w:line="256" w:lineRule="auto"/>
        <w:jc w:val="both"/>
        <w:rPr>
          <w:rFonts w:ascii="Calibri" w:eastAsia="Calibri" w:hAnsi="Calibri"/>
        </w:rPr>
        <w:sectPr w:rsidR="00A84488" w:rsidSect="006D652C">
          <w:type w:val="continuous"/>
          <w:pgSz w:w="11906" w:h="16838"/>
          <w:pgMar w:top="1440" w:right="1440" w:bottom="1440" w:left="1440" w:header="708" w:footer="708" w:gutter="0"/>
          <w:cols w:space="708"/>
          <w:docGrid w:linePitch="360"/>
        </w:sectPr>
      </w:pPr>
    </w:p>
    <w:p w14:paraId="375756B2" w14:textId="46623ECF" w:rsidR="00074092" w:rsidRDefault="00074092" w:rsidP="00A84488">
      <w:pPr>
        <w:spacing w:line="256" w:lineRule="auto"/>
        <w:jc w:val="both"/>
        <w:rPr>
          <w:rFonts w:ascii="Calibri" w:eastAsia="Calibri" w:hAnsi="Calibri"/>
        </w:rPr>
      </w:pPr>
    </w:p>
    <w:p w14:paraId="1389B75B" w14:textId="7D23DE99" w:rsidR="001E05C4" w:rsidRPr="0030107F" w:rsidRDefault="00A84488" w:rsidP="00A84488">
      <w:pPr>
        <w:spacing w:line="256" w:lineRule="auto"/>
        <w:jc w:val="both"/>
        <w:rPr>
          <w:rFonts w:ascii="Calibri" w:eastAsia="Calibri" w:hAnsi="Calibri"/>
        </w:rPr>
      </w:pPr>
      <w:r>
        <w:rPr>
          <w:rFonts w:ascii="Calibri" w:eastAsia="Calibri" w:hAnsi="Calibri"/>
          <w:b/>
          <w:noProof/>
          <w:sz w:val="28"/>
          <w:szCs w:val="28"/>
        </w:rPr>
        <w:drawing>
          <wp:anchor distT="0" distB="0" distL="114300" distR="114300" simplePos="0" relativeHeight="251715584" behindDoc="1" locked="0" layoutInCell="1" allowOverlap="1" wp14:anchorId="2AEE7E64" wp14:editId="2C58420B">
            <wp:simplePos x="0" y="0"/>
            <wp:positionH relativeFrom="column">
              <wp:posOffset>3347085</wp:posOffset>
            </wp:positionH>
            <wp:positionV relativeFrom="paragraph">
              <wp:posOffset>240030</wp:posOffset>
            </wp:positionV>
            <wp:extent cx="2165350" cy="932180"/>
            <wp:effectExtent l="0" t="0" r="6350" b="1270"/>
            <wp:wrapTight wrapText="bothSides">
              <wp:wrapPolygon edited="0">
                <wp:start x="0" y="0"/>
                <wp:lineTo x="0" y="21188"/>
                <wp:lineTo x="21473" y="21188"/>
                <wp:lineTo x="21473" y="0"/>
                <wp:lineTo x="0" y="0"/>
              </wp:wrapPolygon>
            </wp:wrapTight>
            <wp:docPr id="16204" name="Picture 1620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5350" cy="932180"/>
                    </a:xfrm>
                    <a:prstGeom prst="rect">
                      <a:avLst/>
                    </a:prstGeom>
                    <a:noFill/>
                    <a:ln>
                      <a:noFill/>
                    </a:ln>
                  </pic:spPr>
                </pic:pic>
              </a:graphicData>
            </a:graphic>
          </wp:anchor>
        </w:drawing>
      </w:r>
      <w:r w:rsidRPr="00E34C74">
        <w:rPr>
          <w:rFonts w:ascii="Calibri" w:eastAsia="Calibri" w:hAnsi="Calibri"/>
          <w:b/>
          <w:noProof/>
          <w:sz w:val="28"/>
          <w:szCs w:val="28"/>
          <w:highlight w:val="yellow"/>
        </w:rPr>
        <w:drawing>
          <wp:anchor distT="0" distB="0" distL="114300" distR="114300" simplePos="0" relativeHeight="251716608" behindDoc="1" locked="0" layoutInCell="1" allowOverlap="1" wp14:anchorId="5DCDDAEC" wp14:editId="6105D086">
            <wp:simplePos x="0" y="0"/>
            <wp:positionH relativeFrom="column">
              <wp:posOffset>43180</wp:posOffset>
            </wp:positionH>
            <wp:positionV relativeFrom="paragraph">
              <wp:posOffset>247650</wp:posOffset>
            </wp:positionV>
            <wp:extent cx="1722755" cy="961390"/>
            <wp:effectExtent l="0" t="0" r="0" b="0"/>
            <wp:wrapTight wrapText="bothSides">
              <wp:wrapPolygon edited="0">
                <wp:start x="0" y="0"/>
                <wp:lineTo x="0" y="20972"/>
                <wp:lineTo x="21258" y="20972"/>
                <wp:lineTo x="21258" y="0"/>
                <wp:lineTo x="0" y="0"/>
              </wp:wrapPolygon>
            </wp:wrapTight>
            <wp:docPr id="16203" name="Picture 162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2755" cy="961390"/>
                    </a:xfrm>
                    <a:prstGeom prst="rect">
                      <a:avLst/>
                    </a:prstGeom>
                    <a:noFill/>
                    <a:ln>
                      <a:noFill/>
                    </a:ln>
                  </pic:spPr>
                </pic:pic>
              </a:graphicData>
            </a:graphic>
          </wp:anchor>
        </w:drawing>
      </w:r>
      <w:r w:rsidR="001E05C4" w:rsidRPr="009C4370">
        <w:rPr>
          <w:rFonts w:ascii="Calibri" w:eastAsia="Calibri" w:hAnsi="Calibri"/>
        </w:rPr>
        <w:t>If you have, any further concerns and want support contact:-</w:t>
      </w:r>
      <w:r w:rsidR="001E05C4">
        <w:rPr>
          <w:rFonts w:ascii="Calibri" w:eastAsia="Calibri" w:hAnsi="Calibri"/>
        </w:rPr>
        <w:t xml:space="preserve"> </w:t>
      </w:r>
    </w:p>
    <w:p w14:paraId="254BD97B" w14:textId="6D94B655" w:rsidR="001E05C4" w:rsidRPr="00FE489D" w:rsidRDefault="001E05C4" w:rsidP="001E05C4">
      <w:pPr>
        <w:spacing w:line="256" w:lineRule="auto"/>
        <w:rPr>
          <w:rFonts w:ascii="Calibri" w:eastAsia="Calibri" w:hAnsi="Calibri"/>
          <w:b/>
          <w:sz w:val="28"/>
          <w:szCs w:val="28"/>
        </w:rPr>
      </w:pPr>
      <w:r>
        <w:rPr>
          <w:rFonts w:ascii="Calibri" w:eastAsia="Calibri" w:hAnsi="Calibri"/>
          <w:b/>
          <w:sz w:val="28"/>
          <w:szCs w:val="28"/>
        </w:rPr>
        <w:t xml:space="preserve">                                                  </w:t>
      </w:r>
    </w:p>
    <w:p w14:paraId="447994FF" w14:textId="294335C6" w:rsidR="00074092" w:rsidRDefault="00074092" w:rsidP="00572E3D"/>
    <w:p w14:paraId="05F6BB9C" w14:textId="74D8B44A" w:rsidR="00EF236D" w:rsidRDefault="00EF236D" w:rsidP="00EF236D">
      <w:pPr>
        <w:pStyle w:val="Caption"/>
        <w:keepNext/>
        <w:rPr>
          <w:i w:val="0"/>
          <w:iCs w:val="0"/>
          <w:color w:val="auto"/>
          <w:sz w:val="22"/>
          <w:szCs w:val="22"/>
        </w:rPr>
      </w:pPr>
      <w:r w:rsidRPr="00917F61">
        <w:rPr>
          <w:b/>
          <w:bCs/>
          <w:i w:val="0"/>
          <w:iCs w:val="0"/>
          <w:color w:val="auto"/>
          <w:sz w:val="22"/>
          <w:szCs w:val="22"/>
        </w:rPr>
        <w:lastRenderedPageBreak/>
        <w:fldChar w:fldCharType="begin"/>
      </w:r>
      <w:r w:rsidRPr="00917F61">
        <w:rPr>
          <w:b/>
          <w:bCs/>
          <w:color w:val="auto"/>
          <w:sz w:val="22"/>
          <w:szCs w:val="22"/>
        </w:rPr>
        <w:instrText xml:space="preserve"> TC  "</w:instrText>
      </w:r>
      <w:r w:rsidRPr="00917F61">
        <w:rPr>
          <w:color w:val="auto"/>
          <w:sz w:val="22"/>
          <w:szCs w:val="22"/>
        </w:rPr>
        <w:instrText xml:space="preserve"> </w:instrText>
      </w:r>
      <w:bookmarkStart w:id="348" w:name="_Toc97557166"/>
      <w:r>
        <w:rPr>
          <w:i w:val="0"/>
          <w:iCs w:val="0"/>
          <w:color w:val="auto"/>
          <w:sz w:val="22"/>
          <w:szCs w:val="22"/>
        </w:rPr>
        <w:instrText>Appendix</w:instrText>
      </w:r>
      <w:r w:rsidRPr="00917F61">
        <w:rPr>
          <w:i w:val="0"/>
          <w:iCs w:val="0"/>
          <w:color w:val="auto"/>
          <w:sz w:val="22"/>
          <w:szCs w:val="22"/>
        </w:rPr>
        <w:instrText xml:space="preserve"> </w:instrText>
      </w:r>
      <w:r w:rsidR="007F5E1F">
        <w:rPr>
          <w:i w:val="0"/>
          <w:iCs w:val="0"/>
          <w:color w:val="auto"/>
          <w:sz w:val="22"/>
          <w:szCs w:val="22"/>
        </w:rPr>
        <w:instrText>14</w:instrText>
      </w:r>
      <w:r>
        <w:rPr>
          <w:i w:val="0"/>
          <w:iCs w:val="0"/>
          <w:color w:val="auto"/>
          <w:sz w:val="22"/>
          <w:szCs w:val="22"/>
        </w:rPr>
        <w:instrText>:</w:instrText>
      </w:r>
      <w:r w:rsidRPr="00917F61">
        <w:rPr>
          <w:i w:val="0"/>
          <w:iCs w:val="0"/>
          <w:color w:val="auto"/>
          <w:sz w:val="22"/>
          <w:szCs w:val="22"/>
        </w:rPr>
        <w:instrText xml:space="preserve"> </w:instrText>
      </w:r>
      <w:r>
        <w:rPr>
          <w:i w:val="0"/>
          <w:iCs w:val="0"/>
          <w:color w:val="auto"/>
          <w:sz w:val="22"/>
          <w:szCs w:val="22"/>
        </w:rPr>
        <w:instrText xml:space="preserve">Table </w:instrText>
      </w:r>
      <w:r w:rsidR="00C24220">
        <w:rPr>
          <w:i w:val="0"/>
          <w:iCs w:val="0"/>
          <w:color w:val="auto"/>
          <w:sz w:val="22"/>
          <w:szCs w:val="22"/>
        </w:rPr>
        <w:instrText>2</w:instrText>
      </w:r>
      <w:r w:rsidR="0063434F">
        <w:rPr>
          <w:i w:val="0"/>
          <w:iCs w:val="0"/>
          <w:color w:val="auto"/>
          <w:sz w:val="22"/>
          <w:szCs w:val="22"/>
        </w:rPr>
        <w:instrText>4</w:instrText>
      </w:r>
      <w:r>
        <w:rPr>
          <w:i w:val="0"/>
          <w:iCs w:val="0"/>
          <w:color w:val="auto"/>
          <w:sz w:val="22"/>
          <w:szCs w:val="22"/>
        </w:rPr>
        <w:instrText xml:space="preserve">. </w:instrText>
      </w:r>
      <w:r w:rsidRPr="00F22B1F">
        <w:rPr>
          <w:i w:val="0"/>
          <w:iCs w:val="0"/>
          <w:color w:val="auto"/>
          <w:sz w:val="22"/>
          <w:szCs w:val="22"/>
        </w:rPr>
        <w:instrText>Content analy</w:instrText>
      </w:r>
      <w:r w:rsidRPr="000C0E0E">
        <w:rPr>
          <w:i w:val="0"/>
          <w:iCs w:val="0"/>
          <w:color w:val="auto"/>
          <w:sz w:val="22"/>
          <w:szCs w:val="22"/>
        </w:rPr>
        <w:instrText>sis of what students most commonly referred to as unhealthy food</w:instrText>
      </w:r>
      <w:r>
        <w:rPr>
          <w:i w:val="0"/>
          <w:iCs w:val="0"/>
          <w:color w:val="auto"/>
          <w:sz w:val="22"/>
          <w:szCs w:val="22"/>
        </w:rPr>
        <w:instrText xml:space="preserve"> items</w:instrText>
      </w:r>
      <w:bookmarkEnd w:id="348"/>
      <w:r w:rsidRPr="00917F61">
        <w:rPr>
          <w:color w:val="auto"/>
          <w:sz w:val="22"/>
          <w:szCs w:val="22"/>
        </w:rPr>
        <w:instrText>”</w:instrText>
      </w:r>
      <w:r w:rsidRPr="00917F61">
        <w:rPr>
          <w:b/>
          <w:bCs/>
          <w:color w:val="auto"/>
          <w:sz w:val="22"/>
          <w:szCs w:val="22"/>
        </w:rPr>
        <w:instrText xml:space="preserve">\f </w:instrText>
      </w:r>
      <w:r>
        <w:rPr>
          <w:b/>
          <w:bCs/>
          <w:color w:val="auto"/>
          <w:sz w:val="22"/>
          <w:szCs w:val="22"/>
        </w:rPr>
        <w:instrText>y</w:instrText>
      </w:r>
      <w:r w:rsidRPr="00917F61">
        <w:rPr>
          <w:b/>
          <w:bCs/>
          <w:color w:val="auto"/>
          <w:sz w:val="22"/>
          <w:szCs w:val="22"/>
        </w:rPr>
        <w:instrText xml:space="preserve">\l 2 </w:instrText>
      </w:r>
      <w:r w:rsidRPr="00917F61">
        <w:rPr>
          <w:b/>
          <w:bCs/>
          <w:i w:val="0"/>
          <w:iCs w:val="0"/>
          <w:color w:val="auto"/>
          <w:sz w:val="22"/>
          <w:szCs w:val="22"/>
        </w:rPr>
        <w:fldChar w:fldCharType="end"/>
      </w:r>
      <w:r w:rsidRPr="00F9655A">
        <w:rPr>
          <w:b/>
          <w:bCs/>
          <w:i w:val="0"/>
          <w:iCs w:val="0"/>
          <w:color w:val="auto"/>
          <w:sz w:val="22"/>
          <w:szCs w:val="22"/>
        </w:rPr>
        <w:fldChar w:fldCharType="begin"/>
      </w:r>
      <w:r w:rsidRPr="00F9655A">
        <w:rPr>
          <w:b/>
          <w:bCs/>
          <w:i w:val="0"/>
          <w:iCs w:val="0"/>
          <w:color w:val="auto"/>
          <w:sz w:val="22"/>
          <w:szCs w:val="22"/>
        </w:rPr>
        <w:instrText xml:space="preserve"> TC  "</w:instrText>
      </w:r>
      <w:r w:rsidRPr="00F9655A">
        <w:rPr>
          <w:rFonts w:cstheme="minorHAnsi"/>
          <w:i w:val="0"/>
          <w:iCs w:val="0"/>
          <w:color w:val="auto"/>
          <w:sz w:val="22"/>
          <w:szCs w:val="22"/>
        </w:rPr>
        <w:instrText xml:space="preserve"> </w:instrText>
      </w:r>
      <w:bookmarkStart w:id="349" w:name="_Toc97557147"/>
      <w:r w:rsidRPr="00F9655A">
        <w:rPr>
          <w:i w:val="0"/>
          <w:iCs w:val="0"/>
          <w:color w:val="auto"/>
          <w:sz w:val="22"/>
          <w:szCs w:val="22"/>
        </w:rPr>
        <w:instrText xml:space="preserve">Table </w:instrText>
      </w:r>
      <w:r w:rsidR="0063434F">
        <w:rPr>
          <w:i w:val="0"/>
          <w:iCs w:val="0"/>
          <w:color w:val="auto"/>
          <w:sz w:val="22"/>
          <w:szCs w:val="22"/>
        </w:rPr>
        <w:instrText>24</w:instrText>
      </w:r>
      <w:r w:rsidRPr="00F9655A">
        <w:rPr>
          <w:i w:val="0"/>
          <w:iCs w:val="0"/>
          <w:color w:val="auto"/>
          <w:sz w:val="22"/>
          <w:szCs w:val="22"/>
        </w:rPr>
        <w:instrText xml:space="preserve">. </w:instrText>
      </w:r>
      <w:r w:rsidRPr="00F22B1F">
        <w:rPr>
          <w:i w:val="0"/>
          <w:iCs w:val="0"/>
          <w:color w:val="auto"/>
          <w:sz w:val="22"/>
          <w:szCs w:val="22"/>
        </w:rPr>
        <w:instrText>Content analy</w:instrText>
      </w:r>
      <w:r w:rsidRPr="000C0E0E">
        <w:rPr>
          <w:i w:val="0"/>
          <w:iCs w:val="0"/>
          <w:color w:val="auto"/>
          <w:sz w:val="22"/>
          <w:szCs w:val="22"/>
        </w:rPr>
        <w:instrText>sis of what students most commonly referred to as unhealthy food</w:instrText>
      </w:r>
      <w:r>
        <w:rPr>
          <w:i w:val="0"/>
          <w:iCs w:val="0"/>
          <w:color w:val="auto"/>
          <w:sz w:val="22"/>
          <w:szCs w:val="22"/>
        </w:rPr>
        <w:instrText xml:space="preserve"> items</w:instrText>
      </w:r>
      <w:bookmarkEnd w:id="349"/>
      <w:r w:rsidRPr="00F9655A">
        <w:rPr>
          <w:b/>
          <w:bCs/>
          <w:i w:val="0"/>
          <w:iCs w:val="0"/>
          <w:color w:val="auto"/>
          <w:sz w:val="22"/>
          <w:szCs w:val="22"/>
        </w:rPr>
        <w:instrText xml:space="preserve">" \f z\l 2 </w:instrText>
      </w:r>
      <w:r w:rsidRPr="00F9655A">
        <w:rPr>
          <w:b/>
          <w:bCs/>
          <w:i w:val="0"/>
          <w:iCs w:val="0"/>
          <w:color w:val="auto"/>
          <w:sz w:val="22"/>
          <w:szCs w:val="22"/>
        </w:rPr>
        <w:fldChar w:fldCharType="end"/>
      </w:r>
      <w:r>
        <w:rPr>
          <w:rFonts w:cstheme="minorHAnsi"/>
          <w:i w:val="0"/>
          <w:iCs w:val="0"/>
          <w:color w:val="auto"/>
          <w:sz w:val="22"/>
          <w:szCs w:val="22"/>
        </w:rPr>
        <w:t>Appe</w:t>
      </w:r>
      <w:r w:rsidRPr="00C24220">
        <w:rPr>
          <w:rFonts w:cstheme="minorHAnsi"/>
          <w:i w:val="0"/>
          <w:iCs w:val="0"/>
          <w:color w:val="auto"/>
          <w:sz w:val="22"/>
          <w:szCs w:val="22"/>
        </w:rPr>
        <w:t xml:space="preserve">ndix </w:t>
      </w:r>
      <w:r w:rsidR="007F5E1F" w:rsidRPr="00C24220">
        <w:rPr>
          <w:rFonts w:cstheme="minorHAnsi"/>
          <w:i w:val="0"/>
          <w:iCs w:val="0"/>
          <w:color w:val="auto"/>
          <w:sz w:val="22"/>
          <w:szCs w:val="22"/>
        </w:rPr>
        <w:t>14</w:t>
      </w:r>
      <w:r w:rsidRPr="00C24220">
        <w:rPr>
          <w:rFonts w:cstheme="minorHAnsi"/>
          <w:i w:val="0"/>
          <w:iCs w:val="0"/>
          <w:color w:val="auto"/>
          <w:sz w:val="22"/>
          <w:szCs w:val="22"/>
        </w:rPr>
        <w:t xml:space="preserve">: Table </w:t>
      </w:r>
      <w:r w:rsidR="00C24220" w:rsidRPr="00C24220">
        <w:rPr>
          <w:rFonts w:cstheme="minorHAnsi"/>
          <w:i w:val="0"/>
          <w:iCs w:val="0"/>
          <w:color w:val="auto"/>
          <w:sz w:val="22"/>
          <w:szCs w:val="22"/>
        </w:rPr>
        <w:t>2</w:t>
      </w:r>
      <w:r w:rsidR="0063434F">
        <w:rPr>
          <w:rFonts w:cstheme="minorHAnsi"/>
          <w:i w:val="0"/>
          <w:iCs w:val="0"/>
          <w:color w:val="auto"/>
          <w:sz w:val="22"/>
          <w:szCs w:val="22"/>
        </w:rPr>
        <w:t>4</w:t>
      </w:r>
      <w:r w:rsidRPr="00C24220">
        <w:rPr>
          <w:rFonts w:cstheme="minorHAnsi"/>
          <w:i w:val="0"/>
          <w:iCs w:val="0"/>
          <w:color w:val="auto"/>
          <w:sz w:val="22"/>
          <w:szCs w:val="22"/>
        </w:rPr>
        <w:t xml:space="preserve">. </w:t>
      </w:r>
      <w:r w:rsidRPr="00C24220">
        <w:rPr>
          <w:i w:val="0"/>
          <w:iCs w:val="0"/>
          <w:color w:val="auto"/>
          <w:sz w:val="22"/>
          <w:szCs w:val="22"/>
        </w:rPr>
        <w:t>Conte</w:t>
      </w:r>
      <w:r w:rsidRPr="00F22B1F">
        <w:rPr>
          <w:i w:val="0"/>
          <w:iCs w:val="0"/>
          <w:color w:val="auto"/>
          <w:sz w:val="22"/>
          <w:szCs w:val="22"/>
        </w:rPr>
        <w:t>nt analy</w:t>
      </w:r>
      <w:r w:rsidRPr="000C0E0E">
        <w:rPr>
          <w:i w:val="0"/>
          <w:iCs w:val="0"/>
          <w:color w:val="auto"/>
          <w:sz w:val="22"/>
          <w:szCs w:val="22"/>
        </w:rPr>
        <w:t>sis of what students most commonly referred to as unhealthy food</w:t>
      </w:r>
      <w:r>
        <w:rPr>
          <w:i w:val="0"/>
          <w:iCs w:val="0"/>
          <w:color w:val="auto"/>
          <w:sz w:val="22"/>
          <w:szCs w:val="22"/>
        </w:rPr>
        <w:t xml:space="preserve"> items</w:t>
      </w:r>
      <w:r w:rsidRPr="000C0E0E">
        <w:rPr>
          <w:i w:val="0"/>
          <w:iCs w:val="0"/>
          <w:color w:val="auto"/>
          <w:sz w:val="22"/>
          <w:szCs w:val="22"/>
        </w:rPr>
        <w:t>.</w:t>
      </w:r>
    </w:p>
    <w:p w14:paraId="6587F642" w14:textId="77777777" w:rsidR="00EF236D" w:rsidRPr="00544CAC" w:rsidRDefault="00EF236D" w:rsidP="00EF236D"/>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EF236D" w:rsidRPr="000C0E0E" w14:paraId="51527741" w14:textId="77777777" w:rsidTr="00FD04E0">
        <w:tc>
          <w:tcPr>
            <w:tcW w:w="3005" w:type="dxa"/>
            <w:tcBorders>
              <w:top w:val="single" w:sz="4" w:space="0" w:color="auto"/>
              <w:bottom w:val="single" w:sz="4" w:space="0" w:color="auto"/>
            </w:tcBorders>
          </w:tcPr>
          <w:p w14:paraId="2BFF30B9" w14:textId="77777777" w:rsidR="00EF236D" w:rsidRPr="000C0E0E" w:rsidRDefault="00EF236D" w:rsidP="00FD04E0">
            <w:pPr>
              <w:spacing w:line="480" w:lineRule="auto"/>
              <w:jc w:val="center"/>
            </w:pPr>
            <w:r w:rsidRPr="000C0E0E">
              <w:t>Unhealthy food</w:t>
            </w:r>
            <w:r>
              <w:t xml:space="preserve"> items</w:t>
            </w:r>
          </w:p>
        </w:tc>
        <w:tc>
          <w:tcPr>
            <w:tcW w:w="3005" w:type="dxa"/>
            <w:tcBorders>
              <w:top w:val="single" w:sz="4" w:space="0" w:color="auto"/>
              <w:bottom w:val="single" w:sz="4" w:space="0" w:color="auto"/>
            </w:tcBorders>
          </w:tcPr>
          <w:p w14:paraId="77FCEE83" w14:textId="77777777" w:rsidR="00EF236D" w:rsidRPr="000C0E0E" w:rsidRDefault="00EF236D" w:rsidP="00FD04E0">
            <w:pPr>
              <w:spacing w:line="480" w:lineRule="auto"/>
              <w:jc w:val="center"/>
            </w:pPr>
            <w:r w:rsidRPr="000C0E0E">
              <w:t>Example</w:t>
            </w:r>
          </w:p>
        </w:tc>
        <w:tc>
          <w:tcPr>
            <w:tcW w:w="3006" w:type="dxa"/>
            <w:tcBorders>
              <w:top w:val="single" w:sz="4" w:space="0" w:color="auto"/>
              <w:bottom w:val="single" w:sz="4" w:space="0" w:color="auto"/>
            </w:tcBorders>
          </w:tcPr>
          <w:p w14:paraId="3D571878" w14:textId="77777777" w:rsidR="00EF236D" w:rsidRPr="000C0E0E" w:rsidRDefault="00EF236D" w:rsidP="00FD04E0">
            <w:pPr>
              <w:spacing w:line="480" w:lineRule="auto"/>
              <w:jc w:val="center"/>
            </w:pPr>
            <w:r w:rsidRPr="000C0E0E">
              <w:t>Frequency</w:t>
            </w:r>
          </w:p>
        </w:tc>
      </w:tr>
      <w:tr w:rsidR="00EF236D" w:rsidRPr="000C0E0E" w14:paraId="5F086A18" w14:textId="77777777" w:rsidTr="00FD04E0">
        <w:tc>
          <w:tcPr>
            <w:tcW w:w="3005" w:type="dxa"/>
            <w:tcBorders>
              <w:top w:val="single" w:sz="4" w:space="0" w:color="auto"/>
              <w:bottom w:val="nil"/>
            </w:tcBorders>
            <w:vAlign w:val="center"/>
          </w:tcPr>
          <w:p w14:paraId="63B5D346" w14:textId="77777777" w:rsidR="00EF236D" w:rsidRPr="000C0E0E" w:rsidRDefault="00EF236D" w:rsidP="00FD04E0">
            <w:r w:rsidRPr="000C0E0E">
              <w:t>Unhealthy snacks</w:t>
            </w:r>
          </w:p>
        </w:tc>
        <w:tc>
          <w:tcPr>
            <w:tcW w:w="3005" w:type="dxa"/>
            <w:tcBorders>
              <w:top w:val="single" w:sz="4" w:space="0" w:color="auto"/>
              <w:bottom w:val="nil"/>
            </w:tcBorders>
          </w:tcPr>
          <w:p w14:paraId="51771C64" w14:textId="77777777" w:rsidR="00EF236D" w:rsidRPr="000C0E0E" w:rsidRDefault="00EF236D" w:rsidP="00FD04E0">
            <w:pPr>
              <w:rPr>
                <w:i/>
                <w:iCs/>
              </w:rPr>
            </w:pPr>
            <w:r w:rsidRPr="000C0E0E">
              <w:rPr>
                <w:i/>
                <w:iCs/>
              </w:rPr>
              <w:t>“Chocolate”</w:t>
            </w:r>
          </w:p>
        </w:tc>
        <w:tc>
          <w:tcPr>
            <w:tcW w:w="3006" w:type="dxa"/>
            <w:tcBorders>
              <w:top w:val="single" w:sz="4" w:space="0" w:color="auto"/>
              <w:bottom w:val="nil"/>
            </w:tcBorders>
          </w:tcPr>
          <w:p w14:paraId="6188FABF" w14:textId="77777777" w:rsidR="00EF236D" w:rsidRPr="000C0E0E" w:rsidRDefault="00EF236D" w:rsidP="00FD04E0">
            <w:pPr>
              <w:jc w:val="center"/>
            </w:pPr>
            <w:r w:rsidRPr="000C0E0E">
              <w:t>29</w:t>
            </w:r>
          </w:p>
        </w:tc>
      </w:tr>
      <w:tr w:rsidR="00EF236D" w:rsidRPr="000C0E0E" w14:paraId="2B78AB14" w14:textId="77777777" w:rsidTr="00FD04E0">
        <w:tc>
          <w:tcPr>
            <w:tcW w:w="3005" w:type="dxa"/>
            <w:tcBorders>
              <w:top w:val="nil"/>
              <w:bottom w:val="nil"/>
            </w:tcBorders>
            <w:vAlign w:val="center"/>
          </w:tcPr>
          <w:p w14:paraId="60DB0C75" w14:textId="77777777" w:rsidR="00EF236D" w:rsidRPr="000C0E0E" w:rsidRDefault="00EF236D" w:rsidP="00FD04E0">
            <w:r w:rsidRPr="000C0E0E">
              <w:t>Unhealthy drinks</w:t>
            </w:r>
          </w:p>
        </w:tc>
        <w:tc>
          <w:tcPr>
            <w:tcW w:w="3005" w:type="dxa"/>
            <w:tcBorders>
              <w:top w:val="nil"/>
              <w:bottom w:val="nil"/>
            </w:tcBorders>
          </w:tcPr>
          <w:p w14:paraId="4E79DA5E" w14:textId="77777777" w:rsidR="00EF236D" w:rsidRPr="000C0E0E" w:rsidRDefault="00EF236D" w:rsidP="00FD04E0">
            <w:pPr>
              <w:rPr>
                <w:i/>
                <w:iCs/>
              </w:rPr>
            </w:pPr>
            <w:r w:rsidRPr="000C0E0E">
              <w:rPr>
                <w:i/>
                <w:iCs/>
              </w:rPr>
              <w:t>“Fizzy drinks”</w:t>
            </w:r>
          </w:p>
        </w:tc>
        <w:tc>
          <w:tcPr>
            <w:tcW w:w="3006" w:type="dxa"/>
            <w:tcBorders>
              <w:top w:val="nil"/>
              <w:bottom w:val="nil"/>
            </w:tcBorders>
          </w:tcPr>
          <w:p w14:paraId="33BB1746" w14:textId="77777777" w:rsidR="00EF236D" w:rsidRPr="000C0E0E" w:rsidRDefault="00EF236D" w:rsidP="00FD04E0">
            <w:pPr>
              <w:jc w:val="center"/>
            </w:pPr>
            <w:r w:rsidRPr="000C0E0E">
              <w:t>24</w:t>
            </w:r>
          </w:p>
        </w:tc>
      </w:tr>
      <w:tr w:rsidR="00EF236D" w:rsidRPr="000C0E0E" w14:paraId="1466D89C" w14:textId="77777777" w:rsidTr="00FD04E0">
        <w:tc>
          <w:tcPr>
            <w:tcW w:w="3005" w:type="dxa"/>
            <w:tcBorders>
              <w:top w:val="nil"/>
              <w:bottom w:val="nil"/>
            </w:tcBorders>
          </w:tcPr>
          <w:p w14:paraId="4F47DF27" w14:textId="77777777" w:rsidR="00EF236D" w:rsidRPr="000C0E0E" w:rsidRDefault="00EF236D" w:rsidP="00FD04E0">
            <w:r w:rsidRPr="000C0E0E">
              <w:t>Food purchased from fast food outlets</w:t>
            </w:r>
          </w:p>
        </w:tc>
        <w:tc>
          <w:tcPr>
            <w:tcW w:w="3005" w:type="dxa"/>
            <w:tcBorders>
              <w:top w:val="nil"/>
              <w:bottom w:val="nil"/>
            </w:tcBorders>
          </w:tcPr>
          <w:p w14:paraId="1348C08D" w14:textId="77777777" w:rsidR="00EF236D" w:rsidRPr="000C0E0E" w:rsidRDefault="00EF236D" w:rsidP="00FD04E0">
            <w:pPr>
              <w:rPr>
                <w:i/>
                <w:iCs/>
              </w:rPr>
            </w:pPr>
            <w:r w:rsidRPr="000C0E0E">
              <w:rPr>
                <w:i/>
                <w:iCs/>
              </w:rPr>
              <w:t>“McDonalds”</w:t>
            </w:r>
          </w:p>
        </w:tc>
        <w:tc>
          <w:tcPr>
            <w:tcW w:w="3006" w:type="dxa"/>
            <w:tcBorders>
              <w:top w:val="nil"/>
              <w:bottom w:val="nil"/>
            </w:tcBorders>
          </w:tcPr>
          <w:p w14:paraId="690F8B7B" w14:textId="77777777" w:rsidR="00EF236D" w:rsidRPr="000C0E0E" w:rsidRDefault="00EF236D" w:rsidP="00FD04E0">
            <w:pPr>
              <w:jc w:val="center"/>
            </w:pPr>
            <w:r w:rsidRPr="000C0E0E">
              <w:t>16</w:t>
            </w:r>
          </w:p>
        </w:tc>
      </w:tr>
      <w:tr w:rsidR="00EF236D" w:rsidRPr="000C0E0E" w14:paraId="4D83ED3A" w14:textId="77777777" w:rsidTr="00FD04E0">
        <w:tc>
          <w:tcPr>
            <w:tcW w:w="3005" w:type="dxa"/>
            <w:tcBorders>
              <w:top w:val="nil"/>
              <w:bottom w:val="nil"/>
            </w:tcBorders>
            <w:vAlign w:val="center"/>
          </w:tcPr>
          <w:p w14:paraId="489093DD" w14:textId="77777777" w:rsidR="00EF236D" w:rsidRPr="000C0E0E" w:rsidRDefault="00EF236D" w:rsidP="00FD04E0">
            <w:r>
              <w:t>Energy dense nutritional poor meal items</w:t>
            </w:r>
          </w:p>
        </w:tc>
        <w:tc>
          <w:tcPr>
            <w:tcW w:w="3005" w:type="dxa"/>
            <w:tcBorders>
              <w:top w:val="nil"/>
              <w:bottom w:val="nil"/>
            </w:tcBorders>
          </w:tcPr>
          <w:p w14:paraId="6D857227" w14:textId="77777777" w:rsidR="00EF236D" w:rsidRPr="000C0E0E" w:rsidRDefault="00EF236D" w:rsidP="00FD04E0">
            <w:pPr>
              <w:rPr>
                <w:i/>
                <w:iCs/>
              </w:rPr>
            </w:pPr>
            <w:r w:rsidRPr="000C0E0E">
              <w:rPr>
                <w:i/>
                <w:iCs/>
              </w:rPr>
              <w:t>“</w:t>
            </w:r>
            <w:r>
              <w:rPr>
                <w:i/>
                <w:iCs/>
              </w:rPr>
              <w:t>Chips</w:t>
            </w:r>
            <w:r w:rsidRPr="000C0E0E">
              <w:rPr>
                <w:i/>
                <w:iCs/>
              </w:rPr>
              <w:t>”</w:t>
            </w:r>
          </w:p>
        </w:tc>
        <w:tc>
          <w:tcPr>
            <w:tcW w:w="3006" w:type="dxa"/>
            <w:tcBorders>
              <w:top w:val="nil"/>
              <w:bottom w:val="nil"/>
            </w:tcBorders>
          </w:tcPr>
          <w:p w14:paraId="33793F73" w14:textId="77777777" w:rsidR="00EF236D" w:rsidRPr="000C0E0E" w:rsidRDefault="00EF236D" w:rsidP="00FD04E0">
            <w:pPr>
              <w:jc w:val="center"/>
            </w:pPr>
            <w:r w:rsidRPr="000C0E0E">
              <w:t>13</w:t>
            </w:r>
          </w:p>
        </w:tc>
      </w:tr>
      <w:tr w:rsidR="00EF236D" w:rsidRPr="000C0E0E" w14:paraId="4559F99A" w14:textId="77777777" w:rsidTr="00FD04E0">
        <w:tc>
          <w:tcPr>
            <w:tcW w:w="3005" w:type="dxa"/>
            <w:tcBorders>
              <w:top w:val="nil"/>
              <w:bottom w:val="nil"/>
            </w:tcBorders>
            <w:vAlign w:val="center"/>
          </w:tcPr>
          <w:p w14:paraId="5930AABA" w14:textId="77777777" w:rsidR="00EF236D" w:rsidRPr="000C0E0E" w:rsidRDefault="00EF236D" w:rsidP="00FD04E0">
            <w:r>
              <w:t>Foods containing s</w:t>
            </w:r>
            <w:r w:rsidRPr="000C0E0E">
              <w:t>ugar</w:t>
            </w:r>
          </w:p>
        </w:tc>
        <w:tc>
          <w:tcPr>
            <w:tcW w:w="3005" w:type="dxa"/>
            <w:tcBorders>
              <w:top w:val="nil"/>
              <w:bottom w:val="nil"/>
            </w:tcBorders>
          </w:tcPr>
          <w:p w14:paraId="3B12878C" w14:textId="77777777" w:rsidR="00EF236D" w:rsidRPr="000C0E0E" w:rsidRDefault="00EF236D" w:rsidP="00FD04E0">
            <w:pPr>
              <w:rPr>
                <w:i/>
                <w:iCs/>
              </w:rPr>
            </w:pPr>
            <w:r w:rsidRPr="000C0E0E">
              <w:rPr>
                <w:i/>
                <w:iCs/>
              </w:rPr>
              <w:t>“Sugar”</w:t>
            </w:r>
          </w:p>
        </w:tc>
        <w:tc>
          <w:tcPr>
            <w:tcW w:w="3006" w:type="dxa"/>
            <w:tcBorders>
              <w:top w:val="nil"/>
              <w:bottom w:val="nil"/>
            </w:tcBorders>
          </w:tcPr>
          <w:p w14:paraId="50E6E7DD" w14:textId="77777777" w:rsidR="00EF236D" w:rsidRPr="000C0E0E" w:rsidRDefault="00EF236D" w:rsidP="00FD04E0">
            <w:pPr>
              <w:jc w:val="center"/>
            </w:pPr>
            <w:r w:rsidRPr="000C0E0E">
              <w:t>10</w:t>
            </w:r>
          </w:p>
        </w:tc>
      </w:tr>
      <w:tr w:rsidR="00EF236D" w:rsidRPr="000C0E0E" w14:paraId="2194FE86" w14:textId="77777777" w:rsidTr="00FD04E0">
        <w:tc>
          <w:tcPr>
            <w:tcW w:w="3005" w:type="dxa"/>
            <w:tcBorders>
              <w:top w:val="nil"/>
              <w:bottom w:val="nil"/>
            </w:tcBorders>
          </w:tcPr>
          <w:p w14:paraId="27C96D80" w14:textId="77777777" w:rsidR="00EF236D" w:rsidRPr="000C0E0E" w:rsidRDefault="00EF236D" w:rsidP="00FD04E0">
            <w:r w:rsidRPr="000C0E0E">
              <w:t>Not having a balanced diet</w:t>
            </w:r>
          </w:p>
        </w:tc>
        <w:tc>
          <w:tcPr>
            <w:tcW w:w="3005" w:type="dxa"/>
            <w:tcBorders>
              <w:top w:val="nil"/>
              <w:bottom w:val="nil"/>
            </w:tcBorders>
          </w:tcPr>
          <w:p w14:paraId="757A9832" w14:textId="77777777" w:rsidR="00EF236D" w:rsidRPr="000C0E0E" w:rsidRDefault="00EF236D" w:rsidP="00FD0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iCs/>
              </w:rPr>
            </w:pPr>
            <w:r w:rsidRPr="000C0E0E">
              <w:rPr>
                <w:rFonts w:ascii="Calibri" w:hAnsi="Calibri" w:cs="Calibri"/>
                <w:i/>
                <w:iCs/>
              </w:rPr>
              <w:t>“Any food could be bad if you have too much of it”</w:t>
            </w:r>
          </w:p>
        </w:tc>
        <w:tc>
          <w:tcPr>
            <w:tcW w:w="3006" w:type="dxa"/>
            <w:tcBorders>
              <w:top w:val="nil"/>
              <w:bottom w:val="nil"/>
            </w:tcBorders>
          </w:tcPr>
          <w:p w14:paraId="7B2DA80D" w14:textId="77777777" w:rsidR="00EF236D" w:rsidRPr="000C0E0E" w:rsidRDefault="00EF236D" w:rsidP="00FD04E0">
            <w:pPr>
              <w:jc w:val="center"/>
            </w:pPr>
            <w:r w:rsidRPr="000C0E0E">
              <w:t>7</w:t>
            </w:r>
          </w:p>
        </w:tc>
      </w:tr>
      <w:tr w:rsidR="00EF236D" w:rsidRPr="000C0E0E" w14:paraId="4984F6D7" w14:textId="77777777" w:rsidTr="00FD04E0">
        <w:trPr>
          <w:trHeight w:val="62"/>
        </w:trPr>
        <w:tc>
          <w:tcPr>
            <w:tcW w:w="3005" w:type="dxa"/>
            <w:tcBorders>
              <w:top w:val="nil"/>
              <w:bottom w:val="nil"/>
            </w:tcBorders>
          </w:tcPr>
          <w:p w14:paraId="6BF521A2" w14:textId="77777777" w:rsidR="00EF236D" w:rsidRPr="000C0E0E" w:rsidRDefault="00EF236D" w:rsidP="00FD04E0">
            <w:r w:rsidRPr="000C0E0E">
              <w:t>Fruit and vegetables</w:t>
            </w:r>
          </w:p>
        </w:tc>
        <w:tc>
          <w:tcPr>
            <w:tcW w:w="3005" w:type="dxa"/>
            <w:tcBorders>
              <w:top w:val="nil"/>
              <w:bottom w:val="nil"/>
            </w:tcBorders>
          </w:tcPr>
          <w:p w14:paraId="36184494" w14:textId="77777777" w:rsidR="00EF236D" w:rsidRPr="000C0E0E" w:rsidRDefault="00EF236D" w:rsidP="00FD04E0">
            <w:pPr>
              <w:rPr>
                <w:i/>
                <w:iCs/>
              </w:rPr>
            </w:pPr>
            <w:r w:rsidRPr="000C0E0E">
              <w:rPr>
                <w:i/>
                <w:iCs/>
              </w:rPr>
              <w:t>“Apples”</w:t>
            </w:r>
          </w:p>
        </w:tc>
        <w:tc>
          <w:tcPr>
            <w:tcW w:w="3006" w:type="dxa"/>
            <w:tcBorders>
              <w:top w:val="nil"/>
              <w:bottom w:val="nil"/>
            </w:tcBorders>
          </w:tcPr>
          <w:p w14:paraId="5C0BBE00" w14:textId="77777777" w:rsidR="00EF236D" w:rsidRPr="000C0E0E" w:rsidRDefault="00EF236D" w:rsidP="00FD04E0">
            <w:pPr>
              <w:jc w:val="center"/>
            </w:pPr>
            <w:r w:rsidRPr="000C0E0E">
              <w:t>5</w:t>
            </w:r>
          </w:p>
        </w:tc>
      </w:tr>
      <w:tr w:rsidR="00EF236D" w:rsidRPr="000C0E0E" w14:paraId="1D20D482" w14:textId="77777777" w:rsidTr="00FD04E0">
        <w:trPr>
          <w:trHeight w:val="629"/>
        </w:trPr>
        <w:tc>
          <w:tcPr>
            <w:tcW w:w="3005" w:type="dxa"/>
            <w:tcBorders>
              <w:top w:val="nil"/>
              <w:bottom w:val="nil"/>
            </w:tcBorders>
          </w:tcPr>
          <w:p w14:paraId="0CFE8514" w14:textId="77777777" w:rsidR="00EF236D" w:rsidRPr="000C0E0E" w:rsidRDefault="00EF236D" w:rsidP="00FD04E0">
            <w:r w:rsidRPr="000C0E0E">
              <w:t>Food containing fat</w:t>
            </w:r>
          </w:p>
        </w:tc>
        <w:tc>
          <w:tcPr>
            <w:tcW w:w="3005" w:type="dxa"/>
            <w:tcBorders>
              <w:top w:val="nil"/>
              <w:bottom w:val="nil"/>
            </w:tcBorders>
          </w:tcPr>
          <w:p w14:paraId="1B44041E" w14:textId="77777777" w:rsidR="00EF236D" w:rsidRPr="000C0E0E" w:rsidRDefault="00EF236D" w:rsidP="00FD0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rPr>
                <w:rFonts w:ascii="Calibri" w:hAnsi="Calibri" w:cs="Calibri"/>
                <w:i/>
                <w:iCs/>
              </w:rPr>
            </w:pPr>
            <w:r w:rsidRPr="000C0E0E">
              <w:rPr>
                <w:rFonts w:ascii="Calibri" w:hAnsi="Calibri" w:cs="Calibri"/>
                <w:i/>
                <w:iCs/>
              </w:rPr>
              <w:t>“Things that are too high in fat”</w:t>
            </w:r>
          </w:p>
        </w:tc>
        <w:tc>
          <w:tcPr>
            <w:tcW w:w="3006" w:type="dxa"/>
            <w:tcBorders>
              <w:top w:val="nil"/>
              <w:bottom w:val="nil"/>
            </w:tcBorders>
          </w:tcPr>
          <w:p w14:paraId="1B5EC10D" w14:textId="77777777" w:rsidR="00EF236D" w:rsidRPr="000C0E0E" w:rsidRDefault="00EF236D" w:rsidP="00FD04E0">
            <w:pPr>
              <w:jc w:val="center"/>
            </w:pPr>
            <w:r w:rsidRPr="000C0E0E">
              <w:t>4</w:t>
            </w:r>
          </w:p>
        </w:tc>
      </w:tr>
      <w:tr w:rsidR="00EF236D" w:rsidRPr="000C0E0E" w14:paraId="599F8692" w14:textId="77777777" w:rsidTr="00FD04E0">
        <w:tc>
          <w:tcPr>
            <w:tcW w:w="3005" w:type="dxa"/>
            <w:tcBorders>
              <w:top w:val="nil"/>
              <w:bottom w:val="nil"/>
            </w:tcBorders>
          </w:tcPr>
          <w:p w14:paraId="0F854F54" w14:textId="77777777" w:rsidR="00EF236D" w:rsidRPr="000C0E0E" w:rsidRDefault="00EF236D" w:rsidP="00FD04E0">
            <w:r w:rsidRPr="000C0E0E">
              <w:t>Meat</w:t>
            </w:r>
          </w:p>
        </w:tc>
        <w:tc>
          <w:tcPr>
            <w:tcW w:w="3005" w:type="dxa"/>
            <w:tcBorders>
              <w:top w:val="nil"/>
              <w:bottom w:val="nil"/>
            </w:tcBorders>
          </w:tcPr>
          <w:p w14:paraId="084103AA" w14:textId="77777777" w:rsidR="00EF236D" w:rsidRPr="000C0E0E" w:rsidRDefault="00EF236D" w:rsidP="00FD04E0">
            <w:pPr>
              <w:rPr>
                <w:i/>
                <w:iCs/>
              </w:rPr>
            </w:pPr>
            <w:r w:rsidRPr="000C0E0E">
              <w:rPr>
                <w:i/>
                <w:iCs/>
              </w:rPr>
              <w:t>“Meat”</w:t>
            </w:r>
          </w:p>
        </w:tc>
        <w:tc>
          <w:tcPr>
            <w:tcW w:w="3006" w:type="dxa"/>
            <w:tcBorders>
              <w:top w:val="nil"/>
              <w:bottom w:val="nil"/>
            </w:tcBorders>
          </w:tcPr>
          <w:p w14:paraId="4136426F" w14:textId="77777777" w:rsidR="00EF236D" w:rsidRPr="000C0E0E" w:rsidRDefault="00EF236D" w:rsidP="00FD04E0">
            <w:pPr>
              <w:jc w:val="center"/>
            </w:pPr>
            <w:r w:rsidRPr="000C0E0E">
              <w:t>2</w:t>
            </w:r>
          </w:p>
        </w:tc>
      </w:tr>
      <w:tr w:rsidR="00EF236D" w:rsidRPr="000C0E0E" w14:paraId="69E6EACB" w14:textId="77777777" w:rsidTr="00FD04E0">
        <w:tc>
          <w:tcPr>
            <w:tcW w:w="3005" w:type="dxa"/>
            <w:tcBorders>
              <w:top w:val="nil"/>
              <w:bottom w:val="nil"/>
            </w:tcBorders>
          </w:tcPr>
          <w:p w14:paraId="57FA7E9B" w14:textId="77777777" w:rsidR="00EF236D" w:rsidRPr="000C0E0E" w:rsidRDefault="00EF236D" w:rsidP="00FD04E0">
            <w:r w:rsidRPr="000C0E0E">
              <w:t>Cereal</w:t>
            </w:r>
          </w:p>
        </w:tc>
        <w:tc>
          <w:tcPr>
            <w:tcW w:w="3005" w:type="dxa"/>
            <w:tcBorders>
              <w:top w:val="nil"/>
              <w:bottom w:val="nil"/>
            </w:tcBorders>
          </w:tcPr>
          <w:p w14:paraId="3FD7EBE8" w14:textId="77777777" w:rsidR="00EF236D" w:rsidRPr="000C0E0E" w:rsidRDefault="00EF236D" w:rsidP="00FD04E0">
            <w:pPr>
              <w:rPr>
                <w:i/>
                <w:iCs/>
              </w:rPr>
            </w:pPr>
            <w:r w:rsidRPr="000C0E0E">
              <w:rPr>
                <w:i/>
                <w:iCs/>
              </w:rPr>
              <w:t>“Cereal”</w:t>
            </w:r>
          </w:p>
        </w:tc>
        <w:tc>
          <w:tcPr>
            <w:tcW w:w="3006" w:type="dxa"/>
            <w:tcBorders>
              <w:top w:val="nil"/>
              <w:bottom w:val="nil"/>
            </w:tcBorders>
          </w:tcPr>
          <w:p w14:paraId="5981F6D3" w14:textId="77777777" w:rsidR="00EF236D" w:rsidRPr="000C0E0E" w:rsidRDefault="00EF236D" w:rsidP="00FD04E0">
            <w:pPr>
              <w:jc w:val="center"/>
            </w:pPr>
            <w:r w:rsidRPr="000C0E0E">
              <w:t>2</w:t>
            </w:r>
          </w:p>
        </w:tc>
      </w:tr>
      <w:tr w:rsidR="00EF236D" w:rsidRPr="000C0E0E" w14:paraId="591A1A90" w14:textId="77777777" w:rsidTr="00FD04E0">
        <w:tc>
          <w:tcPr>
            <w:tcW w:w="3005" w:type="dxa"/>
            <w:tcBorders>
              <w:top w:val="nil"/>
              <w:bottom w:val="single" w:sz="4" w:space="0" w:color="auto"/>
            </w:tcBorders>
          </w:tcPr>
          <w:p w14:paraId="5ACA6E66" w14:textId="77777777" w:rsidR="00EF236D" w:rsidRPr="000C0E0E" w:rsidRDefault="00EF236D" w:rsidP="00FD04E0">
            <w:r>
              <w:t>Food containing salt</w:t>
            </w:r>
          </w:p>
        </w:tc>
        <w:tc>
          <w:tcPr>
            <w:tcW w:w="3005" w:type="dxa"/>
            <w:tcBorders>
              <w:top w:val="nil"/>
              <w:bottom w:val="single" w:sz="4" w:space="0" w:color="auto"/>
            </w:tcBorders>
          </w:tcPr>
          <w:p w14:paraId="22FA142D" w14:textId="77777777" w:rsidR="00EF236D" w:rsidRPr="000C0E0E" w:rsidRDefault="00EF236D" w:rsidP="00FD04E0">
            <w:pPr>
              <w:rPr>
                <w:i/>
                <w:iCs/>
              </w:rPr>
            </w:pPr>
            <w:r w:rsidRPr="000C0E0E">
              <w:rPr>
                <w:i/>
                <w:iCs/>
              </w:rPr>
              <w:t>“Salt”</w:t>
            </w:r>
          </w:p>
        </w:tc>
        <w:tc>
          <w:tcPr>
            <w:tcW w:w="3006" w:type="dxa"/>
            <w:tcBorders>
              <w:top w:val="nil"/>
              <w:bottom w:val="single" w:sz="4" w:space="0" w:color="auto"/>
            </w:tcBorders>
          </w:tcPr>
          <w:p w14:paraId="6EE4C302" w14:textId="77777777" w:rsidR="00EF236D" w:rsidRPr="000C0E0E" w:rsidRDefault="00EF236D" w:rsidP="00FD04E0">
            <w:pPr>
              <w:jc w:val="center"/>
            </w:pPr>
            <w:r w:rsidRPr="000C0E0E">
              <w:t>2</w:t>
            </w:r>
          </w:p>
        </w:tc>
      </w:tr>
    </w:tbl>
    <w:p w14:paraId="724CD9FC" w14:textId="77777777" w:rsidR="005433D7" w:rsidRDefault="005433D7" w:rsidP="00572E3D"/>
    <w:p w14:paraId="629A033A" w14:textId="77777777" w:rsidR="005433D7" w:rsidRDefault="005433D7">
      <w:r>
        <w:br w:type="page"/>
      </w:r>
    </w:p>
    <w:p w14:paraId="24DD303F" w14:textId="7BB290B5" w:rsidR="00572E3D" w:rsidRPr="00265133" w:rsidRDefault="00572E3D" w:rsidP="00572E3D">
      <w:r w:rsidRPr="00E272EB">
        <w:lastRenderedPageBreak/>
        <w:fldChar w:fldCharType="begin"/>
      </w:r>
      <w:r w:rsidRPr="00E272EB">
        <w:instrText xml:space="preserve"> TC  " </w:instrText>
      </w:r>
      <w:bookmarkStart w:id="350" w:name="_Toc97557167"/>
      <w:r w:rsidRPr="00265133">
        <w:instrText xml:space="preserve">Appendix </w:instrText>
      </w:r>
      <w:r w:rsidR="00793023">
        <w:instrText>1</w:instrText>
      </w:r>
      <w:r w:rsidR="007F5E1F">
        <w:instrText>5</w:instrText>
      </w:r>
      <w:r w:rsidRPr="00265133">
        <w:instrText>: Ethical Approval (</w:instrText>
      </w:r>
      <w:r>
        <w:instrText>Stud</w:instrText>
      </w:r>
      <w:r w:rsidR="006457E0">
        <w:instrText>ies Two</w:instrText>
      </w:r>
      <w:r>
        <w:instrText xml:space="preserve"> and </w:instrText>
      </w:r>
      <w:r w:rsidR="006457E0">
        <w:instrText>Three</w:instrText>
      </w:r>
      <w:r>
        <w:instrText xml:space="preserve">, </w:instrText>
      </w:r>
      <w:r w:rsidRPr="00265133">
        <w:instrText>Chapter 7 and 8)</w:instrText>
      </w:r>
      <w:bookmarkEnd w:id="350"/>
      <w:r w:rsidRPr="00E272EB">
        <w:instrText xml:space="preserve">" \f y\l </w:instrText>
      </w:r>
      <w:r>
        <w:instrText>2</w:instrText>
      </w:r>
      <w:r w:rsidRPr="00E272EB">
        <w:instrText xml:space="preserve"> </w:instrText>
      </w:r>
      <w:r w:rsidRPr="00E272EB">
        <w:fldChar w:fldCharType="end"/>
      </w:r>
      <w:r w:rsidRPr="00265133">
        <w:t xml:space="preserve">Appendix </w:t>
      </w:r>
      <w:r w:rsidR="00793023">
        <w:t>1</w:t>
      </w:r>
      <w:r w:rsidR="007F5E1F">
        <w:t>5</w:t>
      </w:r>
      <w:r w:rsidRPr="00265133">
        <w:t>: Ethical Approval - (</w:t>
      </w:r>
      <w:r w:rsidR="006457E0">
        <w:t>Studies Two and Three</w:t>
      </w:r>
      <w:r w:rsidR="006457E0" w:rsidRPr="00265133">
        <w:t xml:space="preserve"> </w:t>
      </w:r>
      <w:r w:rsidR="006457E0">
        <w:t xml:space="preserve">, </w:t>
      </w:r>
      <w:r w:rsidRPr="00265133">
        <w:t>Chapter 7 and 8)</w:t>
      </w:r>
      <w:bookmarkEnd w:id="341"/>
      <w:bookmarkEnd w:id="342"/>
    </w:p>
    <w:p w14:paraId="5490B46E" w14:textId="77777777" w:rsidR="00572E3D" w:rsidRDefault="00572E3D" w:rsidP="00572E3D"/>
    <w:p w14:paraId="4E66CE1B" w14:textId="77777777" w:rsidR="00572E3D" w:rsidRPr="00B400A5" w:rsidRDefault="00572E3D" w:rsidP="00572E3D">
      <w:pPr>
        <w:pStyle w:val="PlainText"/>
        <w:rPr>
          <w:rFonts w:ascii="Arial" w:hAnsi="Arial" w:cs="Arial"/>
          <w:sz w:val="22"/>
          <w:szCs w:val="22"/>
        </w:rPr>
      </w:pPr>
      <w:r>
        <w:rPr>
          <w:noProof/>
        </w:rPr>
        <w:drawing>
          <wp:anchor distT="0" distB="0" distL="114300" distR="114300" simplePos="0" relativeHeight="251613184" behindDoc="1" locked="0" layoutInCell="1" allowOverlap="1" wp14:anchorId="7641FEEB" wp14:editId="5CDD8477">
            <wp:simplePos x="0" y="0"/>
            <wp:positionH relativeFrom="column">
              <wp:posOffset>4643120</wp:posOffset>
            </wp:positionH>
            <wp:positionV relativeFrom="paragraph">
              <wp:posOffset>-258445</wp:posOffset>
            </wp:positionV>
            <wp:extent cx="866775" cy="908685"/>
            <wp:effectExtent l="0" t="0" r="9525" b="5715"/>
            <wp:wrapNone/>
            <wp:docPr id="234" name="Picture 234" descr="Applicatio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logo&#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677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DBC19" w14:textId="77777777" w:rsidR="00572E3D" w:rsidRDefault="00572E3D" w:rsidP="00572E3D">
      <w:pPr>
        <w:pStyle w:val="PlainText"/>
        <w:rPr>
          <w:rFonts w:ascii="Arial" w:hAnsi="Arial" w:cs="Arial"/>
          <w:sz w:val="22"/>
          <w:szCs w:val="22"/>
        </w:rPr>
      </w:pPr>
    </w:p>
    <w:p w14:paraId="1925E034" w14:textId="77777777" w:rsidR="00572E3D" w:rsidRDefault="00572E3D" w:rsidP="00572E3D">
      <w:pPr>
        <w:pStyle w:val="PlainText"/>
        <w:rPr>
          <w:rFonts w:ascii="Arial" w:hAnsi="Arial" w:cs="Arial"/>
          <w:sz w:val="22"/>
          <w:szCs w:val="22"/>
        </w:rPr>
      </w:pPr>
    </w:p>
    <w:p w14:paraId="5D16EB8D" w14:textId="77777777" w:rsidR="00572E3D" w:rsidRPr="00B400A5" w:rsidRDefault="00572E3D" w:rsidP="00572E3D">
      <w:pPr>
        <w:pStyle w:val="PlainText"/>
        <w:rPr>
          <w:rFonts w:ascii="Arial" w:hAnsi="Arial" w:cs="Arial"/>
          <w:sz w:val="22"/>
          <w:szCs w:val="22"/>
        </w:rPr>
      </w:pPr>
    </w:p>
    <w:p w14:paraId="5357770F" w14:textId="77777777" w:rsidR="00572E3D" w:rsidRPr="00B400A5" w:rsidRDefault="00572E3D" w:rsidP="00572E3D">
      <w:pPr>
        <w:pStyle w:val="PlainText"/>
        <w:tabs>
          <w:tab w:val="right" w:pos="9810"/>
        </w:tabs>
        <w:ind w:right="115"/>
        <w:rPr>
          <w:rFonts w:ascii="Arial" w:hAnsi="Arial" w:cs="Arial"/>
          <w:b/>
          <w:spacing w:val="70"/>
          <w:sz w:val="22"/>
          <w:szCs w:val="22"/>
        </w:rPr>
      </w:pPr>
      <w:r>
        <w:rPr>
          <w:rFonts w:ascii="Arial" w:hAnsi="Arial" w:cs="Arial"/>
          <w:noProof/>
          <w:sz w:val="22"/>
          <w:szCs w:val="22"/>
        </w:rPr>
        <mc:AlternateContent>
          <mc:Choice Requires="wps">
            <w:drawing>
              <wp:anchor distT="0" distB="0" distL="114300" distR="114300" simplePos="0" relativeHeight="251612160" behindDoc="0" locked="0" layoutInCell="1" allowOverlap="1" wp14:anchorId="392FB640" wp14:editId="766F9A1A">
                <wp:simplePos x="0" y="0"/>
                <wp:positionH relativeFrom="column">
                  <wp:posOffset>4255135</wp:posOffset>
                </wp:positionH>
                <wp:positionV relativeFrom="paragraph">
                  <wp:posOffset>10160</wp:posOffset>
                </wp:positionV>
                <wp:extent cx="1659890" cy="412115"/>
                <wp:effectExtent l="0" t="0" r="0" b="6985"/>
                <wp:wrapSquare wrapText="bothSides"/>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1B13E" w14:textId="77777777" w:rsidR="00572E3D" w:rsidRPr="00D05372" w:rsidRDefault="00572E3D" w:rsidP="00572E3D">
                            <w:pPr>
                              <w:rPr>
                                <w:rFonts w:ascii="Arial" w:hAnsi="Arial" w:cs="Arial"/>
                                <w:szCs w:val="24"/>
                              </w:rPr>
                            </w:pPr>
                            <w:r w:rsidRPr="00D05372">
                              <w:rPr>
                                <w:rFonts w:ascii="Arial" w:hAnsi="Arial" w:cs="Arial"/>
                                <w:b/>
                                <w:szCs w:val="24"/>
                              </w:rPr>
                              <w:t xml:space="preserve">Health Sciences </w:t>
                            </w:r>
                          </w:p>
                          <w:p w14:paraId="7F596CCA" w14:textId="77777777" w:rsidR="00D1262B" w:rsidRDefault="00D1262B"/>
                          <w:p w14:paraId="3B19EFA1" w14:textId="24AF8D5A" w:rsidR="00572E3D" w:rsidRPr="00D05372" w:rsidRDefault="00572E3D" w:rsidP="00572E3D">
                            <w:pPr>
                              <w:rPr>
                                <w:rFonts w:ascii="Arial" w:hAnsi="Arial" w:cs="Arial"/>
                                <w:szCs w:val="24"/>
                              </w:rPr>
                            </w:pPr>
                            <w:r w:rsidRPr="00D05372">
                              <w:rPr>
                                <w:rFonts w:ascii="Arial" w:hAnsi="Arial" w:cs="Arial"/>
                                <w:b/>
                                <w:szCs w:val="24"/>
                              </w:rPr>
                              <w:t xml:space="preserve">Health Sciences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FB640" id="Text Box 3" o:spid="_x0000_s1048" type="#_x0000_t202" style="position:absolute;margin-left:335.05pt;margin-top:.8pt;width:130.7pt;height:32.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" stroked="f">
                <v:textbox>
                  <w:txbxContent>
                    <w:p w14:paraId="3AE1B13E" w14:textId="77777777" w:rsidR="00572E3D" w:rsidRPr="00D05372" w:rsidRDefault="00572E3D" w:rsidP="00572E3D">
                      <w:pPr>
                        <w:rPr>
                          <w:rFonts w:ascii="Arial" w:hAnsi="Arial" w:cs="Arial"/>
                          <w:szCs w:val="24"/>
                        </w:rPr>
                      </w:pPr>
                      <w:r w:rsidRPr="00D05372">
                        <w:rPr>
                          <w:rFonts w:ascii="Arial" w:hAnsi="Arial" w:cs="Arial"/>
                          <w:b/>
                          <w:szCs w:val="24"/>
                        </w:rPr>
                        <w:t xml:space="preserve">Health Sciences </w:t>
                      </w:r>
                    </w:p>
                    <w:p w14:paraId="7F596CCA" w14:textId="77777777" w:rsidR="00D1262B" w:rsidRDefault="00D1262B"/>
                    <w:p w14:paraId="3B19EFA1" w14:textId="24AF8D5A" w:rsidR="00572E3D" w:rsidRPr="00D05372" w:rsidRDefault="00572E3D" w:rsidP="00572E3D">
                      <w:pPr>
                        <w:rPr>
                          <w:rFonts w:ascii="Arial" w:hAnsi="Arial" w:cs="Arial"/>
                          <w:szCs w:val="24"/>
                        </w:rPr>
                      </w:pPr>
                      <w:r w:rsidRPr="00D05372">
                        <w:rPr>
                          <w:rFonts w:ascii="Arial" w:hAnsi="Arial" w:cs="Arial"/>
                          <w:b/>
                          <w:szCs w:val="24"/>
                        </w:rPr>
                        <w:t xml:space="preserve">Health Sciences </w:t>
                      </w:r>
                    </w:p>
                  </w:txbxContent>
                </v:textbox>
                <w10:wrap type="square"/>
              </v:shape>
            </w:pict>
          </mc:Fallback>
        </mc:AlternateContent>
      </w:r>
    </w:p>
    <w:p w14:paraId="5D7F576F" w14:textId="77777777" w:rsidR="00572E3D" w:rsidRDefault="00572E3D" w:rsidP="00572E3D">
      <w:pPr>
        <w:pStyle w:val="PlainText"/>
        <w:rPr>
          <w:rFonts w:ascii="Arial" w:hAnsi="Arial" w:cs="Arial"/>
          <w:sz w:val="22"/>
          <w:szCs w:val="22"/>
        </w:rPr>
      </w:pPr>
    </w:p>
    <w:p w14:paraId="794A271F" w14:textId="77777777" w:rsidR="00572E3D" w:rsidRDefault="00572E3D" w:rsidP="00572E3D">
      <w:pPr>
        <w:pStyle w:val="PlainText"/>
        <w:rPr>
          <w:rFonts w:ascii="Arial" w:hAnsi="Arial" w:cs="Arial"/>
          <w:sz w:val="22"/>
          <w:szCs w:val="22"/>
        </w:rPr>
      </w:pPr>
    </w:p>
    <w:p w14:paraId="2CCBBC62" w14:textId="77777777" w:rsidR="00572E3D" w:rsidRPr="00B400A5" w:rsidRDefault="00572E3D" w:rsidP="00572E3D">
      <w:pPr>
        <w:pStyle w:val="PlainText"/>
        <w:rPr>
          <w:rFonts w:ascii="Arial" w:hAnsi="Arial" w:cs="Arial"/>
          <w:sz w:val="22"/>
          <w:szCs w:val="22"/>
        </w:rPr>
      </w:pPr>
    </w:p>
    <w:p w14:paraId="1F06D9A4" w14:textId="77777777" w:rsidR="00572E3D" w:rsidRPr="00B400A5" w:rsidRDefault="00572E3D" w:rsidP="00572E3D">
      <w:pPr>
        <w:pStyle w:val="PlainText"/>
        <w:rPr>
          <w:rFonts w:ascii="Arial" w:hAnsi="Arial" w:cs="Arial"/>
          <w:sz w:val="22"/>
          <w:szCs w:val="22"/>
        </w:rPr>
      </w:pPr>
    </w:p>
    <w:p w14:paraId="64D81A7A" w14:textId="77777777" w:rsidR="00572E3D" w:rsidRPr="00B400A5" w:rsidRDefault="00572E3D" w:rsidP="00572E3D">
      <w:pPr>
        <w:pStyle w:val="PlainText"/>
        <w:rPr>
          <w:rFonts w:ascii="Arial" w:hAnsi="Arial" w:cs="Arial"/>
          <w:b/>
          <w:sz w:val="22"/>
          <w:szCs w:val="22"/>
        </w:rPr>
      </w:pPr>
      <w:r w:rsidRPr="00B400A5">
        <w:rPr>
          <w:rFonts w:ascii="Arial" w:hAnsi="Arial" w:cs="Arial"/>
          <w:b/>
          <w:sz w:val="22"/>
          <w:szCs w:val="22"/>
        </w:rPr>
        <w:t>ETHICAL APPROVAL FEEDBACK</w:t>
      </w:r>
    </w:p>
    <w:p w14:paraId="517CB979" w14:textId="77777777" w:rsidR="00572E3D" w:rsidRPr="00B400A5" w:rsidRDefault="00572E3D" w:rsidP="00572E3D">
      <w:pPr>
        <w:pStyle w:val="PlainText"/>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660"/>
      </w:tblGrid>
      <w:tr w:rsidR="00572E3D" w:rsidRPr="00E402A0" w14:paraId="359B2D61" w14:textId="77777777" w:rsidTr="00611086">
        <w:tc>
          <w:tcPr>
            <w:tcW w:w="2268" w:type="dxa"/>
          </w:tcPr>
          <w:p w14:paraId="38E43A2A" w14:textId="77777777" w:rsidR="00572E3D" w:rsidRPr="00E402A0" w:rsidRDefault="00572E3D" w:rsidP="00611086">
            <w:pPr>
              <w:pStyle w:val="PlainText"/>
              <w:rPr>
                <w:rFonts w:ascii="Arial" w:hAnsi="Arial" w:cs="Arial"/>
                <w:b/>
                <w:sz w:val="22"/>
                <w:szCs w:val="22"/>
              </w:rPr>
            </w:pPr>
            <w:r>
              <w:rPr>
                <w:rFonts w:ascii="Arial" w:hAnsi="Arial" w:cs="Arial"/>
                <w:b/>
                <w:sz w:val="22"/>
                <w:szCs w:val="22"/>
              </w:rPr>
              <w:t>Researcher</w:t>
            </w:r>
            <w:r w:rsidRPr="00E402A0">
              <w:rPr>
                <w:rFonts w:ascii="Arial" w:hAnsi="Arial" w:cs="Arial"/>
                <w:b/>
                <w:sz w:val="22"/>
                <w:szCs w:val="22"/>
              </w:rPr>
              <w:t xml:space="preserve"> name:</w:t>
            </w:r>
            <w:r w:rsidRPr="00E402A0">
              <w:rPr>
                <w:rFonts w:ascii="Arial" w:hAnsi="Arial" w:cs="Arial"/>
                <w:b/>
                <w:sz w:val="22"/>
                <w:szCs w:val="22"/>
              </w:rPr>
              <w:tab/>
            </w:r>
            <w:r w:rsidRPr="00E402A0">
              <w:rPr>
                <w:rFonts w:ascii="Arial" w:hAnsi="Arial" w:cs="Arial"/>
                <w:b/>
                <w:sz w:val="22"/>
                <w:szCs w:val="22"/>
              </w:rPr>
              <w:tab/>
            </w:r>
          </w:p>
        </w:tc>
        <w:tc>
          <w:tcPr>
            <w:tcW w:w="6660" w:type="dxa"/>
            <w:tcBorders>
              <w:top w:val="single" w:sz="4" w:space="0" w:color="auto"/>
              <w:left w:val="single" w:sz="4" w:space="0" w:color="auto"/>
              <w:bottom w:val="single" w:sz="4" w:space="0" w:color="auto"/>
              <w:right w:val="single" w:sz="4" w:space="0" w:color="auto"/>
            </w:tcBorders>
            <w:vAlign w:val="center"/>
          </w:tcPr>
          <w:p w14:paraId="2698239E" w14:textId="77777777" w:rsidR="00572E3D" w:rsidRDefault="00572E3D" w:rsidP="00611086">
            <w:pPr>
              <w:rPr>
                <w:rFonts w:ascii="Arial" w:hAnsi="Arial" w:cs="Arial"/>
                <w:b/>
              </w:rPr>
            </w:pPr>
            <w:r>
              <w:rPr>
                <w:rFonts w:ascii="Arial" w:hAnsi="Arial" w:cs="Arial"/>
                <w:b/>
              </w:rPr>
              <w:t xml:space="preserve">Sian Calvert </w:t>
            </w:r>
          </w:p>
        </w:tc>
      </w:tr>
      <w:tr w:rsidR="00572E3D" w:rsidRPr="00E402A0" w14:paraId="24DF5F7A" w14:textId="77777777" w:rsidTr="00611086">
        <w:tc>
          <w:tcPr>
            <w:tcW w:w="2268" w:type="dxa"/>
          </w:tcPr>
          <w:p w14:paraId="1D28B8EF" w14:textId="77777777" w:rsidR="00572E3D" w:rsidRPr="00E402A0" w:rsidRDefault="00572E3D" w:rsidP="00611086">
            <w:pPr>
              <w:pStyle w:val="PlainText"/>
              <w:rPr>
                <w:rFonts w:ascii="Arial" w:hAnsi="Arial" w:cs="Arial"/>
                <w:b/>
                <w:sz w:val="22"/>
                <w:szCs w:val="22"/>
              </w:rPr>
            </w:pPr>
            <w:r w:rsidRPr="00E402A0">
              <w:rPr>
                <w:rFonts w:ascii="Arial" w:hAnsi="Arial" w:cs="Arial"/>
                <w:b/>
                <w:sz w:val="22"/>
                <w:szCs w:val="22"/>
              </w:rPr>
              <w:t>Title of Study:</w:t>
            </w:r>
          </w:p>
          <w:p w14:paraId="3E4B625F" w14:textId="77777777" w:rsidR="00572E3D" w:rsidRPr="00E402A0" w:rsidRDefault="00572E3D" w:rsidP="00611086">
            <w:pPr>
              <w:pStyle w:val="PlainText"/>
              <w:rPr>
                <w:rFonts w:ascii="Arial" w:hAnsi="Arial" w:cs="Arial"/>
                <w:sz w:val="22"/>
                <w:szCs w:val="22"/>
              </w:rPr>
            </w:pPr>
          </w:p>
        </w:tc>
        <w:tc>
          <w:tcPr>
            <w:tcW w:w="6660" w:type="dxa"/>
            <w:tcBorders>
              <w:top w:val="single" w:sz="4" w:space="0" w:color="auto"/>
              <w:left w:val="single" w:sz="4" w:space="0" w:color="auto"/>
              <w:bottom w:val="single" w:sz="4" w:space="0" w:color="auto"/>
              <w:right w:val="single" w:sz="4" w:space="0" w:color="auto"/>
            </w:tcBorders>
            <w:vAlign w:val="center"/>
          </w:tcPr>
          <w:p w14:paraId="6D099D2B" w14:textId="77777777" w:rsidR="00572E3D" w:rsidRDefault="00572E3D" w:rsidP="00611086">
            <w:pPr>
              <w:rPr>
                <w:rFonts w:ascii="Arial" w:hAnsi="Arial" w:cs="Arial"/>
                <w:b/>
              </w:rPr>
            </w:pPr>
            <w:r>
              <w:rPr>
                <w:rFonts w:ascii="Arial" w:hAnsi="Arial" w:cs="Arial"/>
                <w:b/>
              </w:rPr>
              <w:t>Implementation of an in-school healthy eating intervention</w:t>
            </w:r>
          </w:p>
        </w:tc>
      </w:tr>
      <w:tr w:rsidR="00572E3D" w:rsidRPr="00E402A0" w14:paraId="6F26F37E" w14:textId="77777777" w:rsidTr="00611086">
        <w:tblPrEx>
          <w:tblLook w:val="00A0" w:firstRow="1" w:lastRow="0" w:firstColumn="1" w:lastColumn="0" w:noHBand="0" w:noVBand="0"/>
        </w:tblPrEx>
        <w:tc>
          <w:tcPr>
            <w:tcW w:w="2268" w:type="dxa"/>
          </w:tcPr>
          <w:p w14:paraId="285E91AE" w14:textId="77777777" w:rsidR="00572E3D" w:rsidRPr="00E402A0" w:rsidRDefault="00572E3D" w:rsidP="00611086">
            <w:pPr>
              <w:pStyle w:val="PlainText"/>
              <w:rPr>
                <w:rFonts w:ascii="Arial" w:hAnsi="Arial" w:cs="Arial"/>
                <w:sz w:val="22"/>
                <w:szCs w:val="22"/>
              </w:rPr>
            </w:pPr>
            <w:r w:rsidRPr="00E402A0">
              <w:rPr>
                <w:rFonts w:ascii="Arial" w:hAnsi="Arial" w:cs="Arial"/>
                <w:b/>
                <w:sz w:val="22"/>
                <w:szCs w:val="22"/>
              </w:rPr>
              <w:t xml:space="preserve">Status of approval: </w:t>
            </w:r>
            <w:r w:rsidRPr="00E402A0">
              <w:rPr>
                <w:rFonts w:ascii="Arial" w:hAnsi="Arial" w:cs="Arial"/>
                <w:b/>
                <w:sz w:val="22"/>
                <w:szCs w:val="22"/>
              </w:rPr>
              <w:tab/>
            </w:r>
          </w:p>
        </w:tc>
        <w:tc>
          <w:tcPr>
            <w:tcW w:w="6660" w:type="dxa"/>
          </w:tcPr>
          <w:p w14:paraId="4F078931" w14:textId="77777777" w:rsidR="00572E3D" w:rsidRPr="00042FC8" w:rsidRDefault="00572E3D" w:rsidP="00611086">
            <w:pPr>
              <w:pStyle w:val="PlainText"/>
              <w:rPr>
                <w:rFonts w:ascii="Arial" w:hAnsi="Arial" w:cs="Arial"/>
                <w:sz w:val="22"/>
                <w:szCs w:val="22"/>
              </w:rPr>
            </w:pPr>
            <w:r w:rsidRPr="00042FC8">
              <w:rPr>
                <w:rFonts w:ascii="Arial" w:hAnsi="Arial" w:cs="Arial"/>
                <w:sz w:val="22"/>
                <w:szCs w:val="22"/>
              </w:rPr>
              <w:t>Approved</w:t>
            </w:r>
          </w:p>
        </w:tc>
      </w:tr>
    </w:tbl>
    <w:p w14:paraId="445808AF" w14:textId="77777777" w:rsidR="00572E3D" w:rsidRPr="00B400A5" w:rsidRDefault="00572E3D" w:rsidP="00572E3D">
      <w:pPr>
        <w:pStyle w:val="PlainText"/>
        <w:ind w:left="1440" w:firstLine="720"/>
        <w:rPr>
          <w:rFonts w:ascii="Arial" w:hAnsi="Arial" w:cs="Arial"/>
          <w:b/>
          <w:sz w:val="22"/>
          <w:szCs w:val="22"/>
        </w:rPr>
      </w:pPr>
    </w:p>
    <w:p w14:paraId="0051E83C" w14:textId="77777777" w:rsidR="00572E3D" w:rsidRDefault="00572E3D" w:rsidP="00572E3D">
      <w:pPr>
        <w:pStyle w:val="PlainText"/>
        <w:jc w:val="both"/>
        <w:rPr>
          <w:rFonts w:ascii="Arial" w:hAnsi="Arial" w:cs="Arial"/>
          <w:b/>
          <w:sz w:val="22"/>
          <w:szCs w:val="22"/>
        </w:rPr>
      </w:pPr>
    </w:p>
    <w:p w14:paraId="61470449" w14:textId="77777777" w:rsidR="00572E3D" w:rsidRDefault="00572E3D" w:rsidP="00572E3D">
      <w:pPr>
        <w:pStyle w:val="PlainText"/>
        <w:jc w:val="both"/>
        <w:rPr>
          <w:rFonts w:ascii="Arial" w:hAnsi="Arial" w:cs="Arial"/>
          <w:b/>
          <w:sz w:val="22"/>
          <w:szCs w:val="22"/>
        </w:rPr>
      </w:pPr>
    </w:p>
    <w:p w14:paraId="7C7C5117" w14:textId="77777777" w:rsidR="00572E3D" w:rsidRPr="00B400A5" w:rsidRDefault="00572E3D" w:rsidP="00572E3D">
      <w:pPr>
        <w:pStyle w:val="PlainText"/>
        <w:jc w:val="both"/>
        <w:rPr>
          <w:rFonts w:ascii="Arial" w:hAnsi="Arial" w:cs="Arial"/>
          <w:sz w:val="22"/>
          <w:szCs w:val="22"/>
        </w:rPr>
      </w:pPr>
      <w:r w:rsidRPr="00B400A5">
        <w:rPr>
          <w:rFonts w:ascii="Arial" w:hAnsi="Arial" w:cs="Arial"/>
          <w:sz w:val="22"/>
          <w:szCs w:val="22"/>
        </w:rPr>
        <w:cr/>
      </w:r>
      <w:r>
        <w:rPr>
          <w:rFonts w:ascii="Arial" w:hAnsi="Arial" w:cs="Arial"/>
          <w:sz w:val="22"/>
          <w:szCs w:val="22"/>
        </w:rPr>
        <w:t>T</w:t>
      </w:r>
      <w:r w:rsidRPr="00C622B9">
        <w:rPr>
          <w:rFonts w:ascii="Arial" w:hAnsi="Arial" w:cs="Arial"/>
          <w:sz w:val="22"/>
          <w:szCs w:val="22"/>
        </w:rPr>
        <w:t xml:space="preserve">hank you for </w:t>
      </w:r>
      <w:r>
        <w:rPr>
          <w:rFonts w:ascii="Arial" w:hAnsi="Arial" w:cs="Arial"/>
          <w:sz w:val="22"/>
          <w:szCs w:val="22"/>
        </w:rPr>
        <w:t xml:space="preserve">addressing the committee’s comments. </w:t>
      </w:r>
      <w:r w:rsidRPr="00B400A5">
        <w:rPr>
          <w:rFonts w:ascii="Arial" w:hAnsi="Arial" w:cs="Arial"/>
          <w:sz w:val="22"/>
          <w:szCs w:val="22"/>
        </w:rPr>
        <w:t xml:space="preserve">Your </w:t>
      </w:r>
      <w:r>
        <w:rPr>
          <w:rFonts w:ascii="Arial" w:hAnsi="Arial" w:cs="Arial"/>
          <w:sz w:val="22"/>
          <w:szCs w:val="22"/>
        </w:rPr>
        <w:t>research</w:t>
      </w:r>
      <w:r w:rsidRPr="00B400A5">
        <w:rPr>
          <w:rFonts w:ascii="Arial" w:hAnsi="Arial" w:cs="Arial"/>
          <w:sz w:val="22"/>
          <w:szCs w:val="22"/>
        </w:rPr>
        <w:t xml:space="preserve"> proposal has</w:t>
      </w:r>
      <w:r>
        <w:rPr>
          <w:rFonts w:ascii="Arial" w:hAnsi="Arial" w:cs="Arial"/>
          <w:sz w:val="22"/>
          <w:szCs w:val="22"/>
        </w:rPr>
        <w:t xml:space="preserve"> now been approved by the</w:t>
      </w:r>
      <w:r w:rsidRPr="00B400A5">
        <w:rPr>
          <w:rFonts w:ascii="Arial" w:hAnsi="Arial" w:cs="Arial"/>
          <w:sz w:val="22"/>
          <w:szCs w:val="22"/>
        </w:rPr>
        <w:t xml:space="preserve"> Ethics Panel and you may commence the implementation phase of your study.  You should note that any divergence from the approved procedures and research method will invalidate any insurance and liability cover from the University.  You should, therefore, notify the Panel of any significant divergence from this approved proposal.</w:t>
      </w:r>
    </w:p>
    <w:p w14:paraId="483FCF26" w14:textId="77777777" w:rsidR="00572E3D" w:rsidRDefault="00572E3D" w:rsidP="00572E3D">
      <w:pPr>
        <w:pStyle w:val="PlainText"/>
        <w:jc w:val="both"/>
        <w:rPr>
          <w:rFonts w:ascii="Arial" w:hAnsi="Arial" w:cs="Arial"/>
          <w:sz w:val="22"/>
          <w:szCs w:val="22"/>
        </w:rPr>
      </w:pPr>
    </w:p>
    <w:p w14:paraId="52FABEF1" w14:textId="77777777" w:rsidR="00572E3D" w:rsidRPr="00A25B6E" w:rsidRDefault="00572E3D" w:rsidP="00572E3D">
      <w:pPr>
        <w:pStyle w:val="PlainText"/>
        <w:rPr>
          <w:rFonts w:ascii="Arial" w:hAnsi="Arial" w:cs="Arial"/>
          <w:sz w:val="22"/>
          <w:szCs w:val="22"/>
        </w:rPr>
      </w:pPr>
      <w:r w:rsidRPr="00A25B6E">
        <w:rPr>
          <w:rFonts w:ascii="Arial" w:hAnsi="Arial" w:cs="Arial"/>
          <w:sz w:val="22"/>
          <w:szCs w:val="22"/>
        </w:rPr>
        <w:t>You should arrange to meet with your supervisor for support during the process of completing your study and writing your dissertation.</w:t>
      </w:r>
    </w:p>
    <w:p w14:paraId="787C1118" w14:textId="77777777" w:rsidR="00572E3D" w:rsidRPr="00A25B6E" w:rsidRDefault="00572E3D" w:rsidP="00572E3D">
      <w:pPr>
        <w:pStyle w:val="PlainText"/>
        <w:jc w:val="both"/>
        <w:rPr>
          <w:rFonts w:ascii="Arial" w:hAnsi="Arial" w:cs="Arial"/>
          <w:sz w:val="22"/>
          <w:szCs w:val="22"/>
        </w:rPr>
      </w:pPr>
    </w:p>
    <w:p w14:paraId="4AA8B4FD" w14:textId="77777777" w:rsidR="00572E3D" w:rsidRPr="00B400A5" w:rsidRDefault="00572E3D" w:rsidP="00572E3D">
      <w:pPr>
        <w:pStyle w:val="PlainText"/>
        <w:jc w:val="both"/>
        <w:rPr>
          <w:rFonts w:ascii="Arial" w:hAnsi="Arial" w:cs="Arial"/>
          <w:sz w:val="22"/>
          <w:szCs w:val="22"/>
        </w:rPr>
      </w:pPr>
      <w:r w:rsidRPr="001C180D">
        <w:rPr>
          <w:rFonts w:ascii="Arial" w:hAnsi="Arial" w:cs="Arial"/>
          <w:sz w:val="22"/>
          <w:szCs w:val="22"/>
        </w:rPr>
        <w:t>When your study is complete, please send the ethics committee an end of study report. A template can be found on the ethics BlackBoard site.</w:t>
      </w:r>
    </w:p>
    <w:p w14:paraId="45341DB5" w14:textId="77777777" w:rsidR="00572E3D" w:rsidRPr="00B400A5" w:rsidRDefault="00572E3D" w:rsidP="00572E3D">
      <w:pPr>
        <w:pStyle w:val="PlainText"/>
        <w:rPr>
          <w:rFonts w:ascii="Arial" w:hAnsi="Arial" w:cs="Arial"/>
          <w:sz w:val="22"/>
          <w:szCs w:val="22"/>
        </w:rPr>
      </w:pPr>
    </w:p>
    <w:p w14:paraId="7B6493C0" w14:textId="77777777" w:rsidR="00572E3D" w:rsidRPr="00B400A5" w:rsidRDefault="00572E3D" w:rsidP="00572E3D">
      <w:pPr>
        <w:pStyle w:val="PlainText"/>
        <w:rPr>
          <w:rFonts w:ascii="Arial" w:hAnsi="Arial" w:cs="Arial"/>
          <w:sz w:val="22"/>
          <w:szCs w:val="22"/>
        </w:rPr>
      </w:pPr>
    </w:p>
    <w:p w14:paraId="5C851546" w14:textId="77777777" w:rsidR="00572E3D" w:rsidRDefault="00572E3D" w:rsidP="00572E3D">
      <w:pPr>
        <w:pStyle w:val="PlainText"/>
        <w:rPr>
          <w:noProof/>
        </w:rPr>
      </w:pPr>
      <w:r>
        <w:rPr>
          <w:rFonts w:ascii="Tahoma" w:hAnsi="Tahoma" w:cs="Tahoma"/>
          <w:noProof/>
          <w:sz w:val="24"/>
          <w:szCs w:val="24"/>
        </w:rPr>
        <w:drawing>
          <wp:inline distT="0" distB="0" distL="0" distR="0" wp14:anchorId="3277C404" wp14:editId="37A7AEF0">
            <wp:extent cx="1422400" cy="1001395"/>
            <wp:effectExtent l="0" t="0" r="6350" b="8255"/>
            <wp:docPr id="235" name="Picture 23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arrow&#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2400" cy="1001395"/>
                    </a:xfrm>
                    <a:prstGeom prst="rect">
                      <a:avLst/>
                    </a:prstGeom>
                    <a:noFill/>
                    <a:ln>
                      <a:noFill/>
                    </a:ln>
                  </pic:spPr>
                </pic:pic>
              </a:graphicData>
            </a:graphic>
          </wp:inline>
        </w:drawing>
      </w:r>
    </w:p>
    <w:p w14:paraId="788E0740" w14:textId="77777777" w:rsidR="00572E3D" w:rsidRDefault="00572E3D" w:rsidP="00572E3D">
      <w:pPr>
        <w:pStyle w:val="PlainText"/>
        <w:rPr>
          <w:rFonts w:ascii="Arial" w:hAnsi="Arial" w:cs="Arial"/>
          <w:sz w:val="22"/>
          <w:szCs w:val="22"/>
        </w:rPr>
      </w:pPr>
    </w:p>
    <w:p w14:paraId="7BB926DF" w14:textId="77777777" w:rsidR="00572E3D" w:rsidRDefault="00572E3D" w:rsidP="00572E3D">
      <w:pPr>
        <w:pStyle w:val="PlainText"/>
        <w:rPr>
          <w:rFonts w:ascii="Arial" w:hAnsi="Arial" w:cs="Arial"/>
          <w:sz w:val="22"/>
          <w:szCs w:val="22"/>
        </w:rPr>
      </w:pPr>
    </w:p>
    <w:tbl>
      <w:tblPr>
        <w:tblW w:w="8838" w:type="dxa"/>
        <w:tblLook w:val="00A0" w:firstRow="1" w:lastRow="0" w:firstColumn="1" w:lastColumn="0" w:noHBand="0" w:noVBand="0"/>
      </w:tblPr>
      <w:tblGrid>
        <w:gridCol w:w="5688"/>
        <w:gridCol w:w="3150"/>
      </w:tblGrid>
      <w:tr w:rsidR="00572E3D" w14:paraId="7C0574D0" w14:textId="77777777" w:rsidTr="00611086">
        <w:trPr>
          <w:trHeight w:val="1000"/>
        </w:trPr>
        <w:tc>
          <w:tcPr>
            <w:tcW w:w="5688" w:type="dxa"/>
          </w:tcPr>
          <w:p w14:paraId="09152656" w14:textId="77777777" w:rsidR="00572E3D" w:rsidRDefault="00572E3D" w:rsidP="00611086">
            <w:pPr>
              <w:pStyle w:val="PlainText"/>
              <w:tabs>
                <w:tab w:val="left" w:pos="990"/>
              </w:tabs>
              <w:rPr>
                <w:rFonts w:ascii="Arial" w:hAnsi="Arial" w:cs="Arial"/>
                <w:sz w:val="22"/>
                <w:szCs w:val="22"/>
              </w:rPr>
            </w:pPr>
            <w:r>
              <w:rPr>
                <w:rFonts w:ascii="Arial" w:hAnsi="Arial" w:cs="Arial"/>
                <w:b/>
                <w:sz w:val="22"/>
                <w:szCs w:val="22"/>
              </w:rPr>
              <w:t>Signed:</w:t>
            </w:r>
            <w:r>
              <w:rPr>
                <w:rFonts w:ascii="Arial" w:hAnsi="Arial" w:cs="Arial"/>
                <w:b/>
                <w:sz w:val="22"/>
                <w:szCs w:val="22"/>
              </w:rPr>
              <w:tab/>
            </w:r>
            <w:r>
              <w:rPr>
                <w:rFonts w:ascii="Arial" w:hAnsi="Arial" w:cs="Arial"/>
                <w:sz w:val="22"/>
                <w:szCs w:val="22"/>
              </w:rPr>
              <w:t>Dr Roozbeh Naemi</w:t>
            </w:r>
          </w:p>
          <w:p w14:paraId="0B6C6552" w14:textId="77777777" w:rsidR="00572E3D" w:rsidRDefault="00572E3D" w:rsidP="00611086">
            <w:pPr>
              <w:pStyle w:val="PlainText"/>
              <w:tabs>
                <w:tab w:val="left" w:pos="990"/>
              </w:tabs>
              <w:rPr>
                <w:rFonts w:ascii="Arial" w:hAnsi="Arial" w:cs="Arial"/>
                <w:sz w:val="22"/>
                <w:szCs w:val="22"/>
              </w:rPr>
            </w:pPr>
          </w:p>
          <w:p w14:paraId="5877B77B" w14:textId="77777777" w:rsidR="00572E3D" w:rsidRDefault="00572E3D" w:rsidP="00611086">
            <w:pPr>
              <w:pStyle w:val="PlainText"/>
              <w:tabs>
                <w:tab w:val="left" w:pos="990"/>
              </w:tabs>
              <w:rPr>
                <w:rFonts w:ascii="Arial" w:hAnsi="Arial" w:cs="Arial"/>
                <w:b/>
                <w:sz w:val="22"/>
                <w:szCs w:val="22"/>
              </w:rPr>
            </w:pPr>
            <w:r>
              <w:rPr>
                <w:rFonts w:ascii="Arial" w:hAnsi="Arial" w:cs="Arial"/>
                <w:sz w:val="22"/>
                <w:szCs w:val="22"/>
              </w:rPr>
              <w:t>Chair of the Health Sciences Ethics Panel</w:t>
            </w:r>
          </w:p>
        </w:tc>
        <w:tc>
          <w:tcPr>
            <w:tcW w:w="3150" w:type="dxa"/>
            <w:hideMark/>
          </w:tcPr>
          <w:p w14:paraId="03C6C879" w14:textId="77777777" w:rsidR="00572E3D" w:rsidRDefault="00572E3D" w:rsidP="00611086">
            <w:pPr>
              <w:pStyle w:val="PlainText"/>
              <w:rPr>
                <w:rFonts w:ascii="Arial" w:hAnsi="Arial" w:cs="Arial"/>
                <w:b/>
                <w:sz w:val="22"/>
                <w:szCs w:val="22"/>
              </w:rPr>
            </w:pPr>
            <w:r>
              <w:rPr>
                <w:rFonts w:ascii="Arial" w:hAnsi="Arial" w:cs="Arial"/>
                <w:b/>
                <w:sz w:val="22"/>
                <w:szCs w:val="22"/>
              </w:rPr>
              <w:t xml:space="preserve">       Date: 10.09.2017</w:t>
            </w:r>
          </w:p>
        </w:tc>
      </w:tr>
    </w:tbl>
    <w:bookmarkStart w:id="351" w:name="_Toc84845180"/>
    <w:bookmarkStart w:id="352" w:name="_Toc84854191"/>
    <w:p w14:paraId="785F4BDE" w14:textId="47820CB0" w:rsidR="00572E3D" w:rsidRPr="00265133" w:rsidRDefault="00572E3D" w:rsidP="00572E3D">
      <w:r w:rsidRPr="00E272EB">
        <w:lastRenderedPageBreak/>
        <w:fldChar w:fldCharType="begin"/>
      </w:r>
      <w:r w:rsidRPr="00E272EB">
        <w:instrText xml:space="preserve"> TC  " </w:instrText>
      </w:r>
      <w:bookmarkStart w:id="353" w:name="_Toc97557168"/>
      <w:r w:rsidRPr="00265133">
        <w:instrText xml:space="preserve">Appendix </w:instrText>
      </w:r>
      <w:r w:rsidR="00793023">
        <w:instrText>1</w:instrText>
      </w:r>
      <w:r w:rsidR="007F5E1F">
        <w:instrText>6</w:instrText>
      </w:r>
      <w:r w:rsidRPr="00265133">
        <w:instrText xml:space="preserve">: </w:instrText>
      </w:r>
      <w:r>
        <w:instrText>Control school parents information letter and opt-out consent</w:instrText>
      </w:r>
      <w:r w:rsidRPr="00265133">
        <w:instrText xml:space="preserve"> (</w:instrText>
      </w:r>
      <w:r w:rsidR="00121E06">
        <w:instrText>Studies Two and Three</w:instrText>
      </w:r>
      <w:r>
        <w:instrText xml:space="preserve">, </w:instrText>
      </w:r>
      <w:r w:rsidRPr="00265133">
        <w:instrText>Chapter 7 and 8)</w:instrText>
      </w:r>
      <w:bookmarkEnd w:id="353"/>
      <w:r w:rsidRPr="00E272EB">
        <w:instrText xml:space="preserve">" \f y\l </w:instrText>
      </w:r>
      <w:r>
        <w:instrText>2</w:instrText>
      </w:r>
      <w:r w:rsidRPr="00E272EB">
        <w:instrText xml:space="preserve"> </w:instrText>
      </w:r>
      <w:r w:rsidRPr="00E272EB">
        <w:fldChar w:fldCharType="end"/>
      </w:r>
      <w:r w:rsidRPr="00265133">
        <w:rPr>
          <w:noProof/>
        </w:rPr>
        <w:drawing>
          <wp:anchor distT="0" distB="0" distL="114300" distR="114300" simplePos="0" relativeHeight="251617280" behindDoc="1" locked="0" layoutInCell="1" allowOverlap="1" wp14:anchorId="36EEECBA" wp14:editId="06FC769D">
            <wp:simplePos x="0" y="0"/>
            <wp:positionH relativeFrom="column">
              <wp:posOffset>4548505</wp:posOffset>
            </wp:positionH>
            <wp:positionV relativeFrom="paragraph">
              <wp:posOffset>375262</wp:posOffset>
            </wp:positionV>
            <wp:extent cx="971550" cy="1104900"/>
            <wp:effectExtent l="0" t="0" r="0" b="0"/>
            <wp:wrapTight wrapText="bothSides">
              <wp:wrapPolygon edited="0">
                <wp:start x="0" y="0"/>
                <wp:lineTo x="0" y="21228"/>
                <wp:lineTo x="21176" y="21228"/>
                <wp:lineTo x="21176" y="0"/>
                <wp:lineTo x="0" y="0"/>
              </wp:wrapPolygon>
            </wp:wrapTight>
            <wp:docPr id="236" name="Picture 2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r w:rsidRPr="00265133">
        <w:rPr>
          <w:noProof/>
        </w:rPr>
        <w:drawing>
          <wp:anchor distT="0" distB="0" distL="114300" distR="114300" simplePos="0" relativeHeight="251616256" behindDoc="1" locked="0" layoutInCell="1" allowOverlap="1" wp14:anchorId="1E5F0CC0" wp14:editId="3F78DF91">
            <wp:simplePos x="0" y="0"/>
            <wp:positionH relativeFrom="column">
              <wp:posOffset>-108585</wp:posOffset>
            </wp:positionH>
            <wp:positionV relativeFrom="paragraph">
              <wp:posOffset>377802</wp:posOffset>
            </wp:positionV>
            <wp:extent cx="1335405" cy="1048385"/>
            <wp:effectExtent l="0" t="0" r="0" b="0"/>
            <wp:wrapTight wrapText="bothSides">
              <wp:wrapPolygon edited="0">
                <wp:start x="0" y="0"/>
                <wp:lineTo x="0" y="21194"/>
                <wp:lineTo x="21261" y="21194"/>
                <wp:lineTo x="21261" y="0"/>
                <wp:lineTo x="0" y="0"/>
              </wp:wrapPolygon>
            </wp:wrapTight>
            <wp:docPr id="237" name="Picture 237" descr="A picture containing plant, dish,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 dish, fresh&#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5405" cy="1048385"/>
                    </a:xfrm>
                    <a:prstGeom prst="rect">
                      <a:avLst/>
                    </a:prstGeom>
                    <a:noFill/>
                  </pic:spPr>
                </pic:pic>
              </a:graphicData>
            </a:graphic>
          </wp:anchor>
        </w:drawing>
      </w:r>
      <w:r w:rsidRPr="00265133">
        <w:t xml:space="preserve">Appendix </w:t>
      </w:r>
      <w:r w:rsidR="00793023">
        <w:t>1</w:t>
      </w:r>
      <w:r w:rsidR="007F5E1F">
        <w:t>6</w:t>
      </w:r>
      <w:r w:rsidRPr="00265133">
        <w:t>: Control school parents information letter and opt-out consent (</w:t>
      </w:r>
      <w:r w:rsidR="00121E06">
        <w:t>Studies Two and Three</w:t>
      </w:r>
      <w:r w:rsidRPr="00265133">
        <w:t>, Chapter 7 and 8)</w:t>
      </w:r>
      <w:bookmarkEnd w:id="351"/>
      <w:bookmarkEnd w:id="352"/>
    </w:p>
    <w:p w14:paraId="7AEE6AAC" w14:textId="77777777" w:rsidR="00572E3D" w:rsidRDefault="00572E3D" w:rsidP="00572E3D"/>
    <w:p w14:paraId="277F3F66" w14:textId="77777777" w:rsidR="00572E3D" w:rsidRDefault="00572E3D" w:rsidP="00572E3D">
      <w:pPr>
        <w:tabs>
          <w:tab w:val="left" w:pos="885"/>
          <w:tab w:val="left" w:pos="1560"/>
          <w:tab w:val="right" w:pos="10466"/>
        </w:tabs>
        <w:spacing w:before="100" w:after="200" w:line="276" w:lineRule="auto"/>
        <w:rPr>
          <w:rFonts w:ascii="Calibri" w:eastAsia="Times New Roman" w:hAnsi="Calibri" w:cs="Times New Roman"/>
          <w:b/>
          <w:sz w:val="28"/>
          <w:szCs w:val="28"/>
          <w:u w:val="single"/>
        </w:rPr>
      </w:pPr>
    </w:p>
    <w:p w14:paraId="57AFE9B8" w14:textId="77777777" w:rsidR="00572E3D" w:rsidRPr="00B32EBC" w:rsidRDefault="00572E3D" w:rsidP="00572E3D">
      <w:pPr>
        <w:tabs>
          <w:tab w:val="left" w:pos="885"/>
          <w:tab w:val="left" w:pos="1560"/>
          <w:tab w:val="right" w:pos="10466"/>
        </w:tabs>
        <w:spacing w:before="100" w:after="200" w:line="276" w:lineRule="auto"/>
        <w:rPr>
          <w:rFonts w:ascii="Calibri" w:eastAsia="Times New Roman" w:hAnsi="Calibri" w:cs="Times New Roman"/>
          <w:b/>
          <w:sz w:val="24"/>
          <w:szCs w:val="24"/>
        </w:rPr>
      </w:pPr>
    </w:p>
    <w:p w14:paraId="12A6247E" w14:textId="77777777" w:rsidR="00572E3D" w:rsidRPr="00B32EBC" w:rsidRDefault="00572E3D" w:rsidP="00572E3D">
      <w:pPr>
        <w:tabs>
          <w:tab w:val="left" w:pos="885"/>
          <w:tab w:val="left" w:pos="1560"/>
          <w:tab w:val="right" w:pos="10466"/>
        </w:tabs>
        <w:spacing w:before="100" w:after="200" w:line="276" w:lineRule="auto"/>
        <w:rPr>
          <w:rFonts w:ascii="Calibri" w:eastAsia="Times New Roman" w:hAnsi="Calibri" w:cs="Times New Roman"/>
          <w:b/>
          <w:sz w:val="32"/>
          <w:szCs w:val="32"/>
        </w:rPr>
      </w:pPr>
      <w:r w:rsidRPr="00B32EBC">
        <w:rPr>
          <w:rFonts w:ascii="Calibri" w:eastAsia="Times New Roman" w:hAnsi="Calibri" w:cs="Times New Roman"/>
          <w:b/>
          <w:sz w:val="24"/>
          <w:szCs w:val="24"/>
        </w:rPr>
        <w:t xml:space="preserve">Dear Parent or Guardian,   </w:t>
      </w:r>
    </w:p>
    <w:p w14:paraId="0AD2B7CA" w14:textId="77777777" w:rsidR="00572E3D" w:rsidRPr="00B32EBC" w:rsidRDefault="00572E3D" w:rsidP="00572E3D">
      <w:pPr>
        <w:spacing w:before="100" w:after="200" w:line="276" w:lineRule="auto"/>
        <w:jc w:val="both"/>
        <w:rPr>
          <w:rFonts w:ascii="Calibri" w:eastAsia="Times New Roman" w:hAnsi="Calibri" w:cs="Times New Roman"/>
        </w:rPr>
      </w:pPr>
      <w:r w:rsidRPr="00B32EBC">
        <w:rPr>
          <w:rFonts w:ascii="Calibri" w:eastAsia="Times New Roman" w:hAnsi="Calibri" w:cs="Times New Roman"/>
        </w:rPr>
        <w:t xml:space="preserve">My name is Sian Calvert I am currently undertaking my PhD in psychology at Staffordshire University with a particular interest in children’s eating behaviours with a focus on snacks.  I am contacting you to ask permission for your child to be provided with some healthy eating information. </w:t>
      </w:r>
    </w:p>
    <w:p w14:paraId="50E174D5" w14:textId="77777777" w:rsidR="00572E3D" w:rsidRPr="00B32EBC" w:rsidRDefault="00572E3D" w:rsidP="00572E3D">
      <w:pPr>
        <w:spacing w:before="100" w:after="200" w:line="276" w:lineRule="auto"/>
        <w:jc w:val="both"/>
        <w:rPr>
          <w:rFonts w:ascii="Calibri" w:eastAsia="Times New Roman" w:hAnsi="Calibri" w:cs="Times New Roman"/>
          <w:b/>
        </w:rPr>
      </w:pPr>
      <w:r w:rsidRPr="00B32EBC">
        <w:rPr>
          <w:rFonts w:ascii="Calibri" w:eastAsia="Times New Roman" w:hAnsi="Calibri" w:cs="Times New Roman"/>
          <w:b/>
        </w:rPr>
        <w:t>What would my child have to do?</w:t>
      </w:r>
    </w:p>
    <w:p w14:paraId="744BEEE9" w14:textId="77777777" w:rsidR="00572E3D" w:rsidRPr="00B32EBC" w:rsidRDefault="00572E3D" w:rsidP="00572E3D">
      <w:pPr>
        <w:spacing w:before="100" w:after="200" w:line="276" w:lineRule="auto"/>
        <w:jc w:val="both"/>
        <w:rPr>
          <w:rFonts w:ascii="Calibri" w:eastAsia="Times New Roman" w:hAnsi="Calibri" w:cs="Times New Roman"/>
        </w:rPr>
      </w:pPr>
      <w:r w:rsidRPr="00B32EBC">
        <w:rPr>
          <w:rFonts w:ascii="Calibri" w:eastAsia="Times New Roman" w:hAnsi="Calibri" w:cs="Times New Roman"/>
        </w:rPr>
        <w:t>If you are willing for your child to take part, your child will be given some general healthy eating information. Your child will be asked to fill out a questionnaire about their eating behaviours and also their thoughts about snacking behaviours, before the information is given and two further times after this session</w:t>
      </w:r>
    </w:p>
    <w:p w14:paraId="20195130" w14:textId="77777777" w:rsidR="00572E3D" w:rsidRPr="00B32EBC" w:rsidRDefault="00572E3D" w:rsidP="00572E3D">
      <w:pPr>
        <w:spacing w:before="100" w:after="200" w:line="276" w:lineRule="auto"/>
        <w:jc w:val="both"/>
        <w:rPr>
          <w:rFonts w:ascii="Calibri" w:eastAsia="Times New Roman" w:hAnsi="Calibri" w:cs="Times New Roman"/>
          <w:b/>
        </w:rPr>
      </w:pPr>
      <w:r w:rsidRPr="00B32EBC">
        <w:rPr>
          <w:rFonts w:ascii="Calibri" w:eastAsia="Times New Roman" w:hAnsi="Calibri" w:cs="Times New Roman"/>
          <w:b/>
        </w:rPr>
        <w:t>Has this research been approved?</w:t>
      </w:r>
    </w:p>
    <w:p w14:paraId="064C71B0" w14:textId="77777777" w:rsidR="00572E3D" w:rsidRPr="00B32EBC" w:rsidRDefault="00572E3D" w:rsidP="00572E3D">
      <w:pPr>
        <w:spacing w:before="100" w:after="200" w:line="276" w:lineRule="auto"/>
        <w:jc w:val="both"/>
        <w:rPr>
          <w:rFonts w:ascii="Calibri" w:eastAsia="Times New Roman" w:hAnsi="Calibri" w:cs="Times New Roman"/>
        </w:rPr>
      </w:pPr>
      <w:r w:rsidRPr="00B32EBC">
        <w:rPr>
          <w:rFonts w:ascii="Calibri" w:eastAsia="Times New Roman" w:hAnsi="Calibri" w:cs="Times New Roman"/>
        </w:rPr>
        <w:t>The research has been approved by the Staffordshire University Ethics Committee and data will be collected in accordance with the Data Protection Act 1998. Only the research team at Staffordshire University will have access to the data and it will not be passed on to third parties.  Taking part in this research should not pose any harm to you or your child, and if at any time your child no longer wishes to partake then they are welcome to leave with no questions asked.</w:t>
      </w:r>
    </w:p>
    <w:p w14:paraId="3DB218D9" w14:textId="77777777" w:rsidR="00572E3D" w:rsidRPr="00B32EBC" w:rsidRDefault="00572E3D" w:rsidP="00572E3D">
      <w:pPr>
        <w:spacing w:before="100" w:after="200" w:line="276" w:lineRule="auto"/>
        <w:jc w:val="both"/>
        <w:rPr>
          <w:rFonts w:ascii="Calibri" w:eastAsia="Times New Roman" w:hAnsi="Calibri" w:cs="Times New Roman"/>
          <w:b/>
        </w:rPr>
      </w:pPr>
      <w:r w:rsidRPr="00B32EBC">
        <w:rPr>
          <w:rFonts w:ascii="Calibri" w:eastAsia="Times New Roman" w:hAnsi="Calibri" w:cs="Times New Roman"/>
          <w:b/>
        </w:rPr>
        <w:t xml:space="preserve">What should I do if I do </w:t>
      </w:r>
      <w:r w:rsidRPr="00B32EBC">
        <w:rPr>
          <w:rFonts w:ascii="Calibri" w:eastAsia="Times New Roman" w:hAnsi="Calibri" w:cs="Times New Roman"/>
          <w:b/>
          <w:u w:val="single"/>
        </w:rPr>
        <w:t>NOT</w:t>
      </w:r>
      <w:r w:rsidRPr="00B32EBC">
        <w:rPr>
          <w:rFonts w:ascii="Calibri" w:eastAsia="Times New Roman" w:hAnsi="Calibri" w:cs="Times New Roman"/>
          <w:b/>
        </w:rPr>
        <w:t xml:space="preserve"> want my child to take part?</w:t>
      </w:r>
    </w:p>
    <w:p w14:paraId="7470013D" w14:textId="77777777" w:rsidR="00572E3D" w:rsidRPr="00B32EBC" w:rsidRDefault="00572E3D" w:rsidP="00572E3D">
      <w:pPr>
        <w:spacing w:before="100" w:after="200" w:line="276" w:lineRule="auto"/>
        <w:jc w:val="both"/>
        <w:rPr>
          <w:rFonts w:ascii="Calibri" w:eastAsia="Times New Roman" w:hAnsi="Calibri" w:cs="Times New Roman"/>
        </w:rPr>
      </w:pPr>
      <w:r w:rsidRPr="00B32EBC">
        <w:rPr>
          <w:rFonts w:ascii="Calibri" w:eastAsia="Times New Roman" w:hAnsi="Calibri" w:cs="Times New Roman"/>
        </w:rPr>
        <w:t xml:space="preserve">If you would </w:t>
      </w:r>
      <w:r w:rsidRPr="00B32EBC">
        <w:rPr>
          <w:rFonts w:ascii="Calibri" w:eastAsia="Times New Roman" w:hAnsi="Calibri" w:cs="Times New Roman"/>
          <w:b/>
          <w:u w:val="single"/>
        </w:rPr>
        <w:t>NOT</w:t>
      </w:r>
      <w:r w:rsidRPr="00B32EBC">
        <w:rPr>
          <w:rFonts w:ascii="Calibri" w:eastAsia="Times New Roman" w:hAnsi="Calibri" w:cs="Times New Roman"/>
        </w:rPr>
        <w:t xml:space="preserve"> like your child to partake in the research, please fill out slip below and return it to the school by </w:t>
      </w:r>
      <w:r w:rsidRPr="00B32EBC">
        <w:rPr>
          <w:rFonts w:ascii="Calibri" w:eastAsia="Times New Roman" w:hAnsi="Calibri" w:cs="Times New Roman"/>
          <w:b/>
        </w:rPr>
        <w:t>DATE</w:t>
      </w:r>
      <w:r w:rsidRPr="00B32EBC">
        <w:rPr>
          <w:rFonts w:ascii="Calibri" w:eastAsia="Times New Roman" w:hAnsi="Calibri" w:cs="Times New Roman"/>
        </w:rPr>
        <w:t>.</w:t>
      </w:r>
    </w:p>
    <w:p w14:paraId="07EC7B26" w14:textId="77777777" w:rsidR="00572E3D" w:rsidRPr="00B32EBC" w:rsidRDefault="00572E3D" w:rsidP="00572E3D">
      <w:pPr>
        <w:spacing w:before="100" w:after="200" w:line="276" w:lineRule="auto"/>
        <w:jc w:val="both"/>
        <w:rPr>
          <w:rFonts w:ascii="Calibri" w:eastAsia="Times New Roman" w:hAnsi="Calibri" w:cs="Times New Roman"/>
        </w:rPr>
      </w:pPr>
      <w:r w:rsidRPr="00B32EBC">
        <w:rPr>
          <w:rFonts w:ascii="Calibri" w:eastAsia="Times New Roman" w:hAnsi="Calibri" w:cs="Times New Roman"/>
        </w:rPr>
        <w:t>Thank you for taking the time to read this. If you have any further questions, please contact.</w:t>
      </w:r>
    </w:p>
    <w:p w14:paraId="163D0932" w14:textId="77777777" w:rsidR="00572E3D" w:rsidRPr="00B32EBC" w:rsidRDefault="00572E3D" w:rsidP="00572E3D">
      <w:pPr>
        <w:spacing w:before="100" w:after="200" w:line="276" w:lineRule="auto"/>
        <w:rPr>
          <w:rFonts w:ascii="Calibri" w:eastAsia="Times New Roman" w:hAnsi="Calibri" w:cs="Times New Roman"/>
        </w:rPr>
      </w:pPr>
      <w:r w:rsidRPr="00B32EBC">
        <w:rPr>
          <w:rFonts w:ascii="Calibri" w:eastAsia="Times New Roman" w:hAnsi="Calibri" w:cs="Times New Roman"/>
        </w:rPr>
        <w:t>Kind regards</w:t>
      </w:r>
    </w:p>
    <w:p w14:paraId="3E9672F8" w14:textId="77777777"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rPr>
        <w:t>Sian Calvert</w:t>
      </w:r>
    </w:p>
    <w:p w14:paraId="2CC56997" w14:textId="77777777" w:rsidR="00572E3D" w:rsidRPr="00B32EBC" w:rsidRDefault="00322DCE" w:rsidP="00572E3D">
      <w:pPr>
        <w:spacing w:after="0" w:line="240" w:lineRule="auto"/>
        <w:rPr>
          <w:rFonts w:ascii="Calibri" w:eastAsia="Calibri" w:hAnsi="Calibri" w:cs="Times New Roman"/>
          <w:color w:val="0563C1"/>
          <w:u w:val="single"/>
        </w:rPr>
      </w:pPr>
      <w:hyperlink r:id="rId79" w:history="1">
        <w:r w:rsidR="00572E3D" w:rsidRPr="00B32EBC">
          <w:rPr>
            <w:rFonts w:ascii="Calibri" w:eastAsia="Calibri" w:hAnsi="Calibri" w:cs="Times New Roman"/>
            <w:color w:val="0563C1"/>
            <w:u w:val="single"/>
          </w:rPr>
          <w:t>Sian.calvert@research.staffs.ac.uk</w:t>
        </w:r>
      </w:hyperlink>
    </w:p>
    <w:p w14:paraId="2C708300" w14:textId="77777777"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i/>
        </w:rPr>
        <w:t xml:space="preserve">PhD student in psychology, at Staffordshire University </w:t>
      </w:r>
    </w:p>
    <w:p w14:paraId="735E52DD" w14:textId="77777777" w:rsidR="00572E3D" w:rsidRPr="00B32EBC" w:rsidRDefault="00572E3D" w:rsidP="00572E3D">
      <w:pPr>
        <w:spacing w:after="0" w:line="240" w:lineRule="auto"/>
        <w:rPr>
          <w:rFonts w:ascii="Calibri" w:eastAsia="Calibri" w:hAnsi="Calibri" w:cs="Times New Roman"/>
        </w:rPr>
        <w:sectPr w:rsidR="00572E3D" w:rsidRPr="00B32EBC" w:rsidSect="006D652C">
          <w:type w:val="continuous"/>
          <w:pgSz w:w="11906" w:h="16838"/>
          <w:pgMar w:top="1440" w:right="1440" w:bottom="1440" w:left="1440" w:header="708" w:footer="708" w:gutter="0"/>
          <w:cols w:space="708"/>
          <w:docGrid w:linePitch="360"/>
        </w:sectPr>
      </w:pPr>
    </w:p>
    <w:p w14:paraId="049DED83" w14:textId="77777777" w:rsidR="00572E3D" w:rsidRPr="00B32EBC" w:rsidRDefault="00572E3D" w:rsidP="00572E3D">
      <w:pPr>
        <w:spacing w:after="0" w:line="240" w:lineRule="auto"/>
        <w:rPr>
          <w:rFonts w:ascii="Calibri" w:eastAsia="Calibri" w:hAnsi="Calibri" w:cs="Times New Roman"/>
        </w:rPr>
      </w:pPr>
    </w:p>
    <w:p w14:paraId="39AD6C91" w14:textId="77777777" w:rsidR="00572E3D" w:rsidRPr="00B32EBC" w:rsidRDefault="00572E3D" w:rsidP="00572E3D">
      <w:pPr>
        <w:spacing w:after="0" w:line="240" w:lineRule="auto"/>
        <w:rPr>
          <w:rFonts w:ascii="Calibri" w:eastAsia="Calibri" w:hAnsi="Calibri" w:cs="Times New Roman"/>
        </w:rPr>
        <w:sectPr w:rsidR="00572E3D" w:rsidRPr="00B32EBC" w:rsidSect="00C86B71">
          <w:type w:val="continuous"/>
          <w:pgSz w:w="11906" w:h="16838"/>
          <w:pgMar w:top="720" w:right="720" w:bottom="720" w:left="720" w:header="708" w:footer="708" w:gutter="0"/>
          <w:cols w:num="2" w:space="708"/>
          <w:docGrid w:linePitch="360"/>
        </w:sectPr>
      </w:pPr>
    </w:p>
    <w:p w14:paraId="4D2AD66F" w14:textId="77777777"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rPr>
        <w:t>Supervisors:</w:t>
      </w:r>
    </w:p>
    <w:p w14:paraId="7F713F68" w14:textId="77777777"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rPr>
        <w:t xml:space="preserve">Dr. Robert Dempsey </w:t>
      </w:r>
    </w:p>
    <w:p w14:paraId="369A65E1" w14:textId="0F86D414"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rPr>
        <w:t>robert.dempsey@staffs.ac.uk</w:t>
      </w:r>
    </w:p>
    <w:p w14:paraId="5C432E32" w14:textId="77777777"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rPr>
        <w:t xml:space="preserve">Lecturer at Staffordshire University </w:t>
      </w:r>
    </w:p>
    <w:p w14:paraId="18501C9E" w14:textId="231B7CFB" w:rsidR="00572E3D" w:rsidRPr="00B32EBC" w:rsidRDefault="00572E3D" w:rsidP="00572E3D">
      <w:pPr>
        <w:spacing w:after="0" w:line="240" w:lineRule="auto"/>
        <w:rPr>
          <w:rFonts w:ascii="Calibri" w:eastAsia="Calibri" w:hAnsi="Calibri" w:cs="Times New Roman"/>
          <w:lang w:val="it-IT"/>
        </w:rPr>
      </w:pPr>
      <w:r>
        <w:rPr>
          <w:rFonts w:ascii="Calibri" w:eastAsia="Calibri" w:hAnsi="Calibri" w:cs="Times New Roman"/>
          <w:lang w:val="it-IT"/>
        </w:rPr>
        <w:t xml:space="preserve">[Telephone number] </w:t>
      </w:r>
    </w:p>
    <w:p w14:paraId="546694D1" w14:textId="77777777" w:rsidR="00572E3D" w:rsidRPr="00B32EBC" w:rsidRDefault="00572E3D" w:rsidP="00572E3D">
      <w:pPr>
        <w:spacing w:after="0" w:line="240" w:lineRule="auto"/>
        <w:rPr>
          <w:rFonts w:ascii="Calibri" w:eastAsia="Calibri" w:hAnsi="Calibri" w:cs="Times New Roman"/>
          <w:lang w:val="it-IT"/>
        </w:rPr>
      </w:pPr>
      <w:r w:rsidRPr="00B32EBC">
        <w:rPr>
          <w:rFonts w:ascii="Calibri" w:eastAsia="Calibri" w:hAnsi="Calibri" w:cs="Times New Roman"/>
          <w:lang w:val="it-IT"/>
        </w:rPr>
        <w:t xml:space="preserve">Dr. Rachel Povey </w:t>
      </w:r>
    </w:p>
    <w:p w14:paraId="7E67F156" w14:textId="77777777" w:rsidR="00572E3D" w:rsidRPr="00B32EBC" w:rsidRDefault="00572E3D" w:rsidP="00572E3D">
      <w:pPr>
        <w:spacing w:after="0" w:line="240" w:lineRule="auto"/>
        <w:rPr>
          <w:rFonts w:ascii="Calibri" w:eastAsia="Calibri" w:hAnsi="Calibri" w:cs="Times New Roman"/>
          <w:lang w:val="it-IT"/>
        </w:rPr>
      </w:pPr>
      <w:r w:rsidRPr="00B32EBC">
        <w:rPr>
          <w:rFonts w:ascii="Calibri" w:eastAsia="Calibri" w:hAnsi="Calibri" w:cs="Times New Roman"/>
          <w:lang w:val="it-IT"/>
        </w:rPr>
        <w:t>r.povey@staffs.ac.uk</w:t>
      </w:r>
    </w:p>
    <w:p w14:paraId="74A26128" w14:textId="77777777" w:rsidR="00572E3D" w:rsidRPr="00B32EBC" w:rsidRDefault="00572E3D" w:rsidP="00572E3D">
      <w:pPr>
        <w:spacing w:after="0" w:line="240" w:lineRule="auto"/>
        <w:rPr>
          <w:rFonts w:ascii="Calibri" w:eastAsia="Calibri" w:hAnsi="Calibri" w:cs="Times New Roman"/>
        </w:rPr>
      </w:pPr>
      <w:r w:rsidRPr="00B32EBC">
        <w:rPr>
          <w:rFonts w:ascii="Calibri" w:eastAsia="Calibri" w:hAnsi="Calibri" w:cs="Times New Roman"/>
        </w:rPr>
        <w:t xml:space="preserve">Associate Professor in Health Psychology at Staffordshire University </w:t>
      </w:r>
    </w:p>
    <w:p w14:paraId="1476318C" w14:textId="77777777" w:rsidR="00572E3D" w:rsidRPr="00B32EBC" w:rsidRDefault="00572E3D" w:rsidP="00572E3D">
      <w:pPr>
        <w:spacing w:after="0" w:line="240" w:lineRule="auto"/>
        <w:rPr>
          <w:rFonts w:ascii="Calibri" w:eastAsia="Calibri" w:hAnsi="Calibri" w:cs="Times New Roman"/>
        </w:rPr>
        <w:sectPr w:rsidR="00572E3D" w:rsidRPr="00B32EBC" w:rsidSect="00DB2EC7">
          <w:type w:val="continuous"/>
          <w:pgSz w:w="11906" w:h="16838"/>
          <w:pgMar w:top="1440" w:right="1440" w:bottom="1440" w:left="1440" w:header="708" w:footer="708" w:gutter="0"/>
          <w:cols w:num="2" w:space="708"/>
          <w:docGrid w:linePitch="360"/>
        </w:sectPr>
      </w:pPr>
      <w:r>
        <w:rPr>
          <w:rFonts w:ascii="Calibri" w:eastAsia="Calibri" w:hAnsi="Calibri" w:cs="Times New Roman"/>
        </w:rPr>
        <w:t>[Telephone number]</w:t>
      </w:r>
    </w:p>
    <w:p w14:paraId="15577EA3" w14:textId="17D94B8E" w:rsidR="00572E3D" w:rsidRDefault="00C834E3" w:rsidP="00572E3D">
      <w:pPr>
        <w:spacing w:after="0" w:line="240" w:lineRule="auto"/>
        <w:rPr>
          <w:rFonts w:ascii="Calibri" w:eastAsia="Calibri" w:hAnsi="Calibri" w:cs="Times New Roman"/>
          <w:sz w:val="21"/>
          <w:szCs w:val="21"/>
        </w:rPr>
      </w:pPr>
      <w:r w:rsidRPr="00B32EBC">
        <w:rPr>
          <w:rFonts w:ascii="Calibri" w:eastAsia="Times New Roman" w:hAnsi="Calibri" w:cs="Times New Roman"/>
          <w:b/>
          <w:noProof/>
          <w:sz w:val="32"/>
          <w:szCs w:val="32"/>
          <w:lang w:eastAsia="en-GB"/>
        </w:rPr>
        <mc:AlternateContent>
          <mc:Choice Requires="wps">
            <w:drawing>
              <wp:anchor distT="0" distB="0" distL="114300" distR="114300" simplePos="0" relativeHeight="251614208" behindDoc="0" locked="0" layoutInCell="1" allowOverlap="1" wp14:anchorId="1B2591E6" wp14:editId="1F6769AC">
                <wp:simplePos x="0" y="0"/>
                <wp:positionH relativeFrom="margin">
                  <wp:posOffset>-389255</wp:posOffset>
                </wp:positionH>
                <wp:positionV relativeFrom="paragraph">
                  <wp:posOffset>186055</wp:posOffset>
                </wp:positionV>
                <wp:extent cx="6436360" cy="1076325"/>
                <wp:effectExtent l="19050" t="19050" r="21590" b="28575"/>
                <wp:wrapNone/>
                <wp:docPr id="31" name="Rectangle 31"/>
                <wp:cNvGraphicFramePr/>
                <a:graphic xmlns:a="http://schemas.openxmlformats.org/drawingml/2006/main">
                  <a:graphicData uri="http://schemas.microsoft.com/office/word/2010/wordprocessingShape">
                    <wps:wsp>
                      <wps:cNvSpPr/>
                      <wps:spPr>
                        <a:xfrm>
                          <a:off x="0" y="0"/>
                          <a:ext cx="6436360" cy="1076325"/>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5B1E2FF2"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research.</w:t>
                            </w:r>
                            <w:r w:rsidRPr="0063305B">
                              <w:rPr>
                                <w:rFonts w:ascii="Calibri" w:eastAsia="Times New Roman" w:hAnsi="Calibri" w:cs="Times New Roman"/>
                              </w:rPr>
                              <w:t xml:space="preserve"> </w:t>
                            </w:r>
                          </w:p>
                          <w:p w14:paraId="30224163"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2D335114" w14:textId="77777777" w:rsidR="00572E3D" w:rsidRDefault="00572E3D" w:rsidP="00572E3D">
                            <w:pPr>
                              <w:spacing w:before="100" w:after="200" w:line="276" w:lineRule="auto"/>
                              <w:rPr>
                                <w:rFonts w:ascii="Calibri" w:eastAsia="Times New Roman" w:hAnsi="Calibri" w:cs="Times New Roman"/>
                              </w:rPr>
                            </w:pPr>
                            <w:r w:rsidRPr="00D10CF7">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24BA2523" w14:textId="77777777" w:rsidR="00572E3D" w:rsidRDefault="00572E3D" w:rsidP="00572E3D">
                            <w:pPr>
                              <w:jc w:val="center"/>
                            </w:pPr>
                          </w:p>
                          <w:p w14:paraId="142F8463" w14:textId="77777777" w:rsidR="00D1262B" w:rsidRDefault="00D1262B"/>
                          <w:p w14:paraId="5082978F" w14:textId="7DF6872E"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research.</w:t>
                            </w:r>
                            <w:r w:rsidRPr="0063305B">
                              <w:rPr>
                                <w:rFonts w:ascii="Calibri" w:eastAsia="Times New Roman" w:hAnsi="Calibri" w:cs="Times New Roman"/>
                              </w:rPr>
                              <w:t xml:space="preserve"> </w:t>
                            </w:r>
                          </w:p>
                          <w:p w14:paraId="3CFD38D1"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59798B08" w14:textId="77777777" w:rsidR="00572E3D" w:rsidRDefault="00572E3D" w:rsidP="00572E3D">
                            <w:pPr>
                              <w:spacing w:before="100" w:after="200" w:line="276" w:lineRule="auto"/>
                              <w:rPr>
                                <w:rFonts w:ascii="Calibri" w:eastAsia="Times New Roman" w:hAnsi="Calibri" w:cs="Times New Roman"/>
                              </w:rPr>
                            </w:pPr>
                            <w:r w:rsidRPr="00D10CF7">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26D79B55" w14:textId="77777777" w:rsidR="00572E3D"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2591E6" id="Rectangle 31" o:spid="_x0000_s1049" style="position:absolute;margin-left:-30.65pt;margin-top:14.65pt;width:506.8pt;height:84.75pt;z-index:251614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" fillcolor="window" strokecolor="windowText" strokeweight="3pt">
                <v:textbox>
                  <w:txbxContent>
                    <w:p w14:paraId="5B1E2FF2"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research.</w:t>
                      </w:r>
                      <w:r w:rsidRPr="0063305B">
                        <w:rPr>
                          <w:rFonts w:ascii="Calibri" w:eastAsia="Times New Roman" w:hAnsi="Calibri" w:cs="Times New Roman"/>
                        </w:rPr>
                        <w:t xml:space="preserve"> </w:t>
                      </w:r>
                    </w:p>
                    <w:p w14:paraId="30224163"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2D335114" w14:textId="77777777" w:rsidR="00572E3D" w:rsidRDefault="00572E3D" w:rsidP="00572E3D">
                      <w:pPr>
                        <w:spacing w:before="100" w:after="200" w:line="276" w:lineRule="auto"/>
                        <w:rPr>
                          <w:rFonts w:ascii="Calibri" w:eastAsia="Times New Roman" w:hAnsi="Calibri" w:cs="Times New Roman"/>
                        </w:rPr>
                      </w:pPr>
                      <w:r w:rsidRPr="00D10CF7">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24BA2523" w14:textId="77777777" w:rsidR="00572E3D" w:rsidRDefault="00572E3D" w:rsidP="00572E3D">
                      <w:pPr>
                        <w:jc w:val="center"/>
                      </w:pPr>
                    </w:p>
                    <w:p w14:paraId="142F8463" w14:textId="77777777" w:rsidR="00D1262B" w:rsidRDefault="00D1262B"/>
                    <w:p w14:paraId="5082978F" w14:textId="7DF6872E"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research.</w:t>
                      </w:r>
                      <w:r w:rsidRPr="0063305B">
                        <w:rPr>
                          <w:rFonts w:ascii="Calibri" w:eastAsia="Times New Roman" w:hAnsi="Calibri" w:cs="Times New Roman"/>
                        </w:rPr>
                        <w:t xml:space="preserve"> </w:t>
                      </w:r>
                    </w:p>
                    <w:p w14:paraId="3CFD38D1"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My child’s name is …………………………………………………  Class …………………….. </w:t>
                      </w:r>
                    </w:p>
                    <w:p w14:paraId="59798B08" w14:textId="77777777" w:rsidR="00572E3D" w:rsidRDefault="00572E3D" w:rsidP="00572E3D">
                      <w:pPr>
                        <w:spacing w:before="100" w:after="200" w:line="276" w:lineRule="auto"/>
                        <w:rPr>
                          <w:rFonts w:ascii="Calibri" w:eastAsia="Times New Roman" w:hAnsi="Calibri" w:cs="Times New Roman"/>
                        </w:rPr>
                      </w:pPr>
                      <w:r w:rsidRPr="00D10CF7">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26D79B55" w14:textId="77777777" w:rsidR="00572E3D" w:rsidRDefault="00572E3D" w:rsidP="00572E3D">
                      <w:pPr>
                        <w:jc w:val="center"/>
                      </w:pPr>
                    </w:p>
                  </w:txbxContent>
                </v:textbox>
                <w10:wrap anchorx="margin"/>
              </v:rect>
            </w:pict>
          </mc:Fallback>
        </mc:AlternateContent>
      </w:r>
      <w:r w:rsidR="00572E3D" w:rsidRPr="00B32EBC">
        <w:rPr>
          <w:rFonts w:ascii="Calibri" w:eastAsia="Calibri" w:hAnsi="Calibri" w:cs="Times New Roman"/>
          <w:noProof/>
          <w:sz w:val="21"/>
          <w:szCs w:val="21"/>
          <w:lang w:eastAsia="en-GB"/>
        </w:rPr>
        <mc:AlternateContent>
          <mc:Choice Requires="wps">
            <w:drawing>
              <wp:anchor distT="0" distB="0" distL="114300" distR="114300" simplePos="0" relativeHeight="251615232" behindDoc="0" locked="0" layoutInCell="1" allowOverlap="1" wp14:anchorId="380FF1B7" wp14:editId="343A76EA">
                <wp:simplePos x="0" y="0"/>
                <wp:positionH relativeFrom="column">
                  <wp:posOffset>101965</wp:posOffset>
                </wp:positionH>
                <wp:positionV relativeFrom="paragraph">
                  <wp:posOffset>76479</wp:posOffset>
                </wp:positionV>
                <wp:extent cx="5476875"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547687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3D58B3E" id="Straight Connector 32" o:spid="_x0000_s1026" style="position:absolute;flip:y;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6pt" to="439.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" strokecolor="windowText" strokeweight=".5pt">
                <v:stroke joinstyle="miter"/>
              </v:line>
            </w:pict>
          </mc:Fallback>
        </mc:AlternateContent>
      </w:r>
      <w:r w:rsidR="00572E3D" w:rsidRPr="00B32EBC">
        <w:rPr>
          <w:rFonts w:ascii="Calibri" w:eastAsia="Calibri" w:hAnsi="Calibri" w:cs="Times New Roman"/>
          <w:sz w:val="21"/>
          <w:szCs w:val="21"/>
        </w:rPr>
        <w:sym w:font="Wingdings" w:char="F022"/>
      </w:r>
      <w:bookmarkStart w:id="354" w:name="_Toc84845181"/>
      <w:bookmarkStart w:id="355" w:name="_Toc84854192"/>
    </w:p>
    <w:p w14:paraId="58A1DE39" w14:textId="76200DD0" w:rsidR="00572E3D" w:rsidRPr="00265133" w:rsidRDefault="00572E3D" w:rsidP="00572E3D">
      <w:pPr>
        <w:spacing w:after="0" w:line="240" w:lineRule="auto"/>
        <w:rPr>
          <w:rFonts w:ascii="Calibri" w:eastAsia="Calibri" w:hAnsi="Calibri" w:cs="Times New Roman"/>
          <w:sz w:val="21"/>
          <w:szCs w:val="21"/>
        </w:rPr>
      </w:pPr>
      <w:r w:rsidRPr="00E272EB">
        <w:lastRenderedPageBreak/>
        <w:fldChar w:fldCharType="begin"/>
      </w:r>
      <w:r w:rsidRPr="00E272EB">
        <w:instrText xml:space="preserve"> TC  " </w:instrText>
      </w:r>
      <w:bookmarkStart w:id="356" w:name="_Toc97557169"/>
      <w:r w:rsidRPr="00265133">
        <w:instrText xml:space="preserve">Appendix </w:instrText>
      </w:r>
      <w:r w:rsidR="00D236D4">
        <w:instrText>1</w:instrText>
      </w:r>
      <w:r w:rsidR="007F5E1F">
        <w:instrText>7</w:instrText>
      </w:r>
      <w:r w:rsidRPr="00265133">
        <w:instrText xml:space="preserve">: </w:instrText>
      </w:r>
      <w:r>
        <w:instrText>SNA intervention school parents information letter and opt-out consent (</w:instrText>
      </w:r>
      <w:r w:rsidR="00121E06">
        <w:instrText>Studies Two and Three</w:instrText>
      </w:r>
      <w:r>
        <w:instrText>, Chapter 7 and 8)</w:instrText>
      </w:r>
      <w:bookmarkEnd w:id="356"/>
      <w:r w:rsidRPr="00E272EB">
        <w:instrText xml:space="preserve">" \f y\l </w:instrText>
      </w:r>
      <w:r>
        <w:instrText>2</w:instrText>
      </w:r>
      <w:r w:rsidRPr="00E272EB">
        <w:instrText xml:space="preserve"> </w:instrText>
      </w:r>
      <w:r w:rsidRPr="00E272EB">
        <w:fldChar w:fldCharType="end"/>
      </w:r>
      <w:r w:rsidRPr="00265133">
        <w:rPr>
          <w:noProof/>
        </w:rPr>
        <w:drawing>
          <wp:anchor distT="0" distB="0" distL="114300" distR="114300" simplePos="0" relativeHeight="251621376" behindDoc="1" locked="0" layoutInCell="1" allowOverlap="1" wp14:anchorId="0B5C04CB" wp14:editId="64309039">
            <wp:simplePos x="0" y="0"/>
            <wp:positionH relativeFrom="column">
              <wp:posOffset>4720211</wp:posOffset>
            </wp:positionH>
            <wp:positionV relativeFrom="paragraph">
              <wp:posOffset>423875</wp:posOffset>
            </wp:positionV>
            <wp:extent cx="971550" cy="1104900"/>
            <wp:effectExtent l="0" t="0" r="0" b="0"/>
            <wp:wrapTight wrapText="bothSides">
              <wp:wrapPolygon edited="0">
                <wp:start x="0" y="0"/>
                <wp:lineTo x="0" y="21228"/>
                <wp:lineTo x="21176" y="21228"/>
                <wp:lineTo x="21176" y="0"/>
                <wp:lineTo x="0" y="0"/>
              </wp:wrapPolygon>
            </wp:wrapTight>
            <wp:docPr id="239" name="Picture 2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r w:rsidRPr="00265133">
        <w:t xml:space="preserve">Appendix </w:t>
      </w:r>
      <w:r w:rsidR="00D236D4">
        <w:t>1</w:t>
      </w:r>
      <w:r w:rsidR="007F5E1F">
        <w:t>7</w:t>
      </w:r>
      <w:r w:rsidRPr="00265133">
        <w:t>: SNA intervention school parents information letter and opt-out consent (</w:t>
      </w:r>
      <w:r w:rsidR="00121E06">
        <w:t>Studies Two and Three</w:t>
      </w:r>
      <w:r w:rsidRPr="00265133">
        <w:t>, Chapter 7 and 8)</w:t>
      </w:r>
      <w:bookmarkEnd w:id="354"/>
      <w:bookmarkEnd w:id="355"/>
    </w:p>
    <w:p w14:paraId="54D71496" w14:textId="147A6CAB" w:rsidR="00572E3D" w:rsidRDefault="00572E3D" w:rsidP="00572E3D">
      <w:r w:rsidRPr="00265133">
        <w:rPr>
          <w:noProof/>
        </w:rPr>
        <w:drawing>
          <wp:anchor distT="0" distB="0" distL="114300" distR="114300" simplePos="0" relativeHeight="251618304" behindDoc="1" locked="0" layoutInCell="1" allowOverlap="1" wp14:anchorId="3619C88E" wp14:editId="162FAE01">
            <wp:simplePos x="0" y="0"/>
            <wp:positionH relativeFrom="margin">
              <wp:posOffset>-27709</wp:posOffset>
            </wp:positionH>
            <wp:positionV relativeFrom="paragraph">
              <wp:posOffset>67714</wp:posOffset>
            </wp:positionV>
            <wp:extent cx="1121111" cy="727075"/>
            <wp:effectExtent l="0" t="0" r="317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28881" cy="732114"/>
                    </a:xfrm>
                    <a:prstGeom prst="rect">
                      <a:avLst/>
                    </a:prstGeom>
                  </pic:spPr>
                </pic:pic>
              </a:graphicData>
            </a:graphic>
            <wp14:sizeRelH relativeFrom="margin">
              <wp14:pctWidth>0</wp14:pctWidth>
            </wp14:sizeRelH>
            <wp14:sizeRelV relativeFrom="margin">
              <wp14:pctHeight>0</wp14:pctHeight>
            </wp14:sizeRelV>
          </wp:anchor>
        </w:drawing>
      </w:r>
    </w:p>
    <w:p w14:paraId="5A3D9D33" w14:textId="77777777" w:rsidR="00572E3D" w:rsidRDefault="00572E3D" w:rsidP="00572E3D"/>
    <w:p w14:paraId="08C49E26" w14:textId="77777777" w:rsidR="00572E3D" w:rsidRPr="00415343" w:rsidRDefault="00572E3D" w:rsidP="00572E3D">
      <w:pPr>
        <w:sectPr w:rsidR="00572E3D" w:rsidRPr="00415343" w:rsidSect="00C937B0">
          <w:footerReference w:type="default" r:id="rId81"/>
          <w:type w:val="continuous"/>
          <w:pgSz w:w="11906" w:h="16838"/>
          <w:pgMar w:top="1440" w:right="1440" w:bottom="1440" w:left="1440" w:header="708" w:footer="708" w:gutter="0"/>
          <w:cols w:space="708"/>
          <w:docGrid w:linePitch="360"/>
        </w:sectPr>
      </w:pPr>
    </w:p>
    <w:p w14:paraId="79F3CB81" w14:textId="77777777" w:rsidR="00572E3D" w:rsidRDefault="00572E3D" w:rsidP="00572E3D">
      <w:pPr>
        <w:tabs>
          <w:tab w:val="left" w:pos="885"/>
          <w:tab w:val="left" w:pos="1560"/>
          <w:tab w:val="right" w:pos="10466"/>
        </w:tabs>
        <w:spacing w:before="100" w:after="200" w:line="276" w:lineRule="auto"/>
        <w:rPr>
          <w:rFonts w:ascii="Calibri" w:eastAsia="Times New Roman" w:hAnsi="Calibri" w:cs="Times New Roman"/>
          <w:b/>
          <w:sz w:val="28"/>
          <w:szCs w:val="28"/>
          <w:u w:val="single"/>
        </w:rPr>
      </w:pPr>
    </w:p>
    <w:p w14:paraId="18D2FA71" w14:textId="77777777" w:rsidR="00572E3D" w:rsidRDefault="00572E3D" w:rsidP="00572E3D">
      <w:pPr>
        <w:tabs>
          <w:tab w:val="left" w:pos="885"/>
          <w:tab w:val="left" w:pos="1560"/>
          <w:tab w:val="right" w:pos="10466"/>
        </w:tabs>
        <w:spacing w:before="100" w:after="200" w:line="276" w:lineRule="auto"/>
        <w:rPr>
          <w:rFonts w:ascii="Calibri" w:eastAsia="Times New Roman" w:hAnsi="Calibri" w:cs="Times New Roman"/>
          <w:b/>
          <w:sz w:val="32"/>
          <w:szCs w:val="32"/>
        </w:rPr>
      </w:pPr>
      <w:r w:rsidRPr="006D6711">
        <w:rPr>
          <w:rFonts w:ascii="Calibri" w:eastAsia="Times New Roman" w:hAnsi="Calibri" w:cs="Times New Roman"/>
          <w:b/>
          <w:sz w:val="24"/>
          <w:szCs w:val="24"/>
        </w:rPr>
        <w:t>Dear Parent or G</w:t>
      </w:r>
      <w:r w:rsidRPr="007A5D9E">
        <w:rPr>
          <w:rFonts w:ascii="Calibri" w:eastAsia="Times New Roman" w:hAnsi="Calibri" w:cs="Times New Roman"/>
          <w:b/>
          <w:sz w:val="24"/>
          <w:szCs w:val="24"/>
        </w:rPr>
        <w:t xml:space="preserve">uardian,   </w:t>
      </w:r>
    </w:p>
    <w:p w14:paraId="70DE8E26" w14:textId="77777777" w:rsidR="00572E3D" w:rsidRPr="00177292" w:rsidRDefault="00572E3D" w:rsidP="00572E3D">
      <w:pPr>
        <w:tabs>
          <w:tab w:val="left" w:pos="885"/>
          <w:tab w:val="left" w:pos="1560"/>
          <w:tab w:val="right" w:pos="10466"/>
        </w:tabs>
        <w:spacing w:before="100" w:after="200" w:line="276" w:lineRule="auto"/>
        <w:rPr>
          <w:rFonts w:ascii="Calibri" w:eastAsia="Times New Roman" w:hAnsi="Calibri" w:cs="Times New Roman"/>
          <w:b/>
          <w:sz w:val="32"/>
          <w:szCs w:val="32"/>
        </w:rPr>
      </w:pPr>
      <w:r w:rsidRPr="007A5D9E">
        <w:rPr>
          <w:rFonts w:ascii="Calibri" w:eastAsia="Times New Roman" w:hAnsi="Calibri" w:cs="Times New Roman"/>
        </w:rPr>
        <w:t xml:space="preserve">My name is Sian Calvert I am currently undertaking a PhD in Psychology at Staffordshire University. My PhD Research is aiming to improve children’s eating behaviours.  I am contacting you to ask permission for your child to take part in a healthy eating campaign. </w:t>
      </w:r>
    </w:p>
    <w:p w14:paraId="2500447D" w14:textId="77777777" w:rsidR="00572E3D" w:rsidRPr="007A5D9E" w:rsidRDefault="00572E3D" w:rsidP="00572E3D">
      <w:pPr>
        <w:spacing w:before="100" w:after="200" w:line="276" w:lineRule="auto"/>
        <w:jc w:val="both"/>
        <w:rPr>
          <w:rFonts w:ascii="Calibri" w:eastAsia="Times New Roman" w:hAnsi="Calibri" w:cs="Times New Roman"/>
          <w:b/>
        </w:rPr>
      </w:pPr>
      <w:r w:rsidRPr="007A5D9E">
        <w:rPr>
          <w:rFonts w:ascii="Calibri" w:eastAsia="Times New Roman" w:hAnsi="Calibri" w:cs="Times New Roman"/>
          <w:b/>
        </w:rPr>
        <w:t>What would my child have to do?</w:t>
      </w:r>
    </w:p>
    <w:p w14:paraId="16502C7B" w14:textId="77777777" w:rsidR="00572E3D" w:rsidRPr="007A5D9E" w:rsidRDefault="00572E3D" w:rsidP="00572E3D">
      <w:pPr>
        <w:spacing w:before="100" w:after="200" w:line="276" w:lineRule="auto"/>
        <w:jc w:val="both"/>
        <w:rPr>
          <w:rFonts w:ascii="Calibri" w:eastAsia="Times New Roman" w:hAnsi="Calibri" w:cs="Times New Roman"/>
        </w:rPr>
      </w:pPr>
      <w:r w:rsidRPr="007A5D9E">
        <w:rPr>
          <w:rFonts w:ascii="Calibri" w:eastAsia="Times New Roman" w:hAnsi="Calibri" w:cs="Times New Roman"/>
        </w:rPr>
        <w:t xml:space="preserve">If you are willing for your child to take part, they will be asked to get involved in designing a poster, with children from the same school year, about snacking behaviours; the posters will be displayed at the school.  This session will be in school hours (class time) and will take no longer than 60 minutes. Your child will be asked to fill out a questionnaire about their eating behaviours and also their thoughts about snacking behaviours, before this session and two further times after this session. </w:t>
      </w:r>
    </w:p>
    <w:p w14:paraId="1CC71F96" w14:textId="77777777" w:rsidR="00572E3D" w:rsidRPr="007A5D9E" w:rsidRDefault="00572E3D" w:rsidP="00572E3D">
      <w:pPr>
        <w:spacing w:before="100" w:after="200" w:line="276" w:lineRule="auto"/>
        <w:jc w:val="both"/>
        <w:rPr>
          <w:rFonts w:ascii="Calibri" w:eastAsia="Times New Roman" w:hAnsi="Calibri" w:cs="Times New Roman"/>
          <w:b/>
        </w:rPr>
      </w:pPr>
      <w:r w:rsidRPr="007A5D9E">
        <w:rPr>
          <w:rFonts w:ascii="Calibri" w:eastAsia="Times New Roman" w:hAnsi="Calibri" w:cs="Times New Roman"/>
          <w:b/>
        </w:rPr>
        <w:t>Has this research been approved?</w:t>
      </w:r>
    </w:p>
    <w:p w14:paraId="1E137A1D" w14:textId="77777777" w:rsidR="00572E3D" w:rsidRPr="006D6711" w:rsidRDefault="00572E3D" w:rsidP="00572E3D">
      <w:pPr>
        <w:spacing w:before="100" w:after="200" w:line="276" w:lineRule="auto"/>
        <w:jc w:val="both"/>
        <w:rPr>
          <w:rFonts w:ascii="Calibri" w:eastAsia="Times New Roman" w:hAnsi="Calibri" w:cs="Times New Roman"/>
        </w:rPr>
      </w:pPr>
      <w:r w:rsidRPr="007A5D9E">
        <w:rPr>
          <w:rFonts w:ascii="Calibri" w:eastAsia="Times New Roman" w:hAnsi="Calibri" w:cs="Times New Roman"/>
        </w:rPr>
        <w:t>The research has been approved by the Staffordshire University Ethics Committee and data will be collected in accordance with the Data Protection Act 1998. Only the research team at Staffordshire University will have access to the data and it will not be passed on to third parties.  Taking part in this research should not pose any harm to you or your child, and if at any time your child</w:t>
      </w:r>
      <w:r w:rsidRPr="00A60464">
        <w:rPr>
          <w:rFonts w:ascii="Calibri" w:eastAsia="Times New Roman" w:hAnsi="Calibri" w:cs="Times New Roman"/>
        </w:rPr>
        <w:t xml:space="preserve"> no longer wishes to partake then they are welcome to </w:t>
      </w:r>
      <w:r w:rsidRPr="006D6711">
        <w:rPr>
          <w:rFonts w:ascii="Calibri" w:eastAsia="Times New Roman" w:hAnsi="Calibri" w:cs="Times New Roman"/>
        </w:rPr>
        <w:t>leave with no questions asked.</w:t>
      </w:r>
    </w:p>
    <w:p w14:paraId="6C405BFC" w14:textId="77777777" w:rsidR="00572E3D" w:rsidRPr="006D6711" w:rsidRDefault="00572E3D" w:rsidP="00572E3D">
      <w:pPr>
        <w:spacing w:before="100" w:after="200" w:line="276" w:lineRule="auto"/>
        <w:jc w:val="both"/>
        <w:rPr>
          <w:rFonts w:ascii="Calibri" w:eastAsia="Times New Roman" w:hAnsi="Calibri" w:cs="Times New Roman"/>
          <w:b/>
        </w:rPr>
      </w:pPr>
      <w:r w:rsidRPr="006D6711">
        <w:rPr>
          <w:rFonts w:ascii="Calibri" w:eastAsia="Times New Roman" w:hAnsi="Calibri" w:cs="Times New Roman"/>
          <w:b/>
        </w:rPr>
        <w:t xml:space="preserve">What should I do if I do </w:t>
      </w:r>
      <w:r w:rsidRPr="006D6711">
        <w:rPr>
          <w:rFonts w:ascii="Calibri" w:eastAsia="Times New Roman" w:hAnsi="Calibri" w:cs="Times New Roman"/>
          <w:b/>
          <w:u w:val="single"/>
        </w:rPr>
        <w:t>NOT</w:t>
      </w:r>
      <w:r w:rsidRPr="006D6711">
        <w:rPr>
          <w:rFonts w:ascii="Calibri" w:eastAsia="Times New Roman" w:hAnsi="Calibri" w:cs="Times New Roman"/>
          <w:b/>
        </w:rPr>
        <w:t xml:space="preserve"> want my child to take part?</w:t>
      </w:r>
    </w:p>
    <w:p w14:paraId="7C15CE40" w14:textId="77777777" w:rsidR="00572E3D" w:rsidRPr="006D6711" w:rsidRDefault="00572E3D" w:rsidP="00572E3D">
      <w:pPr>
        <w:spacing w:before="100" w:after="0" w:line="276" w:lineRule="auto"/>
        <w:jc w:val="both"/>
        <w:rPr>
          <w:rFonts w:ascii="Calibri" w:eastAsia="Times New Roman" w:hAnsi="Calibri" w:cs="Times New Roman"/>
        </w:rPr>
      </w:pPr>
      <w:r w:rsidRPr="006D6711">
        <w:rPr>
          <w:rFonts w:ascii="Calibri" w:eastAsia="Times New Roman" w:hAnsi="Calibri" w:cs="Times New Roman"/>
        </w:rPr>
        <w:t xml:space="preserve">If you would </w:t>
      </w:r>
      <w:r w:rsidRPr="006D6711">
        <w:rPr>
          <w:rFonts w:ascii="Calibri" w:eastAsia="Times New Roman" w:hAnsi="Calibri" w:cs="Times New Roman"/>
          <w:b/>
          <w:u w:val="single"/>
        </w:rPr>
        <w:t>NOT</w:t>
      </w:r>
      <w:r w:rsidRPr="006D6711">
        <w:rPr>
          <w:rFonts w:ascii="Calibri" w:eastAsia="Times New Roman" w:hAnsi="Calibri" w:cs="Times New Roman"/>
        </w:rPr>
        <w:t xml:space="preserve"> like your child to partake in the </w:t>
      </w:r>
      <w:r>
        <w:rPr>
          <w:rFonts w:ascii="Calibri" w:eastAsia="Times New Roman" w:hAnsi="Calibri" w:cs="Times New Roman"/>
        </w:rPr>
        <w:t>research,</w:t>
      </w:r>
      <w:r w:rsidRPr="006D6711">
        <w:rPr>
          <w:rFonts w:ascii="Calibri" w:eastAsia="Times New Roman" w:hAnsi="Calibri" w:cs="Times New Roman"/>
        </w:rPr>
        <w:t xml:space="preserve"> please fill out slip below and return it to the school by </w:t>
      </w:r>
      <w:r>
        <w:rPr>
          <w:rFonts w:ascii="Calibri" w:eastAsia="Times New Roman" w:hAnsi="Calibri" w:cs="Times New Roman"/>
          <w:b/>
        </w:rPr>
        <w:t>22.9.17</w:t>
      </w:r>
      <w:r w:rsidRPr="006D6711">
        <w:rPr>
          <w:rFonts w:ascii="Calibri" w:eastAsia="Times New Roman" w:hAnsi="Calibri" w:cs="Times New Roman"/>
        </w:rPr>
        <w:t>.</w:t>
      </w:r>
    </w:p>
    <w:p w14:paraId="6B966941" w14:textId="77777777" w:rsidR="00572E3D" w:rsidRPr="006D6711" w:rsidRDefault="00572E3D" w:rsidP="00572E3D">
      <w:pPr>
        <w:spacing w:before="100" w:after="0" w:line="276" w:lineRule="auto"/>
        <w:jc w:val="both"/>
        <w:rPr>
          <w:rFonts w:ascii="Calibri" w:eastAsia="Times New Roman" w:hAnsi="Calibri" w:cs="Times New Roman"/>
        </w:rPr>
      </w:pPr>
      <w:r w:rsidRPr="006D6711">
        <w:rPr>
          <w:rFonts w:ascii="Calibri" w:eastAsia="Times New Roman" w:hAnsi="Calibri" w:cs="Times New Roman"/>
        </w:rPr>
        <w:t>Thank you for taking the time to read this. If you have any further questions, please contact.</w:t>
      </w:r>
    </w:p>
    <w:p w14:paraId="0450D422" w14:textId="77777777" w:rsidR="00572E3D" w:rsidRPr="006D6711" w:rsidRDefault="00572E3D" w:rsidP="00572E3D">
      <w:pPr>
        <w:spacing w:before="100" w:after="200" w:line="276" w:lineRule="auto"/>
        <w:jc w:val="both"/>
        <w:rPr>
          <w:rFonts w:ascii="Calibri" w:eastAsia="Times New Roman" w:hAnsi="Calibri" w:cs="Times New Roman"/>
        </w:rPr>
      </w:pPr>
      <w:r w:rsidRPr="006D6711">
        <w:rPr>
          <w:rFonts w:ascii="Calibri" w:eastAsia="Times New Roman" w:hAnsi="Calibri" w:cs="Times New Roman"/>
        </w:rPr>
        <w:t>Kind regards</w:t>
      </w:r>
    </w:p>
    <w:p w14:paraId="2BE6D706" w14:textId="77777777" w:rsidR="00572E3D" w:rsidRPr="006D6711" w:rsidRDefault="00572E3D" w:rsidP="00572E3D">
      <w:pPr>
        <w:spacing w:after="0" w:line="240" w:lineRule="auto"/>
        <w:jc w:val="both"/>
        <w:rPr>
          <w:rFonts w:ascii="Calibri" w:eastAsia="Calibri" w:hAnsi="Calibri" w:cs="Times New Roman"/>
        </w:rPr>
      </w:pPr>
      <w:r w:rsidRPr="006D6711">
        <w:rPr>
          <w:rFonts w:ascii="Calibri" w:eastAsia="Calibri" w:hAnsi="Calibri" w:cs="Times New Roman"/>
        </w:rPr>
        <w:t>Sian Calvert</w:t>
      </w:r>
    </w:p>
    <w:p w14:paraId="51D3BD45" w14:textId="77777777" w:rsidR="00572E3D" w:rsidRPr="006D6711" w:rsidRDefault="00322DCE" w:rsidP="00572E3D">
      <w:pPr>
        <w:spacing w:after="0" w:line="240" w:lineRule="auto"/>
        <w:jc w:val="both"/>
        <w:rPr>
          <w:rFonts w:ascii="Calibri" w:eastAsia="Calibri" w:hAnsi="Calibri" w:cs="Times New Roman"/>
          <w:color w:val="0563C1"/>
          <w:u w:val="single"/>
        </w:rPr>
      </w:pPr>
      <w:hyperlink r:id="rId82" w:history="1">
        <w:r w:rsidR="00572E3D" w:rsidRPr="006D6711">
          <w:rPr>
            <w:rFonts w:ascii="Calibri" w:eastAsia="Calibri" w:hAnsi="Calibri" w:cs="Times New Roman"/>
            <w:color w:val="0563C1"/>
            <w:u w:val="single"/>
          </w:rPr>
          <w:t>Sian.calvert@research.staffs.ac.uk</w:t>
        </w:r>
      </w:hyperlink>
    </w:p>
    <w:p w14:paraId="4310F3D5" w14:textId="77777777" w:rsidR="00572E3D" w:rsidRPr="006D6711" w:rsidRDefault="00572E3D" w:rsidP="00572E3D">
      <w:pPr>
        <w:spacing w:after="0" w:line="240" w:lineRule="auto"/>
        <w:jc w:val="both"/>
        <w:rPr>
          <w:rFonts w:ascii="Calibri" w:eastAsia="Calibri" w:hAnsi="Calibri" w:cs="Times New Roman"/>
        </w:rPr>
      </w:pPr>
      <w:r w:rsidRPr="006D6711">
        <w:rPr>
          <w:rFonts w:ascii="Calibri" w:eastAsia="Calibri" w:hAnsi="Calibri" w:cs="Times New Roman"/>
          <w:i/>
        </w:rPr>
        <w:t xml:space="preserve">PhD </w:t>
      </w:r>
      <w:r>
        <w:rPr>
          <w:rFonts w:ascii="Calibri" w:eastAsia="Calibri" w:hAnsi="Calibri" w:cs="Times New Roman"/>
          <w:i/>
        </w:rPr>
        <w:t>S</w:t>
      </w:r>
      <w:r w:rsidRPr="006D6711">
        <w:rPr>
          <w:rFonts w:ascii="Calibri" w:eastAsia="Calibri" w:hAnsi="Calibri" w:cs="Times New Roman"/>
          <w:i/>
        </w:rPr>
        <w:t xml:space="preserve">tudent in </w:t>
      </w:r>
      <w:r>
        <w:rPr>
          <w:rFonts w:ascii="Calibri" w:eastAsia="Calibri" w:hAnsi="Calibri" w:cs="Times New Roman"/>
          <w:i/>
        </w:rPr>
        <w:t>P</w:t>
      </w:r>
      <w:r w:rsidRPr="006D6711">
        <w:rPr>
          <w:rFonts w:ascii="Calibri" w:eastAsia="Calibri" w:hAnsi="Calibri" w:cs="Times New Roman"/>
          <w:i/>
        </w:rPr>
        <w:t xml:space="preserve">sychology, at Staffordshire University </w:t>
      </w:r>
    </w:p>
    <w:p w14:paraId="7C66FE34" w14:textId="77777777" w:rsidR="00572E3D" w:rsidRDefault="00572E3D" w:rsidP="00572E3D">
      <w:pPr>
        <w:spacing w:after="0" w:line="240" w:lineRule="auto"/>
        <w:jc w:val="both"/>
        <w:rPr>
          <w:rFonts w:ascii="Calibri" w:eastAsia="Calibri" w:hAnsi="Calibri" w:cs="Times New Roman"/>
        </w:rPr>
        <w:sectPr w:rsidR="00572E3D" w:rsidSect="000017BF">
          <w:type w:val="continuous"/>
          <w:pgSz w:w="11906" w:h="16838"/>
          <w:pgMar w:top="1440" w:right="1440" w:bottom="1440" w:left="1440" w:header="708" w:footer="708" w:gutter="0"/>
          <w:cols w:space="708"/>
          <w:docGrid w:linePitch="360"/>
        </w:sectPr>
      </w:pPr>
    </w:p>
    <w:p w14:paraId="16330A34" w14:textId="77777777" w:rsidR="00572E3D" w:rsidRDefault="00572E3D" w:rsidP="00572E3D">
      <w:pPr>
        <w:spacing w:after="0" w:line="240" w:lineRule="auto"/>
        <w:jc w:val="both"/>
        <w:rPr>
          <w:rFonts w:ascii="Calibri" w:eastAsia="Calibri" w:hAnsi="Calibri" w:cs="Times New Roman"/>
        </w:rPr>
      </w:pPr>
    </w:p>
    <w:p w14:paraId="3F1B235D" w14:textId="77777777" w:rsidR="00572E3D" w:rsidRPr="006D6711" w:rsidRDefault="00572E3D" w:rsidP="00572E3D">
      <w:pPr>
        <w:spacing w:after="0" w:line="240" w:lineRule="auto"/>
        <w:jc w:val="both"/>
        <w:rPr>
          <w:rFonts w:ascii="Calibri" w:eastAsia="Calibri" w:hAnsi="Calibri" w:cs="Times New Roman"/>
        </w:rPr>
      </w:pPr>
      <w:r w:rsidRPr="006D6711">
        <w:rPr>
          <w:rFonts w:ascii="Calibri" w:eastAsia="Calibri" w:hAnsi="Calibri" w:cs="Times New Roman"/>
        </w:rPr>
        <w:t>Supervisors:</w:t>
      </w:r>
    </w:p>
    <w:p w14:paraId="0F2882A7" w14:textId="77777777" w:rsidR="00572E3D" w:rsidRPr="006D6711" w:rsidRDefault="00572E3D" w:rsidP="00572E3D">
      <w:pPr>
        <w:spacing w:after="0" w:line="240" w:lineRule="auto"/>
        <w:jc w:val="both"/>
        <w:rPr>
          <w:rFonts w:ascii="Calibri" w:eastAsia="Calibri" w:hAnsi="Calibri" w:cs="Times New Roman"/>
        </w:rPr>
        <w:sectPr w:rsidR="00572E3D" w:rsidRPr="006D6711" w:rsidSect="00415343">
          <w:type w:val="continuous"/>
          <w:pgSz w:w="11906" w:h="16838"/>
          <w:pgMar w:top="1440" w:right="1440" w:bottom="1440" w:left="1440" w:header="708" w:footer="708" w:gutter="0"/>
          <w:cols w:space="708"/>
          <w:docGrid w:linePitch="360"/>
        </w:sectPr>
      </w:pPr>
    </w:p>
    <w:p w14:paraId="2028E84F" w14:textId="77777777" w:rsidR="00572E3D" w:rsidRPr="006D6711" w:rsidRDefault="00572E3D" w:rsidP="00572E3D">
      <w:pPr>
        <w:spacing w:after="0" w:line="240" w:lineRule="auto"/>
        <w:jc w:val="both"/>
        <w:rPr>
          <w:rFonts w:ascii="Calibri" w:eastAsia="Calibri" w:hAnsi="Calibri" w:cs="Times New Roman"/>
          <w:sz w:val="21"/>
          <w:szCs w:val="21"/>
        </w:rPr>
      </w:pPr>
      <w:r w:rsidRPr="006D6711">
        <w:rPr>
          <w:rFonts w:ascii="Calibri" w:eastAsia="Calibri" w:hAnsi="Calibri" w:cs="Times New Roman"/>
          <w:sz w:val="21"/>
          <w:szCs w:val="21"/>
        </w:rPr>
        <w:t xml:space="preserve">Dr. Robert Dempsey </w:t>
      </w:r>
    </w:p>
    <w:p w14:paraId="5C64D58C" w14:textId="77777777" w:rsidR="00572E3D" w:rsidRPr="006D6711" w:rsidRDefault="00572E3D" w:rsidP="00572E3D">
      <w:pPr>
        <w:spacing w:after="0" w:line="240" w:lineRule="auto"/>
        <w:jc w:val="both"/>
        <w:rPr>
          <w:rFonts w:ascii="Calibri" w:eastAsia="Calibri" w:hAnsi="Calibri" w:cs="Times New Roman"/>
          <w:sz w:val="21"/>
          <w:szCs w:val="21"/>
        </w:rPr>
      </w:pPr>
      <w:r w:rsidRPr="006D6711">
        <w:rPr>
          <w:rFonts w:ascii="Calibri" w:eastAsia="Calibri" w:hAnsi="Calibri" w:cs="Times New Roman"/>
          <w:sz w:val="21"/>
          <w:szCs w:val="21"/>
        </w:rPr>
        <w:t>robert.dempsey@staffs.ac.uk</w:t>
      </w:r>
    </w:p>
    <w:p w14:paraId="23613434" w14:textId="77777777" w:rsidR="00572E3D" w:rsidRPr="006D6711" w:rsidRDefault="00572E3D" w:rsidP="00572E3D">
      <w:pPr>
        <w:spacing w:after="0" w:line="240" w:lineRule="auto"/>
        <w:jc w:val="both"/>
        <w:rPr>
          <w:rFonts w:ascii="Calibri" w:eastAsia="Calibri" w:hAnsi="Calibri" w:cs="Times New Roman"/>
          <w:i/>
          <w:sz w:val="21"/>
          <w:szCs w:val="21"/>
        </w:rPr>
      </w:pPr>
      <w:r w:rsidRPr="006D6711">
        <w:rPr>
          <w:rFonts w:ascii="Calibri" w:eastAsia="Calibri" w:hAnsi="Calibri" w:cs="Times New Roman"/>
          <w:i/>
          <w:sz w:val="21"/>
          <w:szCs w:val="21"/>
        </w:rPr>
        <w:t xml:space="preserve">Lecturer at Staffordshire University </w:t>
      </w:r>
    </w:p>
    <w:p w14:paraId="631C6849" w14:textId="77777777" w:rsidR="00572E3D" w:rsidRDefault="00572E3D" w:rsidP="00572E3D">
      <w:pPr>
        <w:spacing w:after="0" w:line="240" w:lineRule="auto"/>
        <w:jc w:val="both"/>
        <w:rPr>
          <w:rFonts w:ascii="Calibri" w:eastAsia="Calibri" w:hAnsi="Calibri" w:cs="Times New Roman"/>
          <w:sz w:val="21"/>
          <w:szCs w:val="21"/>
        </w:rPr>
      </w:pPr>
      <w:r>
        <w:rPr>
          <w:rFonts w:ascii="Calibri" w:eastAsia="Calibri" w:hAnsi="Calibri" w:cs="Times New Roman"/>
          <w:sz w:val="21"/>
          <w:szCs w:val="21"/>
        </w:rPr>
        <w:t>[Telephone number]</w:t>
      </w:r>
    </w:p>
    <w:p w14:paraId="53D9979A" w14:textId="77777777" w:rsidR="00572E3D" w:rsidRDefault="00572E3D" w:rsidP="00572E3D">
      <w:pPr>
        <w:spacing w:after="0" w:line="240" w:lineRule="auto"/>
        <w:jc w:val="both"/>
        <w:rPr>
          <w:rFonts w:ascii="Calibri" w:eastAsia="Calibri" w:hAnsi="Calibri" w:cs="Times New Roman"/>
          <w:sz w:val="21"/>
          <w:szCs w:val="21"/>
        </w:rPr>
      </w:pPr>
    </w:p>
    <w:p w14:paraId="5D99DC0A" w14:textId="21DBB8C3" w:rsidR="00572E3D" w:rsidRDefault="006B7092" w:rsidP="00572E3D">
      <w:pPr>
        <w:spacing w:after="0" w:line="240" w:lineRule="auto"/>
        <w:jc w:val="both"/>
        <w:rPr>
          <w:rFonts w:ascii="Calibri" w:eastAsia="Calibri" w:hAnsi="Calibri" w:cs="Times New Roman"/>
          <w:sz w:val="21"/>
          <w:szCs w:val="21"/>
          <w:lang w:val="it-IT"/>
        </w:rPr>
      </w:pPr>
      <w:r w:rsidRPr="006D6711">
        <w:rPr>
          <w:rFonts w:ascii="Calibri" w:eastAsia="Times New Roman" w:hAnsi="Calibri" w:cs="Times New Roman"/>
          <w:b/>
          <w:noProof/>
          <w:sz w:val="32"/>
          <w:szCs w:val="32"/>
          <w:highlight w:val="yellow"/>
          <w:lang w:eastAsia="en-GB"/>
        </w:rPr>
        <mc:AlternateContent>
          <mc:Choice Requires="wps">
            <w:drawing>
              <wp:anchor distT="0" distB="0" distL="114300" distR="114300" simplePos="0" relativeHeight="251619328" behindDoc="1" locked="0" layoutInCell="1" allowOverlap="1" wp14:anchorId="3E331B9A" wp14:editId="49B3C6B2">
                <wp:simplePos x="0" y="0"/>
                <wp:positionH relativeFrom="margin">
                  <wp:posOffset>-261620</wp:posOffset>
                </wp:positionH>
                <wp:positionV relativeFrom="paragraph">
                  <wp:posOffset>167005</wp:posOffset>
                </wp:positionV>
                <wp:extent cx="6436360" cy="1076325"/>
                <wp:effectExtent l="19050" t="19050" r="21590" b="28575"/>
                <wp:wrapNone/>
                <wp:docPr id="33" name="Rectangle 33"/>
                <wp:cNvGraphicFramePr/>
                <a:graphic xmlns:a="http://schemas.openxmlformats.org/drawingml/2006/main">
                  <a:graphicData uri="http://schemas.microsoft.com/office/word/2010/wordprocessingShape">
                    <wps:wsp>
                      <wps:cNvSpPr/>
                      <wps:spPr>
                        <a:xfrm>
                          <a:off x="0" y="0"/>
                          <a:ext cx="6436360" cy="1076325"/>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4CE7B6B5"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w:t>
                            </w:r>
                            <w:r w:rsidRPr="0063305B">
                              <w:rPr>
                                <w:rFonts w:ascii="Calibri" w:eastAsia="Times New Roman" w:hAnsi="Calibri" w:cs="Times New Roman"/>
                              </w:rPr>
                              <w:t xml:space="preserve"> </w:t>
                            </w:r>
                          </w:p>
                          <w:p w14:paraId="70590ADA"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230249E1"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29D8F9CE" w14:textId="77777777" w:rsidR="00572E3D" w:rsidRDefault="00572E3D" w:rsidP="00572E3D">
                            <w:pPr>
                              <w:jc w:val="center"/>
                            </w:pPr>
                          </w:p>
                          <w:p w14:paraId="03F42F1A" w14:textId="77777777" w:rsidR="00D1262B" w:rsidRDefault="00D1262B"/>
                          <w:p w14:paraId="0EF4521A" w14:textId="49BFB510"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w:t>
                            </w:r>
                            <w:r w:rsidRPr="0063305B">
                              <w:rPr>
                                <w:rFonts w:ascii="Calibri" w:eastAsia="Times New Roman" w:hAnsi="Calibri" w:cs="Times New Roman"/>
                              </w:rPr>
                              <w:t xml:space="preserve"> </w:t>
                            </w:r>
                          </w:p>
                          <w:p w14:paraId="4DFE5881"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31963B62"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6B70F55E" w14:textId="77777777" w:rsidR="00572E3D"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31B9A" id="Rectangle 33" o:spid="_x0000_s1050" style="position:absolute;left:0;text-align:left;margin-left:-20.6pt;margin-top:13.15pt;width:506.8pt;height:84.7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" fillcolor="window" strokecolor="windowText" strokeweight="3pt">
                <v:textbox>
                  <w:txbxContent>
                    <w:p w14:paraId="4CE7B6B5"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w:t>
                      </w:r>
                      <w:r w:rsidRPr="0063305B">
                        <w:rPr>
                          <w:rFonts w:ascii="Calibri" w:eastAsia="Times New Roman" w:hAnsi="Calibri" w:cs="Times New Roman"/>
                        </w:rPr>
                        <w:t xml:space="preserve"> </w:t>
                      </w:r>
                    </w:p>
                    <w:p w14:paraId="70590ADA"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230249E1"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29D8F9CE" w14:textId="77777777" w:rsidR="00572E3D" w:rsidRDefault="00572E3D" w:rsidP="00572E3D">
                      <w:pPr>
                        <w:jc w:val="center"/>
                      </w:pPr>
                    </w:p>
                    <w:p w14:paraId="03F42F1A" w14:textId="77777777" w:rsidR="00D1262B" w:rsidRDefault="00D1262B"/>
                    <w:p w14:paraId="0EF4521A" w14:textId="49BFB510"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w:t>
                      </w:r>
                      <w:r w:rsidRPr="0063305B">
                        <w:rPr>
                          <w:rFonts w:ascii="Calibri" w:eastAsia="Times New Roman" w:hAnsi="Calibri" w:cs="Times New Roman"/>
                        </w:rPr>
                        <w:t xml:space="preserve"> </w:t>
                      </w:r>
                    </w:p>
                    <w:p w14:paraId="4DFE5881"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31963B62"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6B70F55E" w14:textId="77777777" w:rsidR="00572E3D" w:rsidRDefault="00572E3D" w:rsidP="00572E3D">
                      <w:pPr>
                        <w:jc w:val="center"/>
                      </w:pPr>
                    </w:p>
                  </w:txbxContent>
                </v:textbox>
                <w10:wrap anchorx="margin"/>
              </v:rect>
            </w:pict>
          </mc:Fallback>
        </mc:AlternateContent>
      </w:r>
      <w:r w:rsidR="00572E3D">
        <w:rPr>
          <w:rFonts w:ascii="Calibri" w:eastAsia="Calibri" w:hAnsi="Calibri" w:cs="Times New Roman"/>
          <w:noProof/>
          <w:sz w:val="21"/>
          <w:szCs w:val="21"/>
          <w:lang w:eastAsia="en-GB"/>
        </w:rPr>
        <mc:AlternateContent>
          <mc:Choice Requires="wps">
            <w:drawing>
              <wp:anchor distT="0" distB="0" distL="114300" distR="114300" simplePos="0" relativeHeight="251620352" behindDoc="0" locked="0" layoutInCell="1" allowOverlap="1" wp14:anchorId="0435A885" wp14:editId="41432B68">
                <wp:simplePos x="0" y="0"/>
                <wp:positionH relativeFrom="column">
                  <wp:posOffset>33655</wp:posOffset>
                </wp:positionH>
                <wp:positionV relativeFrom="paragraph">
                  <wp:posOffset>74295</wp:posOffset>
                </wp:positionV>
                <wp:extent cx="5476875" cy="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547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13404F" id="Straight Connector 34" o:spid="_x0000_s1026" style="position:absolute;flip:y;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pt,5.85pt" to="433.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" strokecolor="black [3200]" strokeweight=".5pt">
                <v:stroke joinstyle="miter"/>
              </v:line>
            </w:pict>
          </mc:Fallback>
        </mc:AlternateContent>
      </w:r>
      <w:r w:rsidR="00572E3D">
        <w:rPr>
          <w:rFonts w:ascii="Calibri" w:eastAsia="Calibri" w:hAnsi="Calibri" w:cs="Times New Roman"/>
          <w:sz w:val="21"/>
          <w:szCs w:val="21"/>
          <w:lang w:val="it-IT"/>
        </w:rPr>
        <w:t xml:space="preserve"> </w:t>
      </w:r>
    </w:p>
    <w:p w14:paraId="729B5774" w14:textId="77777777" w:rsidR="00572E3D" w:rsidRPr="005F5767" w:rsidRDefault="00572E3D" w:rsidP="00572E3D">
      <w:pPr>
        <w:spacing w:after="0" w:line="240" w:lineRule="auto"/>
        <w:jc w:val="both"/>
        <w:rPr>
          <w:rFonts w:ascii="Calibri" w:eastAsia="Calibri" w:hAnsi="Calibri" w:cs="Times New Roman"/>
          <w:sz w:val="21"/>
          <w:szCs w:val="21"/>
          <w:lang w:val="it-IT"/>
        </w:rPr>
      </w:pPr>
      <w:r w:rsidRPr="005F5767">
        <w:rPr>
          <w:rFonts w:ascii="Calibri" w:eastAsia="Calibri" w:hAnsi="Calibri" w:cs="Times New Roman"/>
          <w:sz w:val="21"/>
          <w:szCs w:val="21"/>
          <w:lang w:val="it-IT"/>
        </w:rPr>
        <w:t xml:space="preserve">Dr. Rachel Povey </w:t>
      </w:r>
    </w:p>
    <w:p w14:paraId="4C76E597" w14:textId="77777777" w:rsidR="00572E3D" w:rsidRPr="005F5767" w:rsidRDefault="00572E3D" w:rsidP="00572E3D">
      <w:pPr>
        <w:spacing w:after="0" w:line="240" w:lineRule="auto"/>
        <w:rPr>
          <w:rFonts w:ascii="Calibri" w:eastAsia="Calibri" w:hAnsi="Calibri" w:cs="Times New Roman"/>
          <w:sz w:val="21"/>
          <w:szCs w:val="21"/>
          <w:lang w:val="it-IT"/>
        </w:rPr>
      </w:pPr>
      <w:r w:rsidRPr="005F5767">
        <w:rPr>
          <w:rFonts w:ascii="Calibri" w:eastAsia="Calibri" w:hAnsi="Calibri" w:cs="Times New Roman"/>
          <w:sz w:val="21"/>
          <w:szCs w:val="21"/>
          <w:lang w:val="it-IT"/>
        </w:rPr>
        <w:t>r.povey@staffs.ac.uk</w:t>
      </w:r>
    </w:p>
    <w:p w14:paraId="0852B3CA" w14:textId="77777777" w:rsidR="00572E3D" w:rsidRPr="006D6711" w:rsidRDefault="00572E3D" w:rsidP="00572E3D">
      <w:pPr>
        <w:spacing w:after="0" w:line="240" w:lineRule="auto"/>
        <w:rPr>
          <w:rFonts w:ascii="Calibri" w:eastAsia="Calibri" w:hAnsi="Calibri" w:cs="Times New Roman"/>
          <w:i/>
          <w:sz w:val="21"/>
          <w:szCs w:val="21"/>
        </w:rPr>
      </w:pPr>
      <w:r>
        <w:rPr>
          <w:rFonts w:ascii="Calibri" w:eastAsia="Calibri" w:hAnsi="Calibri" w:cs="Times New Roman"/>
        </w:rPr>
        <w:t>Associate Professor in Health Psychology</w:t>
      </w:r>
      <w:r w:rsidRPr="00257283">
        <w:rPr>
          <w:rFonts w:ascii="Calibri" w:eastAsia="Calibri" w:hAnsi="Calibri" w:cs="Times New Roman"/>
        </w:rPr>
        <w:t xml:space="preserve"> </w:t>
      </w:r>
      <w:r w:rsidRPr="006D6711">
        <w:rPr>
          <w:rFonts w:ascii="Calibri" w:eastAsia="Calibri" w:hAnsi="Calibri" w:cs="Times New Roman"/>
          <w:i/>
          <w:sz w:val="21"/>
          <w:szCs w:val="21"/>
        </w:rPr>
        <w:t xml:space="preserve">at Staffordshire University </w:t>
      </w:r>
    </w:p>
    <w:p w14:paraId="67C80F5E" w14:textId="77777777" w:rsidR="00572E3D" w:rsidRPr="006D6711" w:rsidRDefault="00572E3D" w:rsidP="00572E3D">
      <w:pPr>
        <w:spacing w:after="0" w:line="240" w:lineRule="auto"/>
        <w:rPr>
          <w:rFonts w:ascii="Calibri" w:eastAsia="Calibri" w:hAnsi="Calibri" w:cs="Times New Roman"/>
          <w:sz w:val="21"/>
          <w:szCs w:val="21"/>
        </w:rPr>
        <w:sectPr w:rsidR="00572E3D" w:rsidRPr="006D6711" w:rsidSect="000017BF">
          <w:type w:val="continuous"/>
          <w:pgSz w:w="11906" w:h="16838"/>
          <w:pgMar w:top="1440" w:right="1440" w:bottom="1440" w:left="1440" w:header="708" w:footer="708" w:gutter="0"/>
          <w:cols w:num="2" w:space="708"/>
          <w:docGrid w:linePitch="360"/>
        </w:sectPr>
      </w:pPr>
      <w:r>
        <w:rPr>
          <w:rFonts w:ascii="Calibri" w:eastAsia="Calibri" w:hAnsi="Calibri" w:cs="Times New Roman"/>
          <w:sz w:val="21"/>
          <w:szCs w:val="21"/>
        </w:rPr>
        <w:t>[Telephone Number]</w:t>
      </w:r>
    </w:p>
    <w:p w14:paraId="010271D4" w14:textId="3A6723F8" w:rsidR="00572E3D" w:rsidRDefault="00572E3D" w:rsidP="00572E3D">
      <w:bookmarkStart w:id="357" w:name="_Toc84845182"/>
      <w:bookmarkStart w:id="358" w:name="_Toc84854193"/>
    </w:p>
    <w:p w14:paraId="31572BF3" w14:textId="2CED5DE2" w:rsidR="0070628A" w:rsidRPr="006B5F0B" w:rsidRDefault="006443FE" w:rsidP="0070628A">
      <w:pPr>
        <w:rPr>
          <w:bCs/>
        </w:rPr>
      </w:pPr>
      <w:r w:rsidRPr="00E272EB">
        <w:lastRenderedPageBreak/>
        <w:fldChar w:fldCharType="begin"/>
      </w:r>
      <w:r w:rsidRPr="00E272EB">
        <w:instrText xml:space="preserve"> TC  " </w:instrText>
      </w:r>
      <w:bookmarkStart w:id="359" w:name="_Toc97557170"/>
      <w:r w:rsidRPr="006B5F0B">
        <w:rPr>
          <w:bCs/>
        </w:rPr>
        <w:instrText>Appendix 1</w:instrText>
      </w:r>
      <w:r w:rsidR="007F5E1F">
        <w:rPr>
          <w:bCs/>
        </w:rPr>
        <w:instrText>8</w:instrText>
      </w:r>
      <w:r>
        <w:rPr>
          <w:bCs/>
        </w:rPr>
        <w:instrText>: C</w:instrText>
      </w:r>
      <w:r w:rsidR="00A91162">
        <w:rPr>
          <w:bCs/>
        </w:rPr>
        <w:instrText>ontrol</w:instrText>
      </w:r>
      <w:r>
        <w:rPr>
          <w:bCs/>
        </w:rPr>
        <w:instrText xml:space="preserve"> school student information sheet </w:instrText>
      </w:r>
      <w:r w:rsidRPr="00265133">
        <w:instrText>(</w:instrText>
      </w:r>
      <w:r w:rsidR="00121E06">
        <w:instrText>Studies Two and Three</w:instrText>
      </w:r>
      <w:r w:rsidRPr="00265133">
        <w:instrText>, Chapter 7 and 8)</w:instrText>
      </w:r>
      <w:bookmarkEnd w:id="359"/>
      <w:r w:rsidRPr="00E272EB">
        <w:instrText xml:space="preserve">" \f y\l </w:instrText>
      </w:r>
      <w:r>
        <w:instrText xml:space="preserve">2 </w:instrText>
      </w:r>
      <w:r w:rsidRPr="00E272EB">
        <w:fldChar w:fldCharType="end"/>
      </w:r>
      <w:r w:rsidR="0070628A" w:rsidRPr="006B5F0B">
        <w:rPr>
          <w:rFonts w:ascii="Calibri" w:eastAsia="Calibri" w:hAnsi="Calibri" w:cs="Times New Roman"/>
          <w:bCs/>
          <w:noProof/>
          <w:u w:val="single"/>
          <w:lang w:eastAsia="en-GB"/>
        </w:rPr>
        <w:drawing>
          <wp:anchor distT="0" distB="0" distL="114300" distR="114300" simplePos="0" relativeHeight="251744256" behindDoc="1" locked="0" layoutInCell="1" allowOverlap="1" wp14:anchorId="0888F1B3" wp14:editId="08AD25DE">
            <wp:simplePos x="0" y="0"/>
            <wp:positionH relativeFrom="column">
              <wp:posOffset>4730115</wp:posOffset>
            </wp:positionH>
            <wp:positionV relativeFrom="paragraph">
              <wp:posOffset>-161925</wp:posOffset>
            </wp:positionV>
            <wp:extent cx="971550" cy="1104900"/>
            <wp:effectExtent l="0" t="0" r="0" b="0"/>
            <wp:wrapTight wrapText="bothSides">
              <wp:wrapPolygon edited="0">
                <wp:start x="0" y="0"/>
                <wp:lineTo x="0" y="21228"/>
                <wp:lineTo x="21176" y="21228"/>
                <wp:lineTo x="21176" y="0"/>
                <wp:lineTo x="0" y="0"/>
              </wp:wrapPolygon>
            </wp:wrapTight>
            <wp:docPr id="85728" name="Picture 857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 name="Picture 85728"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r w:rsidR="0070628A" w:rsidRPr="006B5F0B">
        <w:rPr>
          <w:bCs/>
        </w:rPr>
        <w:t>Appendix 1</w:t>
      </w:r>
      <w:r w:rsidR="007F5E1F">
        <w:rPr>
          <w:bCs/>
        </w:rPr>
        <w:t>8</w:t>
      </w:r>
      <w:r w:rsidR="006B5F0B">
        <w:rPr>
          <w:bCs/>
        </w:rPr>
        <w:t xml:space="preserve">: Control school student information sheet </w:t>
      </w:r>
      <w:r w:rsidR="006B5F0B" w:rsidRPr="00265133">
        <w:t>(</w:t>
      </w:r>
      <w:r w:rsidR="00375C06">
        <w:t>Studies Two and Three</w:t>
      </w:r>
      <w:r w:rsidR="006B5F0B" w:rsidRPr="00265133">
        <w:t>, Chapter 7 and 8)</w:t>
      </w:r>
    </w:p>
    <w:p w14:paraId="783DD03B" w14:textId="77777777" w:rsidR="0070628A" w:rsidRDefault="0070628A" w:rsidP="0070628A">
      <w:pPr>
        <w:rPr>
          <w:rFonts w:ascii="Calibri" w:eastAsia="Calibri" w:hAnsi="Calibri" w:cs="Times New Roman"/>
          <w:b/>
          <w:sz w:val="32"/>
          <w:szCs w:val="32"/>
          <w:u w:val="single"/>
        </w:rPr>
      </w:pPr>
    </w:p>
    <w:p w14:paraId="766A6828" w14:textId="77777777" w:rsidR="0070628A" w:rsidRDefault="0070628A" w:rsidP="0070628A">
      <w:pPr>
        <w:rPr>
          <w:rFonts w:ascii="Calibri" w:eastAsia="Calibri" w:hAnsi="Calibri" w:cs="Times New Roman"/>
          <w:b/>
          <w:sz w:val="32"/>
          <w:szCs w:val="32"/>
          <w:u w:val="single"/>
        </w:rPr>
      </w:pPr>
    </w:p>
    <w:p w14:paraId="6B2AC921" w14:textId="77777777" w:rsidR="0070628A" w:rsidRPr="00257283" w:rsidRDefault="0070628A" w:rsidP="0070628A">
      <w:pPr>
        <w:jc w:val="center"/>
        <w:rPr>
          <w:rFonts w:ascii="Calibri" w:eastAsia="Calibri" w:hAnsi="Calibri" w:cs="Times New Roman"/>
          <w:b/>
          <w:sz w:val="32"/>
          <w:szCs w:val="32"/>
          <w:u w:val="single"/>
        </w:rPr>
      </w:pPr>
      <w:r w:rsidRPr="00257283">
        <w:rPr>
          <w:rFonts w:ascii="Calibri" w:eastAsia="Calibri" w:hAnsi="Calibri" w:cs="Times New Roman"/>
          <w:b/>
          <w:sz w:val="32"/>
          <w:szCs w:val="32"/>
          <w:u w:val="single"/>
        </w:rPr>
        <w:t>Information sheet for students</w:t>
      </w:r>
      <w:r>
        <w:rPr>
          <w:rFonts w:ascii="Calibri" w:eastAsia="Calibri" w:hAnsi="Calibri" w:cs="Times New Roman"/>
          <w:b/>
          <w:sz w:val="32"/>
          <w:szCs w:val="32"/>
          <w:u w:val="single"/>
        </w:rPr>
        <w:t xml:space="preserve"> </w:t>
      </w:r>
    </w:p>
    <w:p w14:paraId="6372E7E7" w14:textId="77777777" w:rsidR="0070628A" w:rsidRPr="00257283" w:rsidRDefault="0070628A" w:rsidP="0070628A">
      <w:pPr>
        <w:rPr>
          <w:rFonts w:ascii="Calibri" w:eastAsia="Calibri" w:hAnsi="Calibri" w:cs="Times New Roman"/>
          <w:b/>
        </w:rPr>
      </w:pPr>
    </w:p>
    <w:p w14:paraId="4A377EEE" w14:textId="77777777" w:rsidR="0070628A" w:rsidRPr="003B3836" w:rsidRDefault="0070628A" w:rsidP="0070628A">
      <w:pPr>
        <w:rPr>
          <w:rFonts w:ascii="Calibri" w:eastAsia="Calibri" w:hAnsi="Calibri" w:cs="Times New Roman"/>
          <w:b/>
        </w:rPr>
      </w:pPr>
      <w:r w:rsidRPr="003B3836">
        <w:rPr>
          <w:rFonts w:ascii="Calibri" w:eastAsia="Calibri" w:hAnsi="Calibri" w:cs="Times New Roman"/>
          <w:b/>
        </w:rPr>
        <w:t>What is involved in taking part in this research?</w:t>
      </w:r>
    </w:p>
    <w:p w14:paraId="4E0D4D85" w14:textId="77777777" w:rsidR="0070628A" w:rsidRPr="003B3836" w:rsidRDefault="0070628A" w:rsidP="0070628A">
      <w:pPr>
        <w:rPr>
          <w:rFonts w:ascii="Calibri" w:eastAsia="Calibri" w:hAnsi="Calibri" w:cs="Times New Roman"/>
        </w:rPr>
      </w:pPr>
      <w:r w:rsidRPr="003B3836">
        <w:rPr>
          <w:rFonts w:ascii="Calibri" w:eastAsia="Calibri" w:hAnsi="Calibri" w:cs="Times New Roman"/>
        </w:rPr>
        <w:t>The aim of this research is to investigate eating behaviours.  To help with this you will be asked to complete a short questionnaire that should take no longer than 20 minutes at three different times, about your own and your classmates’ eating behaviours. You will be given a healthy eating leaflet. Taking part in the research is voluntary, and if you wish to no longer take part, you are free to leave at any time and return to your class with no questions asked and your questionnaire data will not be used.</w:t>
      </w:r>
    </w:p>
    <w:p w14:paraId="6F63D815" w14:textId="77777777" w:rsidR="0070628A" w:rsidRPr="003B3836" w:rsidRDefault="0070628A" w:rsidP="0070628A">
      <w:pPr>
        <w:rPr>
          <w:rFonts w:ascii="Calibri" w:eastAsia="Calibri" w:hAnsi="Calibri" w:cs="Times New Roman"/>
          <w:b/>
          <w:color w:val="171717"/>
        </w:rPr>
      </w:pPr>
      <w:r w:rsidRPr="003B3836">
        <w:rPr>
          <w:rFonts w:ascii="Calibri" w:eastAsia="Calibri" w:hAnsi="Calibri" w:cs="Times New Roman"/>
          <w:b/>
          <w:color w:val="171717"/>
        </w:rPr>
        <w:t>What will happen to the data that is collected today?</w:t>
      </w:r>
    </w:p>
    <w:p w14:paraId="646585A1" w14:textId="77777777" w:rsidR="0070628A" w:rsidRPr="003B3836" w:rsidRDefault="0070628A" w:rsidP="0070628A">
      <w:pPr>
        <w:rPr>
          <w:rFonts w:ascii="Calibri" w:eastAsia="Calibri" w:hAnsi="Calibri" w:cs="Times New Roman"/>
        </w:rPr>
      </w:pPr>
      <w:r w:rsidRPr="003B3836">
        <w:rPr>
          <w:rFonts w:ascii="Calibri" w:eastAsia="Calibri" w:hAnsi="Calibri" w:cs="Times New Roman"/>
        </w:rPr>
        <w:t xml:space="preserve">All information is confidential and will be kept securely at Staffordshire University and only the research team working on this project will have access to the original data;  it will not be passed on to anyone else. You will not be identifiable from the results, as all results will be presented all together. </w:t>
      </w:r>
    </w:p>
    <w:p w14:paraId="25C44FD3" w14:textId="77777777" w:rsidR="0070628A" w:rsidRDefault="0070628A" w:rsidP="0070628A">
      <w:pPr>
        <w:spacing w:after="0"/>
        <w:rPr>
          <w:rFonts w:ascii="Calibri" w:eastAsia="Calibri" w:hAnsi="Calibri" w:cs="Times New Roman"/>
        </w:rPr>
      </w:pPr>
      <w:r w:rsidRPr="003B3836">
        <w:rPr>
          <w:rFonts w:ascii="Calibri" w:eastAsia="Calibri" w:hAnsi="Calibri" w:cs="Times New Roman"/>
        </w:rPr>
        <w:t xml:space="preserve">If you have any </w:t>
      </w:r>
    </w:p>
    <w:p w14:paraId="77371F6D" w14:textId="77777777" w:rsidR="0070628A" w:rsidRDefault="0070628A" w:rsidP="0070628A">
      <w:pPr>
        <w:spacing w:after="0"/>
        <w:rPr>
          <w:rFonts w:ascii="Calibri" w:eastAsia="Calibri" w:hAnsi="Calibri" w:cs="Times New Roman"/>
        </w:rPr>
      </w:pPr>
    </w:p>
    <w:p w14:paraId="18BD8745" w14:textId="77777777" w:rsidR="0070628A" w:rsidRPr="003B3836" w:rsidRDefault="0070628A" w:rsidP="0070628A">
      <w:pPr>
        <w:spacing w:after="0"/>
        <w:rPr>
          <w:rFonts w:ascii="Calibri" w:eastAsia="Calibri" w:hAnsi="Calibri" w:cs="Times New Roman"/>
        </w:rPr>
      </w:pPr>
      <w:r w:rsidRPr="003B3836">
        <w:rPr>
          <w:rFonts w:ascii="Calibri" w:eastAsia="Calibri" w:hAnsi="Calibri" w:cs="Times New Roman"/>
        </w:rPr>
        <w:t>questions, you can contact me on the details below.</w:t>
      </w:r>
    </w:p>
    <w:p w14:paraId="39FB207B" w14:textId="77777777" w:rsidR="0070628A" w:rsidRPr="003B3836" w:rsidRDefault="0070628A" w:rsidP="0070628A">
      <w:pPr>
        <w:spacing w:after="0"/>
        <w:rPr>
          <w:rFonts w:ascii="Calibri" w:eastAsia="Calibri" w:hAnsi="Calibri" w:cs="Times New Roman"/>
        </w:rPr>
      </w:pPr>
    </w:p>
    <w:p w14:paraId="7219F449" w14:textId="77777777" w:rsidR="0070628A" w:rsidRPr="003B3836" w:rsidRDefault="0070628A" w:rsidP="0070628A">
      <w:pPr>
        <w:spacing w:after="0"/>
        <w:rPr>
          <w:rFonts w:ascii="Calibri" w:eastAsia="Calibri" w:hAnsi="Calibri" w:cs="Times New Roman"/>
        </w:rPr>
      </w:pPr>
      <w:r w:rsidRPr="003B3836">
        <w:rPr>
          <w:rFonts w:ascii="Calibri" w:eastAsia="Calibri" w:hAnsi="Calibri" w:cs="Times New Roman"/>
        </w:rPr>
        <w:t xml:space="preserve">Thank you for your participation. </w:t>
      </w:r>
    </w:p>
    <w:p w14:paraId="68BD7A0C" w14:textId="77777777" w:rsidR="0070628A" w:rsidRPr="003B3836" w:rsidRDefault="0070628A" w:rsidP="0070628A">
      <w:pPr>
        <w:spacing w:after="0" w:line="240" w:lineRule="auto"/>
        <w:rPr>
          <w:rFonts w:ascii="Calibri" w:eastAsia="Calibri" w:hAnsi="Calibri" w:cs="Times New Roman"/>
        </w:rPr>
      </w:pPr>
      <w:r w:rsidRPr="003B3836">
        <w:rPr>
          <w:rFonts w:ascii="Calibri" w:eastAsia="Calibri" w:hAnsi="Calibri" w:cs="Times New Roman"/>
        </w:rPr>
        <w:t>Sian Calvert</w:t>
      </w:r>
    </w:p>
    <w:p w14:paraId="47FFFCFE" w14:textId="77777777" w:rsidR="0070628A" w:rsidRPr="003B3836" w:rsidRDefault="0070628A" w:rsidP="0070628A">
      <w:pPr>
        <w:spacing w:after="0"/>
        <w:rPr>
          <w:rFonts w:ascii="Calibri" w:eastAsia="Calibri" w:hAnsi="Calibri" w:cs="Times New Roman"/>
        </w:rPr>
      </w:pPr>
    </w:p>
    <w:p w14:paraId="429985EC" w14:textId="77777777" w:rsidR="0070628A" w:rsidRPr="003B3836" w:rsidRDefault="0070628A" w:rsidP="0070628A">
      <w:pPr>
        <w:spacing w:after="0"/>
        <w:rPr>
          <w:rFonts w:ascii="Calibri" w:eastAsia="Calibri" w:hAnsi="Calibri" w:cs="Times New Roman"/>
        </w:rPr>
      </w:pPr>
      <w:r w:rsidRPr="003B3836">
        <w:rPr>
          <w:rFonts w:ascii="Calibri" w:eastAsia="Calibri" w:hAnsi="Calibri" w:cs="Times New Roman"/>
        </w:rPr>
        <w:t xml:space="preserve">Thank you for your participation. </w:t>
      </w:r>
    </w:p>
    <w:p w14:paraId="16B38CEC" w14:textId="77777777" w:rsidR="0070628A" w:rsidRPr="003B3836" w:rsidRDefault="0070628A" w:rsidP="0070628A">
      <w:pPr>
        <w:spacing w:after="0" w:line="240" w:lineRule="auto"/>
        <w:rPr>
          <w:rFonts w:ascii="Calibri" w:eastAsia="Calibri" w:hAnsi="Calibri" w:cs="Times New Roman"/>
          <w:lang w:val="it-IT"/>
        </w:rPr>
      </w:pPr>
      <w:r w:rsidRPr="003B3836">
        <w:rPr>
          <w:rFonts w:ascii="Calibri" w:eastAsia="Calibri" w:hAnsi="Calibri" w:cs="Times New Roman"/>
          <w:lang w:val="it-IT"/>
        </w:rPr>
        <w:t>Sian Calvert</w:t>
      </w:r>
    </w:p>
    <w:p w14:paraId="0131F994" w14:textId="77777777" w:rsidR="0070628A" w:rsidRPr="003B3836" w:rsidRDefault="0070628A" w:rsidP="0070628A">
      <w:pPr>
        <w:spacing w:after="0" w:line="240" w:lineRule="auto"/>
        <w:rPr>
          <w:rFonts w:ascii="Calibri" w:eastAsia="Calibri" w:hAnsi="Calibri" w:cs="Times New Roman"/>
          <w:lang w:val="it-IT"/>
        </w:rPr>
      </w:pPr>
    </w:p>
    <w:p w14:paraId="75404CF3" w14:textId="77777777" w:rsidR="0070628A" w:rsidRPr="003B3836" w:rsidRDefault="00322DCE" w:rsidP="0070628A">
      <w:pPr>
        <w:spacing w:after="0" w:line="240" w:lineRule="auto"/>
        <w:rPr>
          <w:rFonts w:ascii="Calibri" w:eastAsia="Calibri" w:hAnsi="Calibri" w:cs="Times New Roman"/>
          <w:color w:val="0563C1"/>
          <w:u w:val="single"/>
          <w:lang w:val="it-IT"/>
        </w:rPr>
      </w:pPr>
      <w:hyperlink r:id="rId83" w:history="1">
        <w:r w:rsidR="0070628A" w:rsidRPr="003B3836">
          <w:rPr>
            <w:rFonts w:ascii="Calibri" w:eastAsia="Calibri" w:hAnsi="Calibri" w:cs="Times New Roman"/>
            <w:color w:val="0563C1"/>
            <w:u w:val="single"/>
            <w:lang w:val="it-IT"/>
          </w:rPr>
          <w:t>Sian.calvert@research.staffs.ac.uk</w:t>
        </w:r>
      </w:hyperlink>
    </w:p>
    <w:p w14:paraId="3ED4EA3C" w14:textId="77777777" w:rsidR="0070628A" w:rsidRPr="003B3836" w:rsidRDefault="0070628A" w:rsidP="0070628A">
      <w:pPr>
        <w:spacing w:after="0" w:line="240" w:lineRule="auto"/>
        <w:rPr>
          <w:rFonts w:ascii="Calibri" w:eastAsia="Calibri" w:hAnsi="Calibri" w:cs="Times New Roman"/>
        </w:rPr>
      </w:pPr>
      <w:r w:rsidRPr="003B3836">
        <w:rPr>
          <w:rFonts w:ascii="Calibri" w:eastAsia="Calibri" w:hAnsi="Calibri" w:cs="Times New Roman"/>
          <w:i/>
        </w:rPr>
        <w:t xml:space="preserve">PhD Student in Psychology, Staffordshire University </w:t>
      </w:r>
    </w:p>
    <w:p w14:paraId="092ACAA7" w14:textId="77777777" w:rsidR="0070628A" w:rsidRPr="003B3836" w:rsidRDefault="0070628A" w:rsidP="0070628A">
      <w:pPr>
        <w:spacing w:after="0" w:line="240" w:lineRule="auto"/>
        <w:rPr>
          <w:rFonts w:ascii="Calibri" w:eastAsia="Calibri" w:hAnsi="Calibri" w:cs="Times New Roman"/>
        </w:rPr>
      </w:pPr>
      <w:r w:rsidRPr="003B3836">
        <w:rPr>
          <w:rFonts w:ascii="Calibri" w:eastAsia="Calibri" w:hAnsi="Calibri" w:cs="Times New Roman"/>
        </w:rPr>
        <w:t>01782 294121</w:t>
      </w:r>
    </w:p>
    <w:p w14:paraId="49AD2DC0" w14:textId="77777777" w:rsidR="0070628A" w:rsidRPr="003B3836" w:rsidRDefault="0070628A" w:rsidP="0070628A">
      <w:pPr>
        <w:spacing w:after="0" w:line="240" w:lineRule="auto"/>
        <w:rPr>
          <w:rFonts w:ascii="Calibri" w:eastAsia="Calibri" w:hAnsi="Calibri" w:cs="Times New Roman"/>
        </w:rPr>
      </w:pPr>
    </w:p>
    <w:p w14:paraId="13C10ABA" w14:textId="5B6A8052" w:rsidR="0070628A" w:rsidRPr="00257283" w:rsidRDefault="002E6FE2" w:rsidP="0070628A">
      <w:pPr>
        <w:spacing w:after="0" w:line="240" w:lineRule="auto"/>
        <w:rPr>
          <w:rFonts w:ascii="Calibri" w:eastAsia="Calibri" w:hAnsi="Calibri" w:cs="Times New Roman"/>
        </w:rPr>
      </w:pPr>
      <w:r w:rsidRPr="003B3836">
        <w:rPr>
          <w:rFonts w:ascii="Calibri" w:eastAsia="Calibri" w:hAnsi="Calibri" w:cs="Times New Roman"/>
        </w:rPr>
        <w:t>Supervisors: -</w:t>
      </w:r>
    </w:p>
    <w:p w14:paraId="6FC52B3A" w14:textId="77777777" w:rsidR="0070628A" w:rsidRDefault="0070628A" w:rsidP="0070628A">
      <w:pPr>
        <w:spacing w:after="0" w:line="240" w:lineRule="auto"/>
        <w:rPr>
          <w:rFonts w:ascii="Calibri" w:eastAsia="Calibri" w:hAnsi="Calibri" w:cs="Times New Roman"/>
        </w:rPr>
        <w:sectPr w:rsidR="0070628A" w:rsidSect="0070628A">
          <w:footerReference w:type="default" r:id="rId84"/>
          <w:type w:val="continuous"/>
          <w:pgSz w:w="11906" w:h="16838"/>
          <w:pgMar w:top="1440" w:right="1440" w:bottom="1440" w:left="1440" w:header="708" w:footer="708" w:gutter="0"/>
          <w:cols w:space="708"/>
          <w:docGrid w:linePitch="360"/>
        </w:sectPr>
      </w:pPr>
    </w:p>
    <w:p w14:paraId="7A184FF8" w14:textId="77777777" w:rsidR="0070628A" w:rsidRPr="00257283" w:rsidRDefault="0070628A" w:rsidP="0070628A">
      <w:pPr>
        <w:spacing w:after="0" w:line="240" w:lineRule="auto"/>
        <w:rPr>
          <w:rFonts w:ascii="Calibri" w:eastAsia="Calibri" w:hAnsi="Calibri" w:cs="Times New Roman"/>
        </w:rPr>
      </w:pPr>
    </w:p>
    <w:p w14:paraId="11C0DFB2" w14:textId="77777777" w:rsidR="0070628A" w:rsidRPr="00257283" w:rsidRDefault="0070628A" w:rsidP="0070628A">
      <w:pPr>
        <w:spacing w:after="0" w:line="240" w:lineRule="auto"/>
        <w:rPr>
          <w:rFonts w:ascii="Calibri" w:eastAsia="Calibri" w:hAnsi="Calibri" w:cs="Times New Roman"/>
        </w:rPr>
      </w:pPr>
      <w:r w:rsidRPr="00257283">
        <w:rPr>
          <w:rFonts w:ascii="Calibri" w:eastAsia="Calibri" w:hAnsi="Calibri" w:cs="Times New Roman"/>
        </w:rPr>
        <w:t xml:space="preserve">Dr. Robert Dempsey </w:t>
      </w:r>
    </w:p>
    <w:p w14:paraId="2F527A38" w14:textId="77777777" w:rsidR="0070628A" w:rsidRPr="00257283" w:rsidRDefault="0070628A" w:rsidP="0070628A">
      <w:pPr>
        <w:spacing w:after="0" w:line="240" w:lineRule="auto"/>
        <w:rPr>
          <w:rFonts w:ascii="Calibri" w:eastAsia="Calibri" w:hAnsi="Calibri" w:cs="Times New Roman"/>
        </w:rPr>
      </w:pPr>
      <w:r w:rsidRPr="00257283">
        <w:rPr>
          <w:rFonts w:ascii="Calibri" w:eastAsia="Calibri" w:hAnsi="Calibri" w:cs="Times New Roman"/>
        </w:rPr>
        <w:t>robert.dempsey@staffs.ac.uk</w:t>
      </w:r>
    </w:p>
    <w:p w14:paraId="0A2785EC" w14:textId="77777777" w:rsidR="0070628A" w:rsidRPr="00257283" w:rsidRDefault="0070628A" w:rsidP="0070628A">
      <w:pPr>
        <w:spacing w:after="0" w:line="240" w:lineRule="auto"/>
        <w:rPr>
          <w:rFonts w:ascii="Calibri" w:eastAsia="Calibri" w:hAnsi="Calibri" w:cs="Times New Roman"/>
        </w:rPr>
      </w:pPr>
      <w:r w:rsidRPr="00257283">
        <w:rPr>
          <w:rFonts w:ascii="Calibri" w:eastAsia="Calibri" w:hAnsi="Calibri" w:cs="Times New Roman"/>
        </w:rPr>
        <w:t xml:space="preserve">Lecturer at Staffordshire University </w:t>
      </w:r>
    </w:p>
    <w:p w14:paraId="29495E77" w14:textId="77D6E410" w:rsidR="0070628A" w:rsidRPr="00446859" w:rsidRDefault="00B82D0E" w:rsidP="0070628A">
      <w:pPr>
        <w:spacing w:after="0" w:line="240" w:lineRule="auto"/>
        <w:rPr>
          <w:rFonts w:ascii="Calibri" w:eastAsia="Calibri" w:hAnsi="Calibri" w:cs="Times New Roman"/>
          <w:lang w:val="it-IT"/>
        </w:rPr>
      </w:pPr>
      <w:r>
        <w:rPr>
          <w:rFonts w:ascii="Calibri" w:eastAsia="Calibri" w:hAnsi="Calibri" w:cs="Times New Roman"/>
          <w:lang w:val="it-IT"/>
        </w:rPr>
        <w:t>[Telephone number]</w:t>
      </w:r>
    </w:p>
    <w:p w14:paraId="7EB9C9C0" w14:textId="77777777" w:rsidR="0070628A" w:rsidRPr="00446859" w:rsidRDefault="0070628A" w:rsidP="0070628A">
      <w:pPr>
        <w:spacing w:after="0" w:line="240" w:lineRule="auto"/>
        <w:rPr>
          <w:rFonts w:ascii="Calibri" w:eastAsia="Calibri" w:hAnsi="Calibri" w:cs="Times New Roman"/>
          <w:lang w:val="it-IT"/>
        </w:rPr>
      </w:pPr>
    </w:p>
    <w:p w14:paraId="6A9A9968" w14:textId="77777777" w:rsidR="002E6FE2" w:rsidRDefault="002E6FE2" w:rsidP="0070628A">
      <w:pPr>
        <w:spacing w:after="0" w:line="240" w:lineRule="auto"/>
        <w:rPr>
          <w:rFonts w:ascii="Calibri" w:eastAsia="Calibri" w:hAnsi="Calibri" w:cs="Times New Roman"/>
          <w:lang w:val="it-IT"/>
        </w:rPr>
      </w:pPr>
    </w:p>
    <w:p w14:paraId="387DD8BD" w14:textId="7CAF4297" w:rsidR="0070628A" w:rsidRPr="00446859" w:rsidRDefault="0070628A" w:rsidP="0070628A">
      <w:pPr>
        <w:spacing w:after="0" w:line="240" w:lineRule="auto"/>
        <w:rPr>
          <w:rFonts w:ascii="Calibri" w:eastAsia="Calibri" w:hAnsi="Calibri" w:cs="Times New Roman"/>
          <w:lang w:val="it-IT"/>
        </w:rPr>
      </w:pPr>
      <w:r w:rsidRPr="00446859">
        <w:rPr>
          <w:rFonts w:ascii="Calibri" w:eastAsia="Calibri" w:hAnsi="Calibri" w:cs="Times New Roman"/>
          <w:lang w:val="it-IT"/>
        </w:rPr>
        <w:t xml:space="preserve">Dr. Rachel Povey </w:t>
      </w:r>
    </w:p>
    <w:p w14:paraId="4EF0AC97" w14:textId="77777777" w:rsidR="0070628A" w:rsidRPr="00446859" w:rsidRDefault="0070628A" w:rsidP="0070628A">
      <w:pPr>
        <w:spacing w:after="0" w:line="240" w:lineRule="auto"/>
        <w:rPr>
          <w:rFonts w:ascii="Calibri" w:eastAsia="Calibri" w:hAnsi="Calibri" w:cs="Times New Roman"/>
          <w:lang w:val="it-IT"/>
        </w:rPr>
      </w:pPr>
      <w:r w:rsidRPr="00446859">
        <w:rPr>
          <w:rFonts w:ascii="Calibri" w:eastAsia="Calibri" w:hAnsi="Calibri" w:cs="Times New Roman"/>
          <w:lang w:val="it-IT"/>
        </w:rPr>
        <w:t>r.povey@staffs.ac.uk</w:t>
      </w:r>
    </w:p>
    <w:p w14:paraId="021A0635" w14:textId="77777777" w:rsidR="0070628A" w:rsidRPr="00257283" w:rsidRDefault="0070628A" w:rsidP="0070628A">
      <w:pPr>
        <w:spacing w:after="0" w:line="240" w:lineRule="auto"/>
        <w:rPr>
          <w:rFonts w:ascii="Calibri" w:eastAsia="Calibri" w:hAnsi="Calibri" w:cs="Times New Roman"/>
        </w:rPr>
      </w:pPr>
      <w:r>
        <w:rPr>
          <w:rFonts w:ascii="Calibri" w:eastAsia="Calibri" w:hAnsi="Calibri" w:cs="Times New Roman"/>
        </w:rPr>
        <w:t>Associate Professor in Health Psychology</w:t>
      </w:r>
      <w:r w:rsidRPr="00257283">
        <w:rPr>
          <w:rFonts w:ascii="Calibri" w:eastAsia="Calibri" w:hAnsi="Calibri" w:cs="Times New Roman"/>
        </w:rPr>
        <w:t xml:space="preserve"> at Staffordshire University </w:t>
      </w:r>
    </w:p>
    <w:p w14:paraId="1594ED76" w14:textId="77777777" w:rsidR="00B82D0E" w:rsidRPr="00B32EBC" w:rsidRDefault="00B82D0E" w:rsidP="00B82D0E">
      <w:pPr>
        <w:spacing w:after="0" w:line="240" w:lineRule="auto"/>
        <w:rPr>
          <w:rFonts w:ascii="Calibri" w:eastAsia="Calibri" w:hAnsi="Calibri" w:cs="Times New Roman"/>
        </w:rPr>
        <w:sectPr w:rsidR="00B82D0E" w:rsidRPr="00B32EBC" w:rsidSect="00DB2EC7">
          <w:type w:val="continuous"/>
          <w:pgSz w:w="11906" w:h="16838"/>
          <w:pgMar w:top="1440" w:right="1440" w:bottom="1440" w:left="1440" w:header="708" w:footer="708" w:gutter="0"/>
          <w:cols w:num="2" w:space="708"/>
          <w:docGrid w:linePitch="360"/>
        </w:sectPr>
      </w:pPr>
      <w:r>
        <w:rPr>
          <w:rFonts w:ascii="Calibri" w:eastAsia="Calibri" w:hAnsi="Calibri" w:cs="Times New Roman"/>
        </w:rPr>
        <w:t>[Telephone number]</w:t>
      </w:r>
    </w:p>
    <w:p w14:paraId="5B164800" w14:textId="77777777" w:rsidR="0070628A" w:rsidRDefault="0070628A" w:rsidP="0070628A">
      <w:pPr>
        <w:ind w:right="-1440"/>
        <w:rPr>
          <w:rFonts w:ascii="Calibri" w:eastAsia="Calibri" w:hAnsi="Calibri" w:cs="Times New Roman"/>
          <w:b/>
        </w:rPr>
        <w:sectPr w:rsidR="0070628A" w:rsidSect="003B3836">
          <w:type w:val="continuous"/>
          <w:pgSz w:w="11906" w:h="16838"/>
          <w:pgMar w:top="1440" w:right="1440" w:bottom="1440" w:left="1440" w:header="708" w:footer="708" w:gutter="0"/>
          <w:cols w:num="2" w:space="708"/>
          <w:docGrid w:linePitch="360"/>
        </w:sectPr>
      </w:pPr>
    </w:p>
    <w:p w14:paraId="00D50E0E" w14:textId="77777777" w:rsidR="0070628A" w:rsidRPr="00446859" w:rsidRDefault="0070628A" w:rsidP="0070628A">
      <w:pPr>
        <w:ind w:right="-1440"/>
        <w:rPr>
          <w:rFonts w:ascii="Calibri" w:eastAsia="Calibri" w:hAnsi="Calibri" w:cs="Times New Roman"/>
          <w:b/>
        </w:rPr>
      </w:pPr>
    </w:p>
    <w:p w14:paraId="55D57BF9" w14:textId="77777777" w:rsidR="00572E3D" w:rsidRDefault="00572E3D" w:rsidP="00572E3D"/>
    <w:p w14:paraId="480E1C02" w14:textId="4430BCDC" w:rsidR="00376179" w:rsidRDefault="00C54485" w:rsidP="00376179">
      <w:r w:rsidRPr="00E272EB">
        <w:fldChar w:fldCharType="begin"/>
      </w:r>
      <w:r w:rsidRPr="00E272EB">
        <w:instrText xml:space="preserve"> TC  " </w:instrText>
      </w:r>
      <w:bookmarkStart w:id="360" w:name="_Toc97557171"/>
      <w:r w:rsidRPr="006B5F0B">
        <w:rPr>
          <w:bCs/>
        </w:rPr>
        <w:instrText xml:space="preserve">Appendix </w:instrText>
      </w:r>
      <w:r w:rsidR="00C834E3">
        <w:rPr>
          <w:bCs/>
        </w:rPr>
        <w:instrText>1</w:instrText>
      </w:r>
      <w:r w:rsidR="007F5E1F">
        <w:rPr>
          <w:bCs/>
        </w:rPr>
        <w:instrText>9</w:instrText>
      </w:r>
      <w:r>
        <w:rPr>
          <w:bCs/>
        </w:rPr>
        <w:instrText xml:space="preserve">: SNA school student information sheet </w:instrText>
      </w:r>
      <w:r w:rsidRPr="00265133">
        <w:instrText>(</w:instrText>
      </w:r>
      <w:r w:rsidR="00375C06">
        <w:instrText>Studies Two and Three</w:instrText>
      </w:r>
      <w:r w:rsidRPr="00265133">
        <w:instrText>, Chapter 7 and 8)</w:instrText>
      </w:r>
      <w:bookmarkEnd w:id="360"/>
      <w:r w:rsidRPr="00E272EB">
        <w:instrText xml:space="preserve">" \f y\l </w:instrText>
      </w:r>
      <w:r>
        <w:instrText>2</w:instrText>
      </w:r>
      <w:r w:rsidR="006443FE">
        <w:instrText xml:space="preserve"> </w:instrText>
      </w:r>
      <w:r w:rsidRPr="00E272EB">
        <w:fldChar w:fldCharType="end"/>
      </w:r>
      <w:r w:rsidR="006B5F0B" w:rsidRPr="006B5F0B">
        <w:rPr>
          <w:bCs/>
        </w:rPr>
        <w:t xml:space="preserve">Appendix </w:t>
      </w:r>
      <w:r w:rsidR="00C834E3">
        <w:rPr>
          <w:bCs/>
        </w:rPr>
        <w:t>1</w:t>
      </w:r>
      <w:r w:rsidR="007F5E1F">
        <w:rPr>
          <w:bCs/>
        </w:rPr>
        <w:t>9</w:t>
      </w:r>
      <w:r w:rsidR="006B5F0B">
        <w:rPr>
          <w:bCs/>
        </w:rPr>
        <w:t xml:space="preserve">: SNA school student information sheet </w:t>
      </w:r>
      <w:r w:rsidR="006B5F0B" w:rsidRPr="00265133">
        <w:t>(</w:t>
      </w:r>
      <w:r w:rsidR="00375C06">
        <w:t>Studies Two and Three</w:t>
      </w:r>
      <w:r w:rsidR="006B5F0B" w:rsidRPr="00265133">
        <w:t>, Chapter 7 and 8</w:t>
      </w:r>
      <w:r w:rsidR="006B5F0B">
        <w:t>)</w:t>
      </w:r>
    </w:p>
    <w:p w14:paraId="60554261" w14:textId="77777777" w:rsidR="00376179" w:rsidRDefault="00376179" w:rsidP="00376179">
      <w:pPr>
        <w:rPr>
          <w:rFonts w:ascii="Calibri" w:eastAsia="Calibri" w:hAnsi="Calibri" w:cs="Times New Roman"/>
          <w:b/>
          <w:sz w:val="28"/>
          <w:szCs w:val="28"/>
        </w:rPr>
      </w:pPr>
    </w:p>
    <w:p w14:paraId="41E07248" w14:textId="77777777" w:rsidR="00376179" w:rsidRDefault="00376179" w:rsidP="00376179">
      <w:pPr>
        <w:rPr>
          <w:rFonts w:ascii="Calibri" w:eastAsia="Calibri" w:hAnsi="Calibri" w:cs="Times New Roman"/>
          <w:b/>
          <w:sz w:val="32"/>
          <w:szCs w:val="32"/>
          <w:u w:val="single"/>
        </w:rPr>
      </w:pPr>
      <w:r w:rsidRPr="000E129F">
        <w:rPr>
          <w:rFonts w:ascii="Calibri" w:eastAsia="Calibri" w:hAnsi="Calibri" w:cs="Times New Roman"/>
          <w:b/>
          <w:noProof/>
          <w:sz w:val="28"/>
          <w:szCs w:val="28"/>
          <w:u w:val="single"/>
          <w:lang w:eastAsia="en-GB"/>
        </w:rPr>
        <w:drawing>
          <wp:anchor distT="0" distB="0" distL="114300" distR="114300" simplePos="0" relativeHeight="251743232" behindDoc="1" locked="0" layoutInCell="1" allowOverlap="1" wp14:anchorId="0DFC6C6E" wp14:editId="27D8618C">
            <wp:simplePos x="0" y="0"/>
            <wp:positionH relativeFrom="column">
              <wp:posOffset>4773930</wp:posOffset>
            </wp:positionH>
            <wp:positionV relativeFrom="paragraph">
              <wp:posOffset>-285750</wp:posOffset>
            </wp:positionV>
            <wp:extent cx="971550" cy="1104900"/>
            <wp:effectExtent l="0" t="0" r="0" b="0"/>
            <wp:wrapTight wrapText="bothSides">
              <wp:wrapPolygon edited="0">
                <wp:start x="0" y="0"/>
                <wp:lineTo x="0" y="21228"/>
                <wp:lineTo x="21176" y="21228"/>
                <wp:lineTo x="21176" y="0"/>
                <wp:lineTo x="0" y="0"/>
              </wp:wrapPolygon>
            </wp:wrapTight>
            <wp:docPr id="85727" name="Picture 857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7" name="Picture 85727"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p>
    <w:p w14:paraId="5A8D1556" w14:textId="77777777" w:rsidR="00376179" w:rsidRDefault="00376179" w:rsidP="00376179">
      <w:pPr>
        <w:jc w:val="center"/>
        <w:rPr>
          <w:rFonts w:ascii="Calibri" w:eastAsia="Calibri" w:hAnsi="Calibri" w:cs="Times New Roman"/>
          <w:b/>
          <w:sz w:val="32"/>
          <w:szCs w:val="32"/>
          <w:u w:val="single"/>
        </w:rPr>
      </w:pPr>
    </w:p>
    <w:p w14:paraId="717874A2" w14:textId="77777777" w:rsidR="00376179" w:rsidRDefault="00376179" w:rsidP="00376179">
      <w:pPr>
        <w:jc w:val="center"/>
        <w:rPr>
          <w:rFonts w:ascii="Calibri" w:eastAsia="Calibri" w:hAnsi="Calibri" w:cs="Times New Roman"/>
          <w:b/>
          <w:sz w:val="32"/>
          <w:szCs w:val="32"/>
          <w:u w:val="single"/>
        </w:rPr>
      </w:pPr>
    </w:p>
    <w:p w14:paraId="351F5660" w14:textId="44B1DD60" w:rsidR="00376179" w:rsidRPr="00257283" w:rsidRDefault="00376179" w:rsidP="00376179">
      <w:pPr>
        <w:jc w:val="center"/>
        <w:rPr>
          <w:rFonts w:ascii="Calibri" w:eastAsia="Calibri" w:hAnsi="Calibri" w:cs="Times New Roman"/>
          <w:b/>
          <w:sz w:val="32"/>
          <w:szCs w:val="32"/>
          <w:u w:val="single"/>
        </w:rPr>
      </w:pPr>
      <w:r w:rsidRPr="00257283">
        <w:rPr>
          <w:rFonts w:ascii="Calibri" w:eastAsia="Calibri" w:hAnsi="Calibri" w:cs="Times New Roman"/>
          <w:b/>
          <w:sz w:val="32"/>
          <w:szCs w:val="32"/>
          <w:u w:val="single"/>
        </w:rPr>
        <w:t>Information sheet for students</w:t>
      </w:r>
      <w:r>
        <w:rPr>
          <w:rFonts w:ascii="Calibri" w:eastAsia="Calibri" w:hAnsi="Calibri" w:cs="Times New Roman"/>
          <w:b/>
          <w:sz w:val="32"/>
          <w:szCs w:val="32"/>
          <w:u w:val="single"/>
        </w:rPr>
        <w:t xml:space="preserve"> – SNA school</w:t>
      </w:r>
    </w:p>
    <w:p w14:paraId="0E416D88" w14:textId="77777777" w:rsidR="00376179" w:rsidRPr="00257283" w:rsidRDefault="00376179" w:rsidP="00376179">
      <w:pPr>
        <w:rPr>
          <w:rFonts w:ascii="Calibri" w:eastAsia="Calibri" w:hAnsi="Calibri" w:cs="Times New Roman"/>
          <w:b/>
        </w:rPr>
      </w:pPr>
    </w:p>
    <w:p w14:paraId="7F13A6E9" w14:textId="77777777" w:rsidR="00376179" w:rsidRPr="00AF1A60" w:rsidRDefault="00376179" w:rsidP="00376179">
      <w:pPr>
        <w:rPr>
          <w:rFonts w:ascii="Calibri" w:eastAsia="Calibri" w:hAnsi="Calibri" w:cs="Times New Roman"/>
          <w:b/>
        </w:rPr>
      </w:pPr>
      <w:r w:rsidRPr="00AF1A60">
        <w:rPr>
          <w:rFonts w:ascii="Calibri" w:eastAsia="Calibri" w:hAnsi="Calibri" w:cs="Times New Roman"/>
          <w:b/>
        </w:rPr>
        <w:t>What is involved in taking part in this research?</w:t>
      </w:r>
    </w:p>
    <w:p w14:paraId="2FF734CD" w14:textId="77777777" w:rsidR="00376179" w:rsidRPr="00AF1A60" w:rsidRDefault="00376179" w:rsidP="00376179">
      <w:pPr>
        <w:rPr>
          <w:rFonts w:ascii="Calibri" w:eastAsia="Calibri" w:hAnsi="Calibri" w:cs="Times New Roman"/>
        </w:rPr>
      </w:pPr>
      <w:r w:rsidRPr="00AF1A60">
        <w:rPr>
          <w:rFonts w:ascii="Calibri" w:eastAsia="Calibri" w:hAnsi="Calibri" w:cs="Times New Roman"/>
        </w:rPr>
        <w:t>The aim of this research is to investigate eating behaviours amongst students at your school.  To help with this you will be asked to complete a short questionnaire that should take no longer than 20 minutes at three different times, about your own and your classmates’ eating behaviours. You will be invited to help design a poster which will take around 60 minutes, with a small group of students from your class, looking at the topic of snacking behaviours. You will also be given a healthy eating leaflet. Taking part in the research is voluntary, and if you wish to no longer take part, you are free to leave and return to your class at any time with no questions asked and questionnaire data will no longer be used.</w:t>
      </w:r>
    </w:p>
    <w:p w14:paraId="39B17590" w14:textId="77777777" w:rsidR="00376179" w:rsidRPr="00AF1A60" w:rsidRDefault="00376179" w:rsidP="00376179">
      <w:pPr>
        <w:rPr>
          <w:rFonts w:ascii="Calibri" w:eastAsia="Calibri" w:hAnsi="Calibri" w:cs="Times New Roman"/>
          <w:b/>
          <w:color w:val="171717"/>
        </w:rPr>
      </w:pPr>
      <w:r w:rsidRPr="00AF1A60">
        <w:rPr>
          <w:rFonts w:ascii="Calibri" w:eastAsia="Calibri" w:hAnsi="Calibri" w:cs="Times New Roman"/>
          <w:b/>
          <w:color w:val="171717"/>
        </w:rPr>
        <w:t>What will happen to the data that is collected today?</w:t>
      </w:r>
    </w:p>
    <w:p w14:paraId="67F7EE07" w14:textId="77777777" w:rsidR="00376179" w:rsidRPr="00AF1A60" w:rsidRDefault="00376179" w:rsidP="00376179">
      <w:pPr>
        <w:rPr>
          <w:rFonts w:ascii="Calibri" w:eastAsia="Calibri" w:hAnsi="Calibri" w:cs="Times New Roman"/>
        </w:rPr>
      </w:pPr>
      <w:r w:rsidRPr="00AF1A60">
        <w:rPr>
          <w:rFonts w:ascii="Calibri" w:eastAsia="Calibri" w:hAnsi="Calibri" w:cs="Times New Roman"/>
        </w:rPr>
        <w:t xml:space="preserve">All information is confidential and will be kept securely at Staffordshire University and only the research team working on this project will have access to original data;  it will not be passed on to anyone else. You will not be identifiable from the results, as all results will be presented all together. </w:t>
      </w:r>
    </w:p>
    <w:p w14:paraId="2D735EC8" w14:textId="77777777" w:rsidR="00376179" w:rsidRPr="00257283" w:rsidRDefault="00376179" w:rsidP="00376179">
      <w:pPr>
        <w:spacing w:after="0"/>
        <w:rPr>
          <w:rFonts w:ascii="Calibri" w:eastAsia="Calibri" w:hAnsi="Calibri" w:cs="Times New Roman"/>
        </w:rPr>
      </w:pPr>
      <w:r w:rsidRPr="00AF1A60">
        <w:rPr>
          <w:rFonts w:ascii="Calibri" w:eastAsia="Calibri" w:hAnsi="Calibri" w:cs="Times New Roman"/>
        </w:rPr>
        <w:t>If you have any questions I am happy to answer them before the research starts, or you can contact me on the details below.</w:t>
      </w:r>
    </w:p>
    <w:p w14:paraId="3E07E923" w14:textId="77777777" w:rsidR="00376179" w:rsidRPr="00257283" w:rsidRDefault="00376179" w:rsidP="00376179">
      <w:pPr>
        <w:spacing w:after="0"/>
        <w:rPr>
          <w:rFonts w:ascii="Calibri" w:eastAsia="Calibri" w:hAnsi="Calibri" w:cs="Times New Roman"/>
        </w:rPr>
      </w:pPr>
    </w:p>
    <w:p w14:paraId="5087AC52" w14:textId="77777777" w:rsidR="00376179" w:rsidRPr="00257283" w:rsidRDefault="00376179" w:rsidP="00376179">
      <w:pPr>
        <w:spacing w:after="0"/>
        <w:rPr>
          <w:rFonts w:ascii="Calibri" w:eastAsia="Calibri" w:hAnsi="Calibri" w:cs="Times New Roman"/>
        </w:rPr>
      </w:pPr>
      <w:r w:rsidRPr="00257283">
        <w:rPr>
          <w:rFonts w:ascii="Calibri" w:eastAsia="Calibri" w:hAnsi="Calibri" w:cs="Times New Roman"/>
        </w:rPr>
        <w:t xml:space="preserve">Thank you for your participation. </w:t>
      </w:r>
    </w:p>
    <w:p w14:paraId="7FEAA000" w14:textId="77777777" w:rsidR="00376179" w:rsidRPr="00446859" w:rsidRDefault="00376179" w:rsidP="00376179">
      <w:pPr>
        <w:spacing w:after="0" w:line="240" w:lineRule="auto"/>
        <w:rPr>
          <w:rFonts w:ascii="Calibri" w:eastAsia="Calibri" w:hAnsi="Calibri" w:cs="Times New Roman"/>
          <w:lang w:val="it-IT"/>
        </w:rPr>
      </w:pPr>
      <w:r w:rsidRPr="00446859">
        <w:rPr>
          <w:rFonts w:ascii="Calibri" w:eastAsia="Calibri" w:hAnsi="Calibri" w:cs="Times New Roman"/>
          <w:lang w:val="it-IT"/>
        </w:rPr>
        <w:t>Sian Calvert</w:t>
      </w:r>
    </w:p>
    <w:p w14:paraId="67091483" w14:textId="77777777" w:rsidR="00376179" w:rsidRPr="00446859" w:rsidRDefault="00376179" w:rsidP="00376179">
      <w:pPr>
        <w:spacing w:after="0" w:line="240" w:lineRule="auto"/>
        <w:rPr>
          <w:rFonts w:ascii="Calibri" w:eastAsia="Calibri" w:hAnsi="Calibri" w:cs="Times New Roman"/>
          <w:lang w:val="it-IT"/>
        </w:rPr>
      </w:pPr>
    </w:p>
    <w:p w14:paraId="6264D0CF" w14:textId="77777777" w:rsidR="00376179" w:rsidRPr="00446859" w:rsidRDefault="00322DCE" w:rsidP="00376179">
      <w:pPr>
        <w:spacing w:after="0" w:line="240" w:lineRule="auto"/>
        <w:rPr>
          <w:rFonts w:ascii="Calibri" w:eastAsia="Calibri" w:hAnsi="Calibri" w:cs="Times New Roman"/>
          <w:color w:val="0563C1"/>
          <w:u w:val="single"/>
          <w:lang w:val="it-IT"/>
        </w:rPr>
      </w:pPr>
      <w:hyperlink r:id="rId85" w:history="1">
        <w:r w:rsidR="00376179" w:rsidRPr="00446859">
          <w:rPr>
            <w:rFonts w:ascii="Calibri" w:eastAsia="Calibri" w:hAnsi="Calibri" w:cs="Times New Roman"/>
            <w:color w:val="0563C1"/>
            <w:u w:val="single"/>
            <w:lang w:val="it-IT"/>
          </w:rPr>
          <w:t>Sian.calvert@research.staffs.ac.uk</w:t>
        </w:r>
      </w:hyperlink>
    </w:p>
    <w:p w14:paraId="50AB92A1" w14:textId="77777777" w:rsidR="00376179" w:rsidRPr="00257283" w:rsidRDefault="00376179" w:rsidP="00376179">
      <w:pPr>
        <w:spacing w:after="0" w:line="240" w:lineRule="auto"/>
        <w:rPr>
          <w:rFonts w:ascii="Calibri" w:eastAsia="Calibri" w:hAnsi="Calibri" w:cs="Times New Roman"/>
        </w:rPr>
      </w:pPr>
      <w:r w:rsidRPr="00257283">
        <w:rPr>
          <w:rFonts w:ascii="Calibri" w:eastAsia="Calibri" w:hAnsi="Calibri" w:cs="Times New Roman"/>
          <w:i/>
        </w:rPr>
        <w:t xml:space="preserve">PhD </w:t>
      </w:r>
      <w:r>
        <w:rPr>
          <w:rFonts w:ascii="Calibri" w:eastAsia="Calibri" w:hAnsi="Calibri" w:cs="Times New Roman"/>
          <w:i/>
        </w:rPr>
        <w:t>S</w:t>
      </w:r>
      <w:r w:rsidRPr="00257283">
        <w:rPr>
          <w:rFonts w:ascii="Calibri" w:eastAsia="Calibri" w:hAnsi="Calibri" w:cs="Times New Roman"/>
          <w:i/>
        </w:rPr>
        <w:t xml:space="preserve">tudent in </w:t>
      </w:r>
      <w:r>
        <w:rPr>
          <w:rFonts w:ascii="Calibri" w:eastAsia="Calibri" w:hAnsi="Calibri" w:cs="Times New Roman"/>
          <w:i/>
        </w:rPr>
        <w:t>P</w:t>
      </w:r>
      <w:r w:rsidRPr="00257283">
        <w:rPr>
          <w:rFonts w:ascii="Calibri" w:eastAsia="Calibri" w:hAnsi="Calibri" w:cs="Times New Roman"/>
          <w:i/>
        </w:rPr>
        <w:t xml:space="preserve">sychology, Staffordshire University </w:t>
      </w:r>
    </w:p>
    <w:p w14:paraId="612506E0" w14:textId="77777777" w:rsidR="00376179" w:rsidRDefault="00376179" w:rsidP="00376179">
      <w:pPr>
        <w:spacing w:after="0" w:line="240" w:lineRule="auto"/>
        <w:rPr>
          <w:rFonts w:ascii="Calibri" w:eastAsia="Calibri" w:hAnsi="Calibri" w:cs="Times New Roman"/>
        </w:rPr>
      </w:pPr>
      <w:r w:rsidRPr="00257283">
        <w:rPr>
          <w:rFonts w:ascii="Calibri" w:eastAsia="Calibri" w:hAnsi="Calibri" w:cs="Times New Roman"/>
        </w:rPr>
        <w:t>01782 294121</w:t>
      </w:r>
    </w:p>
    <w:p w14:paraId="648597CA" w14:textId="77777777" w:rsidR="00376179" w:rsidRDefault="00376179" w:rsidP="00376179">
      <w:pPr>
        <w:spacing w:after="0" w:line="240" w:lineRule="auto"/>
        <w:rPr>
          <w:rFonts w:ascii="Calibri" w:eastAsia="Calibri" w:hAnsi="Calibri" w:cs="Times New Roman"/>
        </w:rPr>
      </w:pPr>
    </w:p>
    <w:p w14:paraId="741D071B" w14:textId="4CCA844D" w:rsidR="00376179" w:rsidRPr="00257283" w:rsidRDefault="00365699" w:rsidP="00376179">
      <w:pPr>
        <w:spacing w:after="0" w:line="240" w:lineRule="auto"/>
        <w:rPr>
          <w:rFonts w:ascii="Calibri" w:eastAsia="Calibri" w:hAnsi="Calibri" w:cs="Times New Roman"/>
        </w:rPr>
      </w:pPr>
      <w:r w:rsidRPr="00AF1A60">
        <w:rPr>
          <w:rFonts w:ascii="Calibri" w:eastAsia="Calibri" w:hAnsi="Calibri" w:cs="Times New Roman"/>
        </w:rPr>
        <w:t>Supervisors: -</w:t>
      </w:r>
      <w:r w:rsidR="00376179">
        <w:rPr>
          <w:rFonts w:ascii="Calibri" w:eastAsia="Calibri" w:hAnsi="Calibri" w:cs="Times New Roman"/>
        </w:rPr>
        <w:t xml:space="preserve"> </w:t>
      </w:r>
    </w:p>
    <w:p w14:paraId="18A69823" w14:textId="77777777" w:rsidR="00376179" w:rsidRPr="00257283" w:rsidRDefault="00376179" w:rsidP="00376179">
      <w:pPr>
        <w:spacing w:after="0" w:line="240" w:lineRule="auto"/>
        <w:rPr>
          <w:rFonts w:ascii="Calibri" w:eastAsia="Calibri" w:hAnsi="Calibri" w:cs="Times New Roman"/>
        </w:rPr>
      </w:pPr>
    </w:p>
    <w:p w14:paraId="4A273DF9" w14:textId="77777777" w:rsidR="00376179" w:rsidRDefault="00376179" w:rsidP="00376179">
      <w:pPr>
        <w:spacing w:after="0" w:line="240" w:lineRule="auto"/>
        <w:rPr>
          <w:rFonts w:ascii="Calibri" w:eastAsia="Calibri" w:hAnsi="Calibri" w:cs="Times New Roman"/>
        </w:rPr>
        <w:sectPr w:rsidR="00376179" w:rsidSect="00376179">
          <w:footerReference w:type="default" r:id="rId86"/>
          <w:type w:val="continuous"/>
          <w:pgSz w:w="11906" w:h="16838"/>
          <w:pgMar w:top="1440" w:right="1440" w:bottom="1440" w:left="1440" w:header="708" w:footer="708" w:gutter="0"/>
          <w:cols w:space="708"/>
          <w:docGrid w:linePitch="360"/>
        </w:sectPr>
      </w:pPr>
    </w:p>
    <w:p w14:paraId="5E814954" w14:textId="77777777" w:rsidR="00376179" w:rsidRPr="00257283" w:rsidRDefault="00376179" w:rsidP="00376179">
      <w:pPr>
        <w:spacing w:after="0" w:line="240" w:lineRule="auto"/>
        <w:rPr>
          <w:rFonts w:ascii="Calibri" w:eastAsia="Calibri" w:hAnsi="Calibri" w:cs="Times New Roman"/>
        </w:rPr>
      </w:pPr>
      <w:r w:rsidRPr="00257283">
        <w:rPr>
          <w:rFonts w:ascii="Calibri" w:eastAsia="Calibri" w:hAnsi="Calibri" w:cs="Times New Roman"/>
        </w:rPr>
        <w:t xml:space="preserve">Dr. Robert Dempsey </w:t>
      </w:r>
    </w:p>
    <w:p w14:paraId="20E70D7C" w14:textId="77777777" w:rsidR="00376179" w:rsidRPr="00257283" w:rsidRDefault="00376179" w:rsidP="00376179">
      <w:pPr>
        <w:spacing w:after="0" w:line="240" w:lineRule="auto"/>
        <w:rPr>
          <w:rFonts w:ascii="Calibri" w:eastAsia="Calibri" w:hAnsi="Calibri" w:cs="Times New Roman"/>
        </w:rPr>
      </w:pPr>
      <w:r w:rsidRPr="00257283">
        <w:rPr>
          <w:rFonts w:ascii="Calibri" w:eastAsia="Calibri" w:hAnsi="Calibri" w:cs="Times New Roman"/>
        </w:rPr>
        <w:t>robert.dempsey@staffs.ac.uk</w:t>
      </w:r>
    </w:p>
    <w:p w14:paraId="5AFD0C16" w14:textId="77777777" w:rsidR="00376179" w:rsidRPr="00257283" w:rsidRDefault="00376179" w:rsidP="00376179">
      <w:pPr>
        <w:spacing w:after="0" w:line="240" w:lineRule="auto"/>
        <w:rPr>
          <w:rFonts w:ascii="Calibri" w:eastAsia="Calibri" w:hAnsi="Calibri" w:cs="Times New Roman"/>
        </w:rPr>
      </w:pPr>
      <w:r w:rsidRPr="00257283">
        <w:rPr>
          <w:rFonts w:ascii="Calibri" w:eastAsia="Calibri" w:hAnsi="Calibri" w:cs="Times New Roman"/>
        </w:rPr>
        <w:t xml:space="preserve">Lecturer at Staffordshire University </w:t>
      </w:r>
    </w:p>
    <w:p w14:paraId="38C5911E" w14:textId="77777777" w:rsidR="00376179" w:rsidRPr="00446859" w:rsidRDefault="00376179" w:rsidP="00376179">
      <w:pPr>
        <w:spacing w:after="0" w:line="240" w:lineRule="auto"/>
        <w:rPr>
          <w:rFonts w:ascii="Calibri" w:eastAsia="Calibri" w:hAnsi="Calibri" w:cs="Times New Roman"/>
          <w:lang w:val="it-IT"/>
        </w:rPr>
      </w:pPr>
      <w:r w:rsidRPr="00446859">
        <w:rPr>
          <w:rFonts w:ascii="Calibri" w:eastAsia="Calibri" w:hAnsi="Calibri" w:cs="Times New Roman"/>
          <w:lang w:val="it-IT"/>
        </w:rPr>
        <w:t>01782 294886</w:t>
      </w:r>
    </w:p>
    <w:p w14:paraId="4ECC5F62" w14:textId="77777777" w:rsidR="00B82D0E" w:rsidRDefault="00B82D0E" w:rsidP="00376179">
      <w:pPr>
        <w:spacing w:after="0" w:line="240" w:lineRule="auto"/>
        <w:rPr>
          <w:rFonts w:ascii="Calibri" w:eastAsia="Calibri" w:hAnsi="Calibri" w:cs="Times New Roman"/>
          <w:lang w:val="it-IT"/>
        </w:rPr>
      </w:pPr>
    </w:p>
    <w:p w14:paraId="20C91FCF" w14:textId="6FA2ACCE" w:rsidR="00376179" w:rsidRPr="00446859" w:rsidRDefault="00376179" w:rsidP="00376179">
      <w:pPr>
        <w:spacing w:after="0" w:line="240" w:lineRule="auto"/>
        <w:rPr>
          <w:rFonts w:ascii="Calibri" w:eastAsia="Calibri" w:hAnsi="Calibri" w:cs="Times New Roman"/>
          <w:lang w:val="it-IT"/>
        </w:rPr>
      </w:pPr>
      <w:r w:rsidRPr="00446859">
        <w:rPr>
          <w:rFonts w:ascii="Calibri" w:eastAsia="Calibri" w:hAnsi="Calibri" w:cs="Times New Roman"/>
          <w:lang w:val="it-IT"/>
        </w:rPr>
        <w:t xml:space="preserve">Dr. Rachel Povey </w:t>
      </w:r>
    </w:p>
    <w:p w14:paraId="5ED61620" w14:textId="77777777" w:rsidR="00376179" w:rsidRPr="00446859" w:rsidRDefault="00376179" w:rsidP="00376179">
      <w:pPr>
        <w:spacing w:after="0" w:line="240" w:lineRule="auto"/>
        <w:rPr>
          <w:rFonts w:ascii="Calibri" w:eastAsia="Calibri" w:hAnsi="Calibri" w:cs="Times New Roman"/>
          <w:lang w:val="it-IT"/>
        </w:rPr>
      </w:pPr>
      <w:r w:rsidRPr="00446859">
        <w:rPr>
          <w:rFonts w:ascii="Calibri" w:eastAsia="Calibri" w:hAnsi="Calibri" w:cs="Times New Roman"/>
          <w:lang w:val="it-IT"/>
        </w:rPr>
        <w:t>r.povey@staffs.ac.uk</w:t>
      </w:r>
    </w:p>
    <w:p w14:paraId="561B9FDE" w14:textId="77777777" w:rsidR="00376179" w:rsidRPr="00257283" w:rsidRDefault="00376179" w:rsidP="00376179">
      <w:pPr>
        <w:spacing w:after="0" w:line="240" w:lineRule="auto"/>
        <w:rPr>
          <w:rFonts w:ascii="Calibri" w:eastAsia="Calibri" w:hAnsi="Calibri" w:cs="Times New Roman"/>
        </w:rPr>
      </w:pPr>
      <w:r>
        <w:rPr>
          <w:rFonts w:ascii="Calibri" w:eastAsia="Calibri" w:hAnsi="Calibri" w:cs="Times New Roman"/>
        </w:rPr>
        <w:t>Associate Professor in Health Psychology</w:t>
      </w:r>
      <w:r w:rsidRPr="00257283">
        <w:rPr>
          <w:rFonts w:ascii="Calibri" w:eastAsia="Calibri" w:hAnsi="Calibri" w:cs="Times New Roman"/>
        </w:rPr>
        <w:t xml:space="preserve"> at Staffordshire University </w:t>
      </w:r>
    </w:p>
    <w:p w14:paraId="7CD0E41B" w14:textId="77777777" w:rsidR="00376179" w:rsidRPr="00257283" w:rsidRDefault="00376179" w:rsidP="00376179">
      <w:pPr>
        <w:spacing w:after="0" w:line="240" w:lineRule="auto"/>
        <w:rPr>
          <w:rFonts w:ascii="Calibri" w:eastAsia="Calibri" w:hAnsi="Calibri" w:cs="Times New Roman"/>
        </w:rPr>
      </w:pPr>
      <w:r w:rsidRPr="00257283">
        <w:rPr>
          <w:rFonts w:ascii="Calibri" w:eastAsia="Calibri" w:hAnsi="Calibri" w:cs="Times New Roman"/>
        </w:rPr>
        <w:t xml:space="preserve">01782 294570  </w:t>
      </w:r>
    </w:p>
    <w:p w14:paraId="74CBE58D" w14:textId="77777777" w:rsidR="00376179" w:rsidRDefault="00376179" w:rsidP="00376179">
      <w:pPr>
        <w:rPr>
          <w:color w:val="FF0000"/>
        </w:rPr>
        <w:sectPr w:rsidR="00376179" w:rsidSect="00AF1A60">
          <w:type w:val="continuous"/>
          <w:pgSz w:w="11906" w:h="16838"/>
          <w:pgMar w:top="1440" w:right="1440" w:bottom="1440" w:left="1440" w:header="708" w:footer="708" w:gutter="0"/>
          <w:cols w:num="2" w:space="708"/>
          <w:docGrid w:linePitch="360"/>
        </w:sectPr>
      </w:pPr>
    </w:p>
    <w:p w14:paraId="4D325B44" w14:textId="77777777" w:rsidR="00376179" w:rsidRDefault="00376179" w:rsidP="00376179">
      <w:pPr>
        <w:rPr>
          <w:color w:val="FF0000"/>
        </w:rPr>
      </w:pPr>
    </w:p>
    <w:p w14:paraId="1FE42216" w14:textId="77777777" w:rsidR="00376179" w:rsidRDefault="00376179" w:rsidP="00376179">
      <w:pPr>
        <w:rPr>
          <w:b/>
          <w:sz w:val="28"/>
          <w:szCs w:val="28"/>
        </w:rPr>
      </w:pPr>
    </w:p>
    <w:p w14:paraId="7A01F4DE" w14:textId="318A9760" w:rsidR="00572E3D" w:rsidRPr="00265133" w:rsidRDefault="00572E3D" w:rsidP="00572E3D">
      <w:r w:rsidRPr="00E272EB">
        <w:fldChar w:fldCharType="begin"/>
      </w:r>
      <w:r w:rsidRPr="00E272EB">
        <w:instrText xml:space="preserve"> TC  " </w:instrText>
      </w:r>
      <w:bookmarkStart w:id="361" w:name="_Toc97557172"/>
      <w:r w:rsidRPr="00265133">
        <w:instrText xml:space="preserve">Appendix </w:instrText>
      </w:r>
      <w:r w:rsidR="007F5E1F">
        <w:instrText>20</w:instrText>
      </w:r>
      <w:r w:rsidRPr="00265133">
        <w:instrText>:</w:instrText>
      </w:r>
      <w:r>
        <w:instrText xml:space="preserve"> Student </w:instrText>
      </w:r>
      <w:r w:rsidR="001F631B">
        <w:instrText>assent</w:instrText>
      </w:r>
      <w:r>
        <w:instrText xml:space="preserve"> form</w:instrText>
      </w:r>
      <w:r w:rsidRPr="00265133">
        <w:instrText xml:space="preserve"> (</w:instrText>
      </w:r>
      <w:r w:rsidR="00375C06">
        <w:instrText>Studies Two and Three</w:instrText>
      </w:r>
      <w:r>
        <w:instrText xml:space="preserve">, </w:instrText>
      </w:r>
      <w:r w:rsidRPr="00265133">
        <w:instrText>Chapter 7 and 8)</w:instrText>
      </w:r>
      <w:bookmarkEnd w:id="361"/>
      <w:r w:rsidRPr="00E272EB">
        <w:instrText xml:space="preserve">" \f y\l </w:instrText>
      </w:r>
      <w:r>
        <w:instrText>2</w:instrText>
      </w:r>
      <w:r w:rsidRPr="00E272EB">
        <w:instrText xml:space="preserve"> </w:instrText>
      </w:r>
      <w:r w:rsidRPr="00E272EB">
        <w:fldChar w:fldCharType="end"/>
      </w:r>
      <w:r w:rsidRPr="00265133">
        <w:t xml:space="preserve">Appendix </w:t>
      </w:r>
      <w:r w:rsidR="007F5E1F">
        <w:t>20</w:t>
      </w:r>
      <w:r w:rsidRPr="00265133">
        <w:t xml:space="preserve">: Student </w:t>
      </w:r>
      <w:r w:rsidR="001F631B">
        <w:t>assent</w:t>
      </w:r>
      <w:r w:rsidRPr="00265133">
        <w:t xml:space="preserve"> </w:t>
      </w:r>
      <w:r w:rsidR="007D734F" w:rsidRPr="00265133">
        <w:t>form (</w:t>
      </w:r>
      <w:r w:rsidR="00375C06">
        <w:t>Studies Two and Three</w:t>
      </w:r>
      <w:r w:rsidRPr="00265133">
        <w:t>, Chapter 7 and 8)</w:t>
      </w:r>
      <w:bookmarkEnd w:id="357"/>
      <w:bookmarkEnd w:id="358"/>
    </w:p>
    <w:p w14:paraId="381BE627" w14:textId="77777777" w:rsidR="00572E3D" w:rsidRPr="00446859" w:rsidRDefault="00572E3D" w:rsidP="00572E3D">
      <w:pPr>
        <w:ind w:right="-1440"/>
        <w:rPr>
          <w:rFonts w:ascii="Calibri" w:eastAsia="Calibri" w:hAnsi="Calibri" w:cs="Times New Roman"/>
          <w:b/>
          <w:sz w:val="28"/>
          <w:szCs w:val="28"/>
        </w:rPr>
      </w:pPr>
      <w:r w:rsidRPr="00F07631">
        <w:rPr>
          <w:rFonts w:ascii="Calibri" w:eastAsia="Calibri" w:hAnsi="Calibri" w:cs="Times New Roman"/>
          <w:b/>
          <w:noProof/>
          <w:sz w:val="28"/>
          <w:szCs w:val="28"/>
          <w:u w:val="single"/>
          <w:lang w:eastAsia="en-GB"/>
        </w:rPr>
        <w:drawing>
          <wp:anchor distT="0" distB="0" distL="114300" distR="114300" simplePos="0" relativeHeight="251622400" behindDoc="1" locked="0" layoutInCell="1" allowOverlap="1" wp14:anchorId="1267D329" wp14:editId="341C8B5C">
            <wp:simplePos x="0" y="0"/>
            <wp:positionH relativeFrom="column">
              <wp:posOffset>4770755</wp:posOffset>
            </wp:positionH>
            <wp:positionV relativeFrom="paragraph">
              <wp:posOffset>-276225</wp:posOffset>
            </wp:positionV>
            <wp:extent cx="971550" cy="1104900"/>
            <wp:effectExtent l="0" t="0" r="0" b="0"/>
            <wp:wrapTight wrapText="bothSides">
              <wp:wrapPolygon edited="0">
                <wp:start x="0" y="0"/>
                <wp:lineTo x="0" y="21228"/>
                <wp:lineTo x="21176" y="21228"/>
                <wp:lineTo x="21176" y="0"/>
                <wp:lineTo x="0" y="0"/>
              </wp:wrapPolygon>
            </wp:wrapTight>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p>
    <w:p w14:paraId="2159499A" w14:textId="77777777" w:rsidR="00572E3D" w:rsidRPr="00446859" w:rsidRDefault="00572E3D" w:rsidP="00572E3D">
      <w:pPr>
        <w:ind w:right="-1440"/>
        <w:rPr>
          <w:rFonts w:ascii="Calibri" w:eastAsia="Calibri" w:hAnsi="Calibri" w:cs="Times New Roman"/>
          <w:b/>
        </w:rPr>
      </w:pPr>
    </w:p>
    <w:p w14:paraId="57DC3A73" w14:textId="1432F132" w:rsidR="00572E3D" w:rsidRPr="00080FF6" w:rsidRDefault="00572E3D" w:rsidP="00080FF6">
      <w:pPr>
        <w:ind w:right="-1440"/>
        <w:rPr>
          <w:rFonts w:ascii="Calibri" w:eastAsia="Calibri" w:hAnsi="Calibri" w:cs="Times New Roman"/>
          <w:b/>
          <w:sz w:val="36"/>
          <w:szCs w:val="36"/>
        </w:rPr>
      </w:pPr>
      <w:r w:rsidRPr="00446859">
        <w:rPr>
          <w:rFonts w:ascii="Calibri" w:eastAsia="Calibri" w:hAnsi="Calibri" w:cs="Times New Roman"/>
          <w:b/>
          <w:sz w:val="36"/>
          <w:szCs w:val="36"/>
        </w:rPr>
        <w:t xml:space="preserve">                             </w:t>
      </w:r>
    </w:p>
    <w:p w14:paraId="36BB25AB" w14:textId="4966EA20" w:rsidR="00572E3D" w:rsidRPr="00036673" w:rsidRDefault="00572E3D" w:rsidP="00572E3D">
      <w:pPr>
        <w:ind w:right="-1440"/>
        <w:rPr>
          <w:rFonts w:ascii="Calibri" w:eastAsia="Calibri" w:hAnsi="Calibri" w:cs="Times New Roman"/>
          <w:b/>
          <w:sz w:val="28"/>
          <w:szCs w:val="28"/>
        </w:rPr>
      </w:pPr>
      <w:r w:rsidRPr="00E22B19">
        <w:rPr>
          <w:rFonts w:ascii="Calibri" w:eastAsia="Calibri" w:hAnsi="Calibri" w:cs="Times New Roman"/>
          <w:b/>
          <w:sz w:val="28"/>
          <w:szCs w:val="28"/>
        </w:rPr>
        <w:t xml:space="preserve">                                                       </w:t>
      </w:r>
      <w:r>
        <w:rPr>
          <w:rFonts w:ascii="Calibri" w:eastAsia="Calibri" w:hAnsi="Calibri" w:cs="Times New Roman"/>
          <w:b/>
          <w:sz w:val="28"/>
          <w:szCs w:val="28"/>
          <w:u w:val="single"/>
        </w:rPr>
        <w:t xml:space="preserve"> </w:t>
      </w:r>
      <w:r w:rsidRPr="006D6711">
        <w:rPr>
          <w:rFonts w:ascii="Calibri" w:eastAsia="Calibri" w:hAnsi="Calibri" w:cs="Times New Roman"/>
          <w:b/>
          <w:sz w:val="28"/>
          <w:szCs w:val="28"/>
          <w:u w:val="single"/>
        </w:rPr>
        <w:t xml:space="preserve">Student </w:t>
      </w:r>
      <w:r w:rsidR="001F631B">
        <w:rPr>
          <w:rFonts w:ascii="Calibri" w:eastAsia="Calibri" w:hAnsi="Calibri" w:cs="Times New Roman"/>
          <w:b/>
          <w:sz w:val="28"/>
          <w:szCs w:val="28"/>
          <w:u w:val="single"/>
        </w:rPr>
        <w:t>assent</w:t>
      </w:r>
      <w:r w:rsidRPr="006D6711">
        <w:rPr>
          <w:rFonts w:ascii="Calibri" w:eastAsia="Calibri" w:hAnsi="Calibri" w:cs="Times New Roman"/>
          <w:b/>
          <w:sz w:val="28"/>
          <w:szCs w:val="28"/>
          <w:u w:val="single"/>
        </w:rPr>
        <w:t xml:space="preserve"> form</w:t>
      </w:r>
    </w:p>
    <w:p w14:paraId="44A0ED6F" w14:textId="77777777" w:rsidR="00572E3D" w:rsidRPr="006D6711" w:rsidRDefault="00572E3D" w:rsidP="00572E3D">
      <w:pPr>
        <w:ind w:right="-1440"/>
        <w:rPr>
          <w:rFonts w:ascii="Calibri" w:eastAsia="Calibri" w:hAnsi="Calibri" w:cs="Times New Roman"/>
        </w:rPr>
      </w:pPr>
    </w:p>
    <w:p w14:paraId="6CC18CC5" w14:textId="77777777" w:rsidR="00572E3D" w:rsidRPr="00D60CFF" w:rsidRDefault="00572E3D" w:rsidP="00572E3D">
      <w:pPr>
        <w:rPr>
          <w:rFonts w:ascii="Calibri" w:eastAsia="Calibri" w:hAnsi="Calibri" w:cs="Times New Roman"/>
          <w:b/>
          <w:sz w:val="24"/>
          <w:szCs w:val="24"/>
        </w:rPr>
        <w:sectPr w:rsidR="00572E3D" w:rsidRPr="00D60CFF" w:rsidSect="00B32EBC">
          <w:footerReference w:type="default" r:id="rId87"/>
          <w:type w:val="continuous"/>
          <w:pgSz w:w="11906" w:h="16838"/>
          <w:pgMar w:top="1440" w:right="1440" w:bottom="1440" w:left="1440" w:header="708" w:footer="708" w:gutter="0"/>
          <w:cols w:space="708"/>
          <w:docGrid w:linePitch="360"/>
        </w:sectPr>
      </w:pPr>
      <w:r w:rsidRPr="00D60CFF">
        <w:rPr>
          <w:rFonts w:ascii="Calibri" w:eastAsia="Calibri" w:hAnsi="Calibri" w:cs="Times New Roman"/>
          <w:b/>
          <w:sz w:val="24"/>
          <w:szCs w:val="24"/>
        </w:rPr>
        <w:t xml:space="preserve">Please read the following statements and tick the boxes to agree with the statements, then sign and date the consent form if you are happy to take part. </w:t>
      </w:r>
    </w:p>
    <w:tbl>
      <w:tblPr>
        <w:tblStyle w:val="TableGrid"/>
        <w:tblpPr w:leftFromText="180" w:rightFromText="180" w:vertAnchor="text" w:horzAnchor="margin" w:tblpY="27"/>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9"/>
        <w:gridCol w:w="1196"/>
      </w:tblGrid>
      <w:tr w:rsidR="00572E3D" w:rsidRPr="00D60CFF" w14:paraId="2ABE9E74" w14:textId="77777777" w:rsidTr="00611086">
        <w:trPr>
          <w:trHeight w:val="851"/>
        </w:trPr>
        <w:tc>
          <w:tcPr>
            <w:tcW w:w="7999" w:type="dxa"/>
          </w:tcPr>
          <w:p w14:paraId="58424C6A" w14:textId="77777777" w:rsidR="00572E3D" w:rsidRPr="00D60CFF" w:rsidRDefault="00572E3D" w:rsidP="00611086">
            <w:pPr>
              <w:rPr>
                <w:rFonts w:ascii="Calibri" w:eastAsia="Calibri" w:hAnsi="Calibri" w:cs="Times New Roman"/>
                <w:sz w:val="24"/>
                <w:szCs w:val="24"/>
              </w:rPr>
            </w:pPr>
            <w:r w:rsidRPr="00D60CFF">
              <w:rPr>
                <w:rFonts w:ascii="Calibri" w:eastAsia="Calibri" w:hAnsi="Calibri" w:cs="Times New Roman"/>
                <w:sz w:val="24"/>
                <w:szCs w:val="24"/>
              </w:rPr>
              <w:t>I agree that I have read and understood the information sheet and had the chance to ask questions and was happy with the given answers.</w:t>
            </w:r>
          </w:p>
        </w:tc>
        <w:tc>
          <w:tcPr>
            <w:tcW w:w="1196" w:type="dxa"/>
          </w:tcPr>
          <w:p w14:paraId="027A5940" w14:textId="77777777" w:rsidR="00572E3D" w:rsidRPr="00D60CFF" w:rsidRDefault="00572E3D" w:rsidP="00611086">
            <w:pPr>
              <w:rPr>
                <w:rFonts w:ascii="Calibri" w:eastAsia="Calibri" w:hAnsi="Calibri" w:cs="Times New Roman"/>
                <w:sz w:val="48"/>
                <w:szCs w:val="48"/>
              </w:rPr>
            </w:pPr>
            <w:r w:rsidRPr="00D60CFF">
              <w:rPr>
                <w:rFonts w:ascii="Calibri" w:eastAsia="Calibri" w:hAnsi="Calibri" w:cs="Times New Roman"/>
                <w:sz w:val="48"/>
                <w:szCs w:val="48"/>
              </w:rPr>
              <w:sym w:font="Wingdings" w:char="F072"/>
            </w:r>
          </w:p>
        </w:tc>
      </w:tr>
      <w:tr w:rsidR="00572E3D" w:rsidRPr="00D60CFF" w14:paraId="425ECF28" w14:textId="77777777" w:rsidTr="00611086">
        <w:trPr>
          <w:trHeight w:val="694"/>
        </w:trPr>
        <w:tc>
          <w:tcPr>
            <w:tcW w:w="7999" w:type="dxa"/>
          </w:tcPr>
          <w:p w14:paraId="6DD19671" w14:textId="77777777" w:rsidR="00572E3D" w:rsidRPr="00D60CFF" w:rsidRDefault="00572E3D" w:rsidP="00611086">
            <w:pPr>
              <w:tabs>
                <w:tab w:val="left" w:pos="6030"/>
              </w:tabs>
              <w:rPr>
                <w:rFonts w:ascii="Calibri" w:eastAsia="Calibri" w:hAnsi="Calibri" w:cs="Times New Roman"/>
                <w:sz w:val="24"/>
                <w:szCs w:val="24"/>
              </w:rPr>
            </w:pPr>
            <w:r w:rsidRPr="00D60CFF">
              <w:rPr>
                <w:rFonts w:ascii="Calibri" w:eastAsia="Calibri" w:hAnsi="Calibri" w:cs="Times New Roman"/>
                <w:sz w:val="24"/>
                <w:szCs w:val="24"/>
              </w:rPr>
              <w:t>I understand that participating in this research is voluntary and I have the right to withdraw within the data collection period, and up to two weeks after the last questionnaire has been completed.</w:t>
            </w:r>
          </w:p>
        </w:tc>
        <w:tc>
          <w:tcPr>
            <w:tcW w:w="1196" w:type="dxa"/>
          </w:tcPr>
          <w:p w14:paraId="1C8556C7" w14:textId="77777777" w:rsidR="00572E3D" w:rsidRPr="00D60CFF" w:rsidRDefault="00572E3D" w:rsidP="00611086">
            <w:pPr>
              <w:rPr>
                <w:rFonts w:ascii="Calibri" w:eastAsia="Calibri" w:hAnsi="Calibri" w:cs="Times New Roman"/>
              </w:rPr>
            </w:pPr>
            <w:r w:rsidRPr="00D60CFF">
              <w:rPr>
                <w:rFonts w:ascii="Calibri" w:eastAsia="Calibri" w:hAnsi="Calibri" w:cs="Times New Roman"/>
                <w:sz w:val="48"/>
                <w:szCs w:val="48"/>
              </w:rPr>
              <w:sym w:font="Wingdings" w:char="F072"/>
            </w:r>
          </w:p>
        </w:tc>
      </w:tr>
      <w:tr w:rsidR="00572E3D" w:rsidRPr="00D60CFF" w14:paraId="3316459E" w14:textId="77777777" w:rsidTr="00611086">
        <w:trPr>
          <w:trHeight w:val="694"/>
        </w:trPr>
        <w:tc>
          <w:tcPr>
            <w:tcW w:w="7999" w:type="dxa"/>
          </w:tcPr>
          <w:p w14:paraId="4A3E1A95" w14:textId="77777777" w:rsidR="00572E3D" w:rsidRPr="00D60CFF" w:rsidRDefault="00572E3D" w:rsidP="00611086">
            <w:pPr>
              <w:tabs>
                <w:tab w:val="left" w:pos="6030"/>
              </w:tabs>
              <w:rPr>
                <w:rFonts w:ascii="Calibri" w:eastAsia="Calibri" w:hAnsi="Calibri" w:cs="Times New Roman"/>
                <w:sz w:val="24"/>
                <w:szCs w:val="24"/>
              </w:rPr>
            </w:pPr>
            <w:r w:rsidRPr="00D60CFF">
              <w:rPr>
                <w:rFonts w:ascii="Calibri" w:eastAsia="Calibri" w:hAnsi="Calibri" w:cs="Times New Roman"/>
                <w:sz w:val="24"/>
                <w:szCs w:val="24"/>
              </w:rPr>
              <w:t xml:space="preserve">I understand that no individual will be identified or identifiable from the questionnaires  </w:t>
            </w:r>
          </w:p>
          <w:p w14:paraId="4B8E92EE" w14:textId="77777777" w:rsidR="00572E3D" w:rsidRPr="00D60CFF" w:rsidRDefault="00572E3D" w:rsidP="00611086">
            <w:pPr>
              <w:tabs>
                <w:tab w:val="left" w:pos="6030"/>
              </w:tabs>
              <w:rPr>
                <w:rFonts w:ascii="Calibri" w:eastAsia="Calibri" w:hAnsi="Calibri" w:cs="Times New Roman"/>
                <w:sz w:val="24"/>
                <w:szCs w:val="24"/>
              </w:rPr>
            </w:pPr>
          </w:p>
        </w:tc>
        <w:tc>
          <w:tcPr>
            <w:tcW w:w="1196" w:type="dxa"/>
          </w:tcPr>
          <w:p w14:paraId="37A79545" w14:textId="77777777" w:rsidR="00572E3D" w:rsidRPr="00D60CFF" w:rsidRDefault="00572E3D" w:rsidP="00611086">
            <w:pPr>
              <w:rPr>
                <w:rFonts w:ascii="Calibri" w:eastAsia="Calibri" w:hAnsi="Calibri" w:cs="Times New Roman"/>
                <w:sz w:val="48"/>
                <w:szCs w:val="48"/>
              </w:rPr>
            </w:pPr>
            <w:r w:rsidRPr="00D60CFF">
              <w:rPr>
                <w:rFonts w:ascii="Calibri" w:eastAsia="Calibri" w:hAnsi="Calibri" w:cs="Times New Roman"/>
                <w:sz w:val="48"/>
                <w:szCs w:val="48"/>
              </w:rPr>
              <w:sym w:font="Wingdings" w:char="F072"/>
            </w:r>
          </w:p>
        </w:tc>
      </w:tr>
      <w:tr w:rsidR="00572E3D" w:rsidRPr="00D60CFF" w14:paraId="0AEEB3F5" w14:textId="77777777" w:rsidTr="00611086">
        <w:trPr>
          <w:trHeight w:val="655"/>
        </w:trPr>
        <w:tc>
          <w:tcPr>
            <w:tcW w:w="7999" w:type="dxa"/>
          </w:tcPr>
          <w:p w14:paraId="78799829" w14:textId="77777777" w:rsidR="00572E3D" w:rsidRPr="00D60CFF" w:rsidRDefault="00572E3D" w:rsidP="00611086">
            <w:pPr>
              <w:tabs>
                <w:tab w:val="left" w:pos="6030"/>
              </w:tabs>
              <w:rPr>
                <w:rFonts w:ascii="Calibri" w:eastAsia="Calibri" w:hAnsi="Calibri" w:cs="Times New Roman"/>
                <w:sz w:val="24"/>
                <w:szCs w:val="24"/>
              </w:rPr>
            </w:pPr>
            <w:r w:rsidRPr="00D60CFF">
              <w:rPr>
                <w:rFonts w:ascii="Calibri" w:eastAsia="Calibri" w:hAnsi="Calibri" w:cs="Times New Roman"/>
                <w:sz w:val="24"/>
                <w:szCs w:val="24"/>
              </w:rPr>
              <w:t>I give consent to participate in this research.</w:t>
            </w:r>
          </w:p>
        </w:tc>
        <w:tc>
          <w:tcPr>
            <w:tcW w:w="1196" w:type="dxa"/>
          </w:tcPr>
          <w:p w14:paraId="6BCF4DF5" w14:textId="77777777" w:rsidR="00572E3D" w:rsidRPr="00D60CFF" w:rsidRDefault="00572E3D" w:rsidP="00611086">
            <w:pPr>
              <w:rPr>
                <w:rFonts w:ascii="Calibri" w:eastAsia="Calibri" w:hAnsi="Calibri" w:cs="Times New Roman"/>
              </w:rPr>
            </w:pPr>
            <w:r w:rsidRPr="00D60CFF">
              <w:rPr>
                <w:rFonts w:ascii="Calibri" w:eastAsia="Calibri" w:hAnsi="Calibri" w:cs="Times New Roman"/>
                <w:sz w:val="48"/>
                <w:szCs w:val="48"/>
              </w:rPr>
              <w:sym w:font="Wingdings" w:char="F072"/>
            </w:r>
          </w:p>
        </w:tc>
      </w:tr>
    </w:tbl>
    <w:p w14:paraId="027A6C8A" w14:textId="77777777" w:rsidR="00572E3D" w:rsidRPr="00D60CFF" w:rsidRDefault="00572E3D" w:rsidP="00572E3D">
      <w:pPr>
        <w:jc w:val="center"/>
        <w:rPr>
          <w:rFonts w:ascii="Calibri" w:eastAsia="Calibri" w:hAnsi="Calibri" w:cs="Times New Roman"/>
        </w:rPr>
        <w:sectPr w:rsidR="00572E3D" w:rsidRPr="00D60CFF" w:rsidSect="006D6711">
          <w:type w:val="continuous"/>
          <w:pgSz w:w="11906" w:h="16838"/>
          <w:pgMar w:top="1440" w:right="1440" w:bottom="1440" w:left="1440" w:header="708" w:footer="708" w:gutter="0"/>
          <w:cols w:num="2" w:space="708" w:equalWidth="0">
            <w:col w:w="5780" w:space="708"/>
            <w:col w:w="2536"/>
          </w:cols>
          <w:docGrid w:linePitch="360"/>
        </w:sectPr>
      </w:pPr>
    </w:p>
    <w:p w14:paraId="2DA295E4" w14:textId="77777777" w:rsidR="00572E3D" w:rsidRPr="00D60CFF" w:rsidRDefault="00572E3D" w:rsidP="00572E3D">
      <w:pPr>
        <w:rPr>
          <w:rFonts w:ascii="Calibri" w:eastAsia="Calibri" w:hAnsi="Calibri" w:cs="Times New Roman"/>
        </w:rPr>
      </w:pPr>
      <w:r w:rsidRPr="00D60CFF">
        <w:rPr>
          <w:rFonts w:ascii="Calibri" w:eastAsia="Calibri" w:hAnsi="Calibri" w:cs="Times New Roman"/>
        </w:rPr>
        <w:t>Signatures:</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943"/>
        <w:gridCol w:w="3091"/>
      </w:tblGrid>
      <w:tr w:rsidR="00572E3D" w:rsidRPr="00D60CFF" w14:paraId="61BD2D2B" w14:textId="77777777" w:rsidTr="00611086">
        <w:trPr>
          <w:trHeight w:val="1191"/>
        </w:trPr>
        <w:tc>
          <w:tcPr>
            <w:tcW w:w="3556" w:type="dxa"/>
          </w:tcPr>
          <w:p w14:paraId="515D28AA" w14:textId="77777777" w:rsidR="00572E3D" w:rsidRPr="00D60CFF" w:rsidRDefault="00572E3D" w:rsidP="00611086">
            <w:pPr>
              <w:rPr>
                <w:rFonts w:ascii="Calibri" w:eastAsia="Calibri" w:hAnsi="Calibri" w:cs="Times New Roman"/>
              </w:rPr>
            </w:pPr>
          </w:p>
          <w:p w14:paraId="7DEDF49F" w14:textId="77777777" w:rsidR="00572E3D" w:rsidRPr="00D60CFF" w:rsidRDefault="00572E3D" w:rsidP="00611086">
            <w:pPr>
              <w:rPr>
                <w:rFonts w:ascii="Calibri" w:eastAsia="Calibri" w:hAnsi="Calibri" w:cs="Times New Roman"/>
              </w:rPr>
            </w:pPr>
            <w:r w:rsidRPr="00D60CFF">
              <w:rPr>
                <w:rFonts w:ascii="Calibri" w:eastAsia="Calibri" w:hAnsi="Calibri" w:cs="Times New Roman"/>
                <w:noProof/>
                <w:lang w:eastAsia="en-GB"/>
              </w:rPr>
              <mc:AlternateContent>
                <mc:Choice Requires="wps">
                  <w:drawing>
                    <wp:anchor distT="0" distB="0" distL="114300" distR="114300" simplePos="0" relativeHeight="251623424" behindDoc="0" locked="0" layoutInCell="1" allowOverlap="1" wp14:anchorId="461B1C7E" wp14:editId="1920DFF9">
                      <wp:simplePos x="0" y="0"/>
                      <wp:positionH relativeFrom="column">
                        <wp:posOffset>1905</wp:posOffset>
                      </wp:positionH>
                      <wp:positionV relativeFrom="paragraph">
                        <wp:posOffset>99695</wp:posOffset>
                      </wp:positionV>
                      <wp:extent cx="2009775" cy="0"/>
                      <wp:effectExtent l="0" t="0" r="952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2D7FE" id="Straight Arrow Connector 35" o:spid="_x0000_s1026" type="#_x0000_t32" style="position:absolute;margin-left:.15pt;margin-top:7.85pt;width:158.2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"/>
                  </w:pict>
                </mc:Fallback>
              </mc:AlternateContent>
            </w:r>
            <w:r w:rsidRPr="00D60CFF">
              <w:rPr>
                <w:rFonts w:ascii="Calibri" w:eastAsia="Calibri" w:hAnsi="Calibri" w:cs="Times New Roman"/>
              </w:rPr>
              <w:t xml:space="preserve">  </w:t>
            </w:r>
          </w:p>
          <w:p w14:paraId="2CCE630F" w14:textId="77777777" w:rsidR="00572E3D" w:rsidRPr="00D60CFF" w:rsidRDefault="00572E3D" w:rsidP="00611086">
            <w:pPr>
              <w:rPr>
                <w:rFonts w:ascii="Calibri" w:eastAsia="Calibri" w:hAnsi="Calibri" w:cs="Times New Roman"/>
              </w:rPr>
            </w:pPr>
            <w:r w:rsidRPr="00D60CFF">
              <w:rPr>
                <w:rFonts w:ascii="Calibri" w:eastAsia="Calibri" w:hAnsi="Calibri" w:cs="Times New Roman"/>
              </w:rPr>
              <w:t>Name of participant (block capitals)</w:t>
            </w:r>
          </w:p>
          <w:p w14:paraId="04BB147D" w14:textId="77777777" w:rsidR="00572E3D" w:rsidRPr="00D60CFF" w:rsidRDefault="00572E3D" w:rsidP="00611086">
            <w:pPr>
              <w:rPr>
                <w:rFonts w:ascii="Calibri" w:eastAsia="Calibri" w:hAnsi="Calibri" w:cs="Times New Roman"/>
              </w:rPr>
            </w:pPr>
          </w:p>
        </w:tc>
        <w:tc>
          <w:tcPr>
            <w:tcW w:w="2943" w:type="dxa"/>
          </w:tcPr>
          <w:p w14:paraId="180DB151" w14:textId="77777777" w:rsidR="00572E3D" w:rsidRPr="00D60CFF" w:rsidRDefault="00572E3D" w:rsidP="00611086">
            <w:pPr>
              <w:rPr>
                <w:rFonts w:ascii="Calibri" w:eastAsia="Calibri" w:hAnsi="Calibri" w:cs="Times New Roman"/>
              </w:rPr>
            </w:pPr>
          </w:p>
          <w:p w14:paraId="605822DA" w14:textId="77777777" w:rsidR="00572E3D" w:rsidRPr="00D60CFF" w:rsidRDefault="00572E3D" w:rsidP="00611086">
            <w:pPr>
              <w:rPr>
                <w:rFonts w:ascii="Calibri" w:eastAsia="Calibri" w:hAnsi="Calibri" w:cs="Times New Roman"/>
              </w:rPr>
            </w:pPr>
            <w:r w:rsidRPr="00D60CFF">
              <w:rPr>
                <w:rFonts w:ascii="Calibri" w:eastAsia="Calibri" w:hAnsi="Calibri" w:cs="Times New Roman"/>
                <w:noProof/>
                <w:lang w:eastAsia="en-GB"/>
              </w:rPr>
              <mc:AlternateContent>
                <mc:Choice Requires="wps">
                  <w:drawing>
                    <wp:anchor distT="0" distB="0" distL="114300" distR="114300" simplePos="0" relativeHeight="251624448" behindDoc="0" locked="0" layoutInCell="1" allowOverlap="1" wp14:anchorId="1D3D10E7" wp14:editId="4ABE1F4C">
                      <wp:simplePos x="0" y="0"/>
                      <wp:positionH relativeFrom="column">
                        <wp:posOffset>-6985</wp:posOffset>
                      </wp:positionH>
                      <wp:positionV relativeFrom="paragraph">
                        <wp:posOffset>100330</wp:posOffset>
                      </wp:positionV>
                      <wp:extent cx="1711960" cy="0"/>
                      <wp:effectExtent l="12065" t="5080" r="9525" b="1397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D1960" id="Straight Arrow Connector 36" o:spid="_x0000_s1026" type="#_x0000_t32" style="position:absolute;margin-left:-.55pt;margin-top:7.9pt;width:134.8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"/>
                  </w:pict>
                </mc:Fallback>
              </mc:AlternateContent>
            </w:r>
          </w:p>
          <w:p w14:paraId="303DE867" w14:textId="77777777" w:rsidR="00572E3D" w:rsidRPr="00D60CFF" w:rsidRDefault="00572E3D" w:rsidP="00611086">
            <w:pPr>
              <w:rPr>
                <w:rFonts w:ascii="Calibri" w:eastAsia="Calibri" w:hAnsi="Calibri" w:cs="Times New Roman"/>
              </w:rPr>
            </w:pPr>
            <w:r w:rsidRPr="00D60CFF">
              <w:rPr>
                <w:rFonts w:ascii="Calibri" w:eastAsia="Calibri" w:hAnsi="Calibri" w:cs="Times New Roman"/>
              </w:rPr>
              <w:t>Date</w:t>
            </w:r>
          </w:p>
        </w:tc>
        <w:tc>
          <w:tcPr>
            <w:tcW w:w="3091" w:type="dxa"/>
          </w:tcPr>
          <w:p w14:paraId="52097DC6" w14:textId="77777777" w:rsidR="00572E3D" w:rsidRPr="00D60CFF" w:rsidRDefault="00572E3D" w:rsidP="00611086">
            <w:pPr>
              <w:rPr>
                <w:rFonts w:ascii="Calibri" w:eastAsia="Calibri" w:hAnsi="Calibri" w:cs="Times New Roman"/>
              </w:rPr>
            </w:pPr>
          </w:p>
          <w:p w14:paraId="512B0446" w14:textId="77777777" w:rsidR="00572E3D" w:rsidRPr="00D60CFF" w:rsidRDefault="00572E3D" w:rsidP="00611086">
            <w:pPr>
              <w:rPr>
                <w:rFonts w:ascii="Calibri" w:eastAsia="Calibri" w:hAnsi="Calibri" w:cs="Times New Roman"/>
              </w:rPr>
            </w:pPr>
            <w:r w:rsidRPr="00D60CFF">
              <w:rPr>
                <w:rFonts w:ascii="Calibri" w:eastAsia="Calibri" w:hAnsi="Calibri" w:cs="Times New Roman"/>
                <w:noProof/>
                <w:lang w:eastAsia="en-GB"/>
              </w:rPr>
              <mc:AlternateContent>
                <mc:Choice Requires="wps">
                  <w:drawing>
                    <wp:anchor distT="0" distB="0" distL="114300" distR="114300" simplePos="0" relativeHeight="251625472" behindDoc="0" locked="0" layoutInCell="1" allowOverlap="1" wp14:anchorId="7AC374FB" wp14:editId="376BC13D">
                      <wp:simplePos x="0" y="0"/>
                      <wp:positionH relativeFrom="column">
                        <wp:posOffset>41910</wp:posOffset>
                      </wp:positionH>
                      <wp:positionV relativeFrom="paragraph">
                        <wp:posOffset>89535</wp:posOffset>
                      </wp:positionV>
                      <wp:extent cx="1711960" cy="0"/>
                      <wp:effectExtent l="13335" t="13335" r="8255" b="57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D7D7D" id="Straight Arrow Connector 38" o:spid="_x0000_s1026" type="#_x0000_t32" style="position:absolute;margin-left:3.3pt;margin-top:7.05pt;width:134.8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"/>
                  </w:pict>
                </mc:Fallback>
              </mc:AlternateContent>
            </w:r>
          </w:p>
          <w:p w14:paraId="7A4FC81E" w14:textId="77777777" w:rsidR="00572E3D" w:rsidRPr="00D60CFF" w:rsidRDefault="00572E3D" w:rsidP="00611086">
            <w:pPr>
              <w:rPr>
                <w:rFonts w:ascii="Calibri" w:eastAsia="Calibri" w:hAnsi="Calibri" w:cs="Times New Roman"/>
              </w:rPr>
            </w:pPr>
            <w:r w:rsidRPr="00D60CFF">
              <w:rPr>
                <w:rFonts w:ascii="Calibri" w:eastAsia="Calibri" w:hAnsi="Calibri" w:cs="Times New Roman"/>
              </w:rPr>
              <w:t>Signature</w:t>
            </w:r>
          </w:p>
        </w:tc>
      </w:tr>
      <w:tr w:rsidR="00572E3D" w:rsidRPr="00D60CFF" w14:paraId="37ED979C" w14:textId="77777777" w:rsidTr="00611086">
        <w:trPr>
          <w:trHeight w:val="596"/>
        </w:trPr>
        <w:tc>
          <w:tcPr>
            <w:tcW w:w="3556" w:type="dxa"/>
            <w:hideMark/>
          </w:tcPr>
          <w:p w14:paraId="317AB7A5" w14:textId="77777777" w:rsidR="00572E3D" w:rsidRPr="00D60CFF" w:rsidRDefault="00572E3D" w:rsidP="00611086">
            <w:pPr>
              <w:rPr>
                <w:rFonts w:ascii="Calibri" w:eastAsia="Calibri" w:hAnsi="Calibri" w:cs="Times New Roman"/>
              </w:rPr>
            </w:pPr>
            <w:r w:rsidRPr="00D60CFF">
              <w:rPr>
                <w:rFonts w:ascii="Calibri" w:eastAsia="Calibri" w:hAnsi="Calibri" w:cs="Times New Roman"/>
                <w:noProof/>
                <w:lang w:eastAsia="en-GB"/>
              </w:rPr>
              <mc:AlternateContent>
                <mc:Choice Requires="wps">
                  <w:drawing>
                    <wp:anchor distT="0" distB="0" distL="114300" distR="114300" simplePos="0" relativeHeight="251626496" behindDoc="0" locked="0" layoutInCell="1" allowOverlap="1" wp14:anchorId="3BE104F9" wp14:editId="428886B2">
                      <wp:simplePos x="0" y="0"/>
                      <wp:positionH relativeFrom="column">
                        <wp:posOffset>1905</wp:posOffset>
                      </wp:positionH>
                      <wp:positionV relativeFrom="paragraph">
                        <wp:posOffset>131445</wp:posOffset>
                      </wp:positionV>
                      <wp:extent cx="2009775" cy="0"/>
                      <wp:effectExtent l="0" t="0" r="952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651CE" id="Straight Arrow Connector 39" o:spid="_x0000_s1026" type="#_x0000_t32" style="position:absolute;margin-left:.15pt;margin-top:10.35pt;width:158.2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"/>
                  </w:pict>
                </mc:Fallback>
              </mc:AlternateContent>
            </w:r>
          </w:p>
          <w:p w14:paraId="4BE3F36E" w14:textId="77777777" w:rsidR="00572E3D" w:rsidRPr="00D60CFF" w:rsidRDefault="00572E3D" w:rsidP="00611086">
            <w:pPr>
              <w:rPr>
                <w:rFonts w:ascii="Calibri" w:eastAsia="Calibri" w:hAnsi="Calibri" w:cs="Times New Roman"/>
                <w:i/>
              </w:rPr>
            </w:pPr>
            <w:r w:rsidRPr="00D60CFF">
              <w:rPr>
                <w:rFonts w:ascii="Calibri" w:eastAsia="Calibri" w:hAnsi="Calibri" w:cs="Times New Roman"/>
              </w:rPr>
              <w:t>Researcher (block capitals)</w:t>
            </w:r>
          </w:p>
        </w:tc>
        <w:tc>
          <w:tcPr>
            <w:tcW w:w="2943" w:type="dxa"/>
            <w:hideMark/>
          </w:tcPr>
          <w:p w14:paraId="02FEAF89" w14:textId="77777777" w:rsidR="00572E3D" w:rsidRPr="00D60CFF" w:rsidRDefault="00572E3D" w:rsidP="00611086">
            <w:pPr>
              <w:rPr>
                <w:rFonts w:ascii="Calibri" w:eastAsia="Calibri" w:hAnsi="Calibri" w:cs="Times New Roman"/>
              </w:rPr>
            </w:pPr>
            <w:r w:rsidRPr="00D60CFF">
              <w:rPr>
                <w:rFonts w:ascii="Calibri" w:eastAsia="Calibri" w:hAnsi="Calibri" w:cs="Times New Roman"/>
                <w:noProof/>
                <w:lang w:eastAsia="en-GB"/>
              </w:rPr>
              <mc:AlternateContent>
                <mc:Choice Requires="wps">
                  <w:drawing>
                    <wp:anchor distT="0" distB="0" distL="114300" distR="114300" simplePos="0" relativeHeight="251627520" behindDoc="0" locked="0" layoutInCell="1" allowOverlap="1" wp14:anchorId="0AA42406" wp14:editId="5606A6FC">
                      <wp:simplePos x="0" y="0"/>
                      <wp:positionH relativeFrom="column">
                        <wp:posOffset>-6985</wp:posOffset>
                      </wp:positionH>
                      <wp:positionV relativeFrom="paragraph">
                        <wp:posOffset>133350</wp:posOffset>
                      </wp:positionV>
                      <wp:extent cx="1711960" cy="0"/>
                      <wp:effectExtent l="12065" t="9525" r="9525" b="95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E1A4A" id="Straight Arrow Connector 40" o:spid="_x0000_s1026" type="#_x0000_t32" style="position:absolute;margin-left:-.55pt;margin-top:10.5pt;width:134.8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"/>
                  </w:pict>
                </mc:Fallback>
              </mc:AlternateContent>
            </w:r>
          </w:p>
          <w:p w14:paraId="7FA0D5CF" w14:textId="77777777" w:rsidR="00572E3D" w:rsidRPr="00D60CFF" w:rsidRDefault="00572E3D" w:rsidP="00611086">
            <w:pPr>
              <w:rPr>
                <w:rFonts w:ascii="Calibri" w:eastAsia="Calibri" w:hAnsi="Calibri" w:cs="Times New Roman"/>
              </w:rPr>
            </w:pPr>
            <w:r w:rsidRPr="00D60CFF">
              <w:rPr>
                <w:rFonts w:ascii="Calibri" w:eastAsia="Calibri" w:hAnsi="Calibri" w:cs="Times New Roman"/>
              </w:rPr>
              <w:t>Date</w:t>
            </w:r>
          </w:p>
        </w:tc>
        <w:tc>
          <w:tcPr>
            <w:tcW w:w="3091" w:type="dxa"/>
            <w:hideMark/>
          </w:tcPr>
          <w:p w14:paraId="58376B7F" w14:textId="77777777" w:rsidR="00572E3D" w:rsidRPr="00D60CFF" w:rsidRDefault="00572E3D" w:rsidP="00611086">
            <w:pPr>
              <w:rPr>
                <w:rFonts w:ascii="Calibri" w:eastAsia="Calibri" w:hAnsi="Calibri" w:cs="Times New Roman"/>
              </w:rPr>
            </w:pPr>
            <w:r w:rsidRPr="00D60CFF">
              <w:rPr>
                <w:rFonts w:ascii="Calibri" w:eastAsia="Calibri" w:hAnsi="Calibri" w:cs="Times New Roman"/>
                <w:noProof/>
                <w:lang w:eastAsia="en-GB"/>
              </w:rPr>
              <mc:AlternateContent>
                <mc:Choice Requires="wps">
                  <w:drawing>
                    <wp:anchor distT="0" distB="0" distL="114300" distR="114300" simplePos="0" relativeHeight="251628544" behindDoc="0" locked="0" layoutInCell="1" allowOverlap="1" wp14:anchorId="58410336" wp14:editId="51251D83">
                      <wp:simplePos x="0" y="0"/>
                      <wp:positionH relativeFrom="column">
                        <wp:posOffset>32385</wp:posOffset>
                      </wp:positionH>
                      <wp:positionV relativeFrom="paragraph">
                        <wp:posOffset>133350</wp:posOffset>
                      </wp:positionV>
                      <wp:extent cx="1711960" cy="0"/>
                      <wp:effectExtent l="13335" t="9525" r="825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127F8" id="Straight Arrow Connector 41" o:spid="_x0000_s1026" type="#_x0000_t32" style="position:absolute;margin-left:2.55pt;margin-top:10.5pt;width:134.8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"/>
                  </w:pict>
                </mc:Fallback>
              </mc:AlternateContent>
            </w:r>
          </w:p>
          <w:p w14:paraId="6123DD4C" w14:textId="77777777" w:rsidR="00572E3D" w:rsidRPr="00D60CFF" w:rsidRDefault="00572E3D" w:rsidP="00611086">
            <w:pPr>
              <w:rPr>
                <w:rFonts w:ascii="Calibri" w:eastAsia="Calibri" w:hAnsi="Calibri" w:cs="Times New Roman"/>
              </w:rPr>
            </w:pPr>
            <w:r w:rsidRPr="00D60CFF">
              <w:rPr>
                <w:rFonts w:ascii="Calibri" w:eastAsia="Calibri" w:hAnsi="Calibri" w:cs="Times New Roman"/>
              </w:rPr>
              <w:t>Signature</w:t>
            </w:r>
          </w:p>
        </w:tc>
      </w:tr>
    </w:tbl>
    <w:p w14:paraId="4F5FBD21" w14:textId="11180843" w:rsidR="00572E3D" w:rsidRDefault="00572E3D" w:rsidP="00080FF6">
      <w:pPr>
        <w:rPr>
          <w:rFonts w:ascii="Calibri" w:eastAsia="Calibri" w:hAnsi="Calibri" w:cs="Times New Roman"/>
        </w:rPr>
        <w:sectPr w:rsidR="00572E3D" w:rsidSect="006D6711">
          <w:type w:val="continuous"/>
          <w:pgSz w:w="11906" w:h="16838"/>
          <w:pgMar w:top="709" w:right="991" w:bottom="1440" w:left="1440" w:header="708" w:footer="708" w:gutter="0"/>
          <w:cols w:space="708"/>
          <w:docGrid w:linePitch="360"/>
        </w:sectPr>
      </w:pPr>
      <w:r w:rsidRPr="00D60CFF">
        <w:rPr>
          <w:rFonts w:ascii="Calibri" w:eastAsia="Calibri" w:hAnsi="Calibri" w:cs="Times New Roman"/>
        </w:rPr>
        <w:br/>
        <w:t xml:space="preserve">If you have any further questions please contact me, the researcher, Sian Calvert, via </w:t>
      </w:r>
      <w:hyperlink r:id="rId88" w:history="1">
        <w:r w:rsidRPr="00D60CFF">
          <w:rPr>
            <w:rFonts w:ascii="Calibri" w:eastAsia="Calibri" w:hAnsi="Calibri" w:cs="Times New Roman"/>
            <w:color w:val="0563C1"/>
            <w:u w:val="single"/>
          </w:rPr>
          <w:t>sian.calvert@research.staffs.ac.uk</w:t>
        </w:r>
      </w:hyperlink>
      <w:r w:rsidRPr="00D60CFF">
        <w:rPr>
          <w:rFonts w:ascii="Calibri" w:eastAsia="Calibri" w:hAnsi="Calibri" w:cs="Times New Roman"/>
        </w:rPr>
        <w:t xml:space="preserve"> or contact my </w:t>
      </w:r>
      <w:r w:rsidR="007D734F" w:rsidRPr="00D60CFF">
        <w:rPr>
          <w:rFonts w:ascii="Calibri" w:eastAsia="Calibri" w:hAnsi="Calibri" w:cs="Times New Roman"/>
        </w:rPr>
        <w:t xml:space="preserve">supervisors: </w:t>
      </w:r>
    </w:p>
    <w:p w14:paraId="1817FF16" w14:textId="77777777" w:rsidR="00572E3D" w:rsidRDefault="00572E3D" w:rsidP="00572E3D">
      <w:pPr>
        <w:spacing w:after="0"/>
        <w:rPr>
          <w:rFonts w:ascii="Calibri" w:eastAsia="Calibri" w:hAnsi="Calibri" w:cs="Times New Roman"/>
        </w:rPr>
        <w:sectPr w:rsidR="00572E3D" w:rsidSect="00D60CFF">
          <w:type w:val="continuous"/>
          <w:pgSz w:w="11906" w:h="16838"/>
          <w:pgMar w:top="709" w:right="991" w:bottom="1440" w:left="1440" w:header="708" w:footer="708" w:gutter="0"/>
          <w:cols w:num="2" w:space="708"/>
          <w:docGrid w:linePitch="360"/>
        </w:sectPr>
      </w:pPr>
    </w:p>
    <w:p w14:paraId="6BA1BB0B" w14:textId="77777777" w:rsidR="00572E3D" w:rsidRPr="00446859" w:rsidRDefault="00572E3D" w:rsidP="00572E3D">
      <w:pPr>
        <w:spacing w:after="0"/>
        <w:rPr>
          <w:rFonts w:ascii="Calibri" w:eastAsia="Calibri" w:hAnsi="Calibri" w:cs="Times New Roman"/>
        </w:rPr>
      </w:pPr>
      <w:r w:rsidRPr="00446859">
        <w:rPr>
          <w:rFonts w:ascii="Calibri" w:eastAsia="Calibri" w:hAnsi="Calibri" w:cs="Times New Roman"/>
        </w:rPr>
        <w:t xml:space="preserve">Dr. Robert Dempsey </w:t>
      </w:r>
    </w:p>
    <w:p w14:paraId="36917CD9" w14:textId="77777777" w:rsidR="00572E3D" w:rsidRPr="00446859" w:rsidRDefault="00572E3D" w:rsidP="00572E3D">
      <w:pPr>
        <w:spacing w:after="0"/>
        <w:rPr>
          <w:rFonts w:ascii="Calibri" w:eastAsia="Calibri" w:hAnsi="Calibri" w:cs="Times New Roman"/>
        </w:rPr>
      </w:pPr>
      <w:r w:rsidRPr="00446859">
        <w:rPr>
          <w:rFonts w:ascii="Calibri" w:eastAsia="Calibri" w:hAnsi="Calibri" w:cs="Times New Roman"/>
        </w:rPr>
        <w:t>robert.dempsey@staffs.ac.uk</w:t>
      </w:r>
    </w:p>
    <w:p w14:paraId="066F6162" w14:textId="015BD370" w:rsidR="00572E3D" w:rsidRDefault="00572E3D" w:rsidP="00572E3D">
      <w:pPr>
        <w:spacing w:after="0"/>
        <w:rPr>
          <w:rFonts w:ascii="Calibri" w:eastAsia="Calibri" w:hAnsi="Calibri" w:cs="Times New Roman"/>
          <w:i/>
        </w:rPr>
      </w:pPr>
      <w:r w:rsidRPr="006D6711">
        <w:rPr>
          <w:rFonts w:ascii="Calibri" w:eastAsia="Calibri" w:hAnsi="Calibri" w:cs="Times New Roman"/>
          <w:i/>
        </w:rPr>
        <w:t xml:space="preserve">Lecturer at Staffordshire University </w:t>
      </w:r>
    </w:p>
    <w:p w14:paraId="3ACB175D" w14:textId="77777777" w:rsidR="00080FF6" w:rsidRPr="006D6711" w:rsidRDefault="00080FF6" w:rsidP="00572E3D">
      <w:pPr>
        <w:spacing w:after="0"/>
        <w:rPr>
          <w:rFonts w:ascii="Calibri" w:eastAsia="Calibri" w:hAnsi="Calibri" w:cs="Times New Roman"/>
          <w:i/>
        </w:rPr>
      </w:pPr>
    </w:p>
    <w:p w14:paraId="2D48FF7B" w14:textId="77777777" w:rsidR="00572E3D" w:rsidRPr="00446859" w:rsidRDefault="00572E3D" w:rsidP="00572E3D">
      <w:pPr>
        <w:spacing w:after="0"/>
        <w:rPr>
          <w:rFonts w:ascii="Calibri" w:eastAsia="Calibri" w:hAnsi="Calibri" w:cs="Times New Roman"/>
          <w:lang w:val="it-IT"/>
        </w:rPr>
      </w:pPr>
      <w:r w:rsidRPr="00446859">
        <w:rPr>
          <w:rFonts w:ascii="Calibri" w:eastAsia="Calibri" w:hAnsi="Calibri" w:cs="Times New Roman"/>
          <w:lang w:val="it-IT"/>
        </w:rPr>
        <w:t xml:space="preserve">Dr. Rachel Povey </w:t>
      </w:r>
    </w:p>
    <w:p w14:paraId="647DD7E4" w14:textId="77777777" w:rsidR="00572E3D" w:rsidRPr="00446859" w:rsidRDefault="00572E3D" w:rsidP="00572E3D">
      <w:pPr>
        <w:spacing w:after="0"/>
        <w:rPr>
          <w:rFonts w:ascii="Calibri" w:eastAsia="Calibri" w:hAnsi="Calibri" w:cs="Times New Roman"/>
          <w:lang w:val="it-IT"/>
        </w:rPr>
      </w:pPr>
      <w:r w:rsidRPr="00446859">
        <w:rPr>
          <w:rFonts w:ascii="Calibri" w:eastAsia="Calibri" w:hAnsi="Calibri" w:cs="Times New Roman"/>
          <w:lang w:val="it-IT"/>
        </w:rPr>
        <w:t>r.povey@staffs.ac.uk</w:t>
      </w:r>
    </w:p>
    <w:p w14:paraId="4AD0273C" w14:textId="77777777" w:rsidR="00572E3D" w:rsidRDefault="00572E3D" w:rsidP="00572E3D">
      <w:pPr>
        <w:spacing w:after="0"/>
        <w:rPr>
          <w:rFonts w:ascii="Calibri" w:eastAsia="Calibri" w:hAnsi="Calibri" w:cs="Times New Roman"/>
          <w:i/>
        </w:rPr>
      </w:pPr>
      <w:r>
        <w:rPr>
          <w:rFonts w:ascii="Calibri" w:eastAsia="Calibri" w:hAnsi="Calibri" w:cs="Times New Roman"/>
        </w:rPr>
        <w:t>Associate Professor in Health Psychology</w:t>
      </w:r>
      <w:r w:rsidRPr="00257283">
        <w:rPr>
          <w:rFonts w:ascii="Calibri" w:eastAsia="Calibri" w:hAnsi="Calibri" w:cs="Times New Roman"/>
        </w:rPr>
        <w:t xml:space="preserve"> </w:t>
      </w:r>
      <w:r>
        <w:rPr>
          <w:rFonts w:ascii="Calibri" w:eastAsia="Calibri" w:hAnsi="Calibri" w:cs="Times New Roman"/>
          <w:i/>
        </w:rPr>
        <w:t>at Staffordshire University</w:t>
      </w:r>
    </w:p>
    <w:p w14:paraId="5008166B" w14:textId="77777777" w:rsidR="00572E3D" w:rsidRDefault="00572E3D" w:rsidP="00572E3D">
      <w:pPr>
        <w:spacing w:after="0"/>
        <w:rPr>
          <w:rFonts w:ascii="Calibri" w:eastAsia="Calibri" w:hAnsi="Calibri" w:cs="Times New Roman"/>
          <w:i/>
        </w:rPr>
      </w:pPr>
    </w:p>
    <w:bookmarkStart w:id="362" w:name="_Toc84845183"/>
    <w:bookmarkStart w:id="363" w:name="_Toc84854194"/>
    <w:p w14:paraId="6150EE92" w14:textId="67079438" w:rsidR="00572E3D" w:rsidRPr="00265133" w:rsidRDefault="00572E3D" w:rsidP="00572E3D">
      <w:r w:rsidRPr="00E272EB">
        <w:lastRenderedPageBreak/>
        <w:fldChar w:fldCharType="begin"/>
      </w:r>
      <w:r w:rsidRPr="00E272EB">
        <w:instrText xml:space="preserve"> TC  " </w:instrText>
      </w:r>
      <w:bookmarkStart w:id="364" w:name="_Toc97557173"/>
      <w:r w:rsidRPr="00265133">
        <w:instrText xml:space="preserve">Appendix </w:instrText>
      </w:r>
      <w:r w:rsidR="00C831D8">
        <w:instrText>2</w:instrText>
      </w:r>
      <w:r w:rsidR="007F5E1F">
        <w:instrText>1</w:instrText>
      </w:r>
      <w:r w:rsidRPr="00265133">
        <w:instrText xml:space="preserve">: </w:instrText>
      </w:r>
      <w:r>
        <w:instrText xml:space="preserve">Eating behaviours questionnaire </w:instrText>
      </w:r>
      <w:r w:rsidRPr="00265133">
        <w:instrText>(</w:instrText>
      </w:r>
      <w:r w:rsidR="00375C06">
        <w:instrText>Studies Two and Three</w:instrText>
      </w:r>
      <w:r>
        <w:instrText xml:space="preserve">, </w:instrText>
      </w:r>
      <w:r w:rsidRPr="00265133">
        <w:instrText>Chapter 7 and 8)</w:instrText>
      </w:r>
      <w:bookmarkEnd w:id="364"/>
      <w:r w:rsidRPr="00E272EB">
        <w:instrText xml:space="preserve">" \f y\l </w:instrText>
      </w:r>
      <w:r>
        <w:instrText>2</w:instrText>
      </w:r>
      <w:r w:rsidRPr="00E272EB">
        <w:instrText xml:space="preserve"> </w:instrText>
      </w:r>
      <w:r w:rsidRPr="00E272EB">
        <w:fldChar w:fldCharType="end"/>
      </w:r>
      <w:r w:rsidRPr="00265133">
        <w:t xml:space="preserve">Appendix </w:t>
      </w:r>
      <w:r w:rsidR="00E06374">
        <w:t>2</w:t>
      </w:r>
      <w:r w:rsidR="007F5E1F">
        <w:t>1</w:t>
      </w:r>
      <w:r w:rsidRPr="00265133">
        <w:t xml:space="preserve">: </w:t>
      </w:r>
      <w:r>
        <w:t>Eating behaviour q</w:t>
      </w:r>
      <w:r w:rsidRPr="00265133">
        <w:t>uestionnaire (</w:t>
      </w:r>
      <w:r w:rsidR="00375C06">
        <w:t>Studies Two and Three</w:t>
      </w:r>
      <w:r w:rsidRPr="00265133">
        <w:t>, Chapter 7 and 8)</w:t>
      </w:r>
      <w:bookmarkEnd w:id="362"/>
      <w:bookmarkEnd w:id="363"/>
    </w:p>
    <w:p w14:paraId="78DD3FDC" w14:textId="77777777" w:rsidR="00572E3D" w:rsidRPr="008B36A4" w:rsidRDefault="00572E3D" w:rsidP="00572E3D">
      <w:pPr>
        <w:rPr>
          <w:b/>
          <w:sz w:val="28"/>
          <w:szCs w:val="28"/>
        </w:rPr>
      </w:pPr>
      <w:r w:rsidRPr="008B36A4">
        <w:rPr>
          <w:b/>
          <w:noProof/>
          <w:sz w:val="28"/>
          <w:szCs w:val="28"/>
          <w:lang w:eastAsia="en-GB"/>
        </w:rPr>
        <w:drawing>
          <wp:anchor distT="0" distB="0" distL="114300" distR="114300" simplePos="0" relativeHeight="251641856" behindDoc="1" locked="0" layoutInCell="1" allowOverlap="1" wp14:anchorId="17E9FDD7" wp14:editId="06BBCD04">
            <wp:simplePos x="0" y="0"/>
            <wp:positionH relativeFrom="column">
              <wp:posOffset>4937760</wp:posOffset>
            </wp:positionH>
            <wp:positionV relativeFrom="paragraph">
              <wp:posOffset>-19050</wp:posOffset>
            </wp:positionV>
            <wp:extent cx="969645" cy="1103630"/>
            <wp:effectExtent l="0" t="0" r="1905" b="1270"/>
            <wp:wrapTight wrapText="bothSides">
              <wp:wrapPolygon edited="0">
                <wp:start x="0" y="0"/>
                <wp:lineTo x="0" y="21252"/>
                <wp:lineTo x="21218" y="21252"/>
                <wp:lineTo x="21218" y="0"/>
                <wp:lineTo x="0" y="0"/>
              </wp:wrapPolygon>
            </wp:wrapTight>
            <wp:docPr id="248" name="Picture 248"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anchor>
        </w:drawing>
      </w:r>
    </w:p>
    <w:p w14:paraId="5AE7DF8B" w14:textId="77777777" w:rsidR="00572E3D" w:rsidRPr="008B36A4" w:rsidRDefault="00572E3D" w:rsidP="00572E3D">
      <w:pPr>
        <w:rPr>
          <w:b/>
        </w:rPr>
      </w:pPr>
    </w:p>
    <w:p w14:paraId="0C77C4D2" w14:textId="77777777" w:rsidR="00572E3D" w:rsidRPr="008B36A4" w:rsidRDefault="00572E3D" w:rsidP="00572E3D">
      <w:pPr>
        <w:jc w:val="center"/>
        <w:rPr>
          <w:b/>
          <w:sz w:val="32"/>
          <w:szCs w:val="32"/>
          <w:u w:val="single"/>
        </w:rPr>
      </w:pPr>
    </w:p>
    <w:p w14:paraId="69C66049" w14:textId="77777777" w:rsidR="00572E3D" w:rsidRPr="008B36A4" w:rsidRDefault="00572E3D" w:rsidP="00572E3D">
      <w:pPr>
        <w:jc w:val="center"/>
        <w:rPr>
          <w:b/>
          <w:sz w:val="32"/>
          <w:szCs w:val="32"/>
          <w:u w:val="single"/>
        </w:rPr>
      </w:pPr>
      <w:r w:rsidRPr="008B36A4">
        <w:rPr>
          <w:b/>
          <w:sz w:val="32"/>
          <w:szCs w:val="32"/>
          <w:u w:val="single"/>
        </w:rPr>
        <w:t>Eating Behaviours Questionnaire</w:t>
      </w:r>
    </w:p>
    <w:p w14:paraId="7A68D2F7" w14:textId="77777777" w:rsidR="00572E3D" w:rsidRPr="008B36A4" w:rsidRDefault="00572E3D" w:rsidP="00572E3D">
      <w:pPr>
        <w:rPr>
          <w:b/>
        </w:rPr>
      </w:pPr>
      <w:r w:rsidRPr="008B36A4">
        <w:rPr>
          <w:b/>
          <w:noProof/>
          <w:sz w:val="32"/>
          <w:szCs w:val="32"/>
          <w:u w:val="single"/>
          <w:lang w:eastAsia="en-GB"/>
        </w:rPr>
        <mc:AlternateContent>
          <mc:Choice Requires="wps">
            <w:drawing>
              <wp:anchor distT="0" distB="0" distL="114300" distR="114300" simplePos="0" relativeHeight="251650048" behindDoc="1" locked="0" layoutInCell="1" allowOverlap="1" wp14:anchorId="6DB4D6DC" wp14:editId="4DA3AFE8">
                <wp:simplePos x="0" y="0"/>
                <wp:positionH relativeFrom="column">
                  <wp:posOffset>-19050</wp:posOffset>
                </wp:positionH>
                <wp:positionV relativeFrom="paragraph">
                  <wp:posOffset>197485</wp:posOffset>
                </wp:positionV>
                <wp:extent cx="5924550" cy="1753870"/>
                <wp:effectExtent l="0" t="0" r="19050" b="17780"/>
                <wp:wrapNone/>
                <wp:docPr id="228" name="Rectangle 228"/>
                <wp:cNvGraphicFramePr/>
                <a:graphic xmlns:a="http://schemas.openxmlformats.org/drawingml/2006/main">
                  <a:graphicData uri="http://schemas.microsoft.com/office/word/2010/wordprocessingShape">
                    <wps:wsp>
                      <wps:cNvSpPr/>
                      <wps:spPr>
                        <a:xfrm>
                          <a:off x="0" y="0"/>
                          <a:ext cx="5924550" cy="1753870"/>
                        </a:xfrm>
                        <a:prstGeom prst="rect">
                          <a:avLst/>
                        </a:prstGeom>
                        <a:solidFill>
                          <a:srgbClr val="E7E6E6">
                            <a:lumMod val="90000"/>
                          </a:srgbClr>
                        </a:solidFill>
                        <a:ln w="6350" cap="flat" cmpd="sng" algn="ctr">
                          <a:solidFill>
                            <a:srgbClr val="A5A5A5"/>
                          </a:solidFill>
                          <a:prstDash val="solid"/>
                          <a:miter lim="800000"/>
                        </a:ln>
                        <a:effectLst/>
                      </wps:spPr>
                      <wps:txbx>
                        <w:txbxContent>
                          <w:p w14:paraId="55BB020D" w14:textId="77777777" w:rsidR="00572E3D" w:rsidRDefault="00572E3D" w:rsidP="00572E3D">
                            <w:pPr>
                              <w:jc w:val="center"/>
                            </w:pPr>
                          </w:p>
                          <w:p w14:paraId="024A7E79" w14:textId="77777777" w:rsidR="00D1262B" w:rsidRDefault="00D1262B"/>
                          <w:p w14:paraId="00FB1529" w14:textId="7EE2A1F3" w:rsidR="00572E3D"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4D6DC" id="Rectangle 228" o:spid="_x0000_s1051" style="position:absolute;margin-left:-1.5pt;margin-top:15.55pt;width:466.5pt;height:13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" fillcolor="#d0cece" strokecolor="#a5a5a5" strokeweight=".5pt">
                <v:textbox>
                  <w:txbxContent>
                    <w:p w14:paraId="55BB020D" w14:textId="77777777" w:rsidR="00572E3D" w:rsidRDefault="00572E3D" w:rsidP="00572E3D">
                      <w:pPr>
                        <w:jc w:val="center"/>
                      </w:pPr>
                    </w:p>
                    <w:p w14:paraId="024A7E79" w14:textId="77777777" w:rsidR="00D1262B" w:rsidRDefault="00D1262B"/>
                    <w:p w14:paraId="00FB1529" w14:textId="7EE2A1F3" w:rsidR="00572E3D" w:rsidRDefault="00572E3D" w:rsidP="00572E3D">
                      <w:pPr>
                        <w:jc w:val="center"/>
                      </w:pPr>
                    </w:p>
                  </w:txbxContent>
                </v:textbox>
              </v:rect>
            </w:pict>
          </mc:Fallback>
        </mc:AlternateContent>
      </w:r>
    </w:p>
    <w:p w14:paraId="22725700" w14:textId="77777777" w:rsidR="00572E3D" w:rsidRPr="008B36A4" w:rsidRDefault="00572E3D" w:rsidP="00AA5DD9">
      <w:pPr>
        <w:pStyle w:val="ListParagraph"/>
        <w:numPr>
          <w:ilvl w:val="0"/>
          <w:numId w:val="3"/>
        </w:numPr>
        <w:spacing w:after="160" w:line="360" w:lineRule="auto"/>
        <w:rPr>
          <w:sz w:val="24"/>
          <w:szCs w:val="24"/>
        </w:rPr>
      </w:pPr>
      <w:r w:rsidRPr="008B36A4">
        <w:rPr>
          <w:sz w:val="24"/>
          <w:szCs w:val="24"/>
        </w:rPr>
        <w:t xml:space="preserve">Please use a black or blue pen to complete the questionnaire </w:t>
      </w:r>
    </w:p>
    <w:p w14:paraId="17806BDA" w14:textId="77777777" w:rsidR="00572E3D" w:rsidRPr="008B36A4" w:rsidRDefault="00572E3D" w:rsidP="00AA5DD9">
      <w:pPr>
        <w:pStyle w:val="ListParagraph"/>
        <w:numPr>
          <w:ilvl w:val="0"/>
          <w:numId w:val="3"/>
        </w:numPr>
        <w:spacing w:after="160" w:line="360" w:lineRule="auto"/>
        <w:rPr>
          <w:sz w:val="24"/>
          <w:szCs w:val="24"/>
        </w:rPr>
      </w:pPr>
      <w:r w:rsidRPr="008B36A4">
        <w:rPr>
          <w:sz w:val="24"/>
          <w:szCs w:val="24"/>
        </w:rPr>
        <w:t xml:space="preserve">Please work on your own </w:t>
      </w:r>
    </w:p>
    <w:p w14:paraId="34B63D4C" w14:textId="77777777" w:rsidR="00572E3D" w:rsidRPr="008B36A4" w:rsidRDefault="00572E3D" w:rsidP="00AA5DD9">
      <w:pPr>
        <w:pStyle w:val="ListParagraph"/>
        <w:numPr>
          <w:ilvl w:val="0"/>
          <w:numId w:val="3"/>
        </w:numPr>
        <w:spacing w:after="160" w:line="360" w:lineRule="auto"/>
        <w:rPr>
          <w:sz w:val="24"/>
          <w:szCs w:val="24"/>
        </w:rPr>
      </w:pPr>
      <w:r w:rsidRPr="008B36A4">
        <w:rPr>
          <w:sz w:val="24"/>
          <w:szCs w:val="24"/>
        </w:rPr>
        <w:t xml:space="preserve">Your teachers, friends or family will not see your individual answers, so try to be as honest as possible </w:t>
      </w:r>
    </w:p>
    <w:p w14:paraId="4E5A61CD" w14:textId="77777777" w:rsidR="00572E3D" w:rsidRPr="008B36A4" w:rsidRDefault="00572E3D" w:rsidP="00AA5DD9">
      <w:pPr>
        <w:pStyle w:val="ListParagraph"/>
        <w:numPr>
          <w:ilvl w:val="0"/>
          <w:numId w:val="3"/>
        </w:numPr>
        <w:spacing w:after="160" w:line="360" w:lineRule="auto"/>
        <w:rPr>
          <w:sz w:val="24"/>
          <w:szCs w:val="24"/>
        </w:rPr>
      </w:pPr>
      <w:r w:rsidRPr="008B36A4">
        <w:rPr>
          <w:sz w:val="24"/>
          <w:szCs w:val="24"/>
        </w:rPr>
        <w:t xml:space="preserve">The questionnaire should take no longer than 20 minutes </w:t>
      </w:r>
    </w:p>
    <w:p w14:paraId="7C66E377" w14:textId="77777777" w:rsidR="00572E3D" w:rsidRPr="008B36A4" w:rsidRDefault="00572E3D" w:rsidP="00572E3D">
      <w:pPr>
        <w:rPr>
          <w:b/>
        </w:rPr>
      </w:pPr>
    </w:p>
    <w:p w14:paraId="12313EF3" w14:textId="77777777" w:rsidR="00572E3D" w:rsidRPr="008B36A4" w:rsidRDefault="00572E3D" w:rsidP="00572E3D">
      <w:pPr>
        <w:rPr>
          <w:b/>
        </w:rPr>
      </w:pPr>
    </w:p>
    <w:p w14:paraId="0648A75A" w14:textId="77777777" w:rsidR="00572E3D" w:rsidRPr="008B36A4" w:rsidRDefault="00572E3D" w:rsidP="00572E3D">
      <w:pPr>
        <w:jc w:val="center"/>
        <w:rPr>
          <w:b/>
          <w:sz w:val="28"/>
          <w:szCs w:val="28"/>
        </w:rPr>
      </w:pPr>
      <w:r w:rsidRPr="008B36A4">
        <w:rPr>
          <w:b/>
          <w:sz w:val="28"/>
          <w:szCs w:val="28"/>
        </w:rPr>
        <w:t>You need to create a password and you will use this again</w:t>
      </w:r>
    </w:p>
    <w:p w14:paraId="2C48EE94" w14:textId="77777777" w:rsidR="00572E3D" w:rsidRPr="00E51F65" w:rsidRDefault="00572E3D" w:rsidP="00572E3D">
      <w:pPr>
        <w:rPr>
          <w:b/>
          <w:highlight w:val="yellow"/>
        </w:rPr>
      </w:pPr>
      <w:r w:rsidRPr="00715DED">
        <w:rPr>
          <w:noProof/>
          <w:sz w:val="24"/>
          <w:szCs w:val="24"/>
          <w:highlight w:val="yellow"/>
          <w:lang w:eastAsia="en-GB"/>
        </w:rPr>
        <mc:AlternateContent>
          <mc:Choice Requires="wps">
            <w:drawing>
              <wp:anchor distT="0" distB="0" distL="114300" distR="114300" simplePos="0" relativeHeight="251649024" behindDoc="1" locked="0" layoutInCell="1" allowOverlap="1" wp14:anchorId="1BA02609" wp14:editId="69DFD712">
                <wp:simplePos x="0" y="0"/>
                <wp:positionH relativeFrom="column">
                  <wp:posOffset>56515</wp:posOffset>
                </wp:positionH>
                <wp:positionV relativeFrom="paragraph">
                  <wp:posOffset>3104515</wp:posOffset>
                </wp:positionV>
                <wp:extent cx="5846445" cy="1447800"/>
                <wp:effectExtent l="0" t="0" r="20955" b="19050"/>
                <wp:wrapTight wrapText="bothSides">
                  <wp:wrapPolygon edited="0">
                    <wp:start x="0" y="0"/>
                    <wp:lineTo x="0" y="21600"/>
                    <wp:lineTo x="21607" y="21600"/>
                    <wp:lineTo x="21607" y="0"/>
                    <wp:lineTo x="0" y="0"/>
                  </wp:wrapPolygon>
                </wp:wrapTight>
                <wp:docPr id="238" name="Rectangle 238"/>
                <wp:cNvGraphicFramePr/>
                <a:graphic xmlns:a="http://schemas.openxmlformats.org/drawingml/2006/main">
                  <a:graphicData uri="http://schemas.microsoft.com/office/word/2010/wordprocessingShape">
                    <wps:wsp>
                      <wps:cNvSpPr/>
                      <wps:spPr>
                        <a:xfrm>
                          <a:off x="0" y="0"/>
                          <a:ext cx="5846445" cy="1447800"/>
                        </a:xfrm>
                        <a:prstGeom prst="rect">
                          <a:avLst/>
                        </a:prstGeom>
                        <a:solidFill>
                          <a:srgbClr val="E7E6E6">
                            <a:lumMod val="90000"/>
                          </a:srgbClr>
                        </a:solidFill>
                        <a:ln w="12700" cap="flat" cmpd="sng" algn="ctr">
                          <a:solidFill>
                            <a:sysClr val="windowText" lastClr="000000"/>
                          </a:solidFill>
                          <a:prstDash val="solid"/>
                          <a:miter lim="800000"/>
                        </a:ln>
                        <a:effectLst/>
                      </wps:spPr>
                      <wps:txbx>
                        <w:txbxContent>
                          <w:p w14:paraId="1989C588" w14:textId="77777777" w:rsidR="00572E3D" w:rsidRPr="00FE4B69" w:rsidRDefault="00572E3D" w:rsidP="00572E3D">
                            <w:pPr>
                              <w:spacing w:after="0"/>
                              <w:jc w:val="center"/>
                              <w:rPr>
                                <w:b/>
                                <w:i/>
                                <w:sz w:val="26"/>
                                <w:szCs w:val="26"/>
                              </w:rPr>
                            </w:pPr>
                            <w:r>
                              <w:rPr>
                                <w:b/>
                                <w:i/>
                                <w:sz w:val="26"/>
                                <w:szCs w:val="26"/>
                              </w:rPr>
                              <w:t>Please fill in your information below</w:t>
                            </w:r>
                          </w:p>
                          <w:p w14:paraId="556B9FE3" w14:textId="77777777" w:rsidR="00572E3D" w:rsidRPr="00ED65B3" w:rsidRDefault="00572E3D" w:rsidP="00572E3D">
                            <w:pPr>
                              <w:spacing w:after="0"/>
                              <w:rPr>
                                <w:sz w:val="24"/>
                                <w:szCs w:val="24"/>
                              </w:rPr>
                            </w:pPr>
                            <w:r w:rsidRPr="00A76D52">
                              <w:rPr>
                                <w:i/>
                                <w:sz w:val="24"/>
                                <w:szCs w:val="24"/>
                              </w:rPr>
                              <w:t>What is your date of birth?</w:t>
                            </w:r>
                            <w:r w:rsidRPr="00ED65B3">
                              <w:rPr>
                                <w:sz w:val="24"/>
                                <w:szCs w:val="24"/>
                              </w:rPr>
                              <w:t xml:space="preserve"> ___________________________</w:t>
                            </w:r>
                          </w:p>
                          <w:p w14:paraId="1CE1AB1F" w14:textId="77777777" w:rsidR="00572E3D" w:rsidRPr="00ED65B3" w:rsidRDefault="00572E3D" w:rsidP="00572E3D">
                            <w:pPr>
                              <w:pStyle w:val="ListParagraph"/>
                              <w:spacing w:after="0"/>
                              <w:rPr>
                                <w:sz w:val="24"/>
                                <w:szCs w:val="24"/>
                              </w:rPr>
                            </w:pPr>
                          </w:p>
                          <w:p w14:paraId="186E8E12" w14:textId="77777777" w:rsidR="00572E3D" w:rsidRPr="00ED65B3" w:rsidRDefault="00572E3D" w:rsidP="00572E3D">
                            <w:pPr>
                              <w:spacing w:after="0"/>
                              <w:rPr>
                                <w:sz w:val="24"/>
                                <w:szCs w:val="24"/>
                              </w:rPr>
                            </w:pPr>
                            <w:r w:rsidRPr="00A76D52">
                              <w:rPr>
                                <w:i/>
                                <w:sz w:val="24"/>
                                <w:szCs w:val="24"/>
                              </w:rPr>
                              <w:t>Are you a boy or girl?</w:t>
                            </w:r>
                            <w:r w:rsidRPr="00ED65B3">
                              <w:rPr>
                                <w:sz w:val="24"/>
                                <w:szCs w:val="24"/>
                              </w:rPr>
                              <w:t xml:space="preserve"> ________________________________</w:t>
                            </w:r>
                          </w:p>
                          <w:p w14:paraId="644CF8CA" w14:textId="77777777" w:rsidR="00572E3D" w:rsidRPr="00ED65B3" w:rsidRDefault="00572E3D" w:rsidP="00572E3D">
                            <w:pPr>
                              <w:pStyle w:val="ListParagraph"/>
                              <w:spacing w:after="0"/>
                              <w:rPr>
                                <w:sz w:val="24"/>
                                <w:szCs w:val="24"/>
                              </w:rPr>
                            </w:pPr>
                          </w:p>
                          <w:p w14:paraId="77F15CAF" w14:textId="77777777" w:rsidR="00572E3D" w:rsidRPr="00ED65B3" w:rsidRDefault="00572E3D" w:rsidP="00572E3D">
                            <w:pPr>
                              <w:spacing w:after="0"/>
                              <w:rPr>
                                <w:sz w:val="24"/>
                                <w:szCs w:val="24"/>
                              </w:rPr>
                            </w:pPr>
                            <w:r w:rsidRPr="00A76D52">
                              <w:rPr>
                                <w:i/>
                                <w:sz w:val="24"/>
                                <w:szCs w:val="24"/>
                              </w:rPr>
                              <w:t>What form class are you in?</w:t>
                            </w:r>
                            <w:r w:rsidRPr="00ED65B3">
                              <w:rPr>
                                <w:sz w:val="24"/>
                                <w:szCs w:val="24"/>
                              </w:rPr>
                              <w:t xml:space="preserve"> ___________________________</w:t>
                            </w:r>
                          </w:p>
                          <w:p w14:paraId="017D96B8" w14:textId="77777777" w:rsidR="00572E3D" w:rsidRPr="00ED65B3" w:rsidRDefault="00572E3D" w:rsidP="00572E3D">
                            <w:pPr>
                              <w:jc w:val="center"/>
                            </w:pPr>
                          </w:p>
                          <w:p w14:paraId="4A0BCF1C" w14:textId="77777777" w:rsidR="00D1262B" w:rsidRDefault="00D1262B"/>
                          <w:p w14:paraId="08A885B8" w14:textId="42153CD7" w:rsidR="00572E3D" w:rsidRPr="00FE4B69" w:rsidRDefault="00572E3D" w:rsidP="00572E3D">
                            <w:pPr>
                              <w:spacing w:after="0"/>
                              <w:jc w:val="center"/>
                              <w:rPr>
                                <w:b/>
                                <w:i/>
                                <w:sz w:val="26"/>
                                <w:szCs w:val="26"/>
                              </w:rPr>
                            </w:pPr>
                            <w:r>
                              <w:rPr>
                                <w:b/>
                                <w:i/>
                                <w:sz w:val="26"/>
                                <w:szCs w:val="26"/>
                              </w:rPr>
                              <w:t>Please fill in your information below</w:t>
                            </w:r>
                          </w:p>
                          <w:p w14:paraId="441E961F" w14:textId="77777777" w:rsidR="00572E3D" w:rsidRPr="00ED65B3" w:rsidRDefault="00572E3D" w:rsidP="00572E3D">
                            <w:pPr>
                              <w:spacing w:after="0"/>
                              <w:rPr>
                                <w:sz w:val="24"/>
                                <w:szCs w:val="24"/>
                              </w:rPr>
                            </w:pPr>
                            <w:r w:rsidRPr="00A76D52">
                              <w:rPr>
                                <w:i/>
                                <w:sz w:val="24"/>
                                <w:szCs w:val="24"/>
                              </w:rPr>
                              <w:t>What is your date of birth?</w:t>
                            </w:r>
                            <w:r w:rsidRPr="00ED65B3">
                              <w:rPr>
                                <w:sz w:val="24"/>
                                <w:szCs w:val="24"/>
                              </w:rPr>
                              <w:t xml:space="preserve"> ___________________________</w:t>
                            </w:r>
                          </w:p>
                          <w:p w14:paraId="6471F887" w14:textId="77777777" w:rsidR="00572E3D" w:rsidRPr="00ED65B3" w:rsidRDefault="00572E3D" w:rsidP="00572E3D">
                            <w:pPr>
                              <w:pStyle w:val="ListParagraph"/>
                              <w:spacing w:after="0"/>
                              <w:rPr>
                                <w:sz w:val="24"/>
                                <w:szCs w:val="24"/>
                              </w:rPr>
                            </w:pPr>
                          </w:p>
                          <w:p w14:paraId="03584803" w14:textId="77777777" w:rsidR="00572E3D" w:rsidRPr="00ED65B3" w:rsidRDefault="00572E3D" w:rsidP="00572E3D">
                            <w:pPr>
                              <w:spacing w:after="0"/>
                              <w:rPr>
                                <w:sz w:val="24"/>
                                <w:szCs w:val="24"/>
                              </w:rPr>
                            </w:pPr>
                            <w:r w:rsidRPr="00A76D52">
                              <w:rPr>
                                <w:i/>
                                <w:sz w:val="24"/>
                                <w:szCs w:val="24"/>
                              </w:rPr>
                              <w:t>Are you a boy or girl?</w:t>
                            </w:r>
                            <w:r w:rsidRPr="00ED65B3">
                              <w:rPr>
                                <w:sz w:val="24"/>
                                <w:szCs w:val="24"/>
                              </w:rPr>
                              <w:t xml:space="preserve"> ________________________________</w:t>
                            </w:r>
                          </w:p>
                          <w:p w14:paraId="6CCF3CF4" w14:textId="77777777" w:rsidR="00572E3D" w:rsidRPr="00ED65B3" w:rsidRDefault="00572E3D" w:rsidP="00572E3D">
                            <w:pPr>
                              <w:pStyle w:val="ListParagraph"/>
                              <w:spacing w:after="0"/>
                              <w:rPr>
                                <w:sz w:val="24"/>
                                <w:szCs w:val="24"/>
                              </w:rPr>
                            </w:pPr>
                          </w:p>
                          <w:p w14:paraId="656260BD" w14:textId="77777777" w:rsidR="00572E3D" w:rsidRPr="00ED65B3" w:rsidRDefault="00572E3D" w:rsidP="00572E3D">
                            <w:pPr>
                              <w:spacing w:after="0"/>
                              <w:rPr>
                                <w:sz w:val="24"/>
                                <w:szCs w:val="24"/>
                              </w:rPr>
                            </w:pPr>
                            <w:r w:rsidRPr="00A76D52">
                              <w:rPr>
                                <w:i/>
                                <w:sz w:val="24"/>
                                <w:szCs w:val="24"/>
                              </w:rPr>
                              <w:t>What form class are you in?</w:t>
                            </w:r>
                            <w:r w:rsidRPr="00ED65B3">
                              <w:rPr>
                                <w:sz w:val="24"/>
                                <w:szCs w:val="24"/>
                              </w:rPr>
                              <w:t xml:space="preserve"> ___________________________</w:t>
                            </w:r>
                          </w:p>
                          <w:p w14:paraId="0A26157F" w14:textId="77777777" w:rsidR="00572E3D" w:rsidRPr="00ED65B3"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02609" id="Rectangle 238" o:spid="_x0000_s1052" style="position:absolute;margin-left:4.45pt;margin-top:244.45pt;width:460.35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" fillcolor="#d0cece" strokecolor="windowText" strokeweight="1pt">
                <v:textbox>
                  <w:txbxContent>
                    <w:p w14:paraId="1989C588" w14:textId="77777777" w:rsidR="00572E3D" w:rsidRPr="00FE4B69" w:rsidRDefault="00572E3D" w:rsidP="00572E3D">
                      <w:pPr>
                        <w:spacing w:after="0"/>
                        <w:jc w:val="center"/>
                        <w:rPr>
                          <w:b/>
                          <w:i/>
                          <w:sz w:val="26"/>
                          <w:szCs w:val="26"/>
                        </w:rPr>
                      </w:pPr>
                      <w:r>
                        <w:rPr>
                          <w:b/>
                          <w:i/>
                          <w:sz w:val="26"/>
                          <w:szCs w:val="26"/>
                        </w:rPr>
                        <w:t>Please fill in your information below</w:t>
                      </w:r>
                    </w:p>
                    <w:p w14:paraId="556B9FE3" w14:textId="77777777" w:rsidR="00572E3D" w:rsidRPr="00ED65B3" w:rsidRDefault="00572E3D" w:rsidP="00572E3D">
                      <w:pPr>
                        <w:spacing w:after="0"/>
                        <w:rPr>
                          <w:sz w:val="24"/>
                          <w:szCs w:val="24"/>
                        </w:rPr>
                      </w:pPr>
                      <w:r w:rsidRPr="00A76D52">
                        <w:rPr>
                          <w:i/>
                          <w:sz w:val="24"/>
                          <w:szCs w:val="24"/>
                        </w:rPr>
                        <w:t>What is your date of birth?</w:t>
                      </w:r>
                      <w:r w:rsidRPr="00ED65B3">
                        <w:rPr>
                          <w:sz w:val="24"/>
                          <w:szCs w:val="24"/>
                        </w:rPr>
                        <w:t xml:space="preserve"> ___________________________</w:t>
                      </w:r>
                    </w:p>
                    <w:p w14:paraId="1CE1AB1F" w14:textId="77777777" w:rsidR="00572E3D" w:rsidRPr="00ED65B3" w:rsidRDefault="00572E3D" w:rsidP="00572E3D">
                      <w:pPr>
                        <w:pStyle w:val="ListParagraph"/>
                        <w:spacing w:after="0"/>
                        <w:rPr>
                          <w:sz w:val="24"/>
                          <w:szCs w:val="24"/>
                        </w:rPr>
                      </w:pPr>
                    </w:p>
                    <w:p w14:paraId="186E8E12" w14:textId="77777777" w:rsidR="00572E3D" w:rsidRPr="00ED65B3" w:rsidRDefault="00572E3D" w:rsidP="00572E3D">
                      <w:pPr>
                        <w:spacing w:after="0"/>
                        <w:rPr>
                          <w:sz w:val="24"/>
                          <w:szCs w:val="24"/>
                        </w:rPr>
                      </w:pPr>
                      <w:r w:rsidRPr="00A76D52">
                        <w:rPr>
                          <w:i/>
                          <w:sz w:val="24"/>
                          <w:szCs w:val="24"/>
                        </w:rPr>
                        <w:t>Are you a boy or girl?</w:t>
                      </w:r>
                      <w:r w:rsidRPr="00ED65B3">
                        <w:rPr>
                          <w:sz w:val="24"/>
                          <w:szCs w:val="24"/>
                        </w:rPr>
                        <w:t xml:space="preserve"> ________________________________</w:t>
                      </w:r>
                    </w:p>
                    <w:p w14:paraId="644CF8CA" w14:textId="77777777" w:rsidR="00572E3D" w:rsidRPr="00ED65B3" w:rsidRDefault="00572E3D" w:rsidP="00572E3D">
                      <w:pPr>
                        <w:pStyle w:val="ListParagraph"/>
                        <w:spacing w:after="0"/>
                        <w:rPr>
                          <w:sz w:val="24"/>
                          <w:szCs w:val="24"/>
                        </w:rPr>
                      </w:pPr>
                    </w:p>
                    <w:p w14:paraId="77F15CAF" w14:textId="77777777" w:rsidR="00572E3D" w:rsidRPr="00ED65B3" w:rsidRDefault="00572E3D" w:rsidP="00572E3D">
                      <w:pPr>
                        <w:spacing w:after="0"/>
                        <w:rPr>
                          <w:sz w:val="24"/>
                          <w:szCs w:val="24"/>
                        </w:rPr>
                      </w:pPr>
                      <w:r w:rsidRPr="00A76D52">
                        <w:rPr>
                          <w:i/>
                          <w:sz w:val="24"/>
                          <w:szCs w:val="24"/>
                        </w:rPr>
                        <w:t>What form class are you in?</w:t>
                      </w:r>
                      <w:r w:rsidRPr="00ED65B3">
                        <w:rPr>
                          <w:sz w:val="24"/>
                          <w:szCs w:val="24"/>
                        </w:rPr>
                        <w:t xml:space="preserve"> ___________________________</w:t>
                      </w:r>
                    </w:p>
                    <w:p w14:paraId="017D96B8" w14:textId="77777777" w:rsidR="00572E3D" w:rsidRPr="00ED65B3" w:rsidRDefault="00572E3D" w:rsidP="00572E3D">
                      <w:pPr>
                        <w:jc w:val="center"/>
                      </w:pPr>
                    </w:p>
                    <w:p w14:paraId="4A0BCF1C" w14:textId="77777777" w:rsidR="00D1262B" w:rsidRDefault="00D1262B"/>
                    <w:p w14:paraId="08A885B8" w14:textId="42153CD7" w:rsidR="00572E3D" w:rsidRPr="00FE4B69" w:rsidRDefault="00572E3D" w:rsidP="00572E3D">
                      <w:pPr>
                        <w:spacing w:after="0"/>
                        <w:jc w:val="center"/>
                        <w:rPr>
                          <w:b/>
                          <w:i/>
                          <w:sz w:val="26"/>
                          <w:szCs w:val="26"/>
                        </w:rPr>
                      </w:pPr>
                      <w:r>
                        <w:rPr>
                          <w:b/>
                          <w:i/>
                          <w:sz w:val="26"/>
                          <w:szCs w:val="26"/>
                        </w:rPr>
                        <w:t>Please fill in your information below</w:t>
                      </w:r>
                    </w:p>
                    <w:p w14:paraId="441E961F" w14:textId="77777777" w:rsidR="00572E3D" w:rsidRPr="00ED65B3" w:rsidRDefault="00572E3D" w:rsidP="00572E3D">
                      <w:pPr>
                        <w:spacing w:after="0"/>
                        <w:rPr>
                          <w:sz w:val="24"/>
                          <w:szCs w:val="24"/>
                        </w:rPr>
                      </w:pPr>
                      <w:r w:rsidRPr="00A76D52">
                        <w:rPr>
                          <w:i/>
                          <w:sz w:val="24"/>
                          <w:szCs w:val="24"/>
                        </w:rPr>
                        <w:t>What is your date of birth?</w:t>
                      </w:r>
                      <w:r w:rsidRPr="00ED65B3">
                        <w:rPr>
                          <w:sz w:val="24"/>
                          <w:szCs w:val="24"/>
                        </w:rPr>
                        <w:t xml:space="preserve"> ___________________________</w:t>
                      </w:r>
                    </w:p>
                    <w:p w14:paraId="6471F887" w14:textId="77777777" w:rsidR="00572E3D" w:rsidRPr="00ED65B3" w:rsidRDefault="00572E3D" w:rsidP="00572E3D">
                      <w:pPr>
                        <w:pStyle w:val="ListParagraph"/>
                        <w:spacing w:after="0"/>
                        <w:rPr>
                          <w:sz w:val="24"/>
                          <w:szCs w:val="24"/>
                        </w:rPr>
                      </w:pPr>
                    </w:p>
                    <w:p w14:paraId="03584803" w14:textId="77777777" w:rsidR="00572E3D" w:rsidRPr="00ED65B3" w:rsidRDefault="00572E3D" w:rsidP="00572E3D">
                      <w:pPr>
                        <w:spacing w:after="0"/>
                        <w:rPr>
                          <w:sz w:val="24"/>
                          <w:szCs w:val="24"/>
                        </w:rPr>
                      </w:pPr>
                      <w:r w:rsidRPr="00A76D52">
                        <w:rPr>
                          <w:i/>
                          <w:sz w:val="24"/>
                          <w:szCs w:val="24"/>
                        </w:rPr>
                        <w:t>Are you a boy or girl?</w:t>
                      </w:r>
                      <w:r w:rsidRPr="00ED65B3">
                        <w:rPr>
                          <w:sz w:val="24"/>
                          <w:szCs w:val="24"/>
                        </w:rPr>
                        <w:t xml:space="preserve"> ________________________________</w:t>
                      </w:r>
                    </w:p>
                    <w:p w14:paraId="6CCF3CF4" w14:textId="77777777" w:rsidR="00572E3D" w:rsidRPr="00ED65B3" w:rsidRDefault="00572E3D" w:rsidP="00572E3D">
                      <w:pPr>
                        <w:pStyle w:val="ListParagraph"/>
                        <w:spacing w:after="0"/>
                        <w:rPr>
                          <w:sz w:val="24"/>
                          <w:szCs w:val="24"/>
                        </w:rPr>
                      </w:pPr>
                    </w:p>
                    <w:p w14:paraId="656260BD" w14:textId="77777777" w:rsidR="00572E3D" w:rsidRPr="00ED65B3" w:rsidRDefault="00572E3D" w:rsidP="00572E3D">
                      <w:pPr>
                        <w:spacing w:after="0"/>
                        <w:rPr>
                          <w:sz w:val="24"/>
                          <w:szCs w:val="24"/>
                        </w:rPr>
                      </w:pPr>
                      <w:r w:rsidRPr="00A76D52">
                        <w:rPr>
                          <w:i/>
                          <w:sz w:val="24"/>
                          <w:szCs w:val="24"/>
                        </w:rPr>
                        <w:t>What form class are you in?</w:t>
                      </w:r>
                      <w:r w:rsidRPr="00ED65B3">
                        <w:rPr>
                          <w:sz w:val="24"/>
                          <w:szCs w:val="24"/>
                        </w:rPr>
                        <w:t xml:space="preserve"> ___________________________</w:t>
                      </w:r>
                    </w:p>
                    <w:p w14:paraId="0A26157F" w14:textId="77777777" w:rsidR="00572E3D" w:rsidRPr="00ED65B3" w:rsidRDefault="00572E3D" w:rsidP="00572E3D">
                      <w:pPr>
                        <w:jc w:val="center"/>
                      </w:pPr>
                    </w:p>
                  </w:txbxContent>
                </v:textbox>
                <w10:wrap type="tight"/>
              </v:rect>
            </w:pict>
          </mc:Fallback>
        </mc:AlternateContent>
      </w:r>
      <w:r w:rsidRPr="00715DED">
        <w:rPr>
          <w:b/>
          <w:noProof/>
          <w:highlight w:val="yellow"/>
          <w:lang w:eastAsia="en-GB"/>
        </w:rPr>
        <mc:AlternateContent>
          <mc:Choice Requires="wps">
            <w:drawing>
              <wp:anchor distT="0" distB="0" distL="114300" distR="114300" simplePos="0" relativeHeight="251637760" behindDoc="1" locked="0" layoutInCell="1" allowOverlap="1" wp14:anchorId="4B4AC965" wp14:editId="0F1D0B33">
                <wp:simplePos x="0" y="0"/>
                <wp:positionH relativeFrom="column">
                  <wp:posOffset>2181225</wp:posOffset>
                </wp:positionH>
                <wp:positionV relativeFrom="paragraph">
                  <wp:posOffset>2376805</wp:posOffset>
                </wp:positionV>
                <wp:extent cx="266700" cy="295275"/>
                <wp:effectExtent l="0" t="0" r="19050" b="28575"/>
                <wp:wrapTight wrapText="bothSides">
                  <wp:wrapPolygon edited="0">
                    <wp:start x="0" y="0"/>
                    <wp:lineTo x="0" y="22297"/>
                    <wp:lineTo x="21600" y="22297"/>
                    <wp:lineTo x="21600" y="0"/>
                    <wp:lineTo x="0" y="0"/>
                  </wp:wrapPolygon>
                </wp:wrapTight>
                <wp:docPr id="42" name="Rectangle 42"/>
                <wp:cNvGraphicFramePr/>
                <a:graphic xmlns:a="http://schemas.openxmlformats.org/drawingml/2006/main">
                  <a:graphicData uri="http://schemas.microsoft.com/office/word/2010/wordprocessingShape">
                    <wps:wsp>
                      <wps:cNvSpPr/>
                      <wps:spPr>
                        <a:xfrm>
                          <a:off x="0" y="0"/>
                          <a:ext cx="2667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90A490" w14:textId="77777777" w:rsidR="00572E3D" w:rsidRDefault="00572E3D" w:rsidP="00572E3D">
                            <w:pPr>
                              <w:jc w:val="center"/>
                            </w:pPr>
                            <w:r>
                              <w:t>J</w:t>
                            </w:r>
                          </w:p>
                          <w:p w14:paraId="570600BA" w14:textId="77777777" w:rsidR="00D1262B" w:rsidRDefault="00D1262B"/>
                          <w:p w14:paraId="69708040" w14:textId="1C56C64D" w:rsidR="00572E3D" w:rsidRDefault="00572E3D" w:rsidP="00572E3D">
                            <w:pPr>
                              <w:jc w:val="center"/>
                            </w:pPr>
                            <w: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C965" id="Rectangle 42" o:spid="_x0000_s1053" style="position:absolute;margin-left:171.75pt;margin-top:187.15pt;width:21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" fillcolor="window" strokecolor="windowText" strokeweight="1pt">
                <v:textbox>
                  <w:txbxContent>
                    <w:p w14:paraId="5B90A490" w14:textId="77777777" w:rsidR="00572E3D" w:rsidRDefault="00572E3D" w:rsidP="00572E3D">
                      <w:pPr>
                        <w:jc w:val="center"/>
                      </w:pPr>
                      <w:r>
                        <w:t>J</w:t>
                      </w:r>
                    </w:p>
                    <w:p w14:paraId="570600BA" w14:textId="77777777" w:rsidR="00D1262B" w:rsidRDefault="00D1262B"/>
                    <w:p w14:paraId="69708040" w14:textId="1C56C64D" w:rsidR="00572E3D" w:rsidRDefault="00572E3D" w:rsidP="00572E3D">
                      <w:pPr>
                        <w:jc w:val="center"/>
                      </w:pPr>
                      <w:r>
                        <w:t>J</w:t>
                      </w:r>
                    </w:p>
                  </w:txbxContent>
                </v:textbox>
                <w10:wrap type="tight"/>
              </v:rect>
            </w:pict>
          </mc:Fallback>
        </mc:AlternateContent>
      </w:r>
      <w:r w:rsidRPr="00715DED">
        <w:rPr>
          <w:b/>
          <w:noProof/>
          <w:highlight w:val="yellow"/>
          <w:lang w:eastAsia="en-GB"/>
        </w:rPr>
        <mc:AlternateContent>
          <mc:Choice Requires="wps">
            <w:drawing>
              <wp:anchor distT="0" distB="0" distL="114300" distR="114300" simplePos="0" relativeHeight="251639808" behindDoc="1" locked="0" layoutInCell="1" allowOverlap="1" wp14:anchorId="68435F65" wp14:editId="7BAF848C">
                <wp:simplePos x="0" y="0"/>
                <wp:positionH relativeFrom="column">
                  <wp:posOffset>2609850</wp:posOffset>
                </wp:positionH>
                <wp:positionV relativeFrom="paragraph">
                  <wp:posOffset>2385695</wp:posOffset>
                </wp:positionV>
                <wp:extent cx="266700" cy="295275"/>
                <wp:effectExtent l="0" t="0" r="19050" b="28575"/>
                <wp:wrapTight wrapText="bothSides">
                  <wp:wrapPolygon edited="0">
                    <wp:start x="0" y="0"/>
                    <wp:lineTo x="0" y="22297"/>
                    <wp:lineTo x="21600" y="22297"/>
                    <wp:lineTo x="21600" y="0"/>
                    <wp:lineTo x="0" y="0"/>
                  </wp:wrapPolygon>
                </wp:wrapTight>
                <wp:docPr id="43" name="Rectangle 43"/>
                <wp:cNvGraphicFramePr/>
                <a:graphic xmlns:a="http://schemas.openxmlformats.org/drawingml/2006/main">
                  <a:graphicData uri="http://schemas.microsoft.com/office/word/2010/wordprocessingShape">
                    <wps:wsp>
                      <wps:cNvSpPr/>
                      <wps:spPr>
                        <a:xfrm>
                          <a:off x="0" y="0"/>
                          <a:ext cx="2667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9F4839" w14:textId="77777777" w:rsidR="00572E3D" w:rsidRDefault="00572E3D" w:rsidP="00572E3D">
                            <w:pPr>
                              <w:jc w:val="center"/>
                            </w:pPr>
                            <w:r>
                              <w:t>O</w:t>
                            </w:r>
                          </w:p>
                          <w:p w14:paraId="27A26FA0" w14:textId="77777777" w:rsidR="00D1262B" w:rsidRDefault="00D1262B"/>
                          <w:p w14:paraId="23D3D75A" w14:textId="1DA11A74" w:rsidR="00572E3D" w:rsidRDefault="00572E3D" w:rsidP="00572E3D">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35F65" id="Rectangle 43" o:spid="_x0000_s1054" style="position:absolute;margin-left:205.5pt;margin-top:187.85pt;width:21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" fillcolor="window" strokecolor="windowText" strokeweight="1pt">
                <v:textbox>
                  <w:txbxContent>
                    <w:p w14:paraId="069F4839" w14:textId="77777777" w:rsidR="00572E3D" w:rsidRDefault="00572E3D" w:rsidP="00572E3D">
                      <w:pPr>
                        <w:jc w:val="center"/>
                      </w:pPr>
                      <w:r>
                        <w:t>O</w:t>
                      </w:r>
                    </w:p>
                    <w:p w14:paraId="27A26FA0" w14:textId="77777777" w:rsidR="00D1262B" w:rsidRDefault="00D1262B"/>
                    <w:p w14:paraId="23D3D75A" w14:textId="1DA11A74" w:rsidR="00572E3D" w:rsidRDefault="00572E3D" w:rsidP="00572E3D">
                      <w:pPr>
                        <w:jc w:val="center"/>
                      </w:pPr>
                      <w:r>
                        <w:t>O</w:t>
                      </w:r>
                    </w:p>
                  </w:txbxContent>
                </v:textbox>
                <w10:wrap type="tight"/>
              </v:rect>
            </w:pict>
          </mc:Fallback>
        </mc:AlternateContent>
      </w:r>
      <w:r w:rsidRPr="00715DED">
        <w:rPr>
          <w:b/>
          <w:noProof/>
          <w:highlight w:val="yellow"/>
          <w:lang w:eastAsia="en-GB"/>
        </w:rPr>
        <mc:AlternateContent>
          <mc:Choice Requires="wps">
            <w:drawing>
              <wp:anchor distT="0" distB="0" distL="114300" distR="114300" simplePos="0" relativeHeight="251638784" behindDoc="1" locked="0" layoutInCell="1" allowOverlap="1" wp14:anchorId="177CED6B" wp14:editId="2EACCD68">
                <wp:simplePos x="0" y="0"/>
                <wp:positionH relativeFrom="column">
                  <wp:posOffset>3021330</wp:posOffset>
                </wp:positionH>
                <wp:positionV relativeFrom="paragraph">
                  <wp:posOffset>2371725</wp:posOffset>
                </wp:positionV>
                <wp:extent cx="266700" cy="295275"/>
                <wp:effectExtent l="0" t="0" r="19050" b="28575"/>
                <wp:wrapTight wrapText="bothSides">
                  <wp:wrapPolygon edited="0">
                    <wp:start x="0" y="0"/>
                    <wp:lineTo x="0" y="22297"/>
                    <wp:lineTo x="21600" y="22297"/>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2667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D4084B" w14:textId="77777777" w:rsidR="00572E3D" w:rsidRDefault="00572E3D" w:rsidP="00572E3D">
                            <w:pPr>
                              <w:jc w:val="center"/>
                            </w:pPr>
                            <w:r>
                              <w:t>L</w:t>
                            </w:r>
                          </w:p>
                          <w:p w14:paraId="7F4EE8AE" w14:textId="77777777" w:rsidR="00D1262B" w:rsidRDefault="00D1262B"/>
                          <w:p w14:paraId="4738A37C" w14:textId="11414756" w:rsidR="00572E3D" w:rsidRDefault="00572E3D" w:rsidP="00572E3D">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CED6B" id="Rectangle 44" o:spid="_x0000_s1055" style="position:absolute;margin-left:237.9pt;margin-top:186.75pt;width:21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" fillcolor="window" strokecolor="windowText" strokeweight="1pt">
                <v:textbox>
                  <w:txbxContent>
                    <w:p w14:paraId="36D4084B" w14:textId="77777777" w:rsidR="00572E3D" w:rsidRDefault="00572E3D" w:rsidP="00572E3D">
                      <w:pPr>
                        <w:jc w:val="center"/>
                      </w:pPr>
                      <w:r>
                        <w:t>L</w:t>
                      </w:r>
                    </w:p>
                    <w:p w14:paraId="7F4EE8AE" w14:textId="77777777" w:rsidR="00D1262B" w:rsidRDefault="00D1262B"/>
                    <w:p w14:paraId="4738A37C" w14:textId="11414756" w:rsidR="00572E3D" w:rsidRDefault="00572E3D" w:rsidP="00572E3D">
                      <w:pPr>
                        <w:jc w:val="center"/>
                      </w:pPr>
                      <w:r>
                        <w:t>L</w:t>
                      </w:r>
                    </w:p>
                  </w:txbxContent>
                </v:textbox>
                <w10:wrap type="tight"/>
              </v:rect>
            </w:pict>
          </mc:Fallback>
        </mc:AlternateContent>
      </w:r>
      <w:r w:rsidRPr="00715DED">
        <w:rPr>
          <w:b/>
          <w:noProof/>
          <w:highlight w:val="yellow"/>
          <w:lang w:eastAsia="en-GB"/>
        </w:rPr>
        <mc:AlternateContent>
          <mc:Choice Requires="wps">
            <w:drawing>
              <wp:anchor distT="0" distB="0" distL="114300" distR="114300" simplePos="0" relativeHeight="251640832" behindDoc="1" locked="0" layoutInCell="1" allowOverlap="1" wp14:anchorId="3650D6B7" wp14:editId="5649EC57">
                <wp:simplePos x="0" y="0"/>
                <wp:positionH relativeFrom="column">
                  <wp:posOffset>3449320</wp:posOffset>
                </wp:positionH>
                <wp:positionV relativeFrom="paragraph">
                  <wp:posOffset>2383155</wp:posOffset>
                </wp:positionV>
                <wp:extent cx="266700" cy="295275"/>
                <wp:effectExtent l="0" t="0" r="19050" b="28575"/>
                <wp:wrapTight wrapText="bothSides">
                  <wp:wrapPolygon edited="0">
                    <wp:start x="0" y="0"/>
                    <wp:lineTo x="0" y="22297"/>
                    <wp:lineTo x="21600" y="22297"/>
                    <wp:lineTo x="21600" y="0"/>
                    <wp:lineTo x="0" y="0"/>
                  </wp:wrapPolygon>
                </wp:wrapTight>
                <wp:docPr id="45" name="Rectangle 45"/>
                <wp:cNvGraphicFramePr/>
                <a:graphic xmlns:a="http://schemas.openxmlformats.org/drawingml/2006/main">
                  <a:graphicData uri="http://schemas.microsoft.com/office/word/2010/wordprocessingShape">
                    <wps:wsp>
                      <wps:cNvSpPr/>
                      <wps:spPr>
                        <a:xfrm>
                          <a:off x="0" y="0"/>
                          <a:ext cx="2667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12843F" w14:textId="77777777" w:rsidR="00572E3D" w:rsidRDefault="00572E3D" w:rsidP="00572E3D">
                            <w:pPr>
                              <w:jc w:val="center"/>
                            </w:pPr>
                            <w:r>
                              <w:t>U</w:t>
                            </w:r>
                          </w:p>
                          <w:p w14:paraId="686839B4" w14:textId="77777777" w:rsidR="00D1262B" w:rsidRDefault="00D1262B"/>
                          <w:p w14:paraId="76F69B91" w14:textId="017A9FE9" w:rsidR="00572E3D" w:rsidRDefault="00572E3D" w:rsidP="00572E3D">
                            <w:pPr>
                              <w:jc w:val="center"/>
                            </w:pPr>
                            <w: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0D6B7" id="Rectangle 45" o:spid="_x0000_s1056" style="position:absolute;margin-left:271.6pt;margin-top:187.65pt;width:21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" fillcolor="window" strokecolor="windowText" strokeweight="1pt">
                <v:textbox>
                  <w:txbxContent>
                    <w:p w14:paraId="3312843F" w14:textId="77777777" w:rsidR="00572E3D" w:rsidRDefault="00572E3D" w:rsidP="00572E3D">
                      <w:pPr>
                        <w:jc w:val="center"/>
                      </w:pPr>
                      <w:r>
                        <w:t>U</w:t>
                      </w:r>
                    </w:p>
                    <w:p w14:paraId="686839B4" w14:textId="77777777" w:rsidR="00D1262B" w:rsidRDefault="00D1262B"/>
                    <w:p w14:paraId="76F69B91" w14:textId="017A9FE9" w:rsidR="00572E3D" w:rsidRDefault="00572E3D" w:rsidP="00572E3D">
                      <w:pPr>
                        <w:jc w:val="center"/>
                      </w:pPr>
                      <w:r>
                        <w:t>U</w:t>
                      </w:r>
                    </w:p>
                  </w:txbxContent>
                </v:textbox>
                <w10:wrap type="tight"/>
              </v:rect>
            </w:pict>
          </mc:Fallback>
        </mc:AlternateContent>
      </w:r>
      <w:r w:rsidRPr="00715DED">
        <w:rPr>
          <w:b/>
          <w:noProof/>
          <w:highlight w:val="yellow"/>
          <w:lang w:eastAsia="en-GB"/>
        </w:rPr>
        <mc:AlternateContent>
          <mc:Choice Requires="wps">
            <w:drawing>
              <wp:anchor distT="0" distB="0" distL="114300" distR="114300" simplePos="0" relativeHeight="251633664" behindDoc="1" locked="0" layoutInCell="1" allowOverlap="1" wp14:anchorId="6CFCB8D8" wp14:editId="364C1E3F">
                <wp:simplePos x="0" y="0"/>
                <wp:positionH relativeFrom="column">
                  <wp:posOffset>3663950</wp:posOffset>
                </wp:positionH>
                <wp:positionV relativeFrom="paragraph">
                  <wp:posOffset>1326515</wp:posOffset>
                </wp:positionV>
                <wp:extent cx="542925" cy="514350"/>
                <wp:effectExtent l="0" t="0" r="28575" b="19050"/>
                <wp:wrapTight wrapText="bothSides">
                  <wp:wrapPolygon edited="0">
                    <wp:start x="0" y="0"/>
                    <wp:lineTo x="0" y="21600"/>
                    <wp:lineTo x="21979" y="21600"/>
                    <wp:lineTo x="21979" y="0"/>
                    <wp:lineTo x="0" y="0"/>
                  </wp:wrapPolygon>
                </wp:wrapTight>
                <wp:docPr id="46" name="Rectangle 46"/>
                <wp:cNvGraphicFramePr/>
                <a:graphic xmlns:a="http://schemas.openxmlformats.org/drawingml/2006/main">
                  <a:graphicData uri="http://schemas.microsoft.com/office/word/2010/wordprocessingShape">
                    <wps:wsp>
                      <wps:cNvSpPr/>
                      <wps:spPr>
                        <a:xfrm>
                          <a:off x="0" y="0"/>
                          <a:ext cx="542925" cy="51435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4FF67AE" w14:textId="77777777" w:rsidR="00572E3D" w:rsidRDefault="00572E3D" w:rsidP="00572E3D">
                            <w:pPr>
                              <w:jc w:val="center"/>
                            </w:pPr>
                          </w:p>
                          <w:p w14:paraId="75394F81" w14:textId="77777777" w:rsidR="00D1262B" w:rsidRDefault="00D1262B"/>
                          <w:p w14:paraId="3B3D5112" w14:textId="32AC0B24" w:rsidR="00572E3D"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CB8D8" id="Rectangle 46" o:spid="_x0000_s1057" style="position:absolute;margin-left:288.5pt;margin-top:104.45pt;width:42.7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" fillcolor="window" strokecolor="windowText" strokeweight="1.5pt">
                <v:textbox>
                  <w:txbxContent>
                    <w:p w14:paraId="24FF67AE" w14:textId="77777777" w:rsidR="00572E3D" w:rsidRDefault="00572E3D" w:rsidP="00572E3D">
                      <w:pPr>
                        <w:jc w:val="center"/>
                      </w:pPr>
                    </w:p>
                    <w:p w14:paraId="75394F81" w14:textId="77777777" w:rsidR="00D1262B" w:rsidRDefault="00D1262B"/>
                    <w:p w14:paraId="3B3D5112" w14:textId="32AC0B24" w:rsidR="00572E3D" w:rsidRDefault="00572E3D" w:rsidP="00572E3D">
                      <w:pPr>
                        <w:jc w:val="center"/>
                      </w:pPr>
                    </w:p>
                  </w:txbxContent>
                </v:textbox>
                <w10:wrap type="tight"/>
              </v:rect>
            </w:pict>
          </mc:Fallback>
        </mc:AlternateContent>
      </w:r>
      <w:r w:rsidRPr="00715DED">
        <w:rPr>
          <w:noProof/>
          <w:highlight w:val="yellow"/>
          <w:lang w:eastAsia="en-GB"/>
        </w:rPr>
        <w:drawing>
          <wp:anchor distT="0" distB="0" distL="114300" distR="114300" simplePos="0" relativeHeight="251634688" behindDoc="1" locked="0" layoutInCell="1" allowOverlap="1" wp14:anchorId="21312065" wp14:editId="74B47D6F">
            <wp:simplePos x="0" y="0"/>
            <wp:positionH relativeFrom="column">
              <wp:posOffset>2875280</wp:posOffset>
            </wp:positionH>
            <wp:positionV relativeFrom="paragraph">
              <wp:posOffset>1316990</wp:posOffset>
            </wp:positionV>
            <wp:extent cx="552450" cy="523875"/>
            <wp:effectExtent l="0" t="0" r="0" b="9525"/>
            <wp:wrapTight wrapText="bothSides">
              <wp:wrapPolygon edited="0">
                <wp:start x="0" y="0"/>
                <wp:lineTo x="0" y="21207"/>
                <wp:lineTo x="20855" y="21207"/>
                <wp:lineTo x="2085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anchor>
        </w:drawing>
      </w:r>
      <w:r w:rsidRPr="00715DED">
        <w:rPr>
          <w:noProof/>
          <w:highlight w:val="yellow"/>
          <w:lang w:eastAsia="en-GB"/>
        </w:rPr>
        <w:drawing>
          <wp:anchor distT="0" distB="0" distL="114300" distR="114300" simplePos="0" relativeHeight="251635712" behindDoc="1" locked="0" layoutInCell="1" allowOverlap="1" wp14:anchorId="4B3CF4BF" wp14:editId="7C86331A">
            <wp:simplePos x="0" y="0"/>
            <wp:positionH relativeFrom="column">
              <wp:posOffset>2112010</wp:posOffset>
            </wp:positionH>
            <wp:positionV relativeFrom="paragraph">
              <wp:posOffset>1316990</wp:posOffset>
            </wp:positionV>
            <wp:extent cx="552450" cy="523875"/>
            <wp:effectExtent l="0" t="0" r="0" b="9525"/>
            <wp:wrapTight wrapText="bothSides">
              <wp:wrapPolygon edited="0">
                <wp:start x="0" y="0"/>
                <wp:lineTo x="0" y="21207"/>
                <wp:lineTo x="20855" y="21207"/>
                <wp:lineTo x="20855"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anchor>
        </w:drawing>
      </w:r>
      <w:r w:rsidRPr="00715DED">
        <w:rPr>
          <w:noProof/>
          <w:highlight w:val="yellow"/>
          <w:lang w:eastAsia="en-GB"/>
        </w:rPr>
        <w:drawing>
          <wp:anchor distT="0" distB="0" distL="114300" distR="114300" simplePos="0" relativeHeight="251636736" behindDoc="1" locked="0" layoutInCell="1" allowOverlap="1" wp14:anchorId="436365FB" wp14:editId="574C19A3">
            <wp:simplePos x="0" y="0"/>
            <wp:positionH relativeFrom="column">
              <wp:posOffset>1343025</wp:posOffset>
            </wp:positionH>
            <wp:positionV relativeFrom="paragraph">
              <wp:posOffset>1310640</wp:posOffset>
            </wp:positionV>
            <wp:extent cx="552450" cy="523875"/>
            <wp:effectExtent l="0" t="0" r="0" b="9525"/>
            <wp:wrapTight wrapText="bothSides">
              <wp:wrapPolygon edited="0">
                <wp:start x="0" y="0"/>
                <wp:lineTo x="0" y="21207"/>
                <wp:lineTo x="20855" y="21207"/>
                <wp:lineTo x="20855"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14:sizeRelV relativeFrom="margin">
              <wp14:pctHeight>0</wp14:pctHeight>
            </wp14:sizeRelV>
          </wp:anchor>
        </w:drawing>
      </w:r>
      <w:r w:rsidRPr="00715DED">
        <w:rPr>
          <w:b/>
          <w:noProof/>
          <w:highlight w:val="yellow"/>
          <w:lang w:eastAsia="en-GB"/>
        </w:rPr>
        <w:drawing>
          <wp:anchor distT="0" distB="0" distL="114300" distR="114300" simplePos="0" relativeHeight="251632640" behindDoc="1" locked="0" layoutInCell="1" allowOverlap="1" wp14:anchorId="1D8058AF" wp14:editId="5FD6FC93">
            <wp:simplePos x="0" y="0"/>
            <wp:positionH relativeFrom="column">
              <wp:posOffset>5210175</wp:posOffset>
            </wp:positionH>
            <wp:positionV relativeFrom="paragraph">
              <wp:posOffset>929005</wp:posOffset>
            </wp:positionV>
            <wp:extent cx="600075" cy="762000"/>
            <wp:effectExtent l="0" t="0" r="9525" b="0"/>
            <wp:wrapTight wrapText="bothSides">
              <wp:wrapPolygon edited="0">
                <wp:start x="0" y="0"/>
                <wp:lineTo x="0" y="21060"/>
                <wp:lineTo x="21257" y="21060"/>
                <wp:lineTo x="21257" y="0"/>
                <wp:lineTo x="0" y="0"/>
              </wp:wrapPolygon>
            </wp:wrapTight>
            <wp:docPr id="210" name="Picture 2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007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DED">
        <w:rPr>
          <w:noProof/>
          <w:highlight w:val="yellow"/>
          <w:lang w:eastAsia="en-GB"/>
        </w:rPr>
        <w:drawing>
          <wp:anchor distT="0" distB="0" distL="114300" distR="114300" simplePos="0" relativeHeight="251631616" behindDoc="1" locked="0" layoutInCell="1" allowOverlap="1" wp14:anchorId="55A48CC9" wp14:editId="24B9DEC0">
            <wp:simplePos x="0" y="0"/>
            <wp:positionH relativeFrom="column">
              <wp:posOffset>200025</wp:posOffset>
            </wp:positionH>
            <wp:positionV relativeFrom="paragraph">
              <wp:posOffset>896620</wp:posOffset>
            </wp:positionV>
            <wp:extent cx="542925" cy="723900"/>
            <wp:effectExtent l="0" t="0" r="9525" b="0"/>
            <wp:wrapTight wrapText="bothSides">
              <wp:wrapPolygon edited="0">
                <wp:start x="0" y="0"/>
                <wp:lineTo x="0" y="21032"/>
                <wp:lineTo x="21221" y="21032"/>
                <wp:lineTo x="21221" y="0"/>
                <wp:lineTo x="0" y="0"/>
              </wp:wrapPolygon>
            </wp:wrapTight>
            <wp:docPr id="213" name="Picture 213" descr="Image result for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anchor>
        </w:drawing>
      </w:r>
      <w:r w:rsidRPr="00715DED">
        <w:rPr>
          <w:b/>
          <w:noProof/>
          <w:sz w:val="28"/>
          <w:szCs w:val="28"/>
          <w:highlight w:val="yellow"/>
          <w:lang w:eastAsia="en-GB"/>
        </w:rPr>
        <mc:AlternateContent>
          <mc:Choice Requires="wps">
            <w:drawing>
              <wp:anchor distT="45720" distB="45720" distL="114300" distR="114300" simplePos="0" relativeHeight="251629568" behindDoc="1" locked="0" layoutInCell="1" allowOverlap="1" wp14:anchorId="09A33C87" wp14:editId="5655B32D">
                <wp:simplePos x="0" y="0"/>
                <wp:positionH relativeFrom="column">
                  <wp:posOffset>57150</wp:posOffset>
                </wp:positionH>
                <wp:positionV relativeFrom="paragraph">
                  <wp:posOffset>285750</wp:posOffset>
                </wp:positionV>
                <wp:extent cx="5848350" cy="2638425"/>
                <wp:effectExtent l="0" t="0" r="19050" b="28575"/>
                <wp:wrapTight wrapText="bothSides">
                  <wp:wrapPolygon edited="0">
                    <wp:start x="0" y="0"/>
                    <wp:lineTo x="0" y="21678"/>
                    <wp:lineTo x="21600" y="21678"/>
                    <wp:lineTo x="21600"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638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6624B25" w14:textId="77777777" w:rsidR="00572E3D" w:rsidRDefault="00572E3D" w:rsidP="00572E3D">
                            <w:r>
                              <w:t xml:space="preserve">          </w:t>
                            </w:r>
                          </w:p>
                          <w:p w14:paraId="03E98FAE" w14:textId="77777777" w:rsidR="00572E3D" w:rsidRDefault="00572E3D" w:rsidP="00572E3D">
                            <w:pPr>
                              <w:jc w:val="center"/>
                            </w:pPr>
                            <w:r>
                              <w:t xml:space="preserve">Pick the first two letters of the name, of your most memorable male and female </w:t>
                            </w:r>
                          </w:p>
                          <w:p w14:paraId="3239B365" w14:textId="77777777" w:rsidR="00572E3D" w:rsidRDefault="00572E3D" w:rsidP="00572E3D">
                            <w:pPr>
                              <w:jc w:val="center"/>
                            </w:pPr>
                            <w:r>
                              <w:t>and insert them into the boxes provided.</w:t>
                            </w:r>
                          </w:p>
                          <w:p w14:paraId="6AA3F178" w14:textId="77777777" w:rsidR="00572E3D" w:rsidRDefault="00572E3D" w:rsidP="00572E3D">
                            <w:pPr>
                              <w:jc w:val="center"/>
                            </w:pPr>
                          </w:p>
                          <w:p w14:paraId="2E73893F" w14:textId="77777777" w:rsidR="00572E3D" w:rsidRDefault="00572E3D" w:rsidP="00572E3D">
                            <w:pPr>
                              <w:jc w:val="center"/>
                            </w:pPr>
                          </w:p>
                          <w:p w14:paraId="21650B02" w14:textId="77777777" w:rsidR="00572E3D" w:rsidRDefault="00572E3D" w:rsidP="00572E3D">
                            <w:pPr>
                              <w:jc w:val="center"/>
                            </w:pPr>
                          </w:p>
                          <w:p w14:paraId="3C640C64" w14:textId="77777777" w:rsidR="00572E3D" w:rsidRPr="00083C1E" w:rsidRDefault="00572E3D" w:rsidP="00572E3D">
                            <w:pPr>
                              <w:jc w:val="center"/>
                              <w:rPr>
                                <w:b/>
                              </w:rPr>
                            </w:pPr>
                            <w:r>
                              <w:rPr>
                                <w:b/>
                              </w:rPr>
                              <w:t>For e</w:t>
                            </w:r>
                            <w:r w:rsidRPr="00083C1E">
                              <w:rPr>
                                <w:b/>
                              </w:rPr>
                              <w:t xml:space="preserve">xample: John and Lucy </w:t>
                            </w:r>
                          </w:p>
                          <w:p w14:paraId="653C28CD" w14:textId="77777777" w:rsidR="00D1262B" w:rsidRDefault="00D1262B"/>
                          <w:p w14:paraId="77523AB3" w14:textId="4FF61D75" w:rsidR="00572E3D" w:rsidRDefault="00572E3D" w:rsidP="00572E3D">
                            <w:r>
                              <w:t xml:space="preserve">          </w:t>
                            </w:r>
                          </w:p>
                          <w:p w14:paraId="28A2CD1B" w14:textId="77777777" w:rsidR="00572E3D" w:rsidRDefault="00572E3D" w:rsidP="00572E3D">
                            <w:pPr>
                              <w:jc w:val="center"/>
                            </w:pPr>
                            <w:r>
                              <w:t xml:space="preserve">Pick the first two letters of the name, of your most memorable male and female </w:t>
                            </w:r>
                          </w:p>
                          <w:p w14:paraId="08A343D4" w14:textId="77777777" w:rsidR="00572E3D" w:rsidRDefault="00572E3D" w:rsidP="00572E3D">
                            <w:pPr>
                              <w:jc w:val="center"/>
                            </w:pPr>
                            <w:r>
                              <w:t>and insert them into the boxes provided.</w:t>
                            </w:r>
                          </w:p>
                          <w:p w14:paraId="7A6DC646" w14:textId="77777777" w:rsidR="00572E3D" w:rsidRDefault="00572E3D" w:rsidP="00572E3D">
                            <w:pPr>
                              <w:jc w:val="center"/>
                            </w:pPr>
                          </w:p>
                          <w:p w14:paraId="605C565A" w14:textId="77777777" w:rsidR="00572E3D" w:rsidRDefault="00572E3D" w:rsidP="00572E3D">
                            <w:pPr>
                              <w:jc w:val="center"/>
                            </w:pPr>
                          </w:p>
                          <w:p w14:paraId="51699C53" w14:textId="77777777" w:rsidR="00572E3D" w:rsidRDefault="00572E3D" w:rsidP="00572E3D">
                            <w:pPr>
                              <w:jc w:val="center"/>
                            </w:pPr>
                          </w:p>
                          <w:p w14:paraId="5B9F0FFD" w14:textId="77777777" w:rsidR="00572E3D" w:rsidRPr="00083C1E" w:rsidRDefault="00572E3D" w:rsidP="00572E3D">
                            <w:pPr>
                              <w:jc w:val="center"/>
                              <w:rPr>
                                <w:b/>
                              </w:rPr>
                            </w:pPr>
                            <w:r>
                              <w:rPr>
                                <w:b/>
                              </w:rPr>
                              <w:t>For e</w:t>
                            </w:r>
                            <w:r w:rsidRPr="00083C1E">
                              <w:rPr>
                                <w:b/>
                              </w:rPr>
                              <w:t xml:space="preserve">xample: John and Lucy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33C87" id="_x0000_s1058" type="#_x0000_t202" style="position:absolute;margin-left:4.5pt;margin-top:22.5pt;width:460.5pt;height:207.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" fillcolor="window" strokecolor="windowText" strokeweight="1.5pt">
                <v:textbox>
                  <w:txbxContent>
                    <w:p w14:paraId="06624B25" w14:textId="77777777" w:rsidR="00572E3D" w:rsidRDefault="00572E3D" w:rsidP="00572E3D">
                      <w:r>
                        <w:t xml:space="preserve">          </w:t>
                      </w:r>
                    </w:p>
                    <w:p w14:paraId="03E98FAE" w14:textId="77777777" w:rsidR="00572E3D" w:rsidRDefault="00572E3D" w:rsidP="00572E3D">
                      <w:pPr>
                        <w:jc w:val="center"/>
                      </w:pPr>
                      <w:r>
                        <w:t xml:space="preserve">Pick the first two letters of the name, of your most memorable male and female </w:t>
                      </w:r>
                    </w:p>
                    <w:p w14:paraId="3239B365" w14:textId="77777777" w:rsidR="00572E3D" w:rsidRDefault="00572E3D" w:rsidP="00572E3D">
                      <w:pPr>
                        <w:jc w:val="center"/>
                      </w:pPr>
                      <w:r>
                        <w:t>and insert them into the boxes provided.</w:t>
                      </w:r>
                    </w:p>
                    <w:p w14:paraId="6AA3F178" w14:textId="77777777" w:rsidR="00572E3D" w:rsidRDefault="00572E3D" w:rsidP="00572E3D">
                      <w:pPr>
                        <w:jc w:val="center"/>
                      </w:pPr>
                    </w:p>
                    <w:p w14:paraId="2E73893F" w14:textId="77777777" w:rsidR="00572E3D" w:rsidRDefault="00572E3D" w:rsidP="00572E3D">
                      <w:pPr>
                        <w:jc w:val="center"/>
                      </w:pPr>
                    </w:p>
                    <w:p w14:paraId="21650B02" w14:textId="77777777" w:rsidR="00572E3D" w:rsidRDefault="00572E3D" w:rsidP="00572E3D">
                      <w:pPr>
                        <w:jc w:val="center"/>
                      </w:pPr>
                    </w:p>
                    <w:p w14:paraId="3C640C64" w14:textId="77777777" w:rsidR="00572E3D" w:rsidRPr="00083C1E" w:rsidRDefault="00572E3D" w:rsidP="00572E3D">
                      <w:pPr>
                        <w:jc w:val="center"/>
                        <w:rPr>
                          <w:b/>
                        </w:rPr>
                      </w:pPr>
                      <w:r>
                        <w:rPr>
                          <w:b/>
                        </w:rPr>
                        <w:t>For e</w:t>
                      </w:r>
                      <w:r w:rsidRPr="00083C1E">
                        <w:rPr>
                          <w:b/>
                        </w:rPr>
                        <w:t xml:space="preserve">xample: John and Lucy </w:t>
                      </w:r>
                    </w:p>
                    <w:p w14:paraId="653C28CD" w14:textId="77777777" w:rsidR="00D1262B" w:rsidRDefault="00D1262B"/>
                    <w:p w14:paraId="77523AB3" w14:textId="4FF61D75" w:rsidR="00572E3D" w:rsidRDefault="00572E3D" w:rsidP="00572E3D">
                      <w:r>
                        <w:t xml:space="preserve">          </w:t>
                      </w:r>
                    </w:p>
                    <w:p w14:paraId="28A2CD1B" w14:textId="77777777" w:rsidR="00572E3D" w:rsidRDefault="00572E3D" w:rsidP="00572E3D">
                      <w:pPr>
                        <w:jc w:val="center"/>
                      </w:pPr>
                      <w:r>
                        <w:t xml:space="preserve">Pick the first two letters of the name, of your most memorable male and female </w:t>
                      </w:r>
                    </w:p>
                    <w:p w14:paraId="08A343D4" w14:textId="77777777" w:rsidR="00572E3D" w:rsidRDefault="00572E3D" w:rsidP="00572E3D">
                      <w:pPr>
                        <w:jc w:val="center"/>
                      </w:pPr>
                      <w:r>
                        <w:t>and insert them into the boxes provided.</w:t>
                      </w:r>
                    </w:p>
                    <w:p w14:paraId="7A6DC646" w14:textId="77777777" w:rsidR="00572E3D" w:rsidRDefault="00572E3D" w:rsidP="00572E3D">
                      <w:pPr>
                        <w:jc w:val="center"/>
                      </w:pPr>
                    </w:p>
                    <w:p w14:paraId="605C565A" w14:textId="77777777" w:rsidR="00572E3D" w:rsidRDefault="00572E3D" w:rsidP="00572E3D">
                      <w:pPr>
                        <w:jc w:val="center"/>
                      </w:pPr>
                    </w:p>
                    <w:p w14:paraId="51699C53" w14:textId="77777777" w:rsidR="00572E3D" w:rsidRDefault="00572E3D" w:rsidP="00572E3D">
                      <w:pPr>
                        <w:jc w:val="center"/>
                      </w:pPr>
                    </w:p>
                    <w:p w14:paraId="5B9F0FFD" w14:textId="77777777" w:rsidR="00572E3D" w:rsidRPr="00083C1E" w:rsidRDefault="00572E3D" w:rsidP="00572E3D">
                      <w:pPr>
                        <w:jc w:val="center"/>
                        <w:rPr>
                          <w:b/>
                        </w:rPr>
                      </w:pPr>
                      <w:r>
                        <w:rPr>
                          <w:b/>
                        </w:rPr>
                        <w:t>For e</w:t>
                      </w:r>
                      <w:r w:rsidRPr="00083C1E">
                        <w:rPr>
                          <w:b/>
                        </w:rPr>
                        <w:t xml:space="preserve">xample: John and Lucy </w:t>
                      </w:r>
                    </w:p>
                  </w:txbxContent>
                </v:textbox>
                <w10:wrap type="tight"/>
              </v:shape>
            </w:pict>
          </mc:Fallback>
        </mc:AlternateContent>
      </w:r>
    </w:p>
    <w:p w14:paraId="04F5772A" w14:textId="77777777" w:rsidR="00572E3D" w:rsidRPr="00E51F65" w:rsidRDefault="00572E3D" w:rsidP="00572E3D">
      <w:pPr>
        <w:jc w:val="center"/>
        <w:rPr>
          <w:b/>
          <w:sz w:val="24"/>
          <w:szCs w:val="24"/>
        </w:rPr>
      </w:pPr>
    </w:p>
    <w:p w14:paraId="57E9401A" w14:textId="77777777" w:rsidR="00572E3D" w:rsidRPr="008B36A4" w:rsidRDefault="00572E3D" w:rsidP="00AA5DD9">
      <w:pPr>
        <w:pStyle w:val="ListParagraph"/>
        <w:numPr>
          <w:ilvl w:val="0"/>
          <w:numId w:val="2"/>
        </w:numPr>
        <w:spacing w:after="160" w:line="259" w:lineRule="auto"/>
        <w:rPr>
          <w:sz w:val="24"/>
          <w:szCs w:val="24"/>
        </w:rPr>
      </w:pPr>
      <w:r w:rsidRPr="008B36A4">
        <w:rPr>
          <w:noProof/>
          <w:lang w:eastAsia="en-GB"/>
        </w:rPr>
        <w:drawing>
          <wp:anchor distT="0" distB="0" distL="114300" distR="114300" simplePos="0" relativeHeight="251630592" behindDoc="1" locked="0" layoutInCell="1" allowOverlap="1" wp14:anchorId="30C79EAA" wp14:editId="751EA703">
            <wp:simplePos x="0" y="0"/>
            <wp:positionH relativeFrom="column">
              <wp:posOffset>5010150</wp:posOffset>
            </wp:positionH>
            <wp:positionV relativeFrom="paragraph">
              <wp:posOffset>40640</wp:posOffset>
            </wp:positionV>
            <wp:extent cx="1507490" cy="762000"/>
            <wp:effectExtent l="0" t="0" r="0" b="0"/>
            <wp:wrapTight wrapText="bothSides">
              <wp:wrapPolygon edited="0">
                <wp:start x="0" y="0"/>
                <wp:lineTo x="0" y="21060"/>
                <wp:lineTo x="21291" y="21060"/>
                <wp:lineTo x="21291" y="0"/>
                <wp:lineTo x="0" y="0"/>
              </wp:wrapPolygon>
            </wp:wrapTight>
            <wp:docPr id="249" name="Picture 249" descr="Image result for school students clipart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students clipart diar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07490" cy="762000"/>
                    </a:xfrm>
                    <a:prstGeom prst="rect">
                      <a:avLst/>
                    </a:prstGeom>
                    <a:noFill/>
                    <a:ln>
                      <a:noFill/>
                    </a:ln>
                  </pic:spPr>
                </pic:pic>
              </a:graphicData>
            </a:graphic>
          </wp:anchor>
        </w:drawing>
      </w:r>
      <w:r w:rsidRPr="008B36A4">
        <w:rPr>
          <w:sz w:val="24"/>
          <w:szCs w:val="24"/>
        </w:rPr>
        <w:t>Thinking back over the past week, how many servings of these foods</w:t>
      </w:r>
      <w:r>
        <w:rPr>
          <w:sz w:val="24"/>
          <w:szCs w:val="24"/>
        </w:rPr>
        <w:t xml:space="preserve"> did you eat?</w:t>
      </w:r>
    </w:p>
    <w:p w14:paraId="2A4D07FA" w14:textId="23C8B6CB" w:rsidR="00572E3D" w:rsidRDefault="00572E3D" w:rsidP="00572E3D">
      <w:pPr>
        <w:pStyle w:val="ListParagraph"/>
      </w:pPr>
    </w:p>
    <w:p w14:paraId="661949CF" w14:textId="77777777" w:rsidR="00AE5627" w:rsidRPr="008B36A4" w:rsidRDefault="00AE5627" w:rsidP="00572E3D">
      <w:pPr>
        <w:pStyle w:val="ListParagraph"/>
      </w:pPr>
    </w:p>
    <w:p w14:paraId="6837D630" w14:textId="77777777" w:rsidR="00572E3D" w:rsidRPr="008B36A4" w:rsidRDefault="00572E3D" w:rsidP="00572E3D">
      <w:pPr>
        <w:pStyle w:val="ListParagraph"/>
        <w:jc w:val="center"/>
        <w:rPr>
          <w:b/>
          <w:i/>
        </w:rPr>
      </w:pPr>
      <w:r w:rsidRPr="00E51F65">
        <w:rPr>
          <w:b/>
          <w:i/>
          <w:highlight w:val="lightGray"/>
        </w:rPr>
        <w:t>Tick ONE box from each line</w:t>
      </w:r>
    </w:p>
    <w:tbl>
      <w:tblPr>
        <w:tblStyle w:val="PlainTable12"/>
        <w:tblW w:w="9756" w:type="dxa"/>
        <w:tblLook w:val="04A0" w:firstRow="1" w:lastRow="0" w:firstColumn="1" w:lastColumn="0" w:noHBand="0" w:noVBand="1"/>
      </w:tblPr>
      <w:tblGrid>
        <w:gridCol w:w="1338"/>
        <w:gridCol w:w="935"/>
        <w:gridCol w:w="935"/>
        <w:gridCol w:w="936"/>
        <w:gridCol w:w="935"/>
        <w:gridCol w:w="935"/>
        <w:gridCol w:w="936"/>
        <w:gridCol w:w="935"/>
        <w:gridCol w:w="935"/>
        <w:gridCol w:w="936"/>
      </w:tblGrid>
      <w:tr w:rsidR="00572E3D" w:rsidRPr="008B36A4" w14:paraId="1FC78819" w14:textId="77777777" w:rsidTr="00611086">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38" w:type="dxa"/>
          </w:tcPr>
          <w:p w14:paraId="4120DD82" w14:textId="77777777" w:rsidR="00572E3D" w:rsidRPr="008B36A4" w:rsidRDefault="00572E3D" w:rsidP="00611086"/>
        </w:tc>
        <w:tc>
          <w:tcPr>
            <w:tcW w:w="935" w:type="dxa"/>
          </w:tcPr>
          <w:p w14:paraId="24DE978C"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 xml:space="preserve">Less than one a week </w:t>
            </w:r>
          </w:p>
        </w:tc>
        <w:tc>
          <w:tcPr>
            <w:tcW w:w="935" w:type="dxa"/>
          </w:tcPr>
          <w:p w14:paraId="0A68AF1A"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 xml:space="preserve">1 a week </w:t>
            </w:r>
          </w:p>
        </w:tc>
        <w:tc>
          <w:tcPr>
            <w:tcW w:w="936" w:type="dxa"/>
          </w:tcPr>
          <w:p w14:paraId="6D1238BB"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2-3 a week</w:t>
            </w:r>
          </w:p>
        </w:tc>
        <w:tc>
          <w:tcPr>
            <w:tcW w:w="935" w:type="dxa"/>
          </w:tcPr>
          <w:p w14:paraId="6F17584A"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4-6 a week</w:t>
            </w:r>
          </w:p>
        </w:tc>
        <w:tc>
          <w:tcPr>
            <w:tcW w:w="935" w:type="dxa"/>
          </w:tcPr>
          <w:p w14:paraId="6DA3008C"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1 a day</w:t>
            </w:r>
          </w:p>
        </w:tc>
        <w:tc>
          <w:tcPr>
            <w:tcW w:w="936" w:type="dxa"/>
          </w:tcPr>
          <w:p w14:paraId="2158E9D5"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2 a day</w:t>
            </w:r>
          </w:p>
        </w:tc>
        <w:tc>
          <w:tcPr>
            <w:tcW w:w="935" w:type="dxa"/>
          </w:tcPr>
          <w:p w14:paraId="6B0F444D"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3 a day</w:t>
            </w:r>
          </w:p>
        </w:tc>
        <w:tc>
          <w:tcPr>
            <w:tcW w:w="935" w:type="dxa"/>
          </w:tcPr>
          <w:p w14:paraId="43BC3974"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4 or more a day</w:t>
            </w:r>
          </w:p>
        </w:tc>
        <w:tc>
          <w:tcPr>
            <w:tcW w:w="936" w:type="dxa"/>
          </w:tcPr>
          <w:p w14:paraId="26F4FE2B"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Don’t know</w:t>
            </w:r>
          </w:p>
        </w:tc>
      </w:tr>
      <w:tr w:rsidR="00572E3D" w:rsidRPr="008B36A4" w14:paraId="412F96F3" w14:textId="77777777" w:rsidTr="00611086">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338" w:type="dxa"/>
          </w:tcPr>
          <w:p w14:paraId="44BCDDB4" w14:textId="75624410" w:rsidR="00572E3D" w:rsidRPr="008B36A4" w:rsidRDefault="00572E3D" w:rsidP="00611086">
            <w:r w:rsidRPr="008B36A4">
              <w:t xml:space="preserve">Chocolate </w:t>
            </w:r>
            <w:r w:rsidRPr="008B36A4">
              <w:rPr>
                <w:b w:val="0"/>
              </w:rPr>
              <w:t xml:space="preserve">(1 bar or packet </w:t>
            </w:r>
            <w:r w:rsidR="007D734F" w:rsidRPr="008B36A4">
              <w:rPr>
                <w:b w:val="0"/>
              </w:rPr>
              <w:t>e.g.,</w:t>
            </w:r>
            <w:r w:rsidRPr="008B36A4">
              <w:rPr>
                <w:b w:val="0"/>
              </w:rPr>
              <w:t xml:space="preserve"> M &amp; M’s)</w:t>
            </w:r>
          </w:p>
        </w:tc>
        <w:tc>
          <w:tcPr>
            <w:tcW w:w="935" w:type="dxa"/>
          </w:tcPr>
          <w:p w14:paraId="1C922C31"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2EB6198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1AFF60E9"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52359BF1"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6DAC4976"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058B16B4"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43F29AF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4D3073B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56D4EA5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4B941370" w14:textId="77777777" w:rsidTr="00611086">
        <w:trPr>
          <w:trHeight w:val="701"/>
        </w:trPr>
        <w:tc>
          <w:tcPr>
            <w:cnfStyle w:val="001000000000" w:firstRow="0" w:lastRow="0" w:firstColumn="1" w:lastColumn="0" w:oddVBand="0" w:evenVBand="0" w:oddHBand="0" w:evenHBand="0" w:firstRowFirstColumn="0" w:firstRowLastColumn="0" w:lastRowFirstColumn="0" w:lastRowLastColumn="0"/>
            <w:tcW w:w="1338" w:type="dxa"/>
          </w:tcPr>
          <w:p w14:paraId="59BEC5B6" w14:textId="2ABC8FC7" w:rsidR="00572E3D" w:rsidRPr="008B36A4" w:rsidRDefault="00572E3D" w:rsidP="00611086">
            <w:r w:rsidRPr="008B36A4">
              <w:t xml:space="preserve">Sweets - </w:t>
            </w:r>
            <w:r w:rsidRPr="008B36A4">
              <w:rPr>
                <w:b w:val="0"/>
              </w:rPr>
              <w:t xml:space="preserve">without chocolate </w:t>
            </w:r>
            <w:r w:rsidR="007D734F" w:rsidRPr="008B36A4">
              <w:rPr>
                <w:b w:val="0"/>
              </w:rPr>
              <w:t>e.g.,</w:t>
            </w:r>
            <w:r w:rsidRPr="008B36A4">
              <w:rPr>
                <w:b w:val="0"/>
              </w:rPr>
              <w:t xml:space="preserve"> skittles (1 pack)</w:t>
            </w:r>
            <w:r w:rsidRPr="008B36A4">
              <w:t xml:space="preserve"> </w:t>
            </w:r>
          </w:p>
        </w:tc>
        <w:tc>
          <w:tcPr>
            <w:tcW w:w="935" w:type="dxa"/>
          </w:tcPr>
          <w:p w14:paraId="06B3C45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3980F72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23977FEC"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06133CE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2B143E4A"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42A66497"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046DC82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02A53F97"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18854426"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r w:rsidR="00572E3D" w:rsidRPr="008B36A4" w14:paraId="309177A2" w14:textId="77777777" w:rsidTr="00611086">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338" w:type="dxa"/>
          </w:tcPr>
          <w:p w14:paraId="0ABA91EC" w14:textId="77777777" w:rsidR="00572E3D" w:rsidRPr="008B36A4" w:rsidRDefault="00572E3D" w:rsidP="00611086">
            <w:r w:rsidRPr="008B36A4">
              <w:t xml:space="preserve">Crisps </w:t>
            </w:r>
            <w:r w:rsidRPr="008B36A4">
              <w:rPr>
                <w:b w:val="0"/>
              </w:rPr>
              <w:t>(1 small bag)</w:t>
            </w:r>
          </w:p>
        </w:tc>
        <w:tc>
          <w:tcPr>
            <w:tcW w:w="935" w:type="dxa"/>
          </w:tcPr>
          <w:p w14:paraId="327CC33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775A869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66EB79F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72B2203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368BB08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27FF37E1"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050F859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3F858777"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00AAB940"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4355B6D8" w14:textId="77777777" w:rsidTr="00611086">
        <w:trPr>
          <w:trHeight w:val="701"/>
        </w:trPr>
        <w:tc>
          <w:tcPr>
            <w:cnfStyle w:val="001000000000" w:firstRow="0" w:lastRow="0" w:firstColumn="1" w:lastColumn="0" w:oddVBand="0" w:evenVBand="0" w:oddHBand="0" w:evenHBand="0" w:firstRowFirstColumn="0" w:firstRowLastColumn="0" w:lastRowFirstColumn="0" w:lastRowLastColumn="0"/>
            <w:tcW w:w="1338" w:type="dxa"/>
          </w:tcPr>
          <w:p w14:paraId="57A76236" w14:textId="77777777" w:rsidR="00572E3D" w:rsidRPr="008B36A4" w:rsidRDefault="00572E3D" w:rsidP="00611086">
            <w:r w:rsidRPr="008B36A4">
              <w:t>Biscuit</w:t>
            </w:r>
            <w:r w:rsidRPr="008B36A4">
              <w:rPr>
                <w:b w:val="0"/>
              </w:rPr>
              <w:t xml:space="preserve"> (1) or</w:t>
            </w:r>
            <w:r w:rsidRPr="008B36A4">
              <w:t xml:space="preserve"> Cookie </w:t>
            </w:r>
            <w:r w:rsidRPr="008B36A4">
              <w:rPr>
                <w:b w:val="0"/>
              </w:rPr>
              <w:t>(1)</w:t>
            </w:r>
          </w:p>
        </w:tc>
        <w:tc>
          <w:tcPr>
            <w:tcW w:w="935" w:type="dxa"/>
          </w:tcPr>
          <w:p w14:paraId="4B6F8739"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10A37086"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69207DD9"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1E88DE60"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03C7DBF9"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254EA3CB"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54EE6F66"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5A346EED"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28904FE4"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r w:rsidR="00572E3D" w:rsidRPr="008B36A4" w14:paraId="15662194" w14:textId="77777777" w:rsidTr="00611086">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338" w:type="dxa"/>
          </w:tcPr>
          <w:p w14:paraId="4A544E37" w14:textId="77777777" w:rsidR="00572E3D" w:rsidRPr="008B36A4" w:rsidRDefault="00572E3D" w:rsidP="00611086">
            <w:r w:rsidRPr="008B36A4">
              <w:t xml:space="preserve">Cake </w:t>
            </w:r>
            <w:r w:rsidRPr="008B36A4">
              <w:rPr>
                <w:b w:val="0"/>
              </w:rPr>
              <w:t>(1 slice) or</w:t>
            </w:r>
            <w:r w:rsidRPr="008B36A4">
              <w:t xml:space="preserve"> one cupcake </w:t>
            </w:r>
          </w:p>
        </w:tc>
        <w:tc>
          <w:tcPr>
            <w:tcW w:w="935" w:type="dxa"/>
          </w:tcPr>
          <w:p w14:paraId="1F497457"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6000F7B5"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202BCD3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4B6DB258"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4A5FA63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52799547"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1D60AF3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212DC1F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73761DE7"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5FBF462C" w14:textId="77777777" w:rsidTr="00611086">
        <w:trPr>
          <w:trHeight w:val="701"/>
        </w:trPr>
        <w:tc>
          <w:tcPr>
            <w:cnfStyle w:val="001000000000" w:firstRow="0" w:lastRow="0" w:firstColumn="1" w:lastColumn="0" w:oddVBand="0" w:evenVBand="0" w:oddHBand="0" w:evenHBand="0" w:firstRowFirstColumn="0" w:firstRowLastColumn="0" w:lastRowFirstColumn="0" w:lastRowLastColumn="0"/>
            <w:tcW w:w="1338" w:type="dxa"/>
          </w:tcPr>
          <w:p w14:paraId="0A22EB95" w14:textId="549587AB" w:rsidR="00572E3D" w:rsidRPr="008B36A4" w:rsidRDefault="007D734F" w:rsidP="00611086">
            <w:r w:rsidRPr="008B36A4">
              <w:t>Fruit</w:t>
            </w:r>
            <w:r w:rsidRPr="008B36A4">
              <w:rPr>
                <w:b w:val="0"/>
              </w:rPr>
              <w:t xml:space="preserve"> (</w:t>
            </w:r>
            <w:r w:rsidR="00572E3D">
              <w:rPr>
                <w:b w:val="0"/>
              </w:rPr>
              <w:t>1</w:t>
            </w:r>
            <w:r w:rsidR="00572E3D" w:rsidRPr="008B36A4">
              <w:rPr>
                <w:b w:val="0"/>
              </w:rPr>
              <w:t xml:space="preserve"> portion</w:t>
            </w:r>
            <w:r w:rsidR="00572E3D">
              <w:rPr>
                <w:b w:val="0"/>
              </w:rPr>
              <w:t xml:space="preserve"> – e.g.</w:t>
            </w:r>
            <w:r w:rsidR="00572E3D" w:rsidRPr="008B36A4">
              <w:rPr>
                <w:b w:val="0"/>
              </w:rPr>
              <w:t xml:space="preserve"> one piece of fruit, such as one apple)</w:t>
            </w:r>
          </w:p>
        </w:tc>
        <w:tc>
          <w:tcPr>
            <w:tcW w:w="935" w:type="dxa"/>
          </w:tcPr>
          <w:p w14:paraId="78B46B2C"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3C80721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26A5C6FB"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40CF50D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6C5E2BA3"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73BD07F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35E89E2D"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5" w:type="dxa"/>
          </w:tcPr>
          <w:p w14:paraId="3808E46A"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36" w:type="dxa"/>
          </w:tcPr>
          <w:p w14:paraId="482F7599"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r w:rsidR="00572E3D" w:rsidRPr="008B36A4" w14:paraId="19832B0D" w14:textId="77777777" w:rsidTr="00611086">
        <w:trPr>
          <w:cnfStyle w:val="000000100000" w:firstRow="0" w:lastRow="0" w:firstColumn="0" w:lastColumn="0" w:oddVBand="0" w:evenVBand="0" w:oddHBand="1" w:evenHBand="0"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1338" w:type="dxa"/>
          </w:tcPr>
          <w:p w14:paraId="47F3ECC9" w14:textId="2C45B2E0" w:rsidR="00572E3D" w:rsidRPr="008B36A4" w:rsidRDefault="00572E3D" w:rsidP="00611086">
            <w:r w:rsidRPr="008B36A4">
              <w:t xml:space="preserve">Vegetables </w:t>
            </w:r>
            <w:r w:rsidRPr="008B36A4">
              <w:rPr>
                <w:b w:val="0"/>
              </w:rPr>
              <w:t>(</w:t>
            </w:r>
            <w:r>
              <w:rPr>
                <w:b w:val="0"/>
              </w:rPr>
              <w:t xml:space="preserve">1 portion </w:t>
            </w:r>
            <w:r w:rsidR="007D734F">
              <w:rPr>
                <w:b w:val="0"/>
              </w:rPr>
              <w:t>e.g.,</w:t>
            </w:r>
            <w:r>
              <w:rPr>
                <w:b w:val="0"/>
              </w:rPr>
              <w:t xml:space="preserve"> </w:t>
            </w:r>
            <w:r w:rsidRPr="008B36A4">
              <w:rPr>
                <w:b w:val="0"/>
              </w:rPr>
              <w:t>three heaped tablespoons of cooked vegetables, such as carrot</w:t>
            </w:r>
            <w:r>
              <w:rPr>
                <w:b w:val="0"/>
              </w:rPr>
              <w:t>s</w:t>
            </w:r>
            <w:r w:rsidRPr="008B36A4">
              <w:rPr>
                <w:b w:val="0"/>
              </w:rPr>
              <w:t>)</w:t>
            </w:r>
          </w:p>
        </w:tc>
        <w:tc>
          <w:tcPr>
            <w:tcW w:w="935" w:type="dxa"/>
          </w:tcPr>
          <w:p w14:paraId="73CFBCF3"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03909FA1"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5E48A5F3"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2413398A"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109329F1"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78BCCEF9"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7E5D3125"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5" w:type="dxa"/>
          </w:tcPr>
          <w:p w14:paraId="58336109"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36" w:type="dxa"/>
          </w:tcPr>
          <w:p w14:paraId="461E7534"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bl>
    <w:p w14:paraId="58175F6C" w14:textId="77777777" w:rsidR="00572E3D" w:rsidRPr="008B36A4" w:rsidRDefault="00572E3D" w:rsidP="00572E3D">
      <w:pPr>
        <w:rPr>
          <w:highlight w:val="yellow"/>
        </w:rPr>
      </w:pPr>
    </w:p>
    <w:p w14:paraId="13B499F0" w14:textId="77777777" w:rsidR="00572E3D" w:rsidRPr="008B36A4" w:rsidRDefault="00572E3D" w:rsidP="00572E3D">
      <w:pPr>
        <w:jc w:val="center"/>
        <w:rPr>
          <w:i/>
          <w:sz w:val="24"/>
          <w:szCs w:val="24"/>
        </w:rPr>
      </w:pPr>
      <w:r w:rsidRPr="00BB5993">
        <w:rPr>
          <w:noProof/>
          <w:highlight w:val="lightGray"/>
          <w:lang w:eastAsia="en-GB"/>
        </w:rPr>
        <w:lastRenderedPageBreak/>
        <w:drawing>
          <wp:anchor distT="0" distB="0" distL="114300" distR="114300" simplePos="0" relativeHeight="251644928" behindDoc="1" locked="0" layoutInCell="1" allowOverlap="1" wp14:anchorId="33FA1454" wp14:editId="1BEAA645">
            <wp:simplePos x="0" y="0"/>
            <wp:positionH relativeFrom="column">
              <wp:posOffset>76200</wp:posOffset>
            </wp:positionH>
            <wp:positionV relativeFrom="paragraph">
              <wp:posOffset>38100</wp:posOffset>
            </wp:positionV>
            <wp:extent cx="904875" cy="561975"/>
            <wp:effectExtent l="0" t="0" r="9525" b="9525"/>
            <wp:wrapTight wrapText="bothSides">
              <wp:wrapPolygon edited="0">
                <wp:start x="0" y="0"/>
                <wp:lineTo x="0" y="21234"/>
                <wp:lineTo x="21373" y="21234"/>
                <wp:lineTo x="21373" y="0"/>
                <wp:lineTo x="0" y="0"/>
              </wp:wrapPolygon>
            </wp:wrapTight>
            <wp:docPr id="252" name="Picture 2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picture containing clipar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4875" cy="561975"/>
                    </a:xfrm>
                    <a:prstGeom prst="rect">
                      <a:avLst/>
                    </a:prstGeom>
                  </pic:spPr>
                </pic:pic>
              </a:graphicData>
            </a:graphic>
            <wp14:sizeRelH relativeFrom="margin">
              <wp14:pctWidth>0</wp14:pctWidth>
            </wp14:sizeRelH>
            <wp14:sizeRelV relativeFrom="margin">
              <wp14:pctHeight>0</wp14:pctHeight>
            </wp14:sizeRelV>
          </wp:anchor>
        </w:drawing>
      </w:r>
      <w:r w:rsidRPr="00BB5993">
        <w:rPr>
          <w:i/>
          <w:sz w:val="24"/>
          <w:szCs w:val="24"/>
          <w:highlight w:val="lightGray"/>
        </w:rPr>
        <w:t xml:space="preserve">The following statements are about snacks. Please read each statement carefully and </w:t>
      </w:r>
      <w:r w:rsidRPr="00BB5993">
        <w:rPr>
          <w:b/>
          <w:i/>
          <w:sz w:val="24"/>
          <w:szCs w:val="24"/>
          <w:highlight w:val="lightGray"/>
        </w:rPr>
        <w:t xml:space="preserve">circle the </w:t>
      </w:r>
      <w:r w:rsidRPr="00BB5993">
        <w:rPr>
          <w:i/>
          <w:sz w:val="24"/>
          <w:szCs w:val="24"/>
          <w:highlight w:val="lightGray"/>
        </w:rPr>
        <w:t xml:space="preserve">number based on the </w:t>
      </w:r>
      <w:r w:rsidRPr="00BB5993">
        <w:rPr>
          <w:b/>
          <w:i/>
          <w:sz w:val="24"/>
          <w:szCs w:val="24"/>
          <w:highlight w:val="lightGray"/>
        </w:rPr>
        <w:t>strength</w:t>
      </w:r>
      <w:r w:rsidRPr="00BB5993">
        <w:rPr>
          <w:i/>
          <w:sz w:val="24"/>
          <w:szCs w:val="24"/>
          <w:highlight w:val="lightGray"/>
        </w:rPr>
        <w:t xml:space="preserve"> of </w:t>
      </w:r>
      <w:r w:rsidRPr="00BB5993">
        <w:rPr>
          <w:b/>
          <w:i/>
          <w:sz w:val="24"/>
          <w:szCs w:val="24"/>
          <w:highlight w:val="lightGray"/>
        </w:rPr>
        <w:t>your feelings</w:t>
      </w:r>
      <w:r w:rsidRPr="00BB5993">
        <w:rPr>
          <w:i/>
          <w:sz w:val="24"/>
          <w:szCs w:val="24"/>
          <w:highlight w:val="lightGray"/>
        </w:rPr>
        <w:t xml:space="preserve"> to each statement.</w:t>
      </w:r>
    </w:p>
    <w:p w14:paraId="12824EA7" w14:textId="77777777" w:rsidR="00572E3D" w:rsidRPr="008B36A4" w:rsidRDefault="00572E3D" w:rsidP="00572E3D">
      <w:pPr>
        <w:jc w:val="center"/>
        <w:rPr>
          <w:i/>
          <w:sz w:val="24"/>
          <w:szCs w:val="24"/>
        </w:rPr>
      </w:pPr>
    </w:p>
    <w:p w14:paraId="2C101491" w14:textId="0BE9D13B" w:rsidR="00572E3D" w:rsidRPr="008B36A4" w:rsidRDefault="00572E3D" w:rsidP="00AA5DD9">
      <w:pPr>
        <w:pStyle w:val="ListParagraph"/>
        <w:numPr>
          <w:ilvl w:val="0"/>
          <w:numId w:val="2"/>
        </w:numPr>
        <w:spacing w:after="160" w:line="259" w:lineRule="auto"/>
        <w:rPr>
          <w:sz w:val="24"/>
          <w:szCs w:val="24"/>
        </w:rPr>
      </w:pPr>
      <w:r w:rsidRPr="008B36A4">
        <w:rPr>
          <w:sz w:val="24"/>
          <w:szCs w:val="24"/>
        </w:rPr>
        <w:t>In general, do you think that eating two or more unhealthy snack foods on most days is?</w:t>
      </w:r>
      <w:r w:rsidRPr="008B36A4">
        <w:rPr>
          <w:b/>
          <w:sz w:val="24"/>
          <w:szCs w:val="24"/>
        </w:rPr>
        <w:t xml:space="preserve"> </w:t>
      </w:r>
      <w:r w:rsidRPr="008B36A4">
        <w:rPr>
          <w:i/>
          <w:sz w:val="24"/>
          <w:szCs w:val="24"/>
        </w:rPr>
        <w:t xml:space="preserve">For example, chocolate (1 bar or packet </w:t>
      </w:r>
      <w:r w:rsidR="007D734F" w:rsidRPr="008B36A4">
        <w:rPr>
          <w:i/>
          <w:sz w:val="24"/>
          <w:szCs w:val="24"/>
        </w:rPr>
        <w:t>e.g.,</w:t>
      </w:r>
      <w:r w:rsidRPr="008B36A4">
        <w:rPr>
          <w:i/>
          <w:sz w:val="24"/>
          <w:szCs w:val="24"/>
        </w:rPr>
        <w:t xml:space="preserve"> M &amp; Ms).</w:t>
      </w:r>
    </w:p>
    <w:p w14:paraId="7FF1C57B" w14:textId="77777777" w:rsidR="00572E3D" w:rsidRPr="008B36A4" w:rsidRDefault="00572E3D" w:rsidP="00572E3D">
      <w:pPr>
        <w:rPr>
          <w:b/>
          <w:sz w:val="24"/>
          <w:szCs w:val="24"/>
        </w:rPr>
      </w:pPr>
    </w:p>
    <w:p w14:paraId="7931F278" w14:textId="77777777" w:rsidR="00572E3D" w:rsidRPr="008B36A4" w:rsidRDefault="00572E3D" w:rsidP="00572E3D">
      <w:pPr>
        <w:jc w:val="center"/>
        <w:rPr>
          <w:b/>
          <w:sz w:val="24"/>
          <w:szCs w:val="24"/>
        </w:rPr>
      </w:pPr>
      <w:r>
        <w:rPr>
          <w:b/>
          <w:sz w:val="24"/>
          <w:szCs w:val="24"/>
        </w:rPr>
        <w:t>Bad</w:t>
      </w:r>
      <w:r w:rsidRPr="008B36A4">
        <w:rPr>
          <w:b/>
          <w:sz w:val="24"/>
          <w:szCs w:val="24"/>
        </w:rPr>
        <w:t xml:space="preserve"> </w:t>
      </w:r>
      <w:r w:rsidRPr="008B36A4">
        <w:rPr>
          <w:sz w:val="24"/>
          <w:szCs w:val="24"/>
        </w:rPr>
        <w:t>__1__:__ 2__:__3__:__4__ :__5__:__</w:t>
      </w:r>
      <w:r>
        <w:rPr>
          <w:b/>
          <w:sz w:val="24"/>
          <w:szCs w:val="24"/>
        </w:rPr>
        <w:t>Good</w:t>
      </w:r>
    </w:p>
    <w:p w14:paraId="0C2FF04A" w14:textId="77777777" w:rsidR="00572E3D" w:rsidRPr="008B36A4" w:rsidRDefault="00572E3D" w:rsidP="00572E3D">
      <w:pPr>
        <w:jc w:val="center"/>
        <w:rPr>
          <w:b/>
          <w:sz w:val="24"/>
          <w:szCs w:val="24"/>
        </w:rPr>
      </w:pPr>
      <w:r>
        <w:rPr>
          <w:b/>
          <w:sz w:val="24"/>
          <w:szCs w:val="24"/>
        </w:rPr>
        <w:t>Foolish</w:t>
      </w:r>
      <w:r w:rsidRPr="008B36A4">
        <w:rPr>
          <w:sz w:val="24"/>
          <w:szCs w:val="24"/>
        </w:rPr>
        <w:t>__1__:__ 2__:__3__:__4__ :__5__:__</w:t>
      </w:r>
      <w:r>
        <w:rPr>
          <w:b/>
          <w:sz w:val="24"/>
          <w:szCs w:val="24"/>
        </w:rPr>
        <w:t xml:space="preserve">Sensible </w:t>
      </w:r>
    </w:p>
    <w:p w14:paraId="262202C1" w14:textId="77777777" w:rsidR="00572E3D" w:rsidRPr="008B36A4" w:rsidRDefault="00572E3D" w:rsidP="00572E3D">
      <w:pPr>
        <w:jc w:val="center"/>
        <w:rPr>
          <w:b/>
          <w:sz w:val="24"/>
          <w:szCs w:val="24"/>
        </w:rPr>
      </w:pPr>
    </w:p>
    <w:p w14:paraId="01D05E9D" w14:textId="77777777" w:rsidR="00572E3D" w:rsidRPr="008B36A4" w:rsidRDefault="00572E3D" w:rsidP="00AA5DD9">
      <w:pPr>
        <w:pStyle w:val="ListParagraph"/>
        <w:numPr>
          <w:ilvl w:val="0"/>
          <w:numId w:val="2"/>
        </w:numPr>
        <w:spacing w:after="160" w:line="259" w:lineRule="auto"/>
        <w:rPr>
          <w:b/>
          <w:sz w:val="24"/>
          <w:szCs w:val="24"/>
        </w:rPr>
      </w:pPr>
      <w:r w:rsidRPr="008B36A4">
        <w:rPr>
          <w:sz w:val="24"/>
          <w:szCs w:val="24"/>
        </w:rPr>
        <w:t xml:space="preserve">In general, do you think that eating five portions of fruit or vegetables on most days is? </w:t>
      </w:r>
      <w:r w:rsidRPr="008B36A4">
        <w:rPr>
          <w:i/>
          <w:sz w:val="24"/>
          <w:szCs w:val="24"/>
        </w:rPr>
        <w:t>For example, fruit (one portion is one piece of fruit, such as one apple)</w:t>
      </w:r>
    </w:p>
    <w:p w14:paraId="31CA5EDD" w14:textId="77777777" w:rsidR="00572E3D" w:rsidRPr="008B36A4" w:rsidRDefault="00572E3D" w:rsidP="00572E3D">
      <w:pPr>
        <w:rPr>
          <w:b/>
          <w:sz w:val="24"/>
          <w:szCs w:val="24"/>
        </w:rPr>
      </w:pPr>
    </w:p>
    <w:p w14:paraId="3BA6161C" w14:textId="77777777" w:rsidR="00572E3D" w:rsidRPr="008B36A4" w:rsidRDefault="00572E3D" w:rsidP="00572E3D">
      <w:pPr>
        <w:jc w:val="center"/>
        <w:rPr>
          <w:b/>
          <w:sz w:val="24"/>
          <w:szCs w:val="24"/>
        </w:rPr>
      </w:pPr>
      <w:r>
        <w:rPr>
          <w:b/>
          <w:sz w:val="24"/>
          <w:szCs w:val="24"/>
        </w:rPr>
        <w:t>Bad</w:t>
      </w:r>
      <w:r w:rsidRPr="008B36A4">
        <w:rPr>
          <w:b/>
          <w:sz w:val="24"/>
          <w:szCs w:val="24"/>
        </w:rPr>
        <w:t xml:space="preserve"> </w:t>
      </w:r>
      <w:r w:rsidRPr="008B36A4">
        <w:rPr>
          <w:sz w:val="24"/>
          <w:szCs w:val="24"/>
        </w:rPr>
        <w:t>__1__:__ 2__:__3__:__4__ :__5__:__</w:t>
      </w:r>
      <w:r>
        <w:rPr>
          <w:b/>
          <w:sz w:val="24"/>
          <w:szCs w:val="24"/>
        </w:rPr>
        <w:t>Good</w:t>
      </w:r>
    </w:p>
    <w:p w14:paraId="6DAB0823" w14:textId="77777777" w:rsidR="00572E3D" w:rsidRPr="008B36A4" w:rsidRDefault="00572E3D" w:rsidP="00572E3D">
      <w:pPr>
        <w:jc w:val="center"/>
        <w:rPr>
          <w:b/>
          <w:sz w:val="24"/>
          <w:szCs w:val="24"/>
        </w:rPr>
      </w:pPr>
      <w:r>
        <w:rPr>
          <w:b/>
          <w:sz w:val="24"/>
          <w:szCs w:val="24"/>
        </w:rPr>
        <w:t>Foolish</w:t>
      </w:r>
      <w:r w:rsidRPr="008B36A4">
        <w:rPr>
          <w:sz w:val="24"/>
          <w:szCs w:val="24"/>
        </w:rPr>
        <w:t>__1__:__ 2__:__3__:__4__ :__5__:__</w:t>
      </w:r>
      <w:r>
        <w:rPr>
          <w:b/>
          <w:sz w:val="24"/>
          <w:szCs w:val="24"/>
        </w:rPr>
        <w:t xml:space="preserve">Sensible </w:t>
      </w:r>
    </w:p>
    <w:p w14:paraId="556409FE" w14:textId="77777777" w:rsidR="00572E3D" w:rsidRPr="008B36A4" w:rsidRDefault="00572E3D" w:rsidP="00572E3D">
      <w:pPr>
        <w:jc w:val="center"/>
        <w:rPr>
          <w:b/>
          <w:sz w:val="24"/>
          <w:szCs w:val="24"/>
        </w:rPr>
      </w:pPr>
    </w:p>
    <w:p w14:paraId="79E04909" w14:textId="77777777" w:rsidR="00572E3D" w:rsidRPr="008B36A4" w:rsidRDefault="00572E3D" w:rsidP="00AA5DD9">
      <w:pPr>
        <w:pStyle w:val="ListParagraph"/>
        <w:numPr>
          <w:ilvl w:val="0"/>
          <w:numId w:val="2"/>
        </w:numPr>
        <w:spacing w:after="160" w:line="259" w:lineRule="auto"/>
        <w:rPr>
          <w:sz w:val="24"/>
          <w:szCs w:val="24"/>
        </w:rPr>
      </w:pPr>
      <w:r w:rsidRPr="008B36A4">
        <w:rPr>
          <w:sz w:val="24"/>
          <w:szCs w:val="24"/>
        </w:rPr>
        <w:t xml:space="preserve">For me to eat fewer unhealthy snacks </w:t>
      </w:r>
      <w:r>
        <w:rPr>
          <w:sz w:val="24"/>
          <w:szCs w:val="24"/>
        </w:rPr>
        <w:t xml:space="preserve">over the next month </w:t>
      </w:r>
      <w:r w:rsidRPr="008B36A4">
        <w:rPr>
          <w:sz w:val="24"/>
          <w:szCs w:val="24"/>
        </w:rPr>
        <w:t>would be:</w:t>
      </w:r>
    </w:p>
    <w:p w14:paraId="2C5ED076" w14:textId="77777777" w:rsidR="00572E3D" w:rsidRPr="008B36A4" w:rsidRDefault="00572E3D" w:rsidP="00572E3D">
      <w:pPr>
        <w:pStyle w:val="ListParagraph"/>
        <w:ind w:left="0"/>
        <w:rPr>
          <w:i/>
          <w:sz w:val="24"/>
          <w:szCs w:val="24"/>
        </w:rPr>
      </w:pPr>
      <w:r w:rsidRPr="008B36A4">
        <w:rPr>
          <w:i/>
          <w:sz w:val="24"/>
          <w:szCs w:val="24"/>
        </w:rPr>
        <w:t xml:space="preserve"> For example, chocolate (1 bar or packet e.g</w:t>
      </w:r>
      <w:r>
        <w:rPr>
          <w:i/>
          <w:sz w:val="24"/>
          <w:szCs w:val="24"/>
        </w:rPr>
        <w:t>.</w:t>
      </w:r>
      <w:r w:rsidRPr="008B36A4">
        <w:rPr>
          <w:i/>
          <w:sz w:val="24"/>
          <w:szCs w:val="24"/>
        </w:rPr>
        <w:t xml:space="preserve"> </w:t>
      </w:r>
      <w:r>
        <w:rPr>
          <w:i/>
          <w:sz w:val="24"/>
          <w:szCs w:val="24"/>
        </w:rPr>
        <w:t>M &amp; M</w:t>
      </w:r>
      <w:r w:rsidRPr="008B36A4">
        <w:rPr>
          <w:i/>
          <w:sz w:val="24"/>
          <w:szCs w:val="24"/>
        </w:rPr>
        <w:t>s).</w:t>
      </w:r>
    </w:p>
    <w:p w14:paraId="4C7011D0" w14:textId="77777777" w:rsidR="00572E3D" w:rsidRPr="008B36A4" w:rsidRDefault="00572E3D" w:rsidP="00572E3D">
      <w:pPr>
        <w:jc w:val="center"/>
        <w:rPr>
          <w:b/>
          <w:sz w:val="24"/>
          <w:szCs w:val="24"/>
        </w:rPr>
      </w:pPr>
      <w:r>
        <w:rPr>
          <w:b/>
          <w:sz w:val="24"/>
          <w:szCs w:val="24"/>
        </w:rPr>
        <w:t>Bad</w:t>
      </w:r>
      <w:r w:rsidRPr="008B36A4">
        <w:rPr>
          <w:b/>
          <w:sz w:val="24"/>
          <w:szCs w:val="24"/>
        </w:rPr>
        <w:t xml:space="preserve"> </w:t>
      </w:r>
      <w:r w:rsidRPr="008B36A4">
        <w:rPr>
          <w:sz w:val="24"/>
          <w:szCs w:val="24"/>
        </w:rPr>
        <w:t>__1__:__ 2__:__3__:__4__ :__5__:__</w:t>
      </w:r>
      <w:r>
        <w:rPr>
          <w:b/>
          <w:sz w:val="24"/>
          <w:szCs w:val="24"/>
        </w:rPr>
        <w:t>Good</w:t>
      </w:r>
    </w:p>
    <w:p w14:paraId="02683554" w14:textId="77777777" w:rsidR="00572E3D" w:rsidRPr="008B36A4" w:rsidRDefault="00572E3D" w:rsidP="00572E3D">
      <w:pPr>
        <w:jc w:val="center"/>
        <w:rPr>
          <w:b/>
          <w:sz w:val="24"/>
          <w:szCs w:val="24"/>
        </w:rPr>
      </w:pPr>
      <w:r>
        <w:rPr>
          <w:b/>
          <w:sz w:val="24"/>
          <w:szCs w:val="24"/>
        </w:rPr>
        <w:t>Foolish</w:t>
      </w:r>
      <w:r w:rsidRPr="008B36A4">
        <w:rPr>
          <w:sz w:val="24"/>
          <w:szCs w:val="24"/>
        </w:rPr>
        <w:t>__1__:__ 2__:__3__:__4__ :__5__:__</w:t>
      </w:r>
      <w:r>
        <w:rPr>
          <w:b/>
          <w:sz w:val="24"/>
          <w:szCs w:val="24"/>
        </w:rPr>
        <w:t xml:space="preserve">Sensible </w:t>
      </w:r>
    </w:p>
    <w:p w14:paraId="72D2860B" w14:textId="77777777" w:rsidR="00572E3D" w:rsidRPr="008B36A4" w:rsidRDefault="00572E3D" w:rsidP="00572E3D">
      <w:pPr>
        <w:rPr>
          <w:b/>
          <w:sz w:val="24"/>
          <w:szCs w:val="24"/>
        </w:rPr>
      </w:pPr>
    </w:p>
    <w:p w14:paraId="116D4C7C" w14:textId="77777777" w:rsidR="00572E3D" w:rsidRPr="008B36A4" w:rsidRDefault="00572E3D" w:rsidP="00572E3D">
      <w:pPr>
        <w:rPr>
          <w:b/>
          <w:sz w:val="24"/>
          <w:szCs w:val="24"/>
        </w:rPr>
      </w:pPr>
    </w:p>
    <w:p w14:paraId="291BFE99" w14:textId="77777777" w:rsidR="00572E3D" w:rsidRPr="008B36A4" w:rsidRDefault="00572E3D" w:rsidP="00572E3D">
      <w:pPr>
        <w:rPr>
          <w:b/>
          <w:sz w:val="24"/>
          <w:szCs w:val="24"/>
        </w:rPr>
      </w:pPr>
      <w:r>
        <w:rPr>
          <w:noProof/>
          <w:lang w:eastAsia="en-GB"/>
        </w:rPr>
        <w:drawing>
          <wp:anchor distT="0" distB="0" distL="114300" distR="114300" simplePos="0" relativeHeight="251653120" behindDoc="1" locked="0" layoutInCell="1" allowOverlap="1" wp14:anchorId="13F9710C" wp14:editId="637293E0">
            <wp:simplePos x="0" y="0"/>
            <wp:positionH relativeFrom="column">
              <wp:posOffset>1781175</wp:posOffset>
            </wp:positionH>
            <wp:positionV relativeFrom="paragraph">
              <wp:posOffset>94615</wp:posOffset>
            </wp:positionV>
            <wp:extent cx="1990725" cy="1466850"/>
            <wp:effectExtent l="0" t="0" r="9525" b="0"/>
            <wp:wrapTight wrapText="bothSides">
              <wp:wrapPolygon edited="0">
                <wp:start x="0" y="0"/>
                <wp:lineTo x="0" y="21319"/>
                <wp:lineTo x="21497" y="21319"/>
                <wp:lineTo x="21497" y="0"/>
                <wp:lineTo x="0" y="0"/>
              </wp:wrapPolygon>
            </wp:wrapTight>
            <wp:docPr id="241" name="Picture 241" descr="Image result for studen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udent emoj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907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30D59" w14:textId="77777777" w:rsidR="00572E3D" w:rsidRPr="008B36A4" w:rsidRDefault="00572E3D" w:rsidP="00572E3D">
      <w:pPr>
        <w:rPr>
          <w:b/>
          <w:sz w:val="24"/>
          <w:szCs w:val="24"/>
        </w:rPr>
      </w:pPr>
    </w:p>
    <w:p w14:paraId="3A23DA09" w14:textId="77777777" w:rsidR="00572E3D" w:rsidRDefault="00572E3D" w:rsidP="00572E3D">
      <w:pPr>
        <w:rPr>
          <w:b/>
          <w:sz w:val="24"/>
          <w:szCs w:val="24"/>
          <w:highlight w:val="yellow"/>
        </w:rPr>
      </w:pPr>
    </w:p>
    <w:p w14:paraId="0C7068C9" w14:textId="77777777" w:rsidR="00572E3D" w:rsidRDefault="00572E3D" w:rsidP="00572E3D">
      <w:pPr>
        <w:rPr>
          <w:b/>
          <w:sz w:val="24"/>
          <w:szCs w:val="24"/>
          <w:highlight w:val="yellow"/>
        </w:rPr>
      </w:pPr>
    </w:p>
    <w:p w14:paraId="4F708E82" w14:textId="77777777" w:rsidR="00572E3D" w:rsidRDefault="00572E3D" w:rsidP="00572E3D">
      <w:pPr>
        <w:rPr>
          <w:b/>
          <w:sz w:val="24"/>
          <w:szCs w:val="24"/>
          <w:highlight w:val="yellow"/>
        </w:rPr>
      </w:pPr>
    </w:p>
    <w:p w14:paraId="2C17E081" w14:textId="77777777" w:rsidR="00572E3D" w:rsidRDefault="00572E3D" w:rsidP="00572E3D">
      <w:pPr>
        <w:rPr>
          <w:b/>
          <w:sz w:val="24"/>
          <w:szCs w:val="24"/>
          <w:highlight w:val="yellow"/>
        </w:rPr>
      </w:pPr>
    </w:p>
    <w:p w14:paraId="2B0C6F16" w14:textId="3A232852" w:rsidR="00572E3D" w:rsidRDefault="00572E3D" w:rsidP="00572E3D">
      <w:pPr>
        <w:rPr>
          <w:b/>
          <w:sz w:val="24"/>
          <w:szCs w:val="24"/>
          <w:highlight w:val="yellow"/>
        </w:rPr>
      </w:pPr>
    </w:p>
    <w:p w14:paraId="77AFF111" w14:textId="77777777" w:rsidR="00BA453D" w:rsidRPr="00715DED" w:rsidRDefault="00BA453D" w:rsidP="00572E3D">
      <w:pPr>
        <w:rPr>
          <w:b/>
          <w:sz w:val="24"/>
          <w:szCs w:val="24"/>
          <w:highlight w:val="yellow"/>
        </w:rPr>
      </w:pPr>
    </w:p>
    <w:p w14:paraId="170E57A4" w14:textId="77777777" w:rsidR="00572E3D" w:rsidRPr="00715DED" w:rsidRDefault="00572E3D" w:rsidP="00572E3D">
      <w:pPr>
        <w:pStyle w:val="ListParagraph"/>
        <w:ind w:left="0"/>
        <w:rPr>
          <w:highlight w:val="yellow"/>
        </w:rPr>
      </w:pPr>
    </w:p>
    <w:p w14:paraId="1C44EE58" w14:textId="77777777" w:rsidR="00572E3D" w:rsidRPr="00715DED" w:rsidRDefault="00572E3D" w:rsidP="00572E3D">
      <w:pPr>
        <w:pStyle w:val="ListParagraph"/>
        <w:ind w:left="0"/>
        <w:rPr>
          <w:highlight w:val="yellow"/>
        </w:rPr>
      </w:pPr>
    </w:p>
    <w:p w14:paraId="1B786F8D" w14:textId="77777777" w:rsidR="00572E3D" w:rsidRPr="008B36A4" w:rsidRDefault="00572E3D" w:rsidP="00AA5DD9">
      <w:pPr>
        <w:pStyle w:val="ListParagraph"/>
        <w:numPr>
          <w:ilvl w:val="0"/>
          <w:numId w:val="2"/>
        </w:numPr>
        <w:spacing w:after="160" w:line="259" w:lineRule="auto"/>
      </w:pPr>
      <w:r w:rsidRPr="008B36A4">
        <w:rPr>
          <w:sz w:val="24"/>
          <w:szCs w:val="24"/>
        </w:rPr>
        <w:t xml:space="preserve">How many servings of each of the following do you think </w:t>
      </w:r>
      <w:r w:rsidRPr="008B36A4">
        <w:rPr>
          <w:b/>
          <w:sz w:val="24"/>
          <w:szCs w:val="24"/>
          <w:u w:val="single"/>
        </w:rPr>
        <w:t>most</w:t>
      </w:r>
      <w:r w:rsidRPr="008B36A4">
        <w:rPr>
          <w:sz w:val="24"/>
          <w:szCs w:val="24"/>
        </w:rPr>
        <w:t xml:space="preserve"> of the</w:t>
      </w:r>
      <w:r w:rsidRPr="008B36A4">
        <w:rPr>
          <w:b/>
          <w:sz w:val="24"/>
          <w:szCs w:val="24"/>
        </w:rPr>
        <w:t xml:space="preserve"> [boys/girls] </w:t>
      </w:r>
      <w:r w:rsidRPr="008B36A4">
        <w:rPr>
          <w:sz w:val="24"/>
          <w:szCs w:val="24"/>
        </w:rPr>
        <w:t xml:space="preserve">at </w:t>
      </w:r>
      <w:r w:rsidRPr="008B36A4">
        <w:rPr>
          <w:b/>
          <w:sz w:val="24"/>
          <w:szCs w:val="24"/>
        </w:rPr>
        <w:t>[school name]</w:t>
      </w:r>
      <w:r w:rsidRPr="008B36A4">
        <w:rPr>
          <w:sz w:val="24"/>
          <w:szCs w:val="24"/>
        </w:rPr>
        <w:t xml:space="preserve"> </w:t>
      </w:r>
      <w:r>
        <w:rPr>
          <w:sz w:val="24"/>
          <w:szCs w:val="24"/>
        </w:rPr>
        <w:t xml:space="preserve">have </w:t>
      </w:r>
      <w:r w:rsidRPr="008B36A4">
        <w:rPr>
          <w:sz w:val="24"/>
          <w:szCs w:val="24"/>
        </w:rPr>
        <w:t>eat</w:t>
      </w:r>
      <w:r>
        <w:rPr>
          <w:sz w:val="24"/>
          <w:szCs w:val="24"/>
        </w:rPr>
        <w:t>en over the past week</w:t>
      </w:r>
      <w:r w:rsidRPr="008B36A4">
        <w:t xml:space="preserve">? </w:t>
      </w:r>
    </w:p>
    <w:p w14:paraId="765C35EF" w14:textId="77777777" w:rsidR="00572E3D" w:rsidRPr="008B36A4" w:rsidRDefault="00572E3D" w:rsidP="00572E3D">
      <w:pPr>
        <w:pStyle w:val="ListParagraph"/>
        <w:tabs>
          <w:tab w:val="left" w:pos="1998"/>
        </w:tabs>
        <w:ind w:left="0"/>
      </w:pPr>
      <w:r w:rsidRPr="008B36A4">
        <w:rPr>
          <w:noProof/>
          <w:lang w:eastAsia="en-GB"/>
        </w:rPr>
        <w:drawing>
          <wp:anchor distT="0" distB="0" distL="114300" distR="114300" simplePos="0" relativeHeight="251642880" behindDoc="1" locked="0" layoutInCell="1" allowOverlap="1" wp14:anchorId="3D9FF342" wp14:editId="3C44009F">
            <wp:simplePos x="0" y="0"/>
            <wp:positionH relativeFrom="column">
              <wp:posOffset>4457700</wp:posOffset>
            </wp:positionH>
            <wp:positionV relativeFrom="paragraph">
              <wp:posOffset>58420</wp:posOffset>
            </wp:positionV>
            <wp:extent cx="1507490" cy="762000"/>
            <wp:effectExtent l="0" t="0" r="0" b="0"/>
            <wp:wrapNone/>
            <wp:docPr id="254" name="Picture 254" descr="Image result for school students clipart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students clipart diar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07490" cy="762000"/>
                    </a:xfrm>
                    <a:prstGeom prst="rect">
                      <a:avLst/>
                    </a:prstGeom>
                    <a:noFill/>
                    <a:ln>
                      <a:noFill/>
                    </a:ln>
                  </pic:spPr>
                </pic:pic>
              </a:graphicData>
            </a:graphic>
          </wp:anchor>
        </w:drawing>
      </w:r>
      <w:r w:rsidRPr="008B36A4">
        <w:tab/>
      </w:r>
    </w:p>
    <w:p w14:paraId="4A8DF720" w14:textId="77777777" w:rsidR="00572E3D" w:rsidRPr="008B36A4" w:rsidRDefault="00572E3D" w:rsidP="00572E3D">
      <w:pPr>
        <w:pStyle w:val="ListParagraph"/>
        <w:ind w:left="0"/>
      </w:pPr>
    </w:p>
    <w:p w14:paraId="434E76A5" w14:textId="77777777" w:rsidR="00572E3D" w:rsidRPr="008B36A4" w:rsidRDefault="00572E3D" w:rsidP="00572E3D">
      <w:pPr>
        <w:pStyle w:val="ListParagraph"/>
        <w:jc w:val="center"/>
        <w:rPr>
          <w:b/>
          <w:i/>
        </w:rPr>
      </w:pPr>
    </w:p>
    <w:p w14:paraId="342A609F" w14:textId="77777777" w:rsidR="00572E3D" w:rsidRPr="008B36A4" w:rsidRDefault="00572E3D" w:rsidP="00572E3D">
      <w:pPr>
        <w:pStyle w:val="ListParagraph"/>
        <w:jc w:val="center"/>
        <w:rPr>
          <w:b/>
          <w:i/>
        </w:rPr>
      </w:pPr>
      <w:r w:rsidRPr="00E51F65">
        <w:rPr>
          <w:b/>
          <w:i/>
          <w:highlight w:val="lightGray"/>
        </w:rPr>
        <w:t>Tick ONE box from each line</w:t>
      </w:r>
    </w:p>
    <w:p w14:paraId="58C994F1" w14:textId="77777777" w:rsidR="00572E3D" w:rsidRPr="008B36A4" w:rsidRDefault="00572E3D" w:rsidP="00572E3D">
      <w:pPr>
        <w:pStyle w:val="ListParagraph"/>
        <w:jc w:val="center"/>
        <w:rPr>
          <w:b/>
          <w:i/>
        </w:rPr>
      </w:pPr>
    </w:p>
    <w:tbl>
      <w:tblPr>
        <w:tblStyle w:val="PlainTable12"/>
        <w:tblW w:w="9931" w:type="dxa"/>
        <w:tblLook w:val="04A0" w:firstRow="1" w:lastRow="0" w:firstColumn="1" w:lastColumn="0" w:noHBand="0" w:noVBand="1"/>
      </w:tblPr>
      <w:tblGrid>
        <w:gridCol w:w="1317"/>
        <w:gridCol w:w="958"/>
        <w:gridCol w:w="959"/>
        <w:gridCol w:w="961"/>
        <w:gridCol w:w="961"/>
        <w:gridCol w:w="951"/>
        <w:gridCol w:w="951"/>
        <w:gridCol w:w="951"/>
        <w:gridCol w:w="961"/>
        <w:gridCol w:w="961"/>
      </w:tblGrid>
      <w:tr w:rsidR="00572E3D" w:rsidRPr="008B36A4" w14:paraId="2F651F65" w14:textId="77777777" w:rsidTr="00611086">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17" w:type="dxa"/>
          </w:tcPr>
          <w:p w14:paraId="4863D1F1" w14:textId="77777777" w:rsidR="00572E3D" w:rsidRPr="008B36A4" w:rsidRDefault="00572E3D" w:rsidP="00611086"/>
          <w:p w14:paraId="3879F613" w14:textId="77777777" w:rsidR="00572E3D" w:rsidRPr="008B36A4" w:rsidRDefault="00572E3D" w:rsidP="00611086"/>
        </w:tc>
        <w:tc>
          <w:tcPr>
            <w:tcW w:w="958" w:type="dxa"/>
          </w:tcPr>
          <w:p w14:paraId="39E2037B"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 xml:space="preserve">Less than one a week </w:t>
            </w:r>
          </w:p>
        </w:tc>
        <w:tc>
          <w:tcPr>
            <w:tcW w:w="959" w:type="dxa"/>
          </w:tcPr>
          <w:p w14:paraId="2EAC5196"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 xml:space="preserve">1 a week </w:t>
            </w:r>
          </w:p>
        </w:tc>
        <w:tc>
          <w:tcPr>
            <w:tcW w:w="961" w:type="dxa"/>
          </w:tcPr>
          <w:p w14:paraId="23C2C168"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2-3 a week</w:t>
            </w:r>
          </w:p>
        </w:tc>
        <w:tc>
          <w:tcPr>
            <w:tcW w:w="961" w:type="dxa"/>
          </w:tcPr>
          <w:p w14:paraId="01828B6D"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4-6 a week</w:t>
            </w:r>
          </w:p>
        </w:tc>
        <w:tc>
          <w:tcPr>
            <w:tcW w:w="951" w:type="dxa"/>
          </w:tcPr>
          <w:p w14:paraId="082B8382"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1 a day</w:t>
            </w:r>
          </w:p>
        </w:tc>
        <w:tc>
          <w:tcPr>
            <w:tcW w:w="951" w:type="dxa"/>
          </w:tcPr>
          <w:p w14:paraId="0860BA78"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2 a day</w:t>
            </w:r>
          </w:p>
        </w:tc>
        <w:tc>
          <w:tcPr>
            <w:tcW w:w="951" w:type="dxa"/>
          </w:tcPr>
          <w:p w14:paraId="01DE3AF8"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3 a day</w:t>
            </w:r>
          </w:p>
        </w:tc>
        <w:tc>
          <w:tcPr>
            <w:tcW w:w="961" w:type="dxa"/>
          </w:tcPr>
          <w:p w14:paraId="4588DBC0"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4 or more a day</w:t>
            </w:r>
          </w:p>
        </w:tc>
        <w:tc>
          <w:tcPr>
            <w:tcW w:w="961" w:type="dxa"/>
          </w:tcPr>
          <w:p w14:paraId="2E6337EC"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Don’t know</w:t>
            </w:r>
          </w:p>
        </w:tc>
      </w:tr>
      <w:tr w:rsidR="00572E3D" w:rsidRPr="008B36A4" w14:paraId="67578A60" w14:textId="77777777" w:rsidTr="0061108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317" w:type="dxa"/>
          </w:tcPr>
          <w:p w14:paraId="5572242E" w14:textId="2E4C68A3" w:rsidR="00572E3D" w:rsidRPr="008B36A4" w:rsidRDefault="00572E3D" w:rsidP="00611086">
            <w:r w:rsidRPr="008B36A4">
              <w:t>Chocolate (</w:t>
            </w:r>
            <w:r w:rsidRPr="008B36A4">
              <w:rPr>
                <w:b w:val="0"/>
              </w:rPr>
              <w:t xml:space="preserve">1 bar or packet </w:t>
            </w:r>
            <w:r w:rsidR="007D734F" w:rsidRPr="008B36A4">
              <w:rPr>
                <w:b w:val="0"/>
              </w:rPr>
              <w:t>e.g.,</w:t>
            </w:r>
            <w:r>
              <w:rPr>
                <w:b w:val="0"/>
              </w:rPr>
              <w:t xml:space="preserve"> M &amp; M</w:t>
            </w:r>
            <w:r w:rsidRPr="008B36A4">
              <w:rPr>
                <w:b w:val="0"/>
              </w:rPr>
              <w:t>s)</w:t>
            </w:r>
          </w:p>
        </w:tc>
        <w:tc>
          <w:tcPr>
            <w:tcW w:w="958" w:type="dxa"/>
          </w:tcPr>
          <w:p w14:paraId="16E2E549"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9" w:type="dxa"/>
          </w:tcPr>
          <w:p w14:paraId="1982DC91"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4C545F3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5BD6D30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5B6B410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3CABC427"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2490CEA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6253D4B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4515908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0D7285C2" w14:textId="77777777" w:rsidTr="00611086">
        <w:trPr>
          <w:trHeight w:val="185"/>
        </w:trPr>
        <w:tc>
          <w:tcPr>
            <w:cnfStyle w:val="001000000000" w:firstRow="0" w:lastRow="0" w:firstColumn="1" w:lastColumn="0" w:oddVBand="0" w:evenVBand="0" w:oddHBand="0" w:evenHBand="0" w:firstRowFirstColumn="0" w:firstRowLastColumn="0" w:lastRowFirstColumn="0" w:lastRowLastColumn="0"/>
            <w:tcW w:w="1317" w:type="dxa"/>
          </w:tcPr>
          <w:p w14:paraId="24646935" w14:textId="77777777" w:rsidR="00572E3D" w:rsidRPr="008B36A4" w:rsidRDefault="00572E3D" w:rsidP="00611086">
            <w:r w:rsidRPr="008B36A4">
              <w:t xml:space="preserve">Sweets- </w:t>
            </w:r>
            <w:r w:rsidRPr="008B36A4">
              <w:rPr>
                <w:b w:val="0"/>
              </w:rPr>
              <w:t>without chocolate</w:t>
            </w:r>
            <w:r w:rsidRPr="008B36A4">
              <w:t xml:space="preserve"> </w:t>
            </w:r>
            <w:r w:rsidRPr="008B36A4">
              <w:rPr>
                <w:b w:val="0"/>
              </w:rPr>
              <w:t>e.g skittles (1 pack)</w:t>
            </w:r>
            <w:r w:rsidRPr="008B36A4">
              <w:t xml:space="preserve"> </w:t>
            </w:r>
          </w:p>
        </w:tc>
        <w:tc>
          <w:tcPr>
            <w:tcW w:w="958" w:type="dxa"/>
          </w:tcPr>
          <w:p w14:paraId="3B24D20C"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9" w:type="dxa"/>
          </w:tcPr>
          <w:p w14:paraId="0E9AEE41"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68B2E98F"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32B70AC3"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33249F53"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1F010DB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0678FCA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6A816935"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01AE0E9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r w:rsidR="00572E3D" w:rsidRPr="008B36A4" w14:paraId="0B72F44E" w14:textId="77777777" w:rsidTr="0061108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317" w:type="dxa"/>
          </w:tcPr>
          <w:p w14:paraId="7D822137" w14:textId="77777777" w:rsidR="00572E3D" w:rsidRPr="008B36A4" w:rsidRDefault="00572E3D" w:rsidP="00611086">
            <w:r w:rsidRPr="008B36A4">
              <w:t xml:space="preserve">Crisps </w:t>
            </w:r>
            <w:r w:rsidRPr="008B36A4">
              <w:rPr>
                <w:b w:val="0"/>
              </w:rPr>
              <w:t>(1 small bag)</w:t>
            </w:r>
          </w:p>
        </w:tc>
        <w:tc>
          <w:tcPr>
            <w:tcW w:w="958" w:type="dxa"/>
          </w:tcPr>
          <w:p w14:paraId="0441459A"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9" w:type="dxa"/>
          </w:tcPr>
          <w:p w14:paraId="5717D9E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490FF65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04697B7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5DB319C3"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3AF04640"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2EC3DB1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2AB9EDE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39E7C4BA"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488197B7" w14:textId="77777777" w:rsidTr="00611086">
        <w:trPr>
          <w:trHeight w:val="185"/>
        </w:trPr>
        <w:tc>
          <w:tcPr>
            <w:cnfStyle w:val="001000000000" w:firstRow="0" w:lastRow="0" w:firstColumn="1" w:lastColumn="0" w:oddVBand="0" w:evenVBand="0" w:oddHBand="0" w:evenHBand="0" w:firstRowFirstColumn="0" w:firstRowLastColumn="0" w:lastRowFirstColumn="0" w:lastRowLastColumn="0"/>
            <w:tcW w:w="1317" w:type="dxa"/>
          </w:tcPr>
          <w:p w14:paraId="54131AEB" w14:textId="77777777" w:rsidR="00572E3D" w:rsidRPr="008B36A4" w:rsidRDefault="00572E3D" w:rsidP="00611086">
            <w:r w:rsidRPr="008B36A4">
              <w:t xml:space="preserve">Biscuit </w:t>
            </w:r>
            <w:r w:rsidRPr="008B36A4">
              <w:rPr>
                <w:b w:val="0"/>
              </w:rPr>
              <w:t xml:space="preserve">(1) or </w:t>
            </w:r>
            <w:r w:rsidRPr="008B36A4">
              <w:t xml:space="preserve">Cookie </w:t>
            </w:r>
            <w:r w:rsidRPr="008B36A4">
              <w:rPr>
                <w:b w:val="0"/>
              </w:rPr>
              <w:t>(1)</w:t>
            </w:r>
          </w:p>
        </w:tc>
        <w:tc>
          <w:tcPr>
            <w:tcW w:w="958" w:type="dxa"/>
          </w:tcPr>
          <w:p w14:paraId="7BFC8741"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9" w:type="dxa"/>
          </w:tcPr>
          <w:p w14:paraId="21DDB94F"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521AC65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6838E69A"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69F395B5"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40C332F2"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1B8640DD"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087314B0"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41ED527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r w:rsidR="00572E3D" w:rsidRPr="008B36A4" w14:paraId="37209396" w14:textId="77777777" w:rsidTr="0061108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317" w:type="dxa"/>
          </w:tcPr>
          <w:p w14:paraId="2EA62451" w14:textId="77777777" w:rsidR="00572E3D" w:rsidRPr="008B36A4" w:rsidRDefault="00572E3D" w:rsidP="00611086">
            <w:r w:rsidRPr="008B36A4">
              <w:t>Cake</w:t>
            </w:r>
            <w:r w:rsidRPr="008B36A4">
              <w:rPr>
                <w:b w:val="0"/>
              </w:rPr>
              <w:t xml:space="preserve"> (1 slice) or </w:t>
            </w:r>
            <w:r w:rsidRPr="008B36A4">
              <w:t xml:space="preserve">one cupcake </w:t>
            </w:r>
          </w:p>
        </w:tc>
        <w:tc>
          <w:tcPr>
            <w:tcW w:w="958" w:type="dxa"/>
          </w:tcPr>
          <w:p w14:paraId="36CC134A"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9" w:type="dxa"/>
          </w:tcPr>
          <w:p w14:paraId="4E0CCBE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5BF67A50"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19BF2768"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55577A2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17F6EF6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774C3C0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42A8D0E8"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61633CC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30BCE42E" w14:textId="77777777" w:rsidTr="00611086">
        <w:trPr>
          <w:trHeight w:val="185"/>
        </w:trPr>
        <w:tc>
          <w:tcPr>
            <w:cnfStyle w:val="001000000000" w:firstRow="0" w:lastRow="0" w:firstColumn="1" w:lastColumn="0" w:oddVBand="0" w:evenVBand="0" w:oddHBand="0" w:evenHBand="0" w:firstRowFirstColumn="0" w:firstRowLastColumn="0" w:lastRowFirstColumn="0" w:lastRowLastColumn="0"/>
            <w:tcW w:w="1317" w:type="dxa"/>
          </w:tcPr>
          <w:p w14:paraId="77CAB8C8" w14:textId="37B42EBF" w:rsidR="00572E3D" w:rsidRPr="008B36A4" w:rsidRDefault="007D734F" w:rsidP="00611086">
            <w:r w:rsidRPr="008B36A4">
              <w:t>Fruit</w:t>
            </w:r>
            <w:r w:rsidRPr="008B36A4">
              <w:rPr>
                <w:b w:val="0"/>
              </w:rPr>
              <w:t xml:space="preserve"> (</w:t>
            </w:r>
            <w:r w:rsidR="00572E3D">
              <w:rPr>
                <w:b w:val="0"/>
              </w:rPr>
              <w:t>1</w:t>
            </w:r>
            <w:r w:rsidR="00572E3D" w:rsidRPr="008B36A4">
              <w:rPr>
                <w:b w:val="0"/>
              </w:rPr>
              <w:t xml:space="preserve"> portion</w:t>
            </w:r>
            <w:r w:rsidR="00572E3D">
              <w:rPr>
                <w:b w:val="0"/>
              </w:rPr>
              <w:t xml:space="preserve"> – e.g.</w:t>
            </w:r>
            <w:r w:rsidR="00572E3D" w:rsidRPr="008B36A4">
              <w:rPr>
                <w:b w:val="0"/>
              </w:rPr>
              <w:t xml:space="preserve"> one piece of fruit, such as one apple)</w:t>
            </w:r>
          </w:p>
        </w:tc>
        <w:tc>
          <w:tcPr>
            <w:tcW w:w="958" w:type="dxa"/>
          </w:tcPr>
          <w:p w14:paraId="371FC1F3"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9" w:type="dxa"/>
          </w:tcPr>
          <w:p w14:paraId="58605354"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0269A55F"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29F9D78C"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70CEEBE0"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4D3BF54C"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51" w:type="dxa"/>
          </w:tcPr>
          <w:p w14:paraId="103E4771"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404783EE"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961" w:type="dxa"/>
          </w:tcPr>
          <w:p w14:paraId="129D1F0D"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r w:rsidR="00572E3D" w:rsidRPr="008B36A4" w14:paraId="531261BC" w14:textId="77777777" w:rsidTr="0061108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317" w:type="dxa"/>
          </w:tcPr>
          <w:p w14:paraId="598A83DD" w14:textId="5BA20687" w:rsidR="00572E3D" w:rsidRPr="008B36A4" w:rsidRDefault="00572E3D" w:rsidP="00611086">
            <w:r w:rsidRPr="008B36A4">
              <w:t xml:space="preserve">Vegetables </w:t>
            </w:r>
            <w:r w:rsidRPr="008B36A4">
              <w:rPr>
                <w:b w:val="0"/>
              </w:rPr>
              <w:t>(</w:t>
            </w:r>
            <w:r>
              <w:rPr>
                <w:b w:val="0"/>
              </w:rPr>
              <w:t xml:space="preserve">1 portion </w:t>
            </w:r>
            <w:r w:rsidR="007D734F">
              <w:rPr>
                <w:b w:val="0"/>
              </w:rPr>
              <w:t>e.g.,</w:t>
            </w:r>
            <w:r>
              <w:rPr>
                <w:b w:val="0"/>
              </w:rPr>
              <w:t xml:space="preserve"> </w:t>
            </w:r>
            <w:r w:rsidRPr="008B36A4">
              <w:rPr>
                <w:b w:val="0"/>
              </w:rPr>
              <w:t>three heaped tablespoons of cooked vegetables, such as carrot</w:t>
            </w:r>
            <w:r>
              <w:rPr>
                <w:b w:val="0"/>
              </w:rPr>
              <w:t>s</w:t>
            </w:r>
            <w:r w:rsidRPr="008B36A4">
              <w:rPr>
                <w:b w:val="0"/>
              </w:rPr>
              <w:t>)</w:t>
            </w:r>
          </w:p>
        </w:tc>
        <w:tc>
          <w:tcPr>
            <w:tcW w:w="958" w:type="dxa"/>
          </w:tcPr>
          <w:p w14:paraId="31F1963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9" w:type="dxa"/>
          </w:tcPr>
          <w:p w14:paraId="1C1DA403"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3829D89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3867CA7D"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00CFF3E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44CBC9B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51" w:type="dxa"/>
          </w:tcPr>
          <w:p w14:paraId="5907510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08BD023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961" w:type="dxa"/>
          </w:tcPr>
          <w:p w14:paraId="5609DA8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bl>
    <w:p w14:paraId="033C5593" w14:textId="77777777" w:rsidR="00572E3D" w:rsidRPr="008B36A4" w:rsidRDefault="00572E3D" w:rsidP="00572E3D">
      <w:pPr>
        <w:jc w:val="center"/>
        <w:rPr>
          <w:b/>
        </w:rPr>
      </w:pPr>
    </w:p>
    <w:p w14:paraId="236BA058" w14:textId="77777777" w:rsidR="00572E3D" w:rsidRPr="008B36A4" w:rsidRDefault="00572E3D" w:rsidP="00572E3D">
      <w:pPr>
        <w:jc w:val="center"/>
        <w:rPr>
          <w:b/>
        </w:rPr>
      </w:pPr>
    </w:p>
    <w:p w14:paraId="72F317D2" w14:textId="77777777" w:rsidR="00572E3D" w:rsidRPr="008B36A4" w:rsidRDefault="00572E3D" w:rsidP="00572E3D">
      <w:pPr>
        <w:rPr>
          <w:b/>
        </w:rPr>
      </w:pPr>
    </w:p>
    <w:p w14:paraId="72E5DAE8" w14:textId="77777777" w:rsidR="00572E3D" w:rsidRPr="008B36A4" w:rsidRDefault="00572E3D" w:rsidP="00572E3D">
      <w:pPr>
        <w:jc w:val="center"/>
        <w:rPr>
          <w:i/>
          <w:sz w:val="24"/>
          <w:szCs w:val="24"/>
        </w:rPr>
      </w:pPr>
      <w:r w:rsidRPr="00BB5993">
        <w:rPr>
          <w:noProof/>
          <w:highlight w:val="lightGray"/>
          <w:lang w:eastAsia="en-GB"/>
        </w:rPr>
        <w:drawing>
          <wp:anchor distT="0" distB="0" distL="114300" distR="114300" simplePos="0" relativeHeight="251643904" behindDoc="1" locked="0" layoutInCell="1" allowOverlap="1" wp14:anchorId="17D89ED8" wp14:editId="6C527818">
            <wp:simplePos x="0" y="0"/>
            <wp:positionH relativeFrom="column">
              <wp:posOffset>-123825</wp:posOffset>
            </wp:positionH>
            <wp:positionV relativeFrom="paragraph">
              <wp:posOffset>-14605</wp:posOffset>
            </wp:positionV>
            <wp:extent cx="904875" cy="561975"/>
            <wp:effectExtent l="0" t="0" r="9525" b="9525"/>
            <wp:wrapTight wrapText="bothSides">
              <wp:wrapPolygon edited="0">
                <wp:start x="0" y="0"/>
                <wp:lineTo x="0" y="21234"/>
                <wp:lineTo x="21373" y="21234"/>
                <wp:lineTo x="21373" y="0"/>
                <wp:lineTo x="0" y="0"/>
              </wp:wrapPolygon>
            </wp:wrapTight>
            <wp:docPr id="255" name="Picture 2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clipar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4875" cy="561975"/>
                    </a:xfrm>
                    <a:prstGeom prst="rect">
                      <a:avLst/>
                    </a:prstGeom>
                  </pic:spPr>
                </pic:pic>
              </a:graphicData>
            </a:graphic>
            <wp14:sizeRelH relativeFrom="margin">
              <wp14:pctWidth>0</wp14:pctWidth>
            </wp14:sizeRelH>
            <wp14:sizeRelV relativeFrom="margin">
              <wp14:pctHeight>0</wp14:pctHeight>
            </wp14:sizeRelV>
          </wp:anchor>
        </w:drawing>
      </w:r>
      <w:r w:rsidRPr="00BB5993">
        <w:rPr>
          <w:i/>
          <w:sz w:val="24"/>
          <w:szCs w:val="24"/>
          <w:highlight w:val="lightGray"/>
        </w:rPr>
        <w:t xml:space="preserve">The following statements are about snacks. Please read each statement carefully and </w:t>
      </w:r>
      <w:r w:rsidRPr="00BB5993">
        <w:rPr>
          <w:b/>
          <w:i/>
          <w:sz w:val="24"/>
          <w:szCs w:val="24"/>
          <w:highlight w:val="lightGray"/>
        </w:rPr>
        <w:t xml:space="preserve">circle the </w:t>
      </w:r>
      <w:r w:rsidRPr="00BB5993">
        <w:rPr>
          <w:i/>
          <w:sz w:val="24"/>
          <w:szCs w:val="24"/>
          <w:highlight w:val="lightGray"/>
        </w:rPr>
        <w:t xml:space="preserve">number based on the </w:t>
      </w:r>
      <w:r w:rsidRPr="00BB5993">
        <w:rPr>
          <w:b/>
          <w:i/>
          <w:sz w:val="24"/>
          <w:szCs w:val="24"/>
          <w:highlight w:val="lightGray"/>
        </w:rPr>
        <w:t>strength</w:t>
      </w:r>
      <w:r w:rsidRPr="00BB5993">
        <w:rPr>
          <w:i/>
          <w:sz w:val="24"/>
          <w:szCs w:val="24"/>
          <w:highlight w:val="lightGray"/>
        </w:rPr>
        <w:t xml:space="preserve"> of </w:t>
      </w:r>
      <w:r w:rsidRPr="00BB5993">
        <w:rPr>
          <w:b/>
          <w:i/>
          <w:sz w:val="24"/>
          <w:szCs w:val="24"/>
          <w:highlight w:val="lightGray"/>
        </w:rPr>
        <w:t>your feelings</w:t>
      </w:r>
      <w:r w:rsidRPr="00BB5993">
        <w:rPr>
          <w:i/>
          <w:sz w:val="24"/>
          <w:szCs w:val="24"/>
          <w:highlight w:val="lightGray"/>
        </w:rPr>
        <w:t xml:space="preserve"> to each statement.</w:t>
      </w:r>
    </w:p>
    <w:p w14:paraId="770BEDCA" w14:textId="77777777" w:rsidR="00572E3D" w:rsidRPr="008B36A4" w:rsidRDefault="00572E3D" w:rsidP="00572E3D">
      <w:pPr>
        <w:rPr>
          <w:i/>
          <w:sz w:val="24"/>
          <w:szCs w:val="24"/>
        </w:rPr>
      </w:pPr>
    </w:p>
    <w:p w14:paraId="1FAE53CC" w14:textId="77777777" w:rsidR="00572E3D" w:rsidRPr="008B36A4" w:rsidRDefault="00572E3D" w:rsidP="00AA5DD9">
      <w:pPr>
        <w:pStyle w:val="ListParagraph"/>
        <w:numPr>
          <w:ilvl w:val="0"/>
          <w:numId w:val="2"/>
        </w:numPr>
        <w:spacing w:after="160" w:line="259" w:lineRule="auto"/>
        <w:rPr>
          <w:sz w:val="24"/>
          <w:szCs w:val="24"/>
        </w:rPr>
      </w:pPr>
      <w:r w:rsidRPr="008B36A4">
        <w:rPr>
          <w:sz w:val="24"/>
          <w:szCs w:val="24"/>
        </w:rPr>
        <w:t xml:space="preserve">In general, do you think that </w:t>
      </w:r>
      <w:r w:rsidRPr="008B36A4">
        <w:rPr>
          <w:b/>
          <w:sz w:val="24"/>
          <w:szCs w:val="24"/>
          <w:u w:val="single"/>
        </w:rPr>
        <w:t>most</w:t>
      </w:r>
      <w:r w:rsidRPr="008B36A4">
        <w:rPr>
          <w:sz w:val="24"/>
          <w:szCs w:val="24"/>
        </w:rPr>
        <w:t xml:space="preserve"> of the </w:t>
      </w:r>
      <w:r w:rsidRPr="00E51F65">
        <w:rPr>
          <w:b/>
          <w:sz w:val="24"/>
          <w:szCs w:val="24"/>
        </w:rPr>
        <w:t>[boys/girls]</w:t>
      </w:r>
      <w:r w:rsidRPr="008B36A4">
        <w:rPr>
          <w:sz w:val="24"/>
          <w:szCs w:val="24"/>
        </w:rPr>
        <w:t xml:space="preserve"> at </w:t>
      </w:r>
      <w:r w:rsidRPr="00E51F65">
        <w:rPr>
          <w:b/>
          <w:sz w:val="24"/>
          <w:szCs w:val="24"/>
        </w:rPr>
        <w:t>[school name]</w:t>
      </w:r>
      <w:r w:rsidRPr="008B36A4">
        <w:rPr>
          <w:sz w:val="24"/>
          <w:szCs w:val="24"/>
        </w:rPr>
        <w:t xml:space="preserve"> think that eating two or more unhealthy snack foods on most days is?</w:t>
      </w:r>
      <w:r w:rsidRPr="008B36A4">
        <w:rPr>
          <w:b/>
          <w:sz w:val="24"/>
          <w:szCs w:val="24"/>
        </w:rPr>
        <w:t xml:space="preserve"> </w:t>
      </w:r>
    </w:p>
    <w:p w14:paraId="7DD184DC" w14:textId="1361384C" w:rsidR="00572E3D" w:rsidRPr="008B36A4" w:rsidRDefault="00572E3D" w:rsidP="00572E3D">
      <w:pPr>
        <w:pStyle w:val="ListParagraph"/>
        <w:ind w:left="0"/>
        <w:rPr>
          <w:i/>
          <w:sz w:val="24"/>
          <w:szCs w:val="24"/>
        </w:rPr>
      </w:pPr>
      <w:r w:rsidRPr="008B36A4">
        <w:rPr>
          <w:i/>
          <w:sz w:val="24"/>
          <w:szCs w:val="24"/>
        </w:rPr>
        <w:t xml:space="preserve">For example, chocolate (1 bar or packet </w:t>
      </w:r>
      <w:r w:rsidR="007D734F" w:rsidRPr="008B36A4">
        <w:rPr>
          <w:i/>
          <w:sz w:val="24"/>
          <w:szCs w:val="24"/>
        </w:rPr>
        <w:t>e.g.,</w:t>
      </w:r>
      <w:r>
        <w:rPr>
          <w:i/>
          <w:sz w:val="24"/>
          <w:szCs w:val="24"/>
        </w:rPr>
        <w:t xml:space="preserve"> M &amp; M</w:t>
      </w:r>
      <w:r w:rsidRPr="008B36A4">
        <w:rPr>
          <w:i/>
          <w:sz w:val="24"/>
          <w:szCs w:val="24"/>
        </w:rPr>
        <w:t>s).</w:t>
      </w:r>
    </w:p>
    <w:p w14:paraId="69E2DE43" w14:textId="77777777" w:rsidR="00572E3D" w:rsidRPr="008B36A4" w:rsidRDefault="00572E3D" w:rsidP="00572E3D">
      <w:pPr>
        <w:pStyle w:val="ListParagraph"/>
        <w:rPr>
          <w:sz w:val="24"/>
          <w:szCs w:val="24"/>
        </w:rPr>
      </w:pPr>
    </w:p>
    <w:p w14:paraId="3F75915F" w14:textId="77777777" w:rsidR="00572E3D" w:rsidRPr="008B36A4" w:rsidRDefault="00572E3D" w:rsidP="00572E3D">
      <w:pPr>
        <w:jc w:val="center"/>
        <w:rPr>
          <w:b/>
          <w:sz w:val="24"/>
          <w:szCs w:val="24"/>
        </w:rPr>
      </w:pPr>
      <w:r>
        <w:rPr>
          <w:b/>
          <w:sz w:val="24"/>
          <w:szCs w:val="24"/>
        </w:rPr>
        <w:t>Bad</w:t>
      </w:r>
      <w:r w:rsidRPr="008B36A4">
        <w:rPr>
          <w:b/>
          <w:sz w:val="24"/>
          <w:szCs w:val="24"/>
        </w:rPr>
        <w:t xml:space="preserve"> </w:t>
      </w:r>
      <w:r w:rsidRPr="008B36A4">
        <w:rPr>
          <w:sz w:val="24"/>
          <w:szCs w:val="24"/>
        </w:rPr>
        <w:t>__1__:__ 2__:__3__:__4__ :__5__:__</w:t>
      </w:r>
      <w:r>
        <w:rPr>
          <w:b/>
          <w:sz w:val="24"/>
          <w:szCs w:val="24"/>
        </w:rPr>
        <w:t>Good</w:t>
      </w:r>
    </w:p>
    <w:p w14:paraId="1C56CBF8" w14:textId="77777777" w:rsidR="00572E3D" w:rsidRPr="008B36A4" w:rsidRDefault="00572E3D" w:rsidP="00572E3D">
      <w:pPr>
        <w:jc w:val="center"/>
        <w:rPr>
          <w:b/>
          <w:sz w:val="24"/>
          <w:szCs w:val="24"/>
        </w:rPr>
      </w:pPr>
      <w:r>
        <w:rPr>
          <w:b/>
          <w:sz w:val="24"/>
          <w:szCs w:val="24"/>
        </w:rPr>
        <w:t>Foolish</w:t>
      </w:r>
      <w:r w:rsidRPr="008B36A4">
        <w:rPr>
          <w:sz w:val="24"/>
          <w:szCs w:val="24"/>
        </w:rPr>
        <w:t>__1__:__ 2__:__3__:__4__ :__5__:__</w:t>
      </w:r>
      <w:r>
        <w:rPr>
          <w:b/>
          <w:sz w:val="24"/>
          <w:szCs w:val="24"/>
        </w:rPr>
        <w:t xml:space="preserve">Sensible </w:t>
      </w:r>
    </w:p>
    <w:p w14:paraId="48DBB67F" w14:textId="77777777" w:rsidR="00572E3D" w:rsidRPr="008B36A4" w:rsidRDefault="00572E3D" w:rsidP="00572E3D">
      <w:pPr>
        <w:jc w:val="center"/>
        <w:rPr>
          <w:b/>
          <w:sz w:val="24"/>
          <w:szCs w:val="24"/>
        </w:rPr>
      </w:pPr>
    </w:p>
    <w:p w14:paraId="2FF4F1F7" w14:textId="77777777" w:rsidR="00572E3D" w:rsidRPr="008B36A4" w:rsidRDefault="00572E3D" w:rsidP="00AA5DD9">
      <w:pPr>
        <w:pStyle w:val="ListParagraph"/>
        <w:numPr>
          <w:ilvl w:val="0"/>
          <w:numId w:val="2"/>
        </w:numPr>
        <w:spacing w:after="160" w:line="259" w:lineRule="auto"/>
        <w:rPr>
          <w:b/>
          <w:sz w:val="24"/>
          <w:szCs w:val="24"/>
        </w:rPr>
      </w:pPr>
      <w:r w:rsidRPr="008B36A4">
        <w:rPr>
          <w:sz w:val="24"/>
          <w:szCs w:val="24"/>
        </w:rPr>
        <w:t xml:space="preserve">In general, do you think that </w:t>
      </w:r>
      <w:r w:rsidRPr="008B36A4">
        <w:rPr>
          <w:b/>
          <w:sz w:val="24"/>
          <w:szCs w:val="24"/>
          <w:u w:val="single"/>
        </w:rPr>
        <w:t>most</w:t>
      </w:r>
      <w:r w:rsidRPr="008B36A4">
        <w:rPr>
          <w:sz w:val="24"/>
          <w:szCs w:val="24"/>
        </w:rPr>
        <w:t xml:space="preserve"> of the </w:t>
      </w:r>
      <w:r w:rsidRPr="00E51F65">
        <w:rPr>
          <w:b/>
          <w:sz w:val="24"/>
          <w:szCs w:val="24"/>
        </w:rPr>
        <w:t>[boys/girls]</w:t>
      </w:r>
      <w:r w:rsidRPr="008B36A4">
        <w:rPr>
          <w:sz w:val="24"/>
          <w:szCs w:val="24"/>
        </w:rPr>
        <w:t xml:space="preserve"> at </w:t>
      </w:r>
      <w:r w:rsidRPr="0031488B">
        <w:rPr>
          <w:b/>
          <w:sz w:val="24"/>
          <w:szCs w:val="24"/>
        </w:rPr>
        <w:t>[school name]</w:t>
      </w:r>
      <w:r w:rsidRPr="008B36A4">
        <w:rPr>
          <w:sz w:val="24"/>
          <w:szCs w:val="24"/>
        </w:rPr>
        <w:t xml:space="preserve"> think that eating five portions of fruit or vegetables on most days is?</w:t>
      </w:r>
      <w:r w:rsidRPr="008B36A4">
        <w:rPr>
          <w:b/>
          <w:sz w:val="24"/>
          <w:szCs w:val="24"/>
        </w:rPr>
        <w:t xml:space="preserve"> </w:t>
      </w:r>
    </w:p>
    <w:p w14:paraId="62F363AD" w14:textId="77777777" w:rsidR="00572E3D" w:rsidRDefault="00572E3D" w:rsidP="00572E3D">
      <w:pPr>
        <w:pStyle w:val="ListParagraph"/>
        <w:ind w:left="0"/>
        <w:rPr>
          <w:i/>
          <w:sz w:val="24"/>
          <w:szCs w:val="24"/>
        </w:rPr>
      </w:pPr>
      <w:r w:rsidRPr="008B36A4">
        <w:rPr>
          <w:i/>
          <w:sz w:val="24"/>
          <w:szCs w:val="24"/>
        </w:rPr>
        <w:t>For, example fruit (one portion is one piece of fruit, such as one apple)</w:t>
      </w:r>
    </w:p>
    <w:p w14:paraId="2E43C09C" w14:textId="77777777" w:rsidR="00572E3D" w:rsidRPr="008B36A4" w:rsidRDefault="00572E3D" w:rsidP="00572E3D">
      <w:pPr>
        <w:pStyle w:val="ListParagraph"/>
        <w:ind w:left="0"/>
        <w:rPr>
          <w:b/>
          <w:i/>
          <w:sz w:val="24"/>
          <w:szCs w:val="24"/>
        </w:rPr>
      </w:pPr>
    </w:p>
    <w:p w14:paraId="7840F590" w14:textId="77777777" w:rsidR="00572E3D" w:rsidRPr="008B36A4" w:rsidRDefault="00572E3D" w:rsidP="00572E3D">
      <w:pPr>
        <w:jc w:val="center"/>
        <w:rPr>
          <w:b/>
          <w:sz w:val="24"/>
          <w:szCs w:val="24"/>
        </w:rPr>
      </w:pPr>
      <w:r>
        <w:rPr>
          <w:b/>
          <w:sz w:val="24"/>
          <w:szCs w:val="24"/>
        </w:rPr>
        <w:t>Bad</w:t>
      </w:r>
      <w:r w:rsidRPr="008B36A4">
        <w:rPr>
          <w:b/>
          <w:sz w:val="24"/>
          <w:szCs w:val="24"/>
        </w:rPr>
        <w:t xml:space="preserve"> </w:t>
      </w:r>
      <w:r w:rsidRPr="008B36A4">
        <w:rPr>
          <w:sz w:val="24"/>
          <w:szCs w:val="24"/>
        </w:rPr>
        <w:t>__1__:__ 2__:__3__:__4__ :__5__:__</w:t>
      </w:r>
      <w:r>
        <w:rPr>
          <w:b/>
          <w:sz w:val="24"/>
          <w:szCs w:val="24"/>
        </w:rPr>
        <w:t>Good</w:t>
      </w:r>
    </w:p>
    <w:p w14:paraId="6F198DCB" w14:textId="77777777" w:rsidR="00572E3D" w:rsidRPr="008B36A4" w:rsidRDefault="00572E3D" w:rsidP="00572E3D">
      <w:pPr>
        <w:jc w:val="center"/>
        <w:rPr>
          <w:b/>
          <w:sz w:val="24"/>
          <w:szCs w:val="24"/>
        </w:rPr>
      </w:pPr>
      <w:r>
        <w:rPr>
          <w:b/>
          <w:sz w:val="24"/>
          <w:szCs w:val="24"/>
        </w:rPr>
        <w:t>Foolish</w:t>
      </w:r>
      <w:r w:rsidRPr="008B36A4">
        <w:rPr>
          <w:sz w:val="24"/>
          <w:szCs w:val="24"/>
        </w:rPr>
        <w:t>__1__:__ 2__:__3__:__4__ :__5__:__</w:t>
      </w:r>
      <w:r>
        <w:rPr>
          <w:b/>
          <w:sz w:val="24"/>
          <w:szCs w:val="24"/>
        </w:rPr>
        <w:t xml:space="preserve">Sensible </w:t>
      </w:r>
    </w:p>
    <w:p w14:paraId="4261A7F2" w14:textId="77777777" w:rsidR="00572E3D" w:rsidRPr="008B36A4" w:rsidRDefault="00572E3D" w:rsidP="00572E3D">
      <w:pPr>
        <w:jc w:val="center"/>
        <w:rPr>
          <w:b/>
          <w:sz w:val="24"/>
          <w:szCs w:val="24"/>
        </w:rPr>
      </w:pPr>
    </w:p>
    <w:p w14:paraId="3774CADA" w14:textId="77777777" w:rsidR="00572E3D" w:rsidRPr="008B36A4" w:rsidRDefault="00572E3D" w:rsidP="00AA5DD9">
      <w:pPr>
        <w:pStyle w:val="ListParagraph"/>
        <w:numPr>
          <w:ilvl w:val="0"/>
          <w:numId w:val="4"/>
        </w:numPr>
        <w:spacing w:after="160" w:line="259" w:lineRule="auto"/>
        <w:rPr>
          <w:b/>
          <w:sz w:val="24"/>
          <w:szCs w:val="24"/>
        </w:rPr>
      </w:pPr>
      <w:r w:rsidRPr="008B36A4">
        <w:rPr>
          <w:sz w:val="24"/>
          <w:szCs w:val="24"/>
        </w:rPr>
        <w:t xml:space="preserve">In general, do you think that </w:t>
      </w:r>
      <w:r w:rsidRPr="008B36A4">
        <w:rPr>
          <w:b/>
          <w:sz w:val="24"/>
          <w:szCs w:val="24"/>
          <w:u w:val="single"/>
        </w:rPr>
        <w:t>most</w:t>
      </w:r>
      <w:r w:rsidRPr="008B36A4">
        <w:rPr>
          <w:sz w:val="24"/>
          <w:szCs w:val="24"/>
        </w:rPr>
        <w:t xml:space="preserve"> of the </w:t>
      </w:r>
      <w:r w:rsidRPr="00E51F65">
        <w:rPr>
          <w:b/>
          <w:sz w:val="24"/>
          <w:szCs w:val="24"/>
        </w:rPr>
        <w:t>[boys/girls]</w:t>
      </w:r>
      <w:r w:rsidRPr="008B36A4">
        <w:rPr>
          <w:sz w:val="24"/>
          <w:szCs w:val="24"/>
        </w:rPr>
        <w:t xml:space="preserve"> at </w:t>
      </w:r>
      <w:r w:rsidRPr="0031488B">
        <w:rPr>
          <w:b/>
          <w:sz w:val="24"/>
          <w:szCs w:val="24"/>
        </w:rPr>
        <w:t>[school name]</w:t>
      </w:r>
      <w:r w:rsidRPr="008B36A4">
        <w:rPr>
          <w:sz w:val="24"/>
          <w:szCs w:val="24"/>
        </w:rPr>
        <w:t xml:space="preserve"> think that </w:t>
      </w:r>
      <w:r>
        <w:rPr>
          <w:sz w:val="24"/>
          <w:szCs w:val="24"/>
        </w:rPr>
        <w:t>eating</w:t>
      </w:r>
      <w:r w:rsidRPr="008B36A4">
        <w:rPr>
          <w:sz w:val="24"/>
          <w:szCs w:val="24"/>
        </w:rPr>
        <w:t xml:space="preserve"> fewer unhealthy snacks would be</w:t>
      </w:r>
      <w:r w:rsidRPr="008B36A4">
        <w:rPr>
          <w:b/>
          <w:sz w:val="24"/>
          <w:szCs w:val="24"/>
        </w:rPr>
        <w:t>:</w:t>
      </w:r>
      <w:r w:rsidRPr="008B36A4">
        <w:rPr>
          <w:sz w:val="24"/>
          <w:szCs w:val="24"/>
        </w:rPr>
        <w:t xml:space="preserve"> </w:t>
      </w:r>
    </w:p>
    <w:p w14:paraId="1696E22B" w14:textId="2FDCBD48" w:rsidR="00572E3D" w:rsidRPr="008B36A4" w:rsidRDefault="00572E3D" w:rsidP="00572E3D">
      <w:pPr>
        <w:pStyle w:val="ListParagraph"/>
        <w:ind w:left="0"/>
        <w:rPr>
          <w:b/>
          <w:i/>
          <w:sz w:val="24"/>
          <w:szCs w:val="24"/>
        </w:rPr>
      </w:pPr>
      <w:r w:rsidRPr="008B36A4">
        <w:rPr>
          <w:i/>
          <w:sz w:val="24"/>
          <w:szCs w:val="24"/>
        </w:rPr>
        <w:t xml:space="preserve">For example, chocolate (1 bar or packet </w:t>
      </w:r>
      <w:r w:rsidR="007D734F" w:rsidRPr="008B36A4">
        <w:rPr>
          <w:i/>
          <w:sz w:val="24"/>
          <w:szCs w:val="24"/>
        </w:rPr>
        <w:t>e.g.,</w:t>
      </w:r>
      <w:r>
        <w:rPr>
          <w:i/>
          <w:sz w:val="24"/>
          <w:szCs w:val="24"/>
        </w:rPr>
        <w:t xml:space="preserve"> M &amp; M</w:t>
      </w:r>
      <w:r w:rsidRPr="008B36A4">
        <w:rPr>
          <w:i/>
          <w:sz w:val="24"/>
          <w:szCs w:val="24"/>
        </w:rPr>
        <w:t>s)</w:t>
      </w:r>
    </w:p>
    <w:p w14:paraId="356F3E59" w14:textId="77777777" w:rsidR="00572E3D" w:rsidRPr="008B36A4" w:rsidRDefault="00572E3D" w:rsidP="00572E3D">
      <w:pPr>
        <w:pStyle w:val="ListParagraph"/>
        <w:ind w:left="0"/>
        <w:rPr>
          <w:b/>
          <w:sz w:val="24"/>
          <w:szCs w:val="24"/>
        </w:rPr>
      </w:pPr>
    </w:p>
    <w:p w14:paraId="07B7B50D" w14:textId="77777777" w:rsidR="00572E3D" w:rsidRPr="008B36A4" w:rsidRDefault="00572E3D" w:rsidP="00572E3D">
      <w:pPr>
        <w:jc w:val="center"/>
        <w:rPr>
          <w:b/>
          <w:sz w:val="24"/>
          <w:szCs w:val="24"/>
        </w:rPr>
      </w:pPr>
      <w:r>
        <w:rPr>
          <w:b/>
          <w:sz w:val="24"/>
          <w:szCs w:val="24"/>
        </w:rPr>
        <w:t>Bad</w:t>
      </w:r>
      <w:r w:rsidRPr="008B36A4">
        <w:rPr>
          <w:b/>
          <w:sz w:val="24"/>
          <w:szCs w:val="24"/>
        </w:rPr>
        <w:t xml:space="preserve"> </w:t>
      </w:r>
      <w:r w:rsidRPr="008B36A4">
        <w:rPr>
          <w:sz w:val="24"/>
          <w:szCs w:val="24"/>
        </w:rPr>
        <w:t>__1__:__ 2__:__3__:__4__ :__5__:__</w:t>
      </w:r>
      <w:r>
        <w:rPr>
          <w:b/>
          <w:sz w:val="24"/>
          <w:szCs w:val="24"/>
        </w:rPr>
        <w:t>Good</w:t>
      </w:r>
    </w:p>
    <w:p w14:paraId="2DA96999" w14:textId="77777777" w:rsidR="00572E3D" w:rsidRPr="008B36A4" w:rsidRDefault="00572E3D" w:rsidP="00572E3D">
      <w:pPr>
        <w:jc w:val="center"/>
        <w:rPr>
          <w:b/>
          <w:sz w:val="24"/>
          <w:szCs w:val="24"/>
        </w:rPr>
      </w:pPr>
      <w:r>
        <w:rPr>
          <w:b/>
          <w:sz w:val="24"/>
          <w:szCs w:val="24"/>
        </w:rPr>
        <w:t>Foolish</w:t>
      </w:r>
      <w:r w:rsidRPr="008B36A4">
        <w:rPr>
          <w:sz w:val="24"/>
          <w:szCs w:val="24"/>
        </w:rPr>
        <w:t>__1__:__ 2__:__3__:__4__ :__5__:__</w:t>
      </w:r>
      <w:r>
        <w:rPr>
          <w:b/>
          <w:sz w:val="24"/>
          <w:szCs w:val="24"/>
        </w:rPr>
        <w:t xml:space="preserve">Sensible </w:t>
      </w:r>
    </w:p>
    <w:p w14:paraId="07E1776C" w14:textId="77777777" w:rsidR="00572E3D" w:rsidRPr="008B36A4" w:rsidRDefault="00572E3D" w:rsidP="00572E3D">
      <w:pPr>
        <w:rPr>
          <w:b/>
        </w:rPr>
      </w:pPr>
    </w:p>
    <w:p w14:paraId="6FAF1E15" w14:textId="77777777" w:rsidR="00572E3D" w:rsidRPr="008B36A4" w:rsidRDefault="00572E3D" w:rsidP="00572E3D">
      <w:pPr>
        <w:rPr>
          <w:b/>
        </w:rPr>
      </w:pPr>
      <w:r>
        <w:rPr>
          <w:noProof/>
          <w:lang w:eastAsia="en-GB"/>
        </w:rPr>
        <w:lastRenderedPageBreak/>
        <w:drawing>
          <wp:anchor distT="0" distB="0" distL="114300" distR="114300" simplePos="0" relativeHeight="251654144" behindDoc="1" locked="0" layoutInCell="1" allowOverlap="1" wp14:anchorId="32D61054" wp14:editId="593D37A9">
            <wp:simplePos x="0" y="0"/>
            <wp:positionH relativeFrom="column">
              <wp:posOffset>1771650</wp:posOffset>
            </wp:positionH>
            <wp:positionV relativeFrom="paragraph">
              <wp:posOffset>147320</wp:posOffset>
            </wp:positionV>
            <wp:extent cx="1990725" cy="1466850"/>
            <wp:effectExtent l="0" t="0" r="9525" b="0"/>
            <wp:wrapTight wrapText="bothSides">
              <wp:wrapPolygon edited="0">
                <wp:start x="0" y="0"/>
                <wp:lineTo x="0" y="21319"/>
                <wp:lineTo x="21497" y="21319"/>
                <wp:lineTo x="21497" y="0"/>
                <wp:lineTo x="0" y="0"/>
              </wp:wrapPolygon>
            </wp:wrapTight>
            <wp:docPr id="242" name="Picture 242" descr="Image result for studen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udent emoj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907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20025" w14:textId="77777777" w:rsidR="00572E3D" w:rsidRPr="008B36A4" w:rsidRDefault="00572E3D" w:rsidP="00572E3D">
      <w:pPr>
        <w:rPr>
          <w:b/>
        </w:rPr>
      </w:pPr>
    </w:p>
    <w:p w14:paraId="2F6C504D" w14:textId="77777777" w:rsidR="00572E3D" w:rsidRPr="008B36A4" w:rsidRDefault="00572E3D" w:rsidP="00572E3D">
      <w:pPr>
        <w:rPr>
          <w:b/>
        </w:rPr>
      </w:pPr>
    </w:p>
    <w:p w14:paraId="6951710A" w14:textId="77777777" w:rsidR="00572E3D" w:rsidRPr="008B36A4" w:rsidRDefault="00572E3D" w:rsidP="00572E3D">
      <w:pPr>
        <w:rPr>
          <w:b/>
        </w:rPr>
      </w:pPr>
    </w:p>
    <w:p w14:paraId="746A6904" w14:textId="77777777" w:rsidR="00572E3D" w:rsidRPr="008B36A4" w:rsidRDefault="00572E3D" w:rsidP="00572E3D">
      <w:pPr>
        <w:rPr>
          <w:b/>
        </w:rPr>
      </w:pPr>
    </w:p>
    <w:p w14:paraId="314BBD3C" w14:textId="77777777" w:rsidR="00572E3D" w:rsidRPr="008B36A4" w:rsidRDefault="00572E3D" w:rsidP="00572E3D">
      <w:pPr>
        <w:rPr>
          <w:b/>
        </w:rPr>
      </w:pPr>
    </w:p>
    <w:p w14:paraId="41A76729" w14:textId="77777777" w:rsidR="00572E3D" w:rsidRPr="008B36A4" w:rsidRDefault="00572E3D" w:rsidP="00572E3D">
      <w:pPr>
        <w:rPr>
          <w:b/>
        </w:rPr>
      </w:pPr>
    </w:p>
    <w:p w14:paraId="4E2D6ADB" w14:textId="77777777" w:rsidR="00572E3D" w:rsidRPr="008B36A4" w:rsidRDefault="00572E3D" w:rsidP="00572E3D">
      <w:pPr>
        <w:jc w:val="center"/>
        <w:rPr>
          <w:i/>
          <w:sz w:val="24"/>
          <w:szCs w:val="24"/>
        </w:rPr>
      </w:pPr>
      <w:r w:rsidRPr="00BB5993">
        <w:rPr>
          <w:i/>
          <w:sz w:val="24"/>
          <w:szCs w:val="24"/>
          <w:highlight w:val="lightGray"/>
        </w:rPr>
        <w:t xml:space="preserve">Please read each statement carefully and </w:t>
      </w:r>
      <w:r w:rsidRPr="00BB5993">
        <w:rPr>
          <w:b/>
          <w:i/>
          <w:sz w:val="24"/>
          <w:szCs w:val="24"/>
          <w:highlight w:val="lightGray"/>
        </w:rPr>
        <w:t xml:space="preserve">circle the </w:t>
      </w:r>
      <w:r w:rsidRPr="00BB5993">
        <w:rPr>
          <w:i/>
          <w:sz w:val="24"/>
          <w:szCs w:val="24"/>
          <w:highlight w:val="lightGray"/>
        </w:rPr>
        <w:t xml:space="preserve">number based on the </w:t>
      </w:r>
      <w:r w:rsidRPr="00BB5993">
        <w:rPr>
          <w:b/>
          <w:i/>
          <w:sz w:val="24"/>
          <w:szCs w:val="24"/>
          <w:highlight w:val="lightGray"/>
        </w:rPr>
        <w:t>strength</w:t>
      </w:r>
      <w:r w:rsidRPr="00BB5993">
        <w:rPr>
          <w:i/>
          <w:sz w:val="24"/>
          <w:szCs w:val="24"/>
          <w:highlight w:val="lightGray"/>
        </w:rPr>
        <w:t xml:space="preserve"> of </w:t>
      </w:r>
      <w:r w:rsidRPr="00BB5993">
        <w:rPr>
          <w:b/>
          <w:i/>
          <w:sz w:val="24"/>
          <w:szCs w:val="24"/>
          <w:highlight w:val="lightGray"/>
        </w:rPr>
        <w:t>your feelings</w:t>
      </w:r>
      <w:r w:rsidRPr="00BB5993">
        <w:rPr>
          <w:i/>
          <w:sz w:val="24"/>
          <w:szCs w:val="24"/>
          <w:highlight w:val="lightGray"/>
        </w:rPr>
        <w:t xml:space="preserve"> to each statement.</w:t>
      </w:r>
    </w:p>
    <w:p w14:paraId="3F694107" w14:textId="77777777" w:rsidR="00572E3D" w:rsidRPr="008B36A4" w:rsidRDefault="00572E3D" w:rsidP="00572E3D">
      <w:pPr>
        <w:jc w:val="center"/>
        <w:rPr>
          <w:b/>
          <w:i/>
        </w:rPr>
      </w:pPr>
    </w:p>
    <w:p w14:paraId="43F091D8" w14:textId="77777777" w:rsidR="00572E3D" w:rsidRPr="008B36A4" w:rsidRDefault="00572E3D" w:rsidP="00AA5DD9">
      <w:pPr>
        <w:pStyle w:val="ListParagraph"/>
        <w:numPr>
          <w:ilvl w:val="0"/>
          <w:numId w:val="2"/>
        </w:numPr>
        <w:spacing w:after="160" w:line="259" w:lineRule="auto"/>
        <w:rPr>
          <w:sz w:val="24"/>
          <w:szCs w:val="24"/>
        </w:rPr>
      </w:pPr>
      <w:r w:rsidRPr="008B36A4">
        <w:rPr>
          <w:sz w:val="24"/>
          <w:szCs w:val="24"/>
        </w:rPr>
        <w:t>I intend to eat fewer unhealthy snacks over the next month:</w:t>
      </w:r>
    </w:p>
    <w:p w14:paraId="7F17DF4F" w14:textId="77777777" w:rsidR="00572E3D" w:rsidRPr="008B36A4" w:rsidRDefault="00572E3D" w:rsidP="00572E3D">
      <w:pPr>
        <w:rPr>
          <w:sz w:val="24"/>
          <w:szCs w:val="24"/>
        </w:rPr>
      </w:pPr>
    </w:p>
    <w:p w14:paraId="51DEE3B7" w14:textId="77777777" w:rsidR="00572E3D" w:rsidRPr="008B36A4" w:rsidRDefault="00572E3D" w:rsidP="00572E3D">
      <w:pPr>
        <w:jc w:val="center"/>
        <w:rPr>
          <w:sz w:val="24"/>
          <w:szCs w:val="24"/>
        </w:rPr>
      </w:pPr>
      <w:r w:rsidRPr="008B36A4">
        <w:rPr>
          <w:sz w:val="24"/>
          <w:szCs w:val="24"/>
        </w:rPr>
        <w:t>Unlikely: __1__:__ 2__:__3__:__4__ :__5__:__6__:__7__: Likely</w:t>
      </w:r>
    </w:p>
    <w:p w14:paraId="6ED2D3CC" w14:textId="77777777" w:rsidR="00572E3D" w:rsidRPr="008B36A4" w:rsidRDefault="00572E3D" w:rsidP="00572E3D">
      <w:pPr>
        <w:jc w:val="center"/>
        <w:rPr>
          <w:sz w:val="24"/>
          <w:szCs w:val="24"/>
        </w:rPr>
      </w:pPr>
    </w:p>
    <w:p w14:paraId="29141DAA" w14:textId="77777777" w:rsidR="00572E3D" w:rsidRPr="008B36A4" w:rsidRDefault="00572E3D" w:rsidP="00AA5DD9">
      <w:pPr>
        <w:numPr>
          <w:ilvl w:val="0"/>
          <w:numId w:val="2"/>
        </w:numPr>
        <w:rPr>
          <w:sz w:val="24"/>
          <w:szCs w:val="24"/>
        </w:rPr>
      </w:pPr>
      <w:r w:rsidRPr="008B36A4">
        <w:rPr>
          <w:sz w:val="24"/>
          <w:szCs w:val="24"/>
        </w:rPr>
        <w:t>I want to try to eat fewer unhealthy snacks over the next month:</w:t>
      </w:r>
    </w:p>
    <w:p w14:paraId="03C2D39C" w14:textId="77777777" w:rsidR="00572E3D" w:rsidRPr="008B36A4" w:rsidRDefault="00572E3D" w:rsidP="00572E3D">
      <w:pPr>
        <w:rPr>
          <w:sz w:val="24"/>
          <w:szCs w:val="24"/>
        </w:rPr>
      </w:pPr>
    </w:p>
    <w:p w14:paraId="643CBAC5" w14:textId="77777777" w:rsidR="00572E3D" w:rsidRPr="008B36A4" w:rsidRDefault="00572E3D" w:rsidP="00572E3D">
      <w:pPr>
        <w:jc w:val="center"/>
        <w:rPr>
          <w:sz w:val="24"/>
          <w:szCs w:val="24"/>
        </w:rPr>
      </w:pPr>
      <w:r w:rsidRPr="008B36A4">
        <w:rPr>
          <w:sz w:val="24"/>
          <w:szCs w:val="24"/>
        </w:rPr>
        <w:t>Unlikely: __1__:__ 2__:__3__:__4__ :__5__:__6__:__7__: Likely</w:t>
      </w:r>
    </w:p>
    <w:p w14:paraId="08D61320" w14:textId="77777777" w:rsidR="00572E3D" w:rsidRPr="008B36A4" w:rsidRDefault="00572E3D" w:rsidP="00572E3D">
      <w:pPr>
        <w:rPr>
          <w:sz w:val="24"/>
          <w:szCs w:val="24"/>
        </w:rPr>
      </w:pPr>
    </w:p>
    <w:p w14:paraId="17A87A42" w14:textId="77777777" w:rsidR="00572E3D" w:rsidRPr="008B36A4" w:rsidRDefault="00572E3D" w:rsidP="00AA5DD9">
      <w:pPr>
        <w:numPr>
          <w:ilvl w:val="0"/>
          <w:numId w:val="2"/>
        </w:numPr>
        <w:rPr>
          <w:sz w:val="24"/>
          <w:szCs w:val="24"/>
        </w:rPr>
      </w:pPr>
      <w:r w:rsidRPr="008B36A4">
        <w:rPr>
          <w:sz w:val="24"/>
          <w:szCs w:val="24"/>
        </w:rPr>
        <w:t>I am determined to eat fewer unhealthy snacks over the next month:</w:t>
      </w:r>
    </w:p>
    <w:p w14:paraId="35670254" w14:textId="77777777" w:rsidR="00572E3D" w:rsidRPr="008B36A4" w:rsidRDefault="00572E3D" w:rsidP="00572E3D">
      <w:pPr>
        <w:rPr>
          <w:sz w:val="24"/>
          <w:szCs w:val="24"/>
        </w:rPr>
      </w:pPr>
    </w:p>
    <w:p w14:paraId="4BD12DE0" w14:textId="77777777" w:rsidR="00572E3D" w:rsidRDefault="00572E3D" w:rsidP="00572E3D">
      <w:pPr>
        <w:jc w:val="center"/>
        <w:rPr>
          <w:sz w:val="24"/>
          <w:szCs w:val="24"/>
        </w:rPr>
      </w:pPr>
      <w:r w:rsidRPr="008B36A4">
        <w:rPr>
          <w:sz w:val="24"/>
          <w:szCs w:val="24"/>
        </w:rPr>
        <w:t>False: __1__:__ 2__:__3__:__4__ :__5__:__6__:__7__: True</w:t>
      </w:r>
    </w:p>
    <w:p w14:paraId="32D9D0A7" w14:textId="77777777" w:rsidR="00572E3D" w:rsidRPr="008B36A4" w:rsidRDefault="00572E3D" w:rsidP="00572E3D">
      <w:pPr>
        <w:jc w:val="center"/>
        <w:rPr>
          <w:sz w:val="24"/>
          <w:szCs w:val="24"/>
        </w:rPr>
      </w:pPr>
    </w:p>
    <w:p w14:paraId="69266E2F" w14:textId="77777777" w:rsidR="00572E3D" w:rsidRPr="008B36A4" w:rsidRDefault="00572E3D" w:rsidP="00AA5DD9">
      <w:pPr>
        <w:numPr>
          <w:ilvl w:val="0"/>
          <w:numId w:val="2"/>
        </w:numPr>
        <w:rPr>
          <w:sz w:val="24"/>
          <w:szCs w:val="24"/>
        </w:rPr>
      </w:pPr>
      <w:r w:rsidRPr="008B36A4">
        <w:rPr>
          <w:sz w:val="24"/>
          <w:szCs w:val="24"/>
        </w:rPr>
        <w:t>I intend to eat more healthy snacks than unhealthy snacks, over the next month:</w:t>
      </w:r>
    </w:p>
    <w:p w14:paraId="025DE0E9" w14:textId="77777777" w:rsidR="00572E3D" w:rsidRPr="008B36A4" w:rsidRDefault="00572E3D" w:rsidP="00572E3D">
      <w:pPr>
        <w:rPr>
          <w:sz w:val="24"/>
          <w:szCs w:val="24"/>
        </w:rPr>
      </w:pPr>
    </w:p>
    <w:p w14:paraId="668A0A55" w14:textId="77777777" w:rsidR="00572E3D" w:rsidRPr="008B36A4" w:rsidRDefault="00572E3D" w:rsidP="00572E3D">
      <w:pPr>
        <w:jc w:val="center"/>
        <w:rPr>
          <w:sz w:val="24"/>
          <w:szCs w:val="24"/>
        </w:rPr>
      </w:pPr>
      <w:r w:rsidRPr="008B36A4">
        <w:rPr>
          <w:sz w:val="24"/>
          <w:szCs w:val="24"/>
        </w:rPr>
        <w:t>False: __1__:__ 2__:__3__:__4__ :__5__:__6__:__7__: True</w:t>
      </w:r>
    </w:p>
    <w:p w14:paraId="58BB47DB" w14:textId="77777777" w:rsidR="00572E3D" w:rsidRPr="008B36A4" w:rsidRDefault="00572E3D" w:rsidP="00572E3D">
      <w:pPr>
        <w:jc w:val="center"/>
        <w:rPr>
          <w:sz w:val="24"/>
          <w:szCs w:val="24"/>
        </w:rPr>
      </w:pPr>
      <w:r w:rsidRPr="008B36A4">
        <w:rPr>
          <w:noProof/>
          <w:sz w:val="24"/>
          <w:szCs w:val="24"/>
          <w:lang w:eastAsia="en-GB"/>
        </w:rPr>
        <w:drawing>
          <wp:anchor distT="0" distB="0" distL="114300" distR="114300" simplePos="0" relativeHeight="251651072" behindDoc="1" locked="0" layoutInCell="1" allowOverlap="1" wp14:anchorId="1C8D43BC" wp14:editId="726C4801">
            <wp:simplePos x="0" y="0"/>
            <wp:positionH relativeFrom="column">
              <wp:posOffset>-190500</wp:posOffset>
            </wp:positionH>
            <wp:positionV relativeFrom="paragraph">
              <wp:posOffset>4445</wp:posOffset>
            </wp:positionV>
            <wp:extent cx="1343025" cy="771525"/>
            <wp:effectExtent l="0" t="0" r="0" b="9525"/>
            <wp:wrapTight wrapText="bothSides">
              <wp:wrapPolygon edited="0">
                <wp:start x="5515" y="0"/>
                <wp:lineTo x="3370" y="1067"/>
                <wp:lineTo x="2451" y="3733"/>
                <wp:lineTo x="2451" y="9067"/>
                <wp:lineTo x="613" y="9067"/>
                <wp:lineTo x="613" y="11200"/>
                <wp:lineTo x="2145" y="17600"/>
                <wp:lineTo x="2145" y="18667"/>
                <wp:lineTo x="8579" y="20800"/>
                <wp:lineTo x="11030" y="21333"/>
                <wp:lineTo x="12868" y="21333"/>
                <wp:lineTo x="20221" y="18133"/>
                <wp:lineTo x="21140" y="11200"/>
                <wp:lineTo x="19915" y="10133"/>
                <wp:lineTo x="11643" y="9067"/>
                <wp:lineTo x="13481" y="3200"/>
                <wp:lineTo x="12868" y="1600"/>
                <wp:lineTo x="8272" y="0"/>
                <wp:lineTo x="5515" y="0"/>
              </wp:wrapPolygon>
            </wp:wrapTight>
            <wp:docPr id="194" name="Picture 194" descr="Image result for student working at des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udent working at desk carto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7966" w14:textId="6B80496C" w:rsidR="00572E3D" w:rsidRDefault="00572E3D" w:rsidP="00572E3D">
      <w:pPr>
        <w:jc w:val="center"/>
        <w:rPr>
          <w:sz w:val="24"/>
          <w:szCs w:val="24"/>
        </w:rPr>
      </w:pPr>
    </w:p>
    <w:p w14:paraId="338DB543" w14:textId="5E6F9D16" w:rsidR="00AE5627" w:rsidRDefault="00AE5627" w:rsidP="00572E3D">
      <w:pPr>
        <w:jc w:val="center"/>
        <w:rPr>
          <w:sz w:val="24"/>
          <w:szCs w:val="24"/>
        </w:rPr>
      </w:pPr>
    </w:p>
    <w:p w14:paraId="29FDF38E" w14:textId="77777777" w:rsidR="00572E3D" w:rsidRPr="008B36A4" w:rsidRDefault="00572E3D" w:rsidP="00572E3D">
      <w:pPr>
        <w:rPr>
          <w:sz w:val="24"/>
          <w:szCs w:val="24"/>
        </w:rPr>
      </w:pPr>
    </w:p>
    <w:p w14:paraId="0E755C97" w14:textId="77777777" w:rsidR="00572E3D" w:rsidRPr="008B36A4" w:rsidRDefault="00572E3D" w:rsidP="00AA5DD9">
      <w:pPr>
        <w:pStyle w:val="ListParagraph"/>
        <w:numPr>
          <w:ilvl w:val="0"/>
          <w:numId w:val="2"/>
        </w:numPr>
        <w:spacing w:after="160" w:line="259" w:lineRule="auto"/>
        <w:rPr>
          <w:sz w:val="24"/>
          <w:szCs w:val="24"/>
        </w:rPr>
      </w:pPr>
      <w:r w:rsidRPr="008B36A4">
        <w:rPr>
          <w:sz w:val="24"/>
          <w:szCs w:val="24"/>
        </w:rPr>
        <w:lastRenderedPageBreak/>
        <w:t xml:space="preserve">Think about breakfast, in the </w:t>
      </w:r>
      <w:r w:rsidRPr="008B36A4">
        <w:rPr>
          <w:b/>
          <w:sz w:val="24"/>
          <w:szCs w:val="24"/>
          <w:u w:val="single"/>
        </w:rPr>
        <w:t>past week</w:t>
      </w:r>
      <w:r w:rsidRPr="008B36A4">
        <w:rPr>
          <w:sz w:val="24"/>
          <w:szCs w:val="24"/>
        </w:rPr>
        <w:t xml:space="preserve"> how many times do you think breakfast was eaten by… </w:t>
      </w:r>
    </w:p>
    <w:p w14:paraId="476DC3B4" w14:textId="77777777" w:rsidR="00572E3D" w:rsidRPr="008B36A4" w:rsidRDefault="00572E3D" w:rsidP="00572E3D">
      <w:pPr>
        <w:pStyle w:val="ListParagraph"/>
      </w:pPr>
      <w:r w:rsidRPr="00BB5993">
        <w:rPr>
          <w:b/>
          <w:i/>
          <w:noProof/>
          <w:highlight w:val="lightGray"/>
          <w:lang w:eastAsia="en-GB"/>
        </w:rPr>
        <w:drawing>
          <wp:anchor distT="0" distB="0" distL="114300" distR="114300" simplePos="0" relativeHeight="251645952" behindDoc="1" locked="0" layoutInCell="1" allowOverlap="1" wp14:anchorId="3F133DDB" wp14:editId="6038DF30">
            <wp:simplePos x="0" y="0"/>
            <wp:positionH relativeFrom="column">
              <wp:posOffset>3981450</wp:posOffset>
            </wp:positionH>
            <wp:positionV relativeFrom="paragraph">
              <wp:posOffset>78740</wp:posOffset>
            </wp:positionV>
            <wp:extent cx="390525" cy="304800"/>
            <wp:effectExtent l="0" t="0" r="9525" b="0"/>
            <wp:wrapTight wrapText="bothSides">
              <wp:wrapPolygon edited="0">
                <wp:start x="0" y="0"/>
                <wp:lineTo x="0" y="20250"/>
                <wp:lineTo x="21073" y="20250"/>
                <wp:lineTo x="21073" y="0"/>
                <wp:lineTo x="0" y="0"/>
              </wp:wrapPolygon>
            </wp:wrapTight>
            <wp:docPr id="195" name="Picture 195" descr="Image result for school students clipart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students clipart tick"/>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9A8BB" w14:textId="77777777" w:rsidR="00572E3D" w:rsidRPr="008B36A4" w:rsidRDefault="00572E3D" w:rsidP="00572E3D">
      <w:pPr>
        <w:pStyle w:val="ListParagraph"/>
        <w:jc w:val="right"/>
        <w:rPr>
          <w:b/>
          <w:i/>
        </w:rPr>
      </w:pPr>
      <w:r w:rsidRPr="00BB5993">
        <w:rPr>
          <w:b/>
          <w:i/>
          <w:highlight w:val="lightGray"/>
        </w:rPr>
        <w:t>Tick one box from each lin</w:t>
      </w:r>
      <w:r w:rsidRPr="008B36A4">
        <w:rPr>
          <w:b/>
          <w:i/>
        </w:rPr>
        <w:t>e</w:t>
      </w:r>
    </w:p>
    <w:tbl>
      <w:tblPr>
        <w:tblStyle w:val="PlainTable12"/>
        <w:tblpPr w:leftFromText="180" w:rightFromText="180" w:vertAnchor="text" w:horzAnchor="margin" w:tblpY="254"/>
        <w:tblW w:w="0" w:type="auto"/>
        <w:tblLook w:val="04A0" w:firstRow="1" w:lastRow="0" w:firstColumn="1" w:lastColumn="0" w:noHBand="0" w:noVBand="1"/>
      </w:tblPr>
      <w:tblGrid>
        <w:gridCol w:w="1530"/>
        <w:gridCol w:w="1502"/>
        <w:gridCol w:w="1494"/>
        <w:gridCol w:w="1494"/>
        <w:gridCol w:w="1495"/>
        <w:gridCol w:w="1501"/>
      </w:tblGrid>
      <w:tr w:rsidR="00572E3D" w:rsidRPr="008B36A4" w14:paraId="6BDAAE26" w14:textId="77777777" w:rsidTr="00611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CCAEDB0" w14:textId="77777777" w:rsidR="00572E3D" w:rsidRPr="008B36A4" w:rsidRDefault="00572E3D" w:rsidP="00611086"/>
        </w:tc>
        <w:tc>
          <w:tcPr>
            <w:tcW w:w="1558" w:type="dxa"/>
          </w:tcPr>
          <w:p w14:paraId="100D7E63"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Never</w:t>
            </w:r>
          </w:p>
        </w:tc>
        <w:tc>
          <w:tcPr>
            <w:tcW w:w="1558" w:type="dxa"/>
          </w:tcPr>
          <w:p w14:paraId="70B662C5"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1-2 days</w:t>
            </w:r>
          </w:p>
        </w:tc>
        <w:tc>
          <w:tcPr>
            <w:tcW w:w="1558" w:type="dxa"/>
          </w:tcPr>
          <w:p w14:paraId="1FF8125C"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3-4 days</w:t>
            </w:r>
          </w:p>
        </w:tc>
        <w:tc>
          <w:tcPr>
            <w:tcW w:w="1559" w:type="dxa"/>
          </w:tcPr>
          <w:p w14:paraId="0AE51164"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5-6 days</w:t>
            </w:r>
          </w:p>
        </w:tc>
        <w:tc>
          <w:tcPr>
            <w:tcW w:w="1559" w:type="dxa"/>
          </w:tcPr>
          <w:p w14:paraId="10D8E520"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Every day</w:t>
            </w:r>
          </w:p>
        </w:tc>
      </w:tr>
      <w:tr w:rsidR="00572E3D" w:rsidRPr="008B36A4" w14:paraId="46A1158A" w14:textId="77777777" w:rsidTr="0061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3F57EA7B" w14:textId="77777777" w:rsidR="00572E3D" w:rsidRPr="008B36A4" w:rsidRDefault="00572E3D" w:rsidP="00611086">
            <w:r w:rsidRPr="008B36A4">
              <w:t>a. You</w:t>
            </w:r>
          </w:p>
        </w:tc>
        <w:tc>
          <w:tcPr>
            <w:tcW w:w="1558" w:type="dxa"/>
          </w:tcPr>
          <w:p w14:paraId="2ACB422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8" w:type="dxa"/>
          </w:tcPr>
          <w:p w14:paraId="52B4D6D6"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8" w:type="dxa"/>
          </w:tcPr>
          <w:p w14:paraId="7EA2AA54"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9" w:type="dxa"/>
          </w:tcPr>
          <w:p w14:paraId="416D4982"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9" w:type="dxa"/>
          </w:tcPr>
          <w:p w14:paraId="18A9D6C5"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73191236" w14:textId="77777777" w:rsidTr="00611086">
        <w:tc>
          <w:tcPr>
            <w:cnfStyle w:val="001000000000" w:firstRow="0" w:lastRow="0" w:firstColumn="1" w:lastColumn="0" w:oddVBand="0" w:evenVBand="0" w:oddHBand="0" w:evenHBand="0" w:firstRowFirstColumn="0" w:firstRowLastColumn="0" w:lastRowFirstColumn="0" w:lastRowLastColumn="0"/>
            <w:tcW w:w="1558" w:type="dxa"/>
          </w:tcPr>
          <w:p w14:paraId="2CC41E09" w14:textId="77777777" w:rsidR="00572E3D" w:rsidRPr="008B36A4" w:rsidRDefault="00572E3D" w:rsidP="00611086">
            <w:r w:rsidRPr="008B36A4">
              <w:t xml:space="preserve">b. Most [girl/boys] at [school name] </w:t>
            </w:r>
          </w:p>
        </w:tc>
        <w:tc>
          <w:tcPr>
            <w:tcW w:w="1558" w:type="dxa"/>
          </w:tcPr>
          <w:p w14:paraId="7AC0FD02"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8" w:type="dxa"/>
          </w:tcPr>
          <w:p w14:paraId="58B72957"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8" w:type="dxa"/>
          </w:tcPr>
          <w:p w14:paraId="05B9D2F0"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9" w:type="dxa"/>
          </w:tcPr>
          <w:p w14:paraId="44DDFCFB"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9" w:type="dxa"/>
          </w:tcPr>
          <w:p w14:paraId="133F0114"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bl>
    <w:p w14:paraId="23DC996E" w14:textId="77777777" w:rsidR="00572E3D" w:rsidRPr="008B36A4" w:rsidRDefault="00572E3D" w:rsidP="00572E3D"/>
    <w:p w14:paraId="60F6D585" w14:textId="77777777" w:rsidR="00572E3D" w:rsidRPr="008B36A4" w:rsidRDefault="00572E3D" w:rsidP="00AA5DD9">
      <w:pPr>
        <w:pStyle w:val="ListParagraph"/>
        <w:numPr>
          <w:ilvl w:val="0"/>
          <w:numId w:val="2"/>
        </w:numPr>
        <w:spacing w:after="160" w:line="259" w:lineRule="auto"/>
        <w:rPr>
          <w:sz w:val="24"/>
          <w:szCs w:val="24"/>
        </w:rPr>
      </w:pPr>
      <w:r w:rsidRPr="008B36A4">
        <w:rPr>
          <w:b/>
          <w:i/>
          <w:noProof/>
          <w:lang w:eastAsia="en-GB"/>
        </w:rPr>
        <w:drawing>
          <wp:anchor distT="0" distB="0" distL="114300" distR="114300" simplePos="0" relativeHeight="251646976" behindDoc="1" locked="0" layoutInCell="1" allowOverlap="1" wp14:anchorId="00D70C1C" wp14:editId="54F82F37">
            <wp:simplePos x="0" y="0"/>
            <wp:positionH relativeFrom="column">
              <wp:posOffset>4038600</wp:posOffset>
            </wp:positionH>
            <wp:positionV relativeFrom="paragraph">
              <wp:posOffset>381635</wp:posOffset>
            </wp:positionV>
            <wp:extent cx="390525" cy="304800"/>
            <wp:effectExtent l="0" t="0" r="9525" b="0"/>
            <wp:wrapTight wrapText="bothSides">
              <wp:wrapPolygon edited="0">
                <wp:start x="0" y="0"/>
                <wp:lineTo x="0" y="20250"/>
                <wp:lineTo x="21073" y="20250"/>
                <wp:lineTo x="21073" y="0"/>
                <wp:lineTo x="0" y="0"/>
              </wp:wrapPolygon>
            </wp:wrapTight>
            <wp:docPr id="196" name="Picture 196" descr="Image result for school students clipart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students clipart tic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36A4">
        <w:rPr>
          <w:sz w:val="24"/>
          <w:szCs w:val="24"/>
        </w:rPr>
        <w:t xml:space="preserve">Think about lunch/dinner (midday), in the </w:t>
      </w:r>
      <w:r w:rsidRPr="008B36A4">
        <w:rPr>
          <w:b/>
          <w:sz w:val="24"/>
          <w:szCs w:val="24"/>
          <w:u w:val="single"/>
        </w:rPr>
        <w:t>past week</w:t>
      </w:r>
      <w:r w:rsidRPr="008B36A4">
        <w:rPr>
          <w:sz w:val="24"/>
          <w:szCs w:val="24"/>
        </w:rPr>
        <w:t xml:space="preserve"> how many times do you think lunch/dinner (midday) was eaten by…. </w:t>
      </w:r>
    </w:p>
    <w:p w14:paraId="786A30DF" w14:textId="77777777" w:rsidR="00572E3D" w:rsidRPr="008B36A4" w:rsidRDefault="00572E3D" w:rsidP="00572E3D">
      <w:pPr>
        <w:pStyle w:val="ListParagraph"/>
        <w:jc w:val="right"/>
        <w:rPr>
          <w:b/>
          <w:i/>
        </w:rPr>
      </w:pPr>
      <w:r w:rsidRPr="00BB5993">
        <w:rPr>
          <w:b/>
          <w:i/>
          <w:highlight w:val="lightGray"/>
        </w:rPr>
        <w:t>Tick one box from each line</w:t>
      </w:r>
    </w:p>
    <w:tbl>
      <w:tblPr>
        <w:tblStyle w:val="PlainTable12"/>
        <w:tblW w:w="0" w:type="auto"/>
        <w:tblLook w:val="04A0" w:firstRow="1" w:lastRow="0" w:firstColumn="1" w:lastColumn="0" w:noHBand="0" w:noVBand="1"/>
      </w:tblPr>
      <w:tblGrid>
        <w:gridCol w:w="1530"/>
        <w:gridCol w:w="1502"/>
        <w:gridCol w:w="1494"/>
        <w:gridCol w:w="1494"/>
        <w:gridCol w:w="1495"/>
        <w:gridCol w:w="1501"/>
      </w:tblGrid>
      <w:tr w:rsidR="00572E3D" w:rsidRPr="008B36A4" w14:paraId="750DBBAC" w14:textId="77777777" w:rsidTr="00611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CE1C7E3" w14:textId="77777777" w:rsidR="00572E3D" w:rsidRPr="008B36A4" w:rsidRDefault="00572E3D" w:rsidP="00611086"/>
        </w:tc>
        <w:tc>
          <w:tcPr>
            <w:tcW w:w="1558" w:type="dxa"/>
          </w:tcPr>
          <w:p w14:paraId="1CBE0019"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Never</w:t>
            </w:r>
          </w:p>
        </w:tc>
        <w:tc>
          <w:tcPr>
            <w:tcW w:w="1558" w:type="dxa"/>
          </w:tcPr>
          <w:p w14:paraId="40166E23"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1-2 days</w:t>
            </w:r>
          </w:p>
        </w:tc>
        <w:tc>
          <w:tcPr>
            <w:tcW w:w="1558" w:type="dxa"/>
          </w:tcPr>
          <w:p w14:paraId="378C1141"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3-4 days</w:t>
            </w:r>
          </w:p>
        </w:tc>
        <w:tc>
          <w:tcPr>
            <w:tcW w:w="1559" w:type="dxa"/>
          </w:tcPr>
          <w:p w14:paraId="137EAA9B"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5-6 days</w:t>
            </w:r>
          </w:p>
        </w:tc>
        <w:tc>
          <w:tcPr>
            <w:tcW w:w="1559" w:type="dxa"/>
          </w:tcPr>
          <w:p w14:paraId="7D63B46D"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Every day</w:t>
            </w:r>
          </w:p>
        </w:tc>
      </w:tr>
      <w:tr w:rsidR="00572E3D" w:rsidRPr="008B36A4" w14:paraId="771B3E18" w14:textId="77777777" w:rsidTr="0061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AE59BEA" w14:textId="77777777" w:rsidR="00572E3D" w:rsidRPr="008B36A4" w:rsidRDefault="00572E3D" w:rsidP="00611086">
            <w:r w:rsidRPr="008B36A4">
              <w:t>a. You</w:t>
            </w:r>
          </w:p>
        </w:tc>
        <w:tc>
          <w:tcPr>
            <w:tcW w:w="1558" w:type="dxa"/>
          </w:tcPr>
          <w:p w14:paraId="459B1F2C"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8" w:type="dxa"/>
          </w:tcPr>
          <w:p w14:paraId="6B07B98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8" w:type="dxa"/>
          </w:tcPr>
          <w:p w14:paraId="2265EC2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9" w:type="dxa"/>
          </w:tcPr>
          <w:p w14:paraId="3B225CB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9" w:type="dxa"/>
          </w:tcPr>
          <w:p w14:paraId="304C385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4DCC0F38" w14:textId="77777777" w:rsidTr="00611086">
        <w:tc>
          <w:tcPr>
            <w:cnfStyle w:val="001000000000" w:firstRow="0" w:lastRow="0" w:firstColumn="1" w:lastColumn="0" w:oddVBand="0" w:evenVBand="0" w:oddHBand="0" w:evenHBand="0" w:firstRowFirstColumn="0" w:firstRowLastColumn="0" w:lastRowFirstColumn="0" w:lastRowLastColumn="0"/>
            <w:tcW w:w="1558" w:type="dxa"/>
          </w:tcPr>
          <w:p w14:paraId="6B2A17A7" w14:textId="77777777" w:rsidR="00572E3D" w:rsidRPr="008B36A4" w:rsidRDefault="00572E3D" w:rsidP="00611086">
            <w:r w:rsidRPr="008B36A4">
              <w:t xml:space="preserve">b. Most [girl/boys] at [school name] </w:t>
            </w:r>
          </w:p>
        </w:tc>
        <w:tc>
          <w:tcPr>
            <w:tcW w:w="1558" w:type="dxa"/>
          </w:tcPr>
          <w:p w14:paraId="48DA421A"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8" w:type="dxa"/>
          </w:tcPr>
          <w:p w14:paraId="7826B097"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8" w:type="dxa"/>
          </w:tcPr>
          <w:p w14:paraId="7F518631"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9" w:type="dxa"/>
          </w:tcPr>
          <w:p w14:paraId="7595F105"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9" w:type="dxa"/>
          </w:tcPr>
          <w:p w14:paraId="144C4A53"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bl>
    <w:p w14:paraId="2870B29C" w14:textId="77777777" w:rsidR="00572E3D" w:rsidRPr="008B36A4" w:rsidRDefault="00572E3D" w:rsidP="00572E3D"/>
    <w:p w14:paraId="0680C74B" w14:textId="77777777" w:rsidR="00572E3D" w:rsidRPr="008B36A4" w:rsidRDefault="00572E3D" w:rsidP="00AA5DD9">
      <w:pPr>
        <w:pStyle w:val="ListParagraph"/>
        <w:numPr>
          <w:ilvl w:val="0"/>
          <w:numId w:val="2"/>
        </w:numPr>
        <w:spacing w:after="160" w:line="259" w:lineRule="auto"/>
        <w:rPr>
          <w:sz w:val="24"/>
          <w:szCs w:val="24"/>
        </w:rPr>
      </w:pPr>
      <w:r w:rsidRPr="008B36A4">
        <w:rPr>
          <w:b/>
          <w:i/>
          <w:noProof/>
          <w:lang w:eastAsia="en-GB"/>
        </w:rPr>
        <w:drawing>
          <wp:anchor distT="0" distB="0" distL="114300" distR="114300" simplePos="0" relativeHeight="251648000" behindDoc="1" locked="0" layoutInCell="1" allowOverlap="1" wp14:anchorId="50382ECB" wp14:editId="1667F093">
            <wp:simplePos x="0" y="0"/>
            <wp:positionH relativeFrom="column">
              <wp:posOffset>3981450</wp:posOffset>
            </wp:positionH>
            <wp:positionV relativeFrom="paragraph">
              <wp:posOffset>372745</wp:posOffset>
            </wp:positionV>
            <wp:extent cx="390525" cy="304800"/>
            <wp:effectExtent l="0" t="0" r="9525" b="0"/>
            <wp:wrapTight wrapText="bothSides">
              <wp:wrapPolygon edited="0">
                <wp:start x="0" y="0"/>
                <wp:lineTo x="0" y="20250"/>
                <wp:lineTo x="21073" y="20250"/>
                <wp:lineTo x="21073" y="0"/>
                <wp:lineTo x="0" y="0"/>
              </wp:wrapPolygon>
            </wp:wrapTight>
            <wp:docPr id="197" name="Picture 197" descr="Image result for school students clipart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students clipart tic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36A4">
        <w:rPr>
          <w:sz w:val="24"/>
          <w:szCs w:val="24"/>
        </w:rPr>
        <w:t xml:space="preserve">Think about tea/evening meal, in the </w:t>
      </w:r>
      <w:r w:rsidRPr="008B36A4">
        <w:rPr>
          <w:b/>
          <w:sz w:val="24"/>
          <w:szCs w:val="24"/>
          <w:u w:val="single"/>
        </w:rPr>
        <w:t>past week</w:t>
      </w:r>
      <w:r w:rsidRPr="008B36A4">
        <w:rPr>
          <w:sz w:val="24"/>
          <w:szCs w:val="24"/>
        </w:rPr>
        <w:t xml:space="preserve"> how many times do you think tea/evening meal was eaten by….</w:t>
      </w:r>
    </w:p>
    <w:p w14:paraId="156A39B4" w14:textId="77777777" w:rsidR="00572E3D" w:rsidRPr="008B36A4" w:rsidRDefault="00572E3D" w:rsidP="00572E3D">
      <w:pPr>
        <w:pStyle w:val="ListParagraph"/>
        <w:jc w:val="right"/>
        <w:rPr>
          <w:b/>
          <w:i/>
        </w:rPr>
      </w:pPr>
      <w:r w:rsidRPr="00BB5993">
        <w:rPr>
          <w:b/>
          <w:i/>
          <w:highlight w:val="lightGray"/>
        </w:rPr>
        <w:t>Tick one box from each line</w:t>
      </w:r>
    </w:p>
    <w:tbl>
      <w:tblPr>
        <w:tblStyle w:val="PlainTable12"/>
        <w:tblW w:w="0" w:type="auto"/>
        <w:tblLook w:val="04A0" w:firstRow="1" w:lastRow="0" w:firstColumn="1" w:lastColumn="0" w:noHBand="0" w:noVBand="1"/>
      </w:tblPr>
      <w:tblGrid>
        <w:gridCol w:w="1530"/>
        <w:gridCol w:w="1502"/>
        <w:gridCol w:w="1494"/>
        <w:gridCol w:w="1494"/>
        <w:gridCol w:w="1495"/>
        <w:gridCol w:w="1501"/>
      </w:tblGrid>
      <w:tr w:rsidR="00572E3D" w:rsidRPr="008B36A4" w14:paraId="76EDEDA8" w14:textId="77777777" w:rsidTr="00611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7345D5F" w14:textId="77777777" w:rsidR="00572E3D" w:rsidRPr="008B36A4" w:rsidRDefault="00572E3D" w:rsidP="00611086"/>
        </w:tc>
        <w:tc>
          <w:tcPr>
            <w:tcW w:w="1558" w:type="dxa"/>
          </w:tcPr>
          <w:p w14:paraId="1EEEDB15"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Never</w:t>
            </w:r>
          </w:p>
        </w:tc>
        <w:tc>
          <w:tcPr>
            <w:tcW w:w="1558" w:type="dxa"/>
          </w:tcPr>
          <w:p w14:paraId="4C5778BD"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1-2 days</w:t>
            </w:r>
          </w:p>
        </w:tc>
        <w:tc>
          <w:tcPr>
            <w:tcW w:w="1558" w:type="dxa"/>
          </w:tcPr>
          <w:p w14:paraId="52BFC8C5"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3-4 days</w:t>
            </w:r>
          </w:p>
        </w:tc>
        <w:tc>
          <w:tcPr>
            <w:tcW w:w="1559" w:type="dxa"/>
          </w:tcPr>
          <w:p w14:paraId="22860CCD"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5-6 days</w:t>
            </w:r>
          </w:p>
        </w:tc>
        <w:tc>
          <w:tcPr>
            <w:tcW w:w="1559" w:type="dxa"/>
          </w:tcPr>
          <w:p w14:paraId="0BA5E925" w14:textId="77777777" w:rsidR="00572E3D" w:rsidRPr="008B36A4" w:rsidRDefault="00572E3D" w:rsidP="00611086">
            <w:pPr>
              <w:cnfStyle w:val="100000000000" w:firstRow="1" w:lastRow="0" w:firstColumn="0" w:lastColumn="0" w:oddVBand="0" w:evenVBand="0" w:oddHBand="0" w:evenHBand="0" w:firstRowFirstColumn="0" w:firstRowLastColumn="0" w:lastRowFirstColumn="0" w:lastRowLastColumn="0"/>
            </w:pPr>
            <w:r w:rsidRPr="008B36A4">
              <w:t>Every day</w:t>
            </w:r>
          </w:p>
        </w:tc>
      </w:tr>
      <w:tr w:rsidR="00572E3D" w:rsidRPr="008B36A4" w14:paraId="41D7D518" w14:textId="77777777" w:rsidTr="0061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0C32F3C" w14:textId="77777777" w:rsidR="00572E3D" w:rsidRPr="008B36A4" w:rsidRDefault="00572E3D" w:rsidP="00611086">
            <w:r w:rsidRPr="008B36A4">
              <w:t>a. You</w:t>
            </w:r>
          </w:p>
        </w:tc>
        <w:tc>
          <w:tcPr>
            <w:tcW w:w="1558" w:type="dxa"/>
          </w:tcPr>
          <w:p w14:paraId="7AF7C52B"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8" w:type="dxa"/>
          </w:tcPr>
          <w:p w14:paraId="0E54018E"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8" w:type="dxa"/>
          </w:tcPr>
          <w:p w14:paraId="47CC4CAC"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9" w:type="dxa"/>
          </w:tcPr>
          <w:p w14:paraId="03A64325"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c>
          <w:tcPr>
            <w:tcW w:w="1559" w:type="dxa"/>
          </w:tcPr>
          <w:p w14:paraId="1C6AA20F" w14:textId="77777777" w:rsidR="00572E3D" w:rsidRPr="008B36A4" w:rsidRDefault="00572E3D" w:rsidP="00611086">
            <w:pPr>
              <w:jc w:val="center"/>
              <w:cnfStyle w:val="000000100000" w:firstRow="0" w:lastRow="0" w:firstColumn="0" w:lastColumn="0" w:oddVBand="0" w:evenVBand="0" w:oddHBand="1" w:evenHBand="0" w:firstRowFirstColumn="0" w:firstRowLastColumn="0" w:lastRowFirstColumn="0" w:lastRowLastColumn="0"/>
              <w:rPr>
                <w:sz w:val="36"/>
                <w:szCs w:val="36"/>
              </w:rPr>
            </w:pPr>
            <w:r w:rsidRPr="008B36A4">
              <w:rPr>
                <w:sz w:val="36"/>
                <w:szCs w:val="36"/>
              </w:rPr>
              <w:t>□</w:t>
            </w:r>
          </w:p>
        </w:tc>
      </w:tr>
      <w:tr w:rsidR="00572E3D" w:rsidRPr="008B36A4" w14:paraId="3A0DC077" w14:textId="77777777" w:rsidTr="00611086">
        <w:tc>
          <w:tcPr>
            <w:cnfStyle w:val="001000000000" w:firstRow="0" w:lastRow="0" w:firstColumn="1" w:lastColumn="0" w:oddVBand="0" w:evenVBand="0" w:oddHBand="0" w:evenHBand="0" w:firstRowFirstColumn="0" w:firstRowLastColumn="0" w:lastRowFirstColumn="0" w:lastRowLastColumn="0"/>
            <w:tcW w:w="1558" w:type="dxa"/>
          </w:tcPr>
          <w:p w14:paraId="1016C3AD" w14:textId="77777777" w:rsidR="00572E3D" w:rsidRPr="008B36A4" w:rsidRDefault="00572E3D" w:rsidP="00611086">
            <w:r w:rsidRPr="008B36A4">
              <w:t xml:space="preserve">b. Most [girl/boys] at [school name] </w:t>
            </w:r>
          </w:p>
        </w:tc>
        <w:tc>
          <w:tcPr>
            <w:tcW w:w="1558" w:type="dxa"/>
          </w:tcPr>
          <w:p w14:paraId="545D820A"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8" w:type="dxa"/>
          </w:tcPr>
          <w:p w14:paraId="22528A55"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8" w:type="dxa"/>
          </w:tcPr>
          <w:p w14:paraId="5391AA6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9" w:type="dxa"/>
          </w:tcPr>
          <w:p w14:paraId="16433538"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c>
          <w:tcPr>
            <w:tcW w:w="1559" w:type="dxa"/>
          </w:tcPr>
          <w:p w14:paraId="2B5D6C3A" w14:textId="77777777" w:rsidR="00572E3D" w:rsidRPr="008B36A4" w:rsidRDefault="00572E3D" w:rsidP="00611086">
            <w:pPr>
              <w:jc w:val="center"/>
              <w:cnfStyle w:val="000000000000" w:firstRow="0" w:lastRow="0" w:firstColumn="0" w:lastColumn="0" w:oddVBand="0" w:evenVBand="0" w:oddHBand="0" w:evenHBand="0" w:firstRowFirstColumn="0" w:firstRowLastColumn="0" w:lastRowFirstColumn="0" w:lastRowLastColumn="0"/>
              <w:rPr>
                <w:sz w:val="36"/>
                <w:szCs w:val="36"/>
              </w:rPr>
            </w:pPr>
            <w:r w:rsidRPr="008B36A4">
              <w:rPr>
                <w:sz w:val="36"/>
                <w:szCs w:val="36"/>
              </w:rPr>
              <w:t>□</w:t>
            </w:r>
          </w:p>
        </w:tc>
      </w:tr>
    </w:tbl>
    <w:p w14:paraId="3C9D7570" w14:textId="77777777" w:rsidR="00572E3D" w:rsidRPr="008B36A4" w:rsidRDefault="00572E3D" w:rsidP="00572E3D">
      <w:pPr>
        <w:jc w:val="center"/>
      </w:pPr>
    </w:p>
    <w:p w14:paraId="7FAF2C37" w14:textId="77777777" w:rsidR="00572E3D" w:rsidRPr="008B36A4" w:rsidRDefault="00572E3D" w:rsidP="00572E3D">
      <w:pPr>
        <w:jc w:val="center"/>
      </w:pPr>
    </w:p>
    <w:p w14:paraId="7E4034B6" w14:textId="77777777" w:rsidR="00572E3D" w:rsidRPr="008B36A4" w:rsidRDefault="00572E3D" w:rsidP="00572E3D">
      <w:pPr>
        <w:jc w:val="center"/>
        <w:rPr>
          <w:b/>
        </w:rPr>
      </w:pPr>
      <w:r w:rsidRPr="008B36A4">
        <w:rPr>
          <w:b/>
        </w:rPr>
        <w:t>THANK YOU</w:t>
      </w:r>
    </w:p>
    <w:p w14:paraId="00331857" w14:textId="77777777" w:rsidR="00572E3D" w:rsidRPr="008B36A4" w:rsidRDefault="00572E3D" w:rsidP="00572E3D">
      <w:pPr>
        <w:jc w:val="center"/>
        <w:rPr>
          <w:b/>
        </w:rPr>
      </w:pPr>
      <w:r w:rsidRPr="008B36A4">
        <w:rPr>
          <w:b/>
        </w:rPr>
        <w:t xml:space="preserve">Please return the questionnaire to the teacher </w:t>
      </w:r>
    </w:p>
    <w:p w14:paraId="43397C93" w14:textId="77777777" w:rsidR="00572E3D" w:rsidRDefault="00572E3D" w:rsidP="00572E3D">
      <w:pPr>
        <w:jc w:val="center"/>
      </w:pPr>
      <w:r w:rsidRPr="00715DED">
        <w:rPr>
          <w:noProof/>
          <w:highlight w:val="yellow"/>
          <w:lang w:eastAsia="en-GB"/>
        </w:rPr>
        <w:drawing>
          <wp:anchor distT="0" distB="0" distL="114300" distR="114300" simplePos="0" relativeHeight="251652096" behindDoc="1" locked="0" layoutInCell="1" allowOverlap="1" wp14:anchorId="2C84EE2D" wp14:editId="02B205B9">
            <wp:simplePos x="0" y="0"/>
            <wp:positionH relativeFrom="column">
              <wp:posOffset>2515870</wp:posOffset>
            </wp:positionH>
            <wp:positionV relativeFrom="paragraph">
              <wp:posOffset>-23495</wp:posOffset>
            </wp:positionV>
            <wp:extent cx="714375" cy="552450"/>
            <wp:effectExtent l="0" t="0" r="9525" b="0"/>
            <wp:wrapTight wrapText="bothSides">
              <wp:wrapPolygon edited="0">
                <wp:start x="0" y="0"/>
                <wp:lineTo x="0" y="20855"/>
                <wp:lineTo x="21312" y="20855"/>
                <wp:lineTo x="21312" y="0"/>
                <wp:lineTo x="0" y="0"/>
              </wp:wrapPolygon>
            </wp:wrapTight>
            <wp:docPr id="247" name="Picture 2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Ic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14375" cy="552450"/>
                    </a:xfrm>
                    <a:prstGeom prst="rect">
                      <a:avLst/>
                    </a:prstGeom>
                  </pic:spPr>
                </pic:pic>
              </a:graphicData>
            </a:graphic>
            <wp14:sizeRelH relativeFrom="page">
              <wp14:pctWidth>0</wp14:pctWidth>
            </wp14:sizeRelH>
            <wp14:sizeRelV relativeFrom="page">
              <wp14:pctHeight>0</wp14:pctHeight>
            </wp14:sizeRelV>
          </wp:anchor>
        </w:drawing>
      </w:r>
      <w:r w:rsidRPr="000E129F">
        <w:rPr>
          <w:b/>
          <w:sz w:val="28"/>
          <w:szCs w:val="28"/>
        </w:rPr>
        <w:t xml:space="preserve"> </w:t>
      </w:r>
    </w:p>
    <w:p w14:paraId="0F6CEB5F" w14:textId="77777777" w:rsidR="00572E3D" w:rsidRDefault="00572E3D" w:rsidP="00572E3D"/>
    <w:p w14:paraId="608E66D0" w14:textId="77777777" w:rsidR="00572E3D" w:rsidRDefault="00572E3D" w:rsidP="00572E3D"/>
    <w:p w14:paraId="520B2875" w14:textId="77777777" w:rsidR="00572E3D" w:rsidRDefault="00572E3D" w:rsidP="00572E3D"/>
    <w:p w14:paraId="111BE3C1" w14:textId="77777777" w:rsidR="00572E3D" w:rsidRDefault="00572E3D" w:rsidP="00572E3D"/>
    <w:bookmarkStart w:id="365" w:name="_Toc84845184"/>
    <w:bookmarkStart w:id="366" w:name="_Toc84854195"/>
    <w:p w14:paraId="2F3277F7" w14:textId="13D98DF3" w:rsidR="00572E3D" w:rsidRPr="00265133" w:rsidRDefault="00572E3D" w:rsidP="00572E3D">
      <w:r w:rsidRPr="00E272EB">
        <w:lastRenderedPageBreak/>
        <w:fldChar w:fldCharType="begin"/>
      </w:r>
      <w:r w:rsidRPr="00E272EB">
        <w:instrText xml:space="preserve"> TC  " </w:instrText>
      </w:r>
      <w:bookmarkStart w:id="367" w:name="_Toc97557174"/>
      <w:r w:rsidRPr="00265133">
        <w:instrText xml:space="preserve">Appendix </w:instrText>
      </w:r>
      <w:r w:rsidR="00D236D4">
        <w:instrText>2</w:instrText>
      </w:r>
      <w:r w:rsidR="007F5E1F">
        <w:instrText>2</w:instrText>
      </w:r>
      <w:r w:rsidRPr="00265133">
        <w:instrText xml:space="preserve">: </w:instrText>
      </w:r>
      <w:r>
        <w:instrText>Control school student debrief (</w:instrText>
      </w:r>
      <w:r w:rsidR="00375C06">
        <w:instrText>Studies Two and Three</w:instrText>
      </w:r>
      <w:r>
        <w:instrText xml:space="preserve">, </w:instrText>
      </w:r>
      <w:r w:rsidRPr="00265133">
        <w:instrText>Chapter 7 and 8)</w:instrText>
      </w:r>
      <w:bookmarkEnd w:id="367"/>
      <w:r w:rsidRPr="00E272EB">
        <w:instrText xml:space="preserve">" \f y\l </w:instrText>
      </w:r>
      <w:r>
        <w:instrText>2</w:instrText>
      </w:r>
      <w:r w:rsidRPr="00E272EB">
        <w:instrText xml:space="preserve"> </w:instrText>
      </w:r>
      <w:r w:rsidRPr="00E272EB">
        <w:fldChar w:fldCharType="end"/>
      </w:r>
      <w:r w:rsidRPr="00265133">
        <w:t xml:space="preserve">Appendix </w:t>
      </w:r>
      <w:r w:rsidR="00D236D4">
        <w:t>2</w:t>
      </w:r>
      <w:r w:rsidR="007F5E1F">
        <w:t>2</w:t>
      </w:r>
      <w:r w:rsidRPr="00265133">
        <w:t>: Control school student debrief (</w:t>
      </w:r>
      <w:r w:rsidR="00375C06">
        <w:t>Studies Two and Three</w:t>
      </w:r>
      <w:r w:rsidRPr="00265133">
        <w:t>, Chapter 7 and 8)</w:t>
      </w:r>
      <w:bookmarkEnd w:id="365"/>
      <w:bookmarkEnd w:id="366"/>
    </w:p>
    <w:p w14:paraId="3E310550" w14:textId="77777777" w:rsidR="00572E3D" w:rsidRPr="006D6711" w:rsidRDefault="00572E3D" w:rsidP="00572E3D">
      <w:pPr>
        <w:rPr>
          <w:rFonts w:ascii="Calibri" w:eastAsia="Calibri" w:hAnsi="Calibri" w:cs="Times New Roman"/>
        </w:rPr>
      </w:pPr>
    </w:p>
    <w:p w14:paraId="79A5ABF2" w14:textId="77777777" w:rsidR="00572E3D" w:rsidRPr="006D6711" w:rsidRDefault="00572E3D" w:rsidP="00572E3D">
      <w:pPr>
        <w:rPr>
          <w:rFonts w:ascii="Calibri" w:eastAsia="Calibri" w:hAnsi="Calibri" w:cs="Times New Roman"/>
        </w:rPr>
      </w:pPr>
      <w:r w:rsidRPr="00A42988">
        <w:rPr>
          <w:rFonts w:ascii="Calibri" w:eastAsia="Calibri" w:hAnsi="Calibri" w:cs="Times New Roman"/>
          <w:b/>
          <w:noProof/>
          <w:u w:val="single"/>
          <w:lang w:eastAsia="en-GB"/>
        </w:rPr>
        <w:drawing>
          <wp:anchor distT="0" distB="0" distL="114300" distR="114300" simplePos="0" relativeHeight="251657216" behindDoc="1" locked="0" layoutInCell="1" allowOverlap="1" wp14:anchorId="029247BA" wp14:editId="40D662EB">
            <wp:simplePos x="0" y="0"/>
            <wp:positionH relativeFrom="column">
              <wp:posOffset>4746803</wp:posOffset>
            </wp:positionH>
            <wp:positionV relativeFrom="paragraph">
              <wp:posOffset>534</wp:posOffset>
            </wp:positionV>
            <wp:extent cx="971550" cy="1104900"/>
            <wp:effectExtent l="0" t="0" r="0" b="0"/>
            <wp:wrapTight wrapText="bothSides">
              <wp:wrapPolygon edited="0">
                <wp:start x="0" y="0"/>
                <wp:lineTo x="0" y="21228"/>
                <wp:lineTo x="21176" y="21228"/>
                <wp:lineTo x="21176" y="0"/>
                <wp:lineTo x="0" y="0"/>
              </wp:wrapPolygon>
            </wp:wrapTight>
            <wp:docPr id="243" name="Picture 2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p>
    <w:p w14:paraId="63C2539B" w14:textId="77777777" w:rsidR="00572E3D" w:rsidRPr="006D6711" w:rsidRDefault="00572E3D" w:rsidP="00572E3D">
      <w:pPr>
        <w:rPr>
          <w:rFonts w:ascii="Calibri" w:eastAsia="Calibri" w:hAnsi="Calibri" w:cs="Times New Roman"/>
        </w:rPr>
      </w:pPr>
    </w:p>
    <w:p w14:paraId="310E4258" w14:textId="77777777" w:rsidR="00572E3D" w:rsidRPr="006D6711" w:rsidRDefault="00572E3D" w:rsidP="00572E3D">
      <w:pPr>
        <w:rPr>
          <w:rFonts w:ascii="Calibri" w:eastAsia="Calibri" w:hAnsi="Calibri" w:cs="Times New Roman"/>
        </w:rPr>
      </w:pPr>
    </w:p>
    <w:p w14:paraId="0B13E611" w14:textId="77777777" w:rsidR="00572E3D" w:rsidRPr="006D6711" w:rsidRDefault="00572E3D" w:rsidP="00572E3D">
      <w:pPr>
        <w:rPr>
          <w:rFonts w:ascii="Calibri" w:eastAsia="Calibri" w:hAnsi="Calibri" w:cs="Times New Roman"/>
        </w:rPr>
      </w:pPr>
    </w:p>
    <w:p w14:paraId="156DC137" w14:textId="77777777" w:rsidR="00572E3D" w:rsidRPr="006D6711" w:rsidRDefault="00572E3D" w:rsidP="00572E3D">
      <w:pPr>
        <w:rPr>
          <w:rFonts w:ascii="Calibri" w:eastAsia="Calibri" w:hAnsi="Calibri" w:cs="Times New Roman"/>
        </w:rPr>
      </w:pPr>
    </w:p>
    <w:p w14:paraId="2E9A26CF" w14:textId="09D21912" w:rsidR="00572E3D" w:rsidRPr="006D6711" w:rsidRDefault="003A63F8" w:rsidP="00572E3D">
      <w:pPr>
        <w:jc w:val="center"/>
        <w:rPr>
          <w:rFonts w:ascii="Calibri" w:eastAsia="Calibri" w:hAnsi="Calibri" w:cs="Times New Roman"/>
          <w:sz w:val="28"/>
          <w:szCs w:val="28"/>
        </w:rPr>
      </w:pPr>
      <w:r>
        <w:rPr>
          <w:rFonts w:ascii="Calibri" w:eastAsia="Calibri" w:hAnsi="Calibri" w:cs="Times New Roman"/>
          <w:b/>
          <w:sz w:val="28"/>
          <w:szCs w:val="28"/>
          <w:u w:val="single"/>
        </w:rPr>
        <w:t>Debrief</w:t>
      </w:r>
      <w:r w:rsidR="00572E3D">
        <w:rPr>
          <w:rFonts w:ascii="Calibri" w:eastAsia="Calibri" w:hAnsi="Calibri" w:cs="Times New Roman"/>
          <w:b/>
          <w:sz w:val="28"/>
          <w:szCs w:val="28"/>
          <w:u w:val="single"/>
        </w:rPr>
        <w:t>– control school</w:t>
      </w:r>
    </w:p>
    <w:p w14:paraId="6ACFA624" w14:textId="77777777" w:rsidR="00572E3D" w:rsidRPr="006D6711" w:rsidRDefault="00572E3D" w:rsidP="00572E3D">
      <w:pPr>
        <w:rPr>
          <w:rFonts w:ascii="Calibri" w:eastAsia="Calibri" w:hAnsi="Calibri" w:cs="Times New Roman"/>
          <w:sz w:val="24"/>
          <w:szCs w:val="24"/>
        </w:rPr>
      </w:pPr>
      <w:r w:rsidRPr="006D6711">
        <w:rPr>
          <w:rFonts w:ascii="Calibri" w:eastAsia="Calibri" w:hAnsi="Calibri" w:cs="Times New Roman"/>
          <w:sz w:val="24"/>
          <w:szCs w:val="24"/>
        </w:rPr>
        <w:t>Thank you for taking part in the healthy eating re</w:t>
      </w:r>
      <w:r>
        <w:rPr>
          <w:rFonts w:ascii="Calibri" w:eastAsia="Calibri" w:hAnsi="Calibri" w:cs="Times New Roman"/>
          <w:sz w:val="24"/>
          <w:szCs w:val="24"/>
        </w:rPr>
        <w:t>search</w:t>
      </w:r>
      <w:r w:rsidRPr="006D6711">
        <w:rPr>
          <w:rFonts w:ascii="Calibri" w:eastAsia="Calibri" w:hAnsi="Calibri" w:cs="Times New Roman"/>
          <w:sz w:val="24"/>
          <w:szCs w:val="24"/>
        </w:rPr>
        <w:t xml:space="preserve">. The research aims to </w:t>
      </w:r>
      <w:r>
        <w:rPr>
          <w:rFonts w:ascii="Calibri" w:eastAsia="Calibri" w:hAnsi="Calibri" w:cs="Times New Roman"/>
          <w:sz w:val="24"/>
          <w:szCs w:val="24"/>
        </w:rPr>
        <w:t xml:space="preserve">use healthy eating literature to improve eating behaviours </w:t>
      </w:r>
      <w:r w:rsidRPr="004204D1">
        <w:rPr>
          <w:rFonts w:ascii="Calibri" w:eastAsia="Calibri" w:hAnsi="Calibri" w:cs="Times New Roman"/>
          <w:sz w:val="24"/>
          <w:szCs w:val="24"/>
        </w:rPr>
        <w:t>within your school year. Please</w:t>
      </w:r>
      <w:r w:rsidRPr="006D6711">
        <w:rPr>
          <w:rFonts w:ascii="Calibri" w:eastAsia="Calibri" w:hAnsi="Calibri" w:cs="Times New Roman"/>
          <w:sz w:val="24"/>
          <w:szCs w:val="24"/>
        </w:rPr>
        <w:t xml:space="preserve"> be assured that no individual will be identified or identifiable from the notes taken. </w:t>
      </w:r>
    </w:p>
    <w:p w14:paraId="3B25B634" w14:textId="77777777" w:rsidR="00572E3D" w:rsidRPr="006D6711" w:rsidRDefault="00572E3D" w:rsidP="00572E3D">
      <w:pPr>
        <w:rPr>
          <w:rFonts w:ascii="Calibri" w:eastAsia="Calibri" w:hAnsi="Calibri" w:cs="Times New Roman"/>
          <w:sz w:val="24"/>
          <w:szCs w:val="24"/>
        </w:rPr>
      </w:pPr>
      <w:r w:rsidRPr="006D6711">
        <w:rPr>
          <w:rFonts w:ascii="Calibri" w:eastAsia="Calibri" w:hAnsi="Calibri" w:cs="Times New Roman"/>
          <w:sz w:val="24"/>
          <w:szCs w:val="24"/>
        </w:rPr>
        <w:t xml:space="preserve">Thank you again for taking part in the </w:t>
      </w:r>
      <w:r>
        <w:rPr>
          <w:rFonts w:ascii="Calibri" w:eastAsia="Calibri" w:hAnsi="Calibri" w:cs="Times New Roman"/>
          <w:sz w:val="24"/>
          <w:szCs w:val="24"/>
        </w:rPr>
        <w:t>healthy eating research</w:t>
      </w:r>
      <w:r w:rsidRPr="006D6711">
        <w:rPr>
          <w:rFonts w:ascii="Calibri" w:eastAsia="Calibri" w:hAnsi="Calibri" w:cs="Times New Roman"/>
          <w:sz w:val="24"/>
          <w:szCs w:val="24"/>
        </w:rPr>
        <w:t>. If you have any further questions, please contact me or one of my supervisors.</w:t>
      </w:r>
    </w:p>
    <w:p w14:paraId="30CBBDEF" w14:textId="77777777" w:rsidR="00572E3D" w:rsidRPr="006D6711" w:rsidRDefault="00572E3D" w:rsidP="00572E3D">
      <w:pPr>
        <w:spacing w:after="0" w:line="240" w:lineRule="auto"/>
        <w:rPr>
          <w:rFonts w:ascii="Calibri" w:eastAsia="Calibri" w:hAnsi="Calibri" w:cs="Times New Roman"/>
          <w:sz w:val="24"/>
          <w:szCs w:val="24"/>
        </w:rPr>
      </w:pPr>
    </w:p>
    <w:p w14:paraId="134259E3" w14:textId="77777777" w:rsidR="00572E3D" w:rsidRPr="005F5767" w:rsidRDefault="00572E3D" w:rsidP="00572E3D">
      <w:pPr>
        <w:spacing w:after="0" w:line="240" w:lineRule="auto"/>
        <w:rPr>
          <w:rFonts w:ascii="Calibri" w:eastAsia="Calibri" w:hAnsi="Calibri" w:cs="Times New Roman"/>
          <w:sz w:val="24"/>
          <w:szCs w:val="24"/>
          <w:lang w:val="it-IT"/>
        </w:rPr>
      </w:pPr>
      <w:r w:rsidRPr="005F5767">
        <w:rPr>
          <w:rFonts w:ascii="Calibri" w:eastAsia="Calibri" w:hAnsi="Calibri" w:cs="Times New Roman"/>
          <w:sz w:val="24"/>
          <w:szCs w:val="24"/>
          <w:lang w:val="it-IT"/>
        </w:rPr>
        <w:t>Sian Calvert</w:t>
      </w:r>
    </w:p>
    <w:p w14:paraId="737F07B1" w14:textId="77777777" w:rsidR="00572E3D" w:rsidRPr="005F5767" w:rsidRDefault="00572E3D" w:rsidP="00572E3D">
      <w:pPr>
        <w:spacing w:after="0" w:line="240" w:lineRule="auto"/>
        <w:rPr>
          <w:rFonts w:ascii="Calibri" w:eastAsia="Calibri" w:hAnsi="Calibri" w:cs="Times New Roman"/>
          <w:lang w:val="it-IT"/>
        </w:rPr>
      </w:pPr>
    </w:p>
    <w:p w14:paraId="6B571446" w14:textId="77777777" w:rsidR="00572E3D" w:rsidRPr="005F5767" w:rsidRDefault="00322DCE" w:rsidP="00572E3D">
      <w:pPr>
        <w:spacing w:after="0" w:line="240" w:lineRule="auto"/>
        <w:rPr>
          <w:rFonts w:ascii="Calibri" w:eastAsia="Calibri" w:hAnsi="Calibri" w:cs="Times New Roman"/>
          <w:color w:val="0563C1"/>
          <w:u w:val="single"/>
          <w:lang w:val="it-IT"/>
        </w:rPr>
      </w:pPr>
      <w:hyperlink r:id="rId100" w:history="1">
        <w:r w:rsidR="00572E3D" w:rsidRPr="005F5767">
          <w:rPr>
            <w:rFonts w:ascii="Calibri" w:eastAsia="Calibri" w:hAnsi="Calibri" w:cs="Times New Roman"/>
            <w:color w:val="0563C1"/>
            <w:u w:val="single"/>
            <w:lang w:val="it-IT"/>
          </w:rPr>
          <w:t>Sian.calvert@research.staffs.ac.uk</w:t>
        </w:r>
      </w:hyperlink>
    </w:p>
    <w:p w14:paraId="06B1AEC1" w14:textId="77777777" w:rsidR="00572E3D" w:rsidRPr="006D6711" w:rsidRDefault="00572E3D" w:rsidP="00572E3D">
      <w:pPr>
        <w:spacing w:after="0" w:line="240" w:lineRule="auto"/>
        <w:rPr>
          <w:rFonts w:ascii="Calibri" w:eastAsia="Calibri" w:hAnsi="Calibri" w:cs="Times New Roman"/>
        </w:rPr>
      </w:pPr>
      <w:r w:rsidRPr="006D6711">
        <w:rPr>
          <w:rFonts w:ascii="Calibri" w:eastAsia="Calibri" w:hAnsi="Calibri" w:cs="Times New Roman"/>
          <w:i/>
        </w:rPr>
        <w:t xml:space="preserve">PhD student in psychology, Staffordshire University </w:t>
      </w:r>
    </w:p>
    <w:p w14:paraId="6989D630" w14:textId="77777777" w:rsidR="00572E3D" w:rsidRPr="006D6711" w:rsidRDefault="00572E3D" w:rsidP="00572E3D">
      <w:pPr>
        <w:spacing w:after="0" w:line="240" w:lineRule="auto"/>
        <w:rPr>
          <w:rFonts w:ascii="Calibri" w:eastAsia="Calibri" w:hAnsi="Calibri" w:cs="Times New Roman"/>
          <w:u w:val="single"/>
        </w:rPr>
      </w:pPr>
    </w:p>
    <w:p w14:paraId="67EAD27E" w14:textId="77777777" w:rsidR="00572E3D" w:rsidRDefault="00572E3D" w:rsidP="00572E3D">
      <w:pPr>
        <w:spacing w:after="0" w:line="240" w:lineRule="auto"/>
        <w:rPr>
          <w:rFonts w:ascii="Calibri" w:eastAsia="Calibri" w:hAnsi="Calibri" w:cs="Times New Roman"/>
        </w:rPr>
        <w:sectPr w:rsidR="00572E3D" w:rsidSect="00B32EBC">
          <w:type w:val="continuous"/>
          <w:pgSz w:w="11906" w:h="16838"/>
          <w:pgMar w:top="1440" w:right="1440" w:bottom="1440" w:left="1440" w:header="708" w:footer="708" w:gutter="0"/>
          <w:cols w:space="708"/>
          <w:docGrid w:linePitch="360"/>
        </w:sectPr>
      </w:pPr>
    </w:p>
    <w:p w14:paraId="369A0A8F" w14:textId="77777777" w:rsidR="00572E3D" w:rsidRPr="00BB1786" w:rsidRDefault="00572E3D" w:rsidP="00572E3D">
      <w:pPr>
        <w:spacing w:after="0" w:line="240" w:lineRule="auto"/>
        <w:rPr>
          <w:rFonts w:ascii="Calibri" w:eastAsia="Calibri" w:hAnsi="Calibri" w:cs="Times New Roman"/>
        </w:rPr>
      </w:pPr>
      <w:r w:rsidRPr="00BB1786">
        <w:rPr>
          <w:rFonts w:ascii="Calibri" w:eastAsia="Calibri" w:hAnsi="Calibri" w:cs="Times New Roman"/>
        </w:rPr>
        <w:t xml:space="preserve">Dr. Robert Dempsey </w:t>
      </w:r>
    </w:p>
    <w:p w14:paraId="4E93E12C" w14:textId="77777777" w:rsidR="00572E3D" w:rsidRPr="00BB1786" w:rsidRDefault="00572E3D" w:rsidP="00572E3D">
      <w:pPr>
        <w:spacing w:after="0" w:line="240" w:lineRule="auto"/>
        <w:rPr>
          <w:rFonts w:ascii="Calibri" w:eastAsia="Calibri" w:hAnsi="Calibri" w:cs="Times New Roman"/>
        </w:rPr>
      </w:pPr>
      <w:r w:rsidRPr="00BB1786">
        <w:rPr>
          <w:rFonts w:ascii="Calibri" w:eastAsia="Calibri" w:hAnsi="Calibri" w:cs="Times New Roman"/>
        </w:rPr>
        <w:t>robert.dempsey@staffs.ac.uk</w:t>
      </w:r>
    </w:p>
    <w:p w14:paraId="1A322AEE" w14:textId="77777777" w:rsidR="00572E3D" w:rsidRPr="00BB1786" w:rsidRDefault="00572E3D" w:rsidP="00572E3D">
      <w:pPr>
        <w:spacing w:after="0" w:line="240" w:lineRule="auto"/>
        <w:rPr>
          <w:rFonts w:ascii="Calibri" w:eastAsia="Calibri" w:hAnsi="Calibri" w:cs="Times New Roman"/>
        </w:rPr>
      </w:pPr>
      <w:r w:rsidRPr="00BB1786">
        <w:rPr>
          <w:rFonts w:ascii="Calibri" w:eastAsia="Calibri" w:hAnsi="Calibri" w:cs="Times New Roman"/>
        </w:rPr>
        <w:t xml:space="preserve">Lecturer at Staffordshire University </w:t>
      </w:r>
    </w:p>
    <w:p w14:paraId="11A5AD0D" w14:textId="77777777" w:rsidR="00572E3D" w:rsidRPr="005F5767" w:rsidRDefault="00572E3D" w:rsidP="00572E3D">
      <w:pPr>
        <w:spacing w:after="0" w:line="240" w:lineRule="auto"/>
        <w:rPr>
          <w:rFonts w:ascii="Calibri" w:eastAsia="Calibri" w:hAnsi="Calibri" w:cs="Times New Roman"/>
          <w:lang w:val="it-IT"/>
        </w:rPr>
      </w:pPr>
      <w:r>
        <w:rPr>
          <w:rFonts w:ascii="Calibri" w:eastAsia="Calibri" w:hAnsi="Calibri" w:cs="Times New Roman"/>
          <w:lang w:val="it-IT"/>
        </w:rPr>
        <w:t>[Telephone number]</w:t>
      </w:r>
    </w:p>
    <w:p w14:paraId="1BEC953B" w14:textId="77777777" w:rsidR="00572E3D" w:rsidRPr="005F5767" w:rsidRDefault="00572E3D" w:rsidP="00572E3D">
      <w:pPr>
        <w:spacing w:after="0" w:line="240" w:lineRule="auto"/>
        <w:rPr>
          <w:rFonts w:ascii="Calibri" w:eastAsia="Calibri" w:hAnsi="Calibri" w:cs="Times New Roman"/>
          <w:lang w:val="it-IT"/>
        </w:rPr>
      </w:pPr>
    </w:p>
    <w:p w14:paraId="5E25B32D" w14:textId="77777777" w:rsidR="00572E3D" w:rsidRPr="005F5767" w:rsidRDefault="00572E3D" w:rsidP="00572E3D">
      <w:pPr>
        <w:spacing w:after="0" w:line="240" w:lineRule="auto"/>
        <w:rPr>
          <w:rFonts w:ascii="Calibri" w:eastAsia="Calibri" w:hAnsi="Calibri" w:cs="Times New Roman"/>
          <w:lang w:val="it-IT"/>
        </w:rPr>
      </w:pPr>
      <w:r w:rsidRPr="005F5767">
        <w:rPr>
          <w:rFonts w:ascii="Calibri" w:eastAsia="Calibri" w:hAnsi="Calibri" w:cs="Times New Roman"/>
          <w:lang w:val="it-IT"/>
        </w:rPr>
        <w:t xml:space="preserve">Dr. Rachel Povey </w:t>
      </w:r>
    </w:p>
    <w:p w14:paraId="6757AEC5" w14:textId="77777777" w:rsidR="00572E3D" w:rsidRPr="005F5767" w:rsidRDefault="00572E3D" w:rsidP="00572E3D">
      <w:pPr>
        <w:spacing w:after="0" w:line="240" w:lineRule="auto"/>
        <w:rPr>
          <w:rFonts w:ascii="Calibri" w:eastAsia="Calibri" w:hAnsi="Calibri" w:cs="Times New Roman"/>
          <w:lang w:val="it-IT"/>
        </w:rPr>
      </w:pPr>
      <w:r w:rsidRPr="005F5767">
        <w:rPr>
          <w:rFonts w:ascii="Calibri" w:eastAsia="Calibri" w:hAnsi="Calibri" w:cs="Times New Roman"/>
          <w:lang w:val="it-IT"/>
        </w:rPr>
        <w:t>r.povey@staffs.ac.uk</w:t>
      </w:r>
    </w:p>
    <w:p w14:paraId="29D8AB36" w14:textId="77777777" w:rsidR="00572E3D" w:rsidRPr="00BB1786" w:rsidRDefault="00572E3D" w:rsidP="00572E3D">
      <w:pPr>
        <w:spacing w:after="0" w:line="240" w:lineRule="auto"/>
        <w:rPr>
          <w:rFonts w:ascii="Calibri" w:eastAsia="Calibri" w:hAnsi="Calibri" w:cs="Times New Roman"/>
        </w:rPr>
      </w:pPr>
      <w:r>
        <w:rPr>
          <w:rFonts w:ascii="Calibri" w:eastAsia="Calibri" w:hAnsi="Calibri" w:cs="Times New Roman"/>
        </w:rPr>
        <w:t>Associate Professor in Health Psychology</w:t>
      </w:r>
      <w:r w:rsidRPr="00257283">
        <w:rPr>
          <w:rFonts w:ascii="Calibri" w:eastAsia="Calibri" w:hAnsi="Calibri" w:cs="Times New Roman"/>
        </w:rPr>
        <w:t xml:space="preserve"> </w:t>
      </w:r>
      <w:r w:rsidRPr="00BB1786">
        <w:rPr>
          <w:rFonts w:ascii="Calibri" w:eastAsia="Calibri" w:hAnsi="Calibri" w:cs="Times New Roman"/>
        </w:rPr>
        <w:t xml:space="preserve">at Staffordshire University </w:t>
      </w:r>
    </w:p>
    <w:p w14:paraId="782D02D1" w14:textId="77777777" w:rsidR="00572E3D" w:rsidRPr="005F5767" w:rsidRDefault="00572E3D" w:rsidP="00572E3D">
      <w:pPr>
        <w:spacing w:after="0" w:line="240" w:lineRule="auto"/>
        <w:rPr>
          <w:rFonts w:ascii="Calibri" w:eastAsia="Calibri" w:hAnsi="Calibri" w:cs="Times New Roman"/>
          <w:lang w:val="it-IT"/>
        </w:rPr>
      </w:pPr>
      <w:r>
        <w:rPr>
          <w:rFonts w:ascii="Calibri" w:eastAsia="Calibri" w:hAnsi="Calibri" w:cs="Times New Roman"/>
          <w:lang w:val="it-IT"/>
        </w:rPr>
        <w:t>[Telephone number]</w:t>
      </w:r>
    </w:p>
    <w:p w14:paraId="71D201B6" w14:textId="77777777" w:rsidR="00572E3D" w:rsidRDefault="00572E3D" w:rsidP="00572E3D">
      <w:pPr>
        <w:spacing w:after="0" w:line="240" w:lineRule="auto"/>
        <w:rPr>
          <w:rFonts w:ascii="Calibri" w:eastAsia="Calibri" w:hAnsi="Calibri" w:cs="Times New Roman"/>
        </w:rPr>
        <w:sectPr w:rsidR="00572E3D" w:rsidSect="00E311EC">
          <w:type w:val="continuous"/>
          <w:pgSz w:w="11906" w:h="16838"/>
          <w:pgMar w:top="1440" w:right="1440" w:bottom="1440" w:left="1440" w:header="708" w:footer="708" w:gutter="0"/>
          <w:cols w:num="2" w:space="708"/>
          <w:docGrid w:linePitch="360"/>
        </w:sectPr>
      </w:pPr>
    </w:p>
    <w:p w14:paraId="209891A3" w14:textId="77777777" w:rsidR="00572E3D" w:rsidRDefault="00572E3D" w:rsidP="00572E3D">
      <w:pPr>
        <w:spacing w:after="0" w:line="240" w:lineRule="auto"/>
        <w:rPr>
          <w:rFonts w:ascii="Calibri" w:eastAsia="Calibri" w:hAnsi="Calibri" w:cs="Times New Roman"/>
        </w:rPr>
      </w:pPr>
    </w:p>
    <w:p w14:paraId="1817F10F" w14:textId="77777777" w:rsidR="00572E3D" w:rsidRPr="00E311EC" w:rsidRDefault="00572E3D" w:rsidP="00572E3D">
      <w:pPr>
        <w:spacing w:line="256" w:lineRule="auto"/>
        <w:rPr>
          <w:rFonts w:ascii="Calibri" w:eastAsia="Calibri" w:hAnsi="Calibri" w:cs="Times New Roman"/>
        </w:rPr>
      </w:pPr>
      <w:r w:rsidRPr="00E311EC">
        <w:rPr>
          <w:rFonts w:ascii="Calibri" w:eastAsia="Calibri" w:hAnsi="Calibri" w:cs="Times New Roman"/>
        </w:rPr>
        <w:t>Contact details if you have any concerns about anything that has been discussed: -</w:t>
      </w:r>
    </w:p>
    <w:p w14:paraId="698793EE" w14:textId="77777777" w:rsidR="00572E3D" w:rsidRPr="00610953" w:rsidRDefault="00572E3D" w:rsidP="00572E3D">
      <w:pPr>
        <w:spacing w:line="256" w:lineRule="auto"/>
        <w:rPr>
          <w:rFonts w:ascii="Calibri" w:eastAsia="Calibri" w:hAnsi="Calibri" w:cs="Times New Roman"/>
        </w:rPr>
      </w:pPr>
      <w:r w:rsidRPr="00610953">
        <w:rPr>
          <w:rFonts w:ascii="Calibri" w:eastAsia="Calibri" w:hAnsi="Calibri" w:cs="Times New Roman"/>
          <w:noProof/>
          <w:lang w:eastAsia="en-GB"/>
        </w:rPr>
        <w:drawing>
          <wp:anchor distT="0" distB="0" distL="114300" distR="114300" simplePos="0" relativeHeight="251658240" behindDoc="1" locked="0" layoutInCell="1" allowOverlap="1" wp14:anchorId="7B9DB29F" wp14:editId="6BDA6D7A">
            <wp:simplePos x="0" y="0"/>
            <wp:positionH relativeFrom="column">
              <wp:posOffset>142240</wp:posOffset>
            </wp:positionH>
            <wp:positionV relativeFrom="paragraph">
              <wp:posOffset>145415</wp:posOffset>
            </wp:positionV>
            <wp:extent cx="1501140" cy="1337310"/>
            <wp:effectExtent l="0" t="0" r="3810" b="0"/>
            <wp:wrapTight wrapText="bothSides">
              <wp:wrapPolygon edited="0">
                <wp:start x="0" y="0"/>
                <wp:lineTo x="0" y="21231"/>
                <wp:lineTo x="21381" y="21231"/>
                <wp:lineTo x="21381" y="0"/>
                <wp:lineTo x="0" y="0"/>
              </wp:wrapPolygon>
            </wp:wrapTight>
            <wp:docPr id="48" name="Picture 48" descr="Image result for eating children hel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ating children help lin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01140" cy="1337310"/>
                    </a:xfrm>
                    <a:prstGeom prst="rect">
                      <a:avLst/>
                    </a:prstGeom>
                    <a:noFill/>
                  </pic:spPr>
                </pic:pic>
              </a:graphicData>
            </a:graphic>
            <wp14:sizeRelH relativeFrom="page">
              <wp14:pctWidth>0</wp14:pctWidth>
            </wp14:sizeRelH>
            <wp14:sizeRelV relativeFrom="page">
              <wp14:pctHeight>0</wp14:pctHeight>
            </wp14:sizeRelV>
          </wp:anchor>
        </w:drawing>
      </w:r>
    </w:p>
    <w:p w14:paraId="1142F63E" w14:textId="77777777" w:rsidR="00572E3D" w:rsidRDefault="00572E3D" w:rsidP="00572E3D">
      <w:pPr>
        <w:spacing w:after="0" w:line="240" w:lineRule="auto"/>
        <w:rPr>
          <w:rFonts w:ascii="Calibri" w:eastAsia="Calibri" w:hAnsi="Calibri" w:cs="Times New Roman"/>
        </w:rPr>
      </w:pPr>
    </w:p>
    <w:p w14:paraId="50ED67C3" w14:textId="77777777" w:rsidR="00572E3D" w:rsidRDefault="00572E3D" w:rsidP="00572E3D"/>
    <w:p w14:paraId="3EB2895E" w14:textId="77777777" w:rsidR="00572E3D" w:rsidRDefault="00572E3D" w:rsidP="00572E3D"/>
    <w:p w14:paraId="624CB9B5" w14:textId="77777777" w:rsidR="00572E3D" w:rsidRDefault="00572E3D" w:rsidP="00572E3D"/>
    <w:p w14:paraId="347D376F" w14:textId="77777777" w:rsidR="00572E3D" w:rsidRDefault="00572E3D" w:rsidP="00572E3D"/>
    <w:p w14:paraId="42C47FA1" w14:textId="77777777" w:rsidR="00572E3D" w:rsidRDefault="00572E3D" w:rsidP="00572E3D"/>
    <w:p w14:paraId="07612952" w14:textId="77777777" w:rsidR="00572E3D" w:rsidRDefault="00572E3D" w:rsidP="00572E3D"/>
    <w:p w14:paraId="357ADC7F" w14:textId="77777777" w:rsidR="00572E3D" w:rsidRDefault="00572E3D" w:rsidP="00572E3D">
      <w:pPr>
        <w:rPr>
          <w:b/>
          <w:bCs/>
        </w:rPr>
      </w:pPr>
    </w:p>
    <w:p w14:paraId="4569C655" w14:textId="77777777" w:rsidR="00572E3D" w:rsidRDefault="00572E3D" w:rsidP="00572E3D">
      <w:pPr>
        <w:rPr>
          <w:b/>
          <w:bCs/>
        </w:rPr>
      </w:pPr>
    </w:p>
    <w:bookmarkStart w:id="368" w:name="_Toc84845185"/>
    <w:bookmarkStart w:id="369" w:name="_Toc84854196"/>
    <w:p w14:paraId="05EA8EB0" w14:textId="56808F57" w:rsidR="00572E3D" w:rsidRPr="00265133" w:rsidRDefault="00572E3D" w:rsidP="00572E3D">
      <w:r w:rsidRPr="00E272EB">
        <w:lastRenderedPageBreak/>
        <w:fldChar w:fldCharType="begin"/>
      </w:r>
      <w:r w:rsidRPr="00E272EB">
        <w:instrText xml:space="preserve"> TC  " </w:instrText>
      </w:r>
      <w:bookmarkStart w:id="370" w:name="_Toc97557175"/>
      <w:r w:rsidRPr="00265133">
        <w:instrText xml:space="preserve">Appendix </w:instrText>
      </w:r>
      <w:r w:rsidR="00D236D4">
        <w:instrText>2</w:instrText>
      </w:r>
      <w:r w:rsidR="007F5E1F">
        <w:instrText>3</w:instrText>
      </w:r>
      <w:r w:rsidRPr="00265133">
        <w:instrText xml:space="preserve">: </w:instrText>
      </w:r>
      <w:r w:rsidR="006C2738">
        <w:instrText>SNA</w:instrText>
      </w:r>
      <w:r>
        <w:instrText xml:space="preserve"> school debrief </w:instrText>
      </w:r>
      <w:r w:rsidRPr="00265133">
        <w:instrText>(</w:instrText>
      </w:r>
      <w:r w:rsidR="005930C3">
        <w:instrText>Studies Two and Three</w:instrText>
      </w:r>
      <w:r>
        <w:instrText>, Chapter 7 and 8)</w:instrText>
      </w:r>
      <w:bookmarkEnd w:id="370"/>
      <w:r w:rsidRPr="00E272EB">
        <w:instrText xml:space="preserve">" \f y\l </w:instrText>
      </w:r>
      <w:r>
        <w:instrText>2</w:instrText>
      </w:r>
      <w:r w:rsidRPr="00E272EB">
        <w:instrText xml:space="preserve"> </w:instrText>
      </w:r>
      <w:r w:rsidRPr="00E272EB">
        <w:fldChar w:fldCharType="end"/>
      </w:r>
      <w:r w:rsidRPr="00265133">
        <w:rPr>
          <w:noProof/>
        </w:rPr>
        <w:drawing>
          <wp:anchor distT="0" distB="0" distL="114300" distR="114300" simplePos="0" relativeHeight="251655168" behindDoc="1" locked="0" layoutInCell="1" allowOverlap="1" wp14:anchorId="35A6DAEE" wp14:editId="5D29AECE">
            <wp:simplePos x="0" y="0"/>
            <wp:positionH relativeFrom="column">
              <wp:posOffset>4728137</wp:posOffset>
            </wp:positionH>
            <wp:positionV relativeFrom="paragraph">
              <wp:posOffset>311703</wp:posOffset>
            </wp:positionV>
            <wp:extent cx="971550" cy="1104900"/>
            <wp:effectExtent l="0" t="0" r="0" b="0"/>
            <wp:wrapTight wrapText="bothSides">
              <wp:wrapPolygon edited="0">
                <wp:start x="0" y="0"/>
                <wp:lineTo x="0" y="21228"/>
                <wp:lineTo x="21176" y="21228"/>
                <wp:lineTo x="21176" y="0"/>
                <wp:lineTo x="0" y="0"/>
              </wp:wrapPolygon>
            </wp:wrapTight>
            <wp:docPr id="244" name="Picture 2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1550" cy="1104900"/>
                    </a:xfrm>
                    <a:prstGeom prst="rect">
                      <a:avLst/>
                    </a:prstGeom>
                  </pic:spPr>
                </pic:pic>
              </a:graphicData>
            </a:graphic>
            <wp14:sizeRelH relativeFrom="margin">
              <wp14:pctWidth>0</wp14:pctWidth>
            </wp14:sizeRelH>
            <wp14:sizeRelV relativeFrom="margin">
              <wp14:pctHeight>0</wp14:pctHeight>
            </wp14:sizeRelV>
          </wp:anchor>
        </w:drawing>
      </w:r>
      <w:r w:rsidRPr="00265133">
        <w:t xml:space="preserve">Appendix </w:t>
      </w:r>
      <w:r w:rsidR="00D236D4">
        <w:t>2</w:t>
      </w:r>
      <w:r w:rsidR="007F5E1F">
        <w:t>3</w:t>
      </w:r>
      <w:r w:rsidRPr="00265133">
        <w:t xml:space="preserve">: </w:t>
      </w:r>
      <w:r w:rsidR="00DD34DD">
        <w:t xml:space="preserve">SNA </w:t>
      </w:r>
      <w:r w:rsidRPr="00265133">
        <w:t>school student debrief (</w:t>
      </w:r>
      <w:r w:rsidR="005930C3">
        <w:t>Studies Two and Three</w:t>
      </w:r>
      <w:r w:rsidRPr="00265133">
        <w:t>, Chapter 7 and 8)</w:t>
      </w:r>
      <w:bookmarkEnd w:id="368"/>
      <w:bookmarkEnd w:id="369"/>
    </w:p>
    <w:p w14:paraId="1270A751" w14:textId="77777777" w:rsidR="00572E3D" w:rsidRPr="006D6711" w:rsidRDefault="00572E3D" w:rsidP="00572E3D">
      <w:pPr>
        <w:rPr>
          <w:rFonts w:ascii="Calibri" w:eastAsia="Calibri" w:hAnsi="Calibri" w:cs="Times New Roman"/>
        </w:rPr>
      </w:pPr>
    </w:p>
    <w:p w14:paraId="06CF9CCE" w14:textId="77777777" w:rsidR="00572E3D" w:rsidRPr="006D6711" w:rsidRDefault="00572E3D" w:rsidP="00572E3D">
      <w:pPr>
        <w:rPr>
          <w:rFonts w:ascii="Calibri" w:eastAsia="Calibri" w:hAnsi="Calibri" w:cs="Times New Roman"/>
        </w:rPr>
      </w:pPr>
    </w:p>
    <w:p w14:paraId="65BF3E29" w14:textId="77777777" w:rsidR="00572E3D" w:rsidRPr="006D6711" w:rsidRDefault="00572E3D" w:rsidP="00572E3D">
      <w:pPr>
        <w:rPr>
          <w:rFonts w:ascii="Calibri" w:eastAsia="Calibri" w:hAnsi="Calibri" w:cs="Times New Roman"/>
        </w:rPr>
      </w:pPr>
    </w:p>
    <w:p w14:paraId="74C094FD" w14:textId="77777777" w:rsidR="00572E3D" w:rsidRPr="006D6711" w:rsidRDefault="00572E3D" w:rsidP="00572E3D">
      <w:pPr>
        <w:rPr>
          <w:rFonts w:ascii="Calibri" w:eastAsia="Calibri" w:hAnsi="Calibri" w:cs="Times New Roman"/>
        </w:rPr>
      </w:pPr>
    </w:p>
    <w:p w14:paraId="1B20B5E8" w14:textId="77777777" w:rsidR="00572E3D" w:rsidRPr="006D6711" w:rsidRDefault="00572E3D" w:rsidP="00572E3D">
      <w:pPr>
        <w:rPr>
          <w:rFonts w:ascii="Calibri" w:eastAsia="Calibri" w:hAnsi="Calibri" w:cs="Times New Roman"/>
        </w:rPr>
      </w:pPr>
    </w:p>
    <w:p w14:paraId="50EF52D5" w14:textId="77777777" w:rsidR="00572E3D" w:rsidRPr="006D6711" w:rsidRDefault="00572E3D" w:rsidP="00572E3D">
      <w:pPr>
        <w:rPr>
          <w:rFonts w:ascii="Calibri" w:eastAsia="Calibri" w:hAnsi="Calibri" w:cs="Times New Roman"/>
        </w:rPr>
      </w:pPr>
    </w:p>
    <w:p w14:paraId="08498F26" w14:textId="65B6FB15" w:rsidR="00572E3D" w:rsidRPr="004204D1" w:rsidRDefault="003A63F8" w:rsidP="00572E3D">
      <w:pPr>
        <w:jc w:val="center"/>
        <w:rPr>
          <w:rFonts w:ascii="Calibri" w:eastAsia="Calibri" w:hAnsi="Calibri" w:cs="Times New Roman"/>
          <w:sz w:val="28"/>
          <w:szCs w:val="28"/>
        </w:rPr>
      </w:pPr>
      <w:r>
        <w:rPr>
          <w:rFonts w:ascii="Calibri" w:eastAsia="Calibri" w:hAnsi="Calibri" w:cs="Times New Roman"/>
          <w:b/>
          <w:sz w:val="28"/>
          <w:szCs w:val="28"/>
          <w:u w:val="single"/>
        </w:rPr>
        <w:t>Debrief- SNA school</w:t>
      </w:r>
    </w:p>
    <w:p w14:paraId="09054926" w14:textId="77777777" w:rsidR="00572E3D" w:rsidRPr="006D6711" w:rsidRDefault="00572E3D" w:rsidP="00572E3D">
      <w:pPr>
        <w:rPr>
          <w:rFonts w:ascii="Calibri" w:eastAsia="Calibri" w:hAnsi="Calibri" w:cs="Times New Roman"/>
          <w:sz w:val="24"/>
          <w:szCs w:val="24"/>
        </w:rPr>
      </w:pPr>
      <w:r w:rsidRPr="004204D1">
        <w:rPr>
          <w:rFonts w:ascii="Calibri" w:eastAsia="Calibri" w:hAnsi="Calibri" w:cs="Times New Roman"/>
          <w:sz w:val="24"/>
          <w:szCs w:val="24"/>
        </w:rPr>
        <w:t>Thank you for taking part in the ‘healthy eating’ research. The research aims to use posters designed</w:t>
      </w:r>
      <w:r>
        <w:rPr>
          <w:rFonts w:ascii="Calibri" w:eastAsia="Calibri" w:hAnsi="Calibri" w:cs="Times New Roman"/>
          <w:sz w:val="24"/>
          <w:szCs w:val="24"/>
        </w:rPr>
        <w:t xml:space="preserve"> by you to improve eating behaviours within your year</w:t>
      </w:r>
      <w:r w:rsidRPr="006D6711">
        <w:rPr>
          <w:rFonts w:ascii="Calibri" w:eastAsia="Calibri" w:hAnsi="Calibri" w:cs="Times New Roman"/>
          <w:sz w:val="24"/>
          <w:szCs w:val="24"/>
        </w:rPr>
        <w:t xml:space="preserve">. Please be assured that no individual will be identified or identifiable from the notes taken. </w:t>
      </w:r>
    </w:p>
    <w:p w14:paraId="2AD3EDF4" w14:textId="77777777" w:rsidR="00572E3D" w:rsidRPr="006D6711" w:rsidRDefault="00572E3D" w:rsidP="00572E3D">
      <w:pPr>
        <w:rPr>
          <w:rFonts w:ascii="Calibri" w:eastAsia="Calibri" w:hAnsi="Calibri" w:cs="Times New Roman"/>
          <w:sz w:val="24"/>
          <w:szCs w:val="24"/>
        </w:rPr>
      </w:pPr>
      <w:r w:rsidRPr="006D6711">
        <w:rPr>
          <w:rFonts w:ascii="Calibri" w:eastAsia="Calibri" w:hAnsi="Calibri" w:cs="Times New Roman"/>
          <w:sz w:val="24"/>
          <w:szCs w:val="24"/>
        </w:rPr>
        <w:t xml:space="preserve">Thank you again for taking part in the </w:t>
      </w:r>
      <w:r>
        <w:rPr>
          <w:rFonts w:ascii="Calibri" w:eastAsia="Calibri" w:hAnsi="Calibri" w:cs="Times New Roman"/>
          <w:sz w:val="24"/>
          <w:szCs w:val="24"/>
        </w:rPr>
        <w:t>healthy eating research</w:t>
      </w:r>
      <w:r w:rsidRPr="006D6711">
        <w:rPr>
          <w:rFonts w:ascii="Calibri" w:eastAsia="Calibri" w:hAnsi="Calibri" w:cs="Times New Roman"/>
          <w:sz w:val="24"/>
          <w:szCs w:val="24"/>
        </w:rPr>
        <w:t>. If you have any further questions, please contact me or one of my supervisors.</w:t>
      </w:r>
    </w:p>
    <w:p w14:paraId="1F5C777E" w14:textId="77777777" w:rsidR="00572E3D" w:rsidRPr="006D6711" w:rsidRDefault="00572E3D" w:rsidP="00572E3D">
      <w:pPr>
        <w:spacing w:after="0" w:line="240" w:lineRule="auto"/>
        <w:rPr>
          <w:rFonts w:ascii="Calibri" w:eastAsia="Calibri" w:hAnsi="Calibri" w:cs="Times New Roman"/>
          <w:sz w:val="24"/>
          <w:szCs w:val="24"/>
        </w:rPr>
      </w:pPr>
    </w:p>
    <w:p w14:paraId="3960EC0C" w14:textId="77777777" w:rsidR="00572E3D" w:rsidRPr="005F5767" w:rsidRDefault="00572E3D" w:rsidP="00572E3D">
      <w:pPr>
        <w:spacing w:after="0" w:line="240" w:lineRule="auto"/>
        <w:rPr>
          <w:rFonts w:ascii="Calibri" w:eastAsia="Calibri" w:hAnsi="Calibri" w:cs="Times New Roman"/>
          <w:sz w:val="24"/>
          <w:szCs w:val="24"/>
          <w:lang w:val="it-IT"/>
        </w:rPr>
      </w:pPr>
      <w:r w:rsidRPr="005F5767">
        <w:rPr>
          <w:rFonts w:ascii="Calibri" w:eastAsia="Calibri" w:hAnsi="Calibri" w:cs="Times New Roman"/>
          <w:sz w:val="24"/>
          <w:szCs w:val="24"/>
          <w:lang w:val="it-IT"/>
        </w:rPr>
        <w:t>Sian Calvert</w:t>
      </w:r>
    </w:p>
    <w:p w14:paraId="564C68F1" w14:textId="77777777" w:rsidR="00572E3D" w:rsidRPr="005F5767" w:rsidRDefault="00572E3D" w:rsidP="00572E3D">
      <w:pPr>
        <w:spacing w:after="0" w:line="240" w:lineRule="auto"/>
        <w:rPr>
          <w:rFonts w:ascii="Calibri" w:eastAsia="Calibri" w:hAnsi="Calibri" w:cs="Times New Roman"/>
          <w:lang w:val="it-IT"/>
        </w:rPr>
      </w:pPr>
    </w:p>
    <w:p w14:paraId="4C62C48F" w14:textId="77777777" w:rsidR="00572E3D" w:rsidRPr="005F5767" w:rsidRDefault="00322DCE" w:rsidP="00572E3D">
      <w:pPr>
        <w:spacing w:after="0" w:line="240" w:lineRule="auto"/>
        <w:rPr>
          <w:rFonts w:ascii="Calibri" w:eastAsia="Calibri" w:hAnsi="Calibri" w:cs="Times New Roman"/>
          <w:color w:val="0563C1"/>
          <w:u w:val="single"/>
          <w:lang w:val="it-IT"/>
        </w:rPr>
      </w:pPr>
      <w:hyperlink r:id="rId102" w:history="1">
        <w:r w:rsidR="00572E3D" w:rsidRPr="005F5767">
          <w:rPr>
            <w:rFonts w:ascii="Calibri" w:eastAsia="Calibri" w:hAnsi="Calibri" w:cs="Times New Roman"/>
            <w:color w:val="0563C1"/>
            <w:u w:val="single"/>
            <w:lang w:val="it-IT"/>
          </w:rPr>
          <w:t>Sian.calvert@research.staffs.ac.uk</w:t>
        </w:r>
      </w:hyperlink>
    </w:p>
    <w:p w14:paraId="041B8815" w14:textId="77777777" w:rsidR="00572E3D" w:rsidRPr="006D6711" w:rsidRDefault="00572E3D" w:rsidP="00572E3D">
      <w:pPr>
        <w:spacing w:after="0" w:line="240" w:lineRule="auto"/>
        <w:rPr>
          <w:rFonts w:ascii="Calibri" w:eastAsia="Calibri" w:hAnsi="Calibri" w:cs="Times New Roman"/>
        </w:rPr>
      </w:pPr>
      <w:r w:rsidRPr="006D6711">
        <w:rPr>
          <w:rFonts w:ascii="Calibri" w:eastAsia="Calibri" w:hAnsi="Calibri" w:cs="Times New Roman"/>
          <w:i/>
        </w:rPr>
        <w:t xml:space="preserve">PhD student in psychology, Staffordshire University </w:t>
      </w:r>
    </w:p>
    <w:p w14:paraId="2F4030D9" w14:textId="77777777" w:rsidR="00572E3D" w:rsidRPr="006D6711" w:rsidRDefault="00572E3D" w:rsidP="00572E3D">
      <w:pPr>
        <w:spacing w:after="0" w:line="240" w:lineRule="auto"/>
        <w:rPr>
          <w:rFonts w:ascii="Calibri" w:eastAsia="Calibri" w:hAnsi="Calibri" w:cs="Times New Roman"/>
        </w:rPr>
      </w:pPr>
    </w:p>
    <w:p w14:paraId="4C9EB68B" w14:textId="77777777" w:rsidR="00572E3D" w:rsidRPr="006D6711" w:rsidRDefault="00572E3D" w:rsidP="00572E3D">
      <w:pPr>
        <w:spacing w:after="0" w:line="240" w:lineRule="auto"/>
        <w:rPr>
          <w:rFonts w:ascii="Calibri" w:eastAsia="Calibri" w:hAnsi="Calibri" w:cs="Times New Roman"/>
          <w:u w:val="single"/>
        </w:rPr>
      </w:pPr>
    </w:p>
    <w:p w14:paraId="7FCDD7CC" w14:textId="77777777" w:rsidR="00572E3D" w:rsidRPr="006D6711" w:rsidRDefault="00572E3D" w:rsidP="00572E3D">
      <w:pPr>
        <w:spacing w:after="0" w:line="240" w:lineRule="auto"/>
        <w:rPr>
          <w:rFonts w:ascii="Calibri" w:eastAsia="Calibri" w:hAnsi="Calibri" w:cs="Times New Roman"/>
        </w:rPr>
        <w:sectPr w:rsidR="00572E3D" w:rsidRPr="006D6711" w:rsidSect="00A42988">
          <w:type w:val="continuous"/>
          <w:pgSz w:w="11906" w:h="16838"/>
          <w:pgMar w:top="1440" w:right="1440" w:bottom="1440" w:left="1440" w:header="708" w:footer="708" w:gutter="0"/>
          <w:cols w:space="708"/>
          <w:docGrid w:linePitch="360"/>
        </w:sectPr>
      </w:pPr>
    </w:p>
    <w:p w14:paraId="16DC9D21" w14:textId="77777777" w:rsidR="00572E3D" w:rsidRPr="006D6711" w:rsidRDefault="00572E3D" w:rsidP="00572E3D">
      <w:pPr>
        <w:spacing w:after="0" w:line="240" w:lineRule="auto"/>
        <w:rPr>
          <w:rFonts w:ascii="Calibri" w:eastAsia="Calibri" w:hAnsi="Calibri" w:cs="Times New Roman"/>
        </w:rPr>
      </w:pPr>
      <w:r w:rsidRPr="006D6711">
        <w:rPr>
          <w:rFonts w:ascii="Calibri" w:eastAsia="Calibri" w:hAnsi="Calibri" w:cs="Times New Roman"/>
        </w:rPr>
        <w:t xml:space="preserve">Dr. Robert Dempsey </w:t>
      </w:r>
    </w:p>
    <w:p w14:paraId="2884C3BF" w14:textId="77777777" w:rsidR="00572E3D" w:rsidRPr="006D6711" w:rsidRDefault="00322DCE" w:rsidP="00572E3D">
      <w:pPr>
        <w:spacing w:after="0" w:line="240" w:lineRule="auto"/>
        <w:rPr>
          <w:rFonts w:ascii="Calibri" w:eastAsia="Calibri" w:hAnsi="Calibri" w:cs="Times New Roman"/>
        </w:rPr>
      </w:pPr>
      <w:hyperlink r:id="rId103" w:history="1">
        <w:r w:rsidR="00572E3D" w:rsidRPr="006D6711">
          <w:rPr>
            <w:rFonts w:ascii="Calibri" w:eastAsia="Calibri" w:hAnsi="Calibri" w:cs="Times New Roman"/>
            <w:color w:val="0563C1"/>
            <w:u w:val="single"/>
          </w:rPr>
          <w:t>robert.dempsey@staffs.ac.uk</w:t>
        </w:r>
      </w:hyperlink>
    </w:p>
    <w:p w14:paraId="0856382D" w14:textId="77777777" w:rsidR="00572E3D" w:rsidRPr="006D6711" w:rsidRDefault="00572E3D" w:rsidP="00572E3D">
      <w:pPr>
        <w:spacing w:after="0" w:line="240" w:lineRule="auto"/>
        <w:rPr>
          <w:rFonts w:ascii="Calibri" w:eastAsia="Calibri" w:hAnsi="Calibri" w:cs="Times New Roman"/>
          <w:i/>
        </w:rPr>
      </w:pPr>
      <w:r w:rsidRPr="006D6711">
        <w:rPr>
          <w:rFonts w:ascii="Calibri" w:eastAsia="Calibri" w:hAnsi="Calibri" w:cs="Times New Roman"/>
          <w:i/>
        </w:rPr>
        <w:t xml:space="preserve">Lecturer at Staffordshire University </w:t>
      </w:r>
    </w:p>
    <w:p w14:paraId="6EB5DC41" w14:textId="77777777" w:rsidR="00572E3D" w:rsidRPr="005F5767" w:rsidRDefault="00572E3D" w:rsidP="00572E3D">
      <w:pPr>
        <w:spacing w:after="0" w:line="240" w:lineRule="auto"/>
        <w:rPr>
          <w:rFonts w:ascii="Calibri" w:eastAsia="Calibri" w:hAnsi="Calibri" w:cs="Times New Roman"/>
          <w:lang w:val="it-IT"/>
        </w:rPr>
      </w:pPr>
      <w:r>
        <w:rPr>
          <w:rFonts w:ascii="Calibri" w:eastAsia="Calibri" w:hAnsi="Calibri" w:cs="Times New Roman"/>
          <w:lang w:val="it-IT"/>
        </w:rPr>
        <w:t>[Telephone number]</w:t>
      </w:r>
    </w:p>
    <w:p w14:paraId="51CF9582" w14:textId="77777777" w:rsidR="00572E3D" w:rsidRPr="005F5767" w:rsidRDefault="00572E3D" w:rsidP="00572E3D">
      <w:pPr>
        <w:spacing w:after="0" w:line="240" w:lineRule="auto"/>
        <w:rPr>
          <w:rFonts w:ascii="Calibri" w:eastAsia="Calibri" w:hAnsi="Calibri" w:cs="Times New Roman"/>
          <w:lang w:val="it-IT"/>
        </w:rPr>
      </w:pPr>
    </w:p>
    <w:p w14:paraId="23A78BA6" w14:textId="77777777" w:rsidR="00572E3D" w:rsidRPr="005F5767" w:rsidRDefault="00572E3D" w:rsidP="00572E3D">
      <w:pPr>
        <w:spacing w:after="0" w:line="240" w:lineRule="auto"/>
        <w:rPr>
          <w:rFonts w:ascii="Calibri" w:eastAsia="Calibri" w:hAnsi="Calibri" w:cs="Times New Roman"/>
          <w:lang w:val="it-IT"/>
        </w:rPr>
      </w:pPr>
      <w:r w:rsidRPr="005F5767">
        <w:rPr>
          <w:rFonts w:ascii="Calibri" w:eastAsia="Calibri" w:hAnsi="Calibri" w:cs="Times New Roman"/>
          <w:lang w:val="it-IT"/>
        </w:rPr>
        <w:t xml:space="preserve">Dr. Rachel Povey </w:t>
      </w:r>
    </w:p>
    <w:p w14:paraId="6DA51699" w14:textId="77777777" w:rsidR="00572E3D" w:rsidRPr="005F5767" w:rsidRDefault="00322DCE" w:rsidP="00572E3D">
      <w:pPr>
        <w:spacing w:after="0" w:line="240" w:lineRule="auto"/>
        <w:rPr>
          <w:rFonts w:ascii="Calibri" w:eastAsia="Calibri" w:hAnsi="Calibri" w:cs="Times New Roman"/>
          <w:lang w:val="it-IT"/>
        </w:rPr>
      </w:pPr>
      <w:hyperlink r:id="rId104" w:history="1">
        <w:r w:rsidR="00572E3D" w:rsidRPr="005F5767">
          <w:rPr>
            <w:rFonts w:ascii="Calibri" w:eastAsia="Calibri" w:hAnsi="Calibri" w:cs="Times New Roman"/>
            <w:color w:val="0563C1"/>
            <w:u w:val="single"/>
            <w:lang w:val="it-IT"/>
          </w:rPr>
          <w:t>r.povey@staffs.ac.uk</w:t>
        </w:r>
      </w:hyperlink>
    </w:p>
    <w:p w14:paraId="7160EDBB" w14:textId="77777777" w:rsidR="00572E3D" w:rsidRPr="006D6711" w:rsidRDefault="00572E3D" w:rsidP="00572E3D">
      <w:pPr>
        <w:spacing w:after="0" w:line="240" w:lineRule="auto"/>
        <w:rPr>
          <w:rFonts w:ascii="Calibri" w:eastAsia="Calibri" w:hAnsi="Calibri" w:cs="Times New Roman"/>
          <w:i/>
        </w:rPr>
      </w:pPr>
      <w:r>
        <w:rPr>
          <w:rFonts w:ascii="Calibri" w:eastAsia="Calibri" w:hAnsi="Calibri" w:cs="Times New Roman"/>
        </w:rPr>
        <w:t>Associate Professor in Health Psychology</w:t>
      </w:r>
      <w:r w:rsidRPr="00257283">
        <w:rPr>
          <w:rFonts w:ascii="Calibri" w:eastAsia="Calibri" w:hAnsi="Calibri" w:cs="Times New Roman"/>
        </w:rPr>
        <w:t xml:space="preserve"> </w:t>
      </w:r>
      <w:r w:rsidRPr="006D6711">
        <w:rPr>
          <w:rFonts w:ascii="Calibri" w:eastAsia="Calibri" w:hAnsi="Calibri" w:cs="Times New Roman"/>
          <w:i/>
        </w:rPr>
        <w:t xml:space="preserve">at Staffordshire University </w:t>
      </w:r>
    </w:p>
    <w:p w14:paraId="2E8D0C68" w14:textId="77777777" w:rsidR="00572E3D" w:rsidRPr="00A42988" w:rsidRDefault="00572E3D" w:rsidP="00572E3D">
      <w:pPr>
        <w:spacing w:after="0" w:line="240" w:lineRule="auto"/>
        <w:rPr>
          <w:rFonts w:ascii="Calibri" w:eastAsia="Calibri" w:hAnsi="Calibri" w:cs="Times New Roman"/>
          <w:lang w:val="it-IT"/>
        </w:rPr>
        <w:sectPr w:rsidR="00572E3D" w:rsidRPr="00A42988" w:rsidSect="00A42988">
          <w:type w:val="continuous"/>
          <w:pgSz w:w="11906" w:h="16838"/>
          <w:pgMar w:top="1440" w:right="1440" w:bottom="1440" w:left="1440" w:header="708" w:footer="708" w:gutter="0"/>
          <w:cols w:num="2" w:space="708"/>
          <w:docGrid w:linePitch="360"/>
        </w:sectPr>
      </w:pPr>
      <w:r>
        <w:rPr>
          <w:rFonts w:ascii="Calibri" w:eastAsia="Calibri" w:hAnsi="Calibri" w:cs="Times New Roman"/>
          <w:lang w:val="it-IT"/>
        </w:rPr>
        <w:t>[Telephone number]</w:t>
      </w:r>
    </w:p>
    <w:p w14:paraId="7421B3CA" w14:textId="77777777" w:rsidR="00572E3D" w:rsidRDefault="00572E3D" w:rsidP="00572E3D">
      <w:pPr>
        <w:spacing w:line="256" w:lineRule="auto"/>
        <w:rPr>
          <w:rFonts w:ascii="Calibri" w:eastAsia="Calibri" w:hAnsi="Calibri" w:cs="Times New Roman"/>
          <w:highlight w:val="red"/>
        </w:rPr>
      </w:pPr>
    </w:p>
    <w:p w14:paraId="4BFB4D8F" w14:textId="77777777" w:rsidR="00572E3D" w:rsidRDefault="00572E3D" w:rsidP="00572E3D">
      <w:pPr>
        <w:spacing w:line="256" w:lineRule="auto"/>
        <w:rPr>
          <w:rFonts w:ascii="Calibri" w:eastAsia="Calibri" w:hAnsi="Calibri" w:cs="Times New Roman"/>
          <w:highlight w:val="red"/>
        </w:rPr>
      </w:pPr>
    </w:p>
    <w:p w14:paraId="02DB467D" w14:textId="77777777" w:rsidR="00572E3D" w:rsidRPr="00E311EC" w:rsidRDefault="00572E3D" w:rsidP="00572E3D">
      <w:pPr>
        <w:spacing w:line="256" w:lineRule="auto"/>
        <w:rPr>
          <w:rFonts w:ascii="Calibri" w:eastAsia="Calibri" w:hAnsi="Calibri" w:cs="Times New Roman"/>
        </w:rPr>
      </w:pPr>
    </w:p>
    <w:p w14:paraId="312BCD3A" w14:textId="77777777" w:rsidR="00572E3D" w:rsidRPr="00E311EC" w:rsidRDefault="00572E3D" w:rsidP="00572E3D">
      <w:pPr>
        <w:spacing w:line="256" w:lineRule="auto"/>
        <w:rPr>
          <w:rFonts w:ascii="Calibri" w:eastAsia="Calibri" w:hAnsi="Calibri" w:cs="Times New Roman"/>
        </w:rPr>
      </w:pPr>
    </w:p>
    <w:p w14:paraId="786CFD2A" w14:textId="77777777" w:rsidR="00572E3D" w:rsidRPr="00E311EC" w:rsidRDefault="00572E3D" w:rsidP="00572E3D">
      <w:pPr>
        <w:spacing w:line="256" w:lineRule="auto"/>
        <w:rPr>
          <w:rFonts w:ascii="Calibri" w:eastAsia="Calibri" w:hAnsi="Calibri" w:cs="Times New Roman"/>
        </w:rPr>
      </w:pPr>
    </w:p>
    <w:p w14:paraId="083935F6" w14:textId="77777777" w:rsidR="00572E3D" w:rsidRPr="00E311EC" w:rsidRDefault="00572E3D" w:rsidP="00572E3D">
      <w:pPr>
        <w:spacing w:line="256" w:lineRule="auto"/>
        <w:rPr>
          <w:rFonts w:ascii="Calibri" w:eastAsia="Calibri" w:hAnsi="Calibri" w:cs="Times New Roman"/>
        </w:rPr>
        <w:sectPr w:rsidR="00572E3D" w:rsidRPr="00E311EC" w:rsidSect="00A42988">
          <w:type w:val="continuous"/>
          <w:pgSz w:w="11906" w:h="16838"/>
          <w:pgMar w:top="1440" w:right="1440" w:bottom="1440" w:left="1440" w:header="708" w:footer="708" w:gutter="0"/>
          <w:cols w:num="2" w:space="708"/>
          <w:docGrid w:linePitch="360"/>
        </w:sectPr>
      </w:pPr>
    </w:p>
    <w:p w14:paraId="15D7E208" w14:textId="77777777" w:rsidR="00572E3D" w:rsidRPr="00E311EC" w:rsidRDefault="00572E3D" w:rsidP="00572E3D">
      <w:pPr>
        <w:spacing w:line="256" w:lineRule="auto"/>
        <w:rPr>
          <w:rFonts w:ascii="Calibri" w:eastAsia="Calibri" w:hAnsi="Calibri" w:cs="Times New Roman"/>
        </w:rPr>
      </w:pPr>
      <w:r w:rsidRPr="00E311EC">
        <w:rPr>
          <w:rFonts w:ascii="Calibri" w:eastAsia="Calibri" w:hAnsi="Calibri" w:cs="Times New Roman"/>
        </w:rPr>
        <w:t>Contact details if you have any concerns about anything that has been discussed: -</w:t>
      </w:r>
    </w:p>
    <w:p w14:paraId="16070136" w14:textId="77777777" w:rsidR="00572E3D" w:rsidRDefault="00572E3D" w:rsidP="00572E3D">
      <w:pPr>
        <w:spacing w:line="256" w:lineRule="auto"/>
        <w:rPr>
          <w:rFonts w:ascii="Calibri" w:eastAsia="Calibri" w:hAnsi="Calibri" w:cs="Times New Roman"/>
        </w:rPr>
        <w:sectPr w:rsidR="00572E3D" w:rsidSect="00A42988">
          <w:type w:val="continuous"/>
          <w:pgSz w:w="11906" w:h="16838"/>
          <w:pgMar w:top="1440" w:right="1440" w:bottom="1440" w:left="1440" w:header="708" w:footer="708" w:gutter="0"/>
          <w:cols w:space="708"/>
          <w:docGrid w:linePitch="360"/>
        </w:sectPr>
      </w:pPr>
    </w:p>
    <w:p w14:paraId="25C61FDA" w14:textId="77777777" w:rsidR="00572E3D" w:rsidRPr="00610953" w:rsidRDefault="00572E3D" w:rsidP="00572E3D">
      <w:pPr>
        <w:spacing w:line="256" w:lineRule="auto"/>
        <w:rPr>
          <w:rFonts w:ascii="Calibri" w:eastAsia="Calibri" w:hAnsi="Calibri" w:cs="Times New Roman"/>
        </w:rPr>
      </w:pPr>
      <w:r w:rsidRPr="00610953">
        <w:rPr>
          <w:rFonts w:ascii="Calibri" w:eastAsia="Calibri" w:hAnsi="Calibri" w:cs="Times New Roman"/>
          <w:noProof/>
          <w:lang w:eastAsia="en-GB"/>
        </w:rPr>
        <w:drawing>
          <wp:anchor distT="0" distB="0" distL="114300" distR="114300" simplePos="0" relativeHeight="251656192" behindDoc="1" locked="0" layoutInCell="1" allowOverlap="1" wp14:anchorId="23240694" wp14:editId="381D2B44">
            <wp:simplePos x="0" y="0"/>
            <wp:positionH relativeFrom="column">
              <wp:posOffset>142240</wp:posOffset>
            </wp:positionH>
            <wp:positionV relativeFrom="paragraph">
              <wp:posOffset>145415</wp:posOffset>
            </wp:positionV>
            <wp:extent cx="1501140" cy="1337310"/>
            <wp:effectExtent l="0" t="0" r="3810" b="0"/>
            <wp:wrapTight wrapText="bothSides">
              <wp:wrapPolygon edited="0">
                <wp:start x="0" y="0"/>
                <wp:lineTo x="0" y="21231"/>
                <wp:lineTo x="21381" y="21231"/>
                <wp:lineTo x="21381" y="0"/>
                <wp:lineTo x="0" y="0"/>
              </wp:wrapPolygon>
            </wp:wrapTight>
            <wp:docPr id="245" name="Picture 245" descr="Image result for eating children hel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ating children help lin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01140" cy="1337310"/>
                    </a:xfrm>
                    <a:prstGeom prst="rect">
                      <a:avLst/>
                    </a:prstGeom>
                    <a:noFill/>
                  </pic:spPr>
                </pic:pic>
              </a:graphicData>
            </a:graphic>
            <wp14:sizeRelH relativeFrom="page">
              <wp14:pctWidth>0</wp14:pctWidth>
            </wp14:sizeRelH>
            <wp14:sizeRelV relativeFrom="page">
              <wp14:pctHeight>0</wp14:pctHeight>
            </wp14:sizeRelV>
          </wp:anchor>
        </w:drawing>
      </w:r>
    </w:p>
    <w:p w14:paraId="3CC0C09E" w14:textId="77777777" w:rsidR="00572E3D" w:rsidRDefault="00572E3D" w:rsidP="00572E3D">
      <w:pPr>
        <w:rPr>
          <w:rFonts w:ascii="Calibri" w:eastAsia="Calibri" w:hAnsi="Calibri" w:cs="Times New Roman"/>
        </w:rPr>
      </w:pPr>
    </w:p>
    <w:p w14:paraId="49AA3FBF" w14:textId="77777777" w:rsidR="00572E3D" w:rsidRPr="006D6711" w:rsidRDefault="00572E3D" w:rsidP="00572E3D">
      <w:pPr>
        <w:rPr>
          <w:rFonts w:ascii="Calibri" w:eastAsia="Calibri" w:hAnsi="Calibri" w:cs="Times New Roman"/>
        </w:rPr>
        <w:sectPr w:rsidR="00572E3D" w:rsidRPr="006D6711" w:rsidSect="00A42988">
          <w:type w:val="continuous"/>
          <w:pgSz w:w="11906" w:h="16838"/>
          <w:pgMar w:top="1440" w:right="1440" w:bottom="1440" w:left="1440" w:header="708" w:footer="708" w:gutter="0"/>
          <w:cols w:num="2" w:space="708"/>
          <w:docGrid w:linePitch="360"/>
        </w:sectPr>
      </w:pPr>
    </w:p>
    <w:p w14:paraId="235C4DC4" w14:textId="77777777" w:rsidR="00572E3D" w:rsidRDefault="00572E3D" w:rsidP="00572E3D">
      <w:pPr>
        <w:tabs>
          <w:tab w:val="left" w:pos="9214"/>
        </w:tabs>
        <w:ind w:right="1252"/>
        <w:rPr>
          <w:rFonts w:ascii="Calibri" w:eastAsia="Calibri" w:hAnsi="Calibri" w:cs="Times New Roman"/>
          <w:b/>
          <w:sz w:val="28"/>
          <w:szCs w:val="28"/>
        </w:rPr>
      </w:pPr>
    </w:p>
    <w:p w14:paraId="272027B4" w14:textId="77777777" w:rsidR="00572E3D" w:rsidRDefault="00572E3D" w:rsidP="00572E3D">
      <w:pPr>
        <w:tabs>
          <w:tab w:val="left" w:pos="9214"/>
        </w:tabs>
        <w:ind w:right="1252"/>
        <w:rPr>
          <w:rFonts w:ascii="Calibri" w:eastAsia="Calibri" w:hAnsi="Calibri" w:cs="Times New Roman"/>
          <w:b/>
          <w:sz w:val="28"/>
          <w:szCs w:val="28"/>
        </w:rPr>
      </w:pPr>
    </w:p>
    <w:p w14:paraId="0F48D0D1" w14:textId="77777777" w:rsidR="006C2738" w:rsidRDefault="006C2738" w:rsidP="006C2738">
      <w:pPr>
        <w:rPr>
          <w:rFonts w:ascii="Calibri" w:eastAsia="Calibri" w:hAnsi="Calibri" w:cs="Times New Roman"/>
          <w:b/>
          <w:sz w:val="28"/>
          <w:szCs w:val="28"/>
        </w:rPr>
      </w:pPr>
      <w:bookmarkStart w:id="371" w:name="_Toc84845186"/>
      <w:bookmarkStart w:id="372" w:name="_Toc84854197"/>
    </w:p>
    <w:p w14:paraId="768D496D" w14:textId="77777777" w:rsidR="00BA16F6" w:rsidRDefault="00BA16F6" w:rsidP="006C2738"/>
    <w:p w14:paraId="69A99740" w14:textId="481CAD52" w:rsidR="00572E3D" w:rsidRDefault="00572E3D" w:rsidP="006C2738">
      <w:r w:rsidRPr="00E272EB">
        <w:lastRenderedPageBreak/>
        <w:fldChar w:fldCharType="begin"/>
      </w:r>
      <w:r w:rsidRPr="00E272EB">
        <w:instrText xml:space="preserve"> TC  " </w:instrText>
      </w:r>
      <w:bookmarkStart w:id="373" w:name="_Toc97557176"/>
      <w:r w:rsidRPr="00265133">
        <w:instrText xml:space="preserve">Appendix </w:instrText>
      </w:r>
      <w:r w:rsidR="00D236D4">
        <w:instrText>2</w:instrText>
      </w:r>
      <w:r w:rsidR="007F5E1F">
        <w:instrText>4</w:instrText>
      </w:r>
      <w:r w:rsidRPr="00265133">
        <w:instrText xml:space="preserve"> Eatwell Guide (Study </w:instrText>
      </w:r>
      <w:r w:rsidR="005930C3">
        <w:instrText>Three</w:instrText>
      </w:r>
      <w:r w:rsidRPr="00265133">
        <w:instrText>, Chapter 8)</w:instrText>
      </w:r>
      <w:bookmarkEnd w:id="373"/>
      <w:r w:rsidRPr="00E272EB">
        <w:instrText xml:space="preserve">" \f y\l </w:instrText>
      </w:r>
      <w:r>
        <w:instrText>2</w:instrText>
      </w:r>
      <w:r w:rsidRPr="00E272EB">
        <w:instrText xml:space="preserve"> </w:instrText>
      </w:r>
      <w:r w:rsidRPr="00E272EB">
        <w:fldChar w:fldCharType="end"/>
      </w:r>
      <w:r w:rsidRPr="00265133">
        <w:t xml:space="preserve">Appendix </w:t>
      </w:r>
      <w:r w:rsidR="00D236D4">
        <w:t>2</w:t>
      </w:r>
      <w:r w:rsidR="007F5E1F">
        <w:t>4</w:t>
      </w:r>
      <w:r w:rsidRPr="00265133">
        <w:t xml:space="preserve">: Eatwell Guide (Study </w:t>
      </w:r>
      <w:r w:rsidR="005930C3">
        <w:t>Three</w:t>
      </w:r>
      <w:r w:rsidRPr="00265133">
        <w:t>, Chapter 8)</w:t>
      </w:r>
      <w:bookmarkEnd w:id="371"/>
      <w:bookmarkEnd w:id="372"/>
    </w:p>
    <w:p w14:paraId="6AFDC1B7" w14:textId="35203778" w:rsidR="00572E3D" w:rsidRDefault="006C2738" w:rsidP="00572E3D">
      <w:bookmarkStart w:id="374" w:name="_Toc84878220"/>
      <w:bookmarkStart w:id="375" w:name="_Toc84845187"/>
      <w:bookmarkStart w:id="376" w:name="_Toc84854198"/>
      <w:r w:rsidRPr="00265133">
        <w:rPr>
          <w:noProof/>
        </w:rPr>
        <w:drawing>
          <wp:anchor distT="0" distB="0" distL="114300" distR="114300" simplePos="0" relativeHeight="251660288" behindDoc="1" locked="0" layoutInCell="1" allowOverlap="1" wp14:anchorId="52119ED4" wp14:editId="418EB646">
            <wp:simplePos x="0" y="0"/>
            <wp:positionH relativeFrom="column">
              <wp:posOffset>-161925</wp:posOffset>
            </wp:positionH>
            <wp:positionV relativeFrom="paragraph">
              <wp:posOffset>224790</wp:posOffset>
            </wp:positionV>
            <wp:extent cx="5677535" cy="7832090"/>
            <wp:effectExtent l="0" t="0" r="0" b="0"/>
            <wp:wrapTight wrapText="bothSides">
              <wp:wrapPolygon edited="0">
                <wp:start x="0" y="0"/>
                <wp:lineTo x="0" y="21540"/>
                <wp:lineTo x="21525" y="21540"/>
                <wp:lineTo x="21525" y="0"/>
                <wp:lineTo x="0" y="0"/>
              </wp:wrapPolygon>
            </wp:wrapTight>
            <wp:docPr id="246" name="Picture 2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rotWithShape="1">
                    <a:blip r:embed="rId105">
                      <a:extLst>
                        <a:ext uri="{28A0092B-C50C-407E-A947-70E740481C1C}">
                          <a14:useLocalDpi xmlns:a14="http://schemas.microsoft.com/office/drawing/2010/main" val="0"/>
                        </a:ext>
                      </a:extLst>
                    </a:blip>
                    <a:srcRect r="931" b="986"/>
                    <a:stretch/>
                  </pic:blipFill>
                  <pic:spPr bwMode="auto">
                    <a:xfrm>
                      <a:off x="0" y="0"/>
                      <a:ext cx="5677535" cy="783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74"/>
    </w:p>
    <w:p w14:paraId="23FD74A1" w14:textId="77777777" w:rsidR="00572E3D" w:rsidRDefault="00572E3D" w:rsidP="00572E3D"/>
    <w:p w14:paraId="79252E0B" w14:textId="77777777" w:rsidR="00572E3D" w:rsidRDefault="00572E3D" w:rsidP="00572E3D"/>
    <w:p w14:paraId="226444BF" w14:textId="568920EB" w:rsidR="00572E3D" w:rsidRPr="00265133" w:rsidRDefault="00572E3D" w:rsidP="00572E3D">
      <w:r w:rsidRPr="00E272EB">
        <w:fldChar w:fldCharType="begin"/>
      </w:r>
      <w:r w:rsidRPr="00E272EB">
        <w:instrText xml:space="preserve"> TC  " </w:instrText>
      </w:r>
      <w:bookmarkStart w:id="377" w:name="_Toc97557177"/>
      <w:r w:rsidRPr="00265133">
        <w:instrText xml:space="preserve">Appendix </w:instrText>
      </w:r>
      <w:r w:rsidR="00D236D4">
        <w:instrText>2</w:instrText>
      </w:r>
      <w:r w:rsidR="007F5E1F">
        <w:instrText>5</w:instrText>
      </w:r>
      <w:r w:rsidRPr="00265133">
        <w:instrText xml:space="preserve">: </w:instrText>
      </w:r>
      <w:r>
        <w:instrText>Teacher lesson plan</w:instrText>
      </w:r>
      <w:r w:rsidRPr="00265133">
        <w:instrText xml:space="preserve">(Study </w:instrText>
      </w:r>
      <w:r w:rsidR="005930C3">
        <w:instrText>Three</w:instrText>
      </w:r>
      <w:r w:rsidRPr="00265133">
        <w:instrText>, Chapter 8)</w:instrText>
      </w:r>
      <w:bookmarkEnd w:id="377"/>
      <w:r w:rsidRPr="00E272EB">
        <w:instrText xml:space="preserve">" \f y\l </w:instrText>
      </w:r>
      <w:r>
        <w:instrText>2</w:instrText>
      </w:r>
      <w:r w:rsidRPr="00E272EB">
        <w:instrText xml:space="preserve"> </w:instrText>
      </w:r>
      <w:r w:rsidRPr="00E272EB">
        <w:fldChar w:fldCharType="end"/>
      </w:r>
      <w:r w:rsidRPr="00265133">
        <w:rPr>
          <w:noProof/>
        </w:rPr>
        <w:drawing>
          <wp:anchor distT="0" distB="0" distL="114300" distR="114300" simplePos="0" relativeHeight="251665408" behindDoc="1" locked="0" layoutInCell="1" allowOverlap="1" wp14:anchorId="6C3E23A5" wp14:editId="26EA5652">
            <wp:simplePos x="0" y="0"/>
            <wp:positionH relativeFrom="margin">
              <wp:posOffset>4817110</wp:posOffset>
            </wp:positionH>
            <wp:positionV relativeFrom="paragraph">
              <wp:posOffset>-87838</wp:posOffset>
            </wp:positionV>
            <wp:extent cx="914400" cy="1019175"/>
            <wp:effectExtent l="0" t="0" r="0" b="9525"/>
            <wp:wrapNone/>
            <wp:docPr id="198" name="Picture 1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ical user interface, application&#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14400" cy="1019175"/>
                    </a:xfrm>
                    <a:prstGeom prst="rect">
                      <a:avLst/>
                    </a:prstGeom>
                  </pic:spPr>
                </pic:pic>
              </a:graphicData>
            </a:graphic>
            <wp14:sizeRelH relativeFrom="margin">
              <wp14:pctWidth>0</wp14:pctWidth>
            </wp14:sizeRelH>
            <wp14:sizeRelV relativeFrom="margin">
              <wp14:pctHeight>0</wp14:pctHeight>
            </wp14:sizeRelV>
          </wp:anchor>
        </w:drawing>
      </w:r>
      <w:r w:rsidR="007D734F" w:rsidRPr="00265133">
        <w:t xml:space="preserve"> Appendix</w:t>
      </w:r>
      <w:r w:rsidRPr="00265133">
        <w:t xml:space="preserve"> </w:t>
      </w:r>
      <w:r w:rsidR="00D236D4">
        <w:t>2</w:t>
      </w:r>
      <w:r w:rsidR="007F5E1F">
        <w:t>5</w:t>
      </w:r>
      <w:r w:rsidRPr="00265133">
        <w:t xml:space="preserve">: Teachers lesson plan (Study </w:t>
      </w:r>
      <w:r w:rsidR="005930C3">
        <w:t>Three</w:t>
      </w:r>
      <w:r w:rsidRPr="00265133">
        <w:t>, Chapter 8)</w:t>
      </w:r>
      <w:bookmarkEnd w:id="375"/>
      <w:bookmarkEnd w:id="376"/>
    </w:p>
    <w:p w14:paraId="7BAE2AD3" w14:textId="77777777" w:rsidR="00572E3D" w:rsidRDefault="00572E3D" w:rsidP="00572E3D">
      <w:pPr>
        <w:spacing w:after="200" w:line="276" w:lineRule="auto"/>
        <w:jc w:val="center"/>
        <w:rPr>
          <w:rFonts w:ascii="Calibri" w:eastAsia="Calibri" w:hAnsi="Calibri" w:cs="Times New Roman"/>
          <w:b/>
          <w:u w:val="single"/>
        </w:rPr>
      </w:pPr>
    </w:p>
    <w:p w14:paraId="63ADDFE1" w14:textId="77777777" w:rsidR="00572E3D" w:rsidRDefault="00572E3D" w:rsidP="00572E3D">
      <w:pPr>
        <w:spacing w:after="200" w:line="276" w:lineRule="auto"/>
        <w:jc w:val="center"/>
        <w:rPr>
          <w:rFonts w:ascii="Calibri" w:eastAsia="Calibri" w:hAnsi="Calibri" w:cs="Times New Roman"/>
          <w:b/>
        </w:rPr>
      </w:pPr>
      <w:r w:rsidRPr="00E36D3E">
        <w:rPr>
          <w:rFonts w:ascii="Calibri" w:eastAsia="Calibri" w:hAnsi="Calibri" w:cs="Times New Roman"/>
          <w:b/>
          <w:u w:val="single"/>
        </w:rPr>
        <w:t>TEACHER</w:t>
      </w:r>
      <w:r>
        <w:rPr>
          <w:rFonts w:ascii="Calibri" w:eastAsia="Calibri" w:hAnsi="Calibri" w:cs="Times New Roman"/>
          <w:b/>
          <w:u w:val="single"/>
        </w:rPr>
        <w:t xml:space="preserve"> - </w:t>
      </w:r>
      <w:r w:rsidRPr="008B36A4">
        <w:rPr>
          <w:rFonts w:ascii="Calibri" w:eastAsia="Calibri" w:hAnsi="Calibri" w:cs="Times New Roman"/>
          <w:b/>
          <w:u w:val="single"/>
        </w:rPr>
        <w:t>Poster-activity lesson plan</w:t>
      </w:r>
      <w:r>
        <w:rPr>
          <w:rFonts w:ascii="Calibri" w:eastAsia="Calibri" w:hAnsi="Calibri" w:cs="Times New Roman"/>
          <w:b/>
          <w:u w:val="single"/>
        </w:rPr>
        <w:t xml:space="preserve"> </w:t>
      </w:r>
    </w:p>
    <w:p w14:paraId="2072A510" w14:textId="77777777" w:rsidR="00572E3D" w:rsidRPr="0053583F" w:rsidRDefault="00572E3D" w:rsidP="00572E3D">
      <w:pPr>
        <w:spacing w:after="200" w:line="276" w:lineRule="auto"/>
        <w:ind w:left="720"/>
        <w:contextualSpacing/>
        <w:rPr>
          <w:rFonts w:ascii="Calibri" w:eastAsia="Calibri" w:hAnsi="Calibri" w:cs="Times New Roman"/>
        </w:rPr>
      </w:pPr>
      <w:r>
        <w:rPr>
          <w:rFonts w:ascii="Calibri" w:eastAsia="Calibri" w:hAnsi="Calibri" w:cs="Times New Roman"/>
        </w:rPr>
        <w:t xml:space="preserve"> </w:t>
      </w:r>
    </w:p>
    <w:tbl>
      <w:tblPr>
        <w:tblStyle w:val="TableGrid"/>
        <w:tblW w:w="9924" w:type="dxa"/>
        <w:tblInd w:w="-431" w:type="dxa"/>
        <w:tblLook w:val="04A0" w:firstRow="1" w:lastRow="0" w:firstColumn="1" w:lastColumn="0" w:noHBand="0" w:noVBand="1"/>
      </w:tblPr>
      <w:tblGrid>
        <w:gridCol w:w="1277"/>
        <w:gridCol w:w="8647"/>
      </w:tblGrid>
      <w:tr w:rsidR="00572E3D" w:rsidRPr="008B36A4" w14:paraId="380EAF1A" w14:textId="77777777" w:rsidTr="00611086">
        <w:trPr>
          <w:trHeight w:val="250"/>
        </w:trPr>
        <w:tc>
          <w:tcPr>
            <w:tcW w:w="1277" w:type="dxa"/>
          </w:tcPr>
          <w:p w14:paraId="693326FC" w14:textId="77777777" w:rsidR="00572E3D" w:rsidRPr="008B36A4" w:rsidRDefault="00572E3D" w:rsidP="00611086">
            <w:pPr>
              <w:rPr>
                <w:rFonts w:ascii="Calibri" w:eastAsia="Calibri" w:hAnsi="Calibri" w:cs="Times New Roman"/>
              </w:rPr>
            </w:pPr>
            <w:r w:rsidRPr="008B36A4">
              <w:rPr>
                <w:rFonts w:ascii="Calibri" w:eastAsia="Calibri" w:hAnsi="Calibri" w:cs="Times New Roman"/>
              </w:rPr>
              <w:t xml:space="preserve">Approx. timing </w:t>
            </w:r>
          </w:p>
        </w:tc>
        <w:tc>
          <w:tcPr>
            <w:tcW w:w="8647" w:type="dxa"/>
          </w:tcPr>
          <w:p w14:paraId="6A6B7905" w14:textId="77777777" w:rsidR="00572E3D" w:rsidRPr="008B36A4" w:rsidRDefault="00572E3D" w:rsidP="00611086">
            <w:pPr>
              <w:rPr>
                <w:rFonts w:ascii="Calibri" w:eastAsia="Calibri" w:hAnsi="Calibri" w:cs="Times New Roman"/>
              </w:rPr>
            </w:pPr>
            <w:r w:rsidRPr="008B36A4">
              <w:rPr>
                <w:rFonts w:ascii="Calibri" w:eastAsia="Calibri" w:hAnsi="Calibri" w:cs="Times New Roman"/>
              </w:rPr>
              <w:t>Instructions for teacher</w:t>
            </w:r>
          </w:p>
        </w:tc>
      </w:tr>
      <w:tr w:rsidR="00572E3D" w:rsidRPr="008B36A4" w14:paraId="1D18EA8B" w14:textId="77777777" w:rsidTr="00611086">
        <w:trPr>
          <w:trHeight w:val="1206"/>
        </w:trPr>
        <w:tc>
          <w:tcPr>
            <w:tcW w:w="1277" w:type="dxa"/>
          </w:tcPr>
          <w:p w14:paraId="26603CB5" w14:textId="77777777" w:rsidR="00572E3D" w:rsidRPr="008B36A4" w:rsidRDefault="00572E3D" w:rsidP="00611086">
            <w:pPr>
              <w:rPr>
                <w:rFonts w:ascii="Calibri" w:eastAsia="Calibri" w:hAnsi="Calibri" w:cs="Times New Roman"/>
              </w:rPr>
            </w:pPr>
            <w:r w:rsidRPr="008B36A4">
              <w:rPr>
                <w:rFonts w:ascii="Calibri" w:eastAsia="Calibri" w:hAnsi="Calibri" w:cs="Times New Roman"/>
              </w:rPr>
              <w:t xml:space="preserve">0-5 minutes </w:t>
            </w:r>
          </w:p>
        </w:tc>
        <w:tc>
          <w:tcPr>
            <w:tcW w:w="8647" w:type="dxa"/>
          </w:tcPr>
          <w:p w14:paraId="5505B170" w14:textId="77777777" w:rsidR="00572E3D" w:rsidRPr="008B36A4" w:rsidRDefault="00572E3D" w:rsidP="00611086">
            <w:pPr>
              <w:rPr>
                <w:rFonts w:ascii="Calibri" w:eastAsia="Calibri" w:hAnsi="Calibri" w:cs="Times New Roman"/>
                <w:b/>
              </w:rPr>
            </w:pPr>
            <w:r w:rsidRPr="008B36A4">
              <w:rPr>
                <w:rFonts w:ascii="Calibri" w:eastAsia="Calibri" w:hAnsi="Calibri" w:cs="Times New Roman"/>
                <w:b/>
              </w:rPr>
              <w:t>Explain task</w:t>
            </w:r>
          </w:p>
          <w:p w14:paraId="5674ECAE" w14:textId="77777777" w:rsidR="00572E3D" w:rsidRPr="003764AB" w:rsidRDefault="00572E3D" w:rsidP="00AA5DD9">
            <w:pPr>
              <w:numPr>
                <w:ilvl w:val="0"/>
                <w:numId w:val="6"/>
              </w:numPr>
              <w:rPr>
                <w:rFonts w:ascii="Calibri" w:eastAsia="Calibri" w:hAnsi="Calibri" w:cs="Times New Roman"/>
              </w:rPr>
            </w:pPr>
            <w:r w:rsidRPr="008B36A4">
              <w:rPr>
                <w:rFonts w:ascii="Calibri" w:eastAsia="Calibri" w:hAnsi="Calibri" w:cs="Times New Roman"/>
              </w:rPr>
              <w:t xml:space="preserve">Please split students into groups of 4-5 students </w:t>
            </w:r>
          </w:p>
          <w:p w14:paraId="5EA8A4A1" w14:textId="19ABB48F" w:rsidR="00572E3D" w:rsidRPr="008B36A4" w:rsidRDefault="00572E3D" w:rsidP="00AA5DD9">
            <w:pPr>
              <w:numPr>
                <w:ilvl w:val="0"/>
                <w:numId w:val="6"/>
              </w:numPr>
              <w:rPr>
                <w:rFonts w:ascii="Calibri" w:eastAsia="Calibri" w:hAnsi="Calibri" w:cs="Times New Roman"/>
              </w:rPr>
            </w:pPr>
            <w:r>
              <w:rPr>
                <w:rFonts w:ascii="Calibri" w:eastAsia="Calibri" w:hAnsi="Calibri" w:cs="Times New Roman"/>
              </w:rPr>
              <w:t xml:space="preserve">Hand out </w:t>
            </w:r>
            <w:r w:rsidR="00380C33">
              <w:rPr>
                <w:rFonts w:ascii="Calibri" w:eastAsia="Calibri" w:hAnsi="Calibri" w:cs="Times New Roman"/>
              </w:rPr>
              <w:t>p</w:t>
            </w:r>
            <w:r>
              <w:rPr>
                <w:rFonts w:ascii="Calibri" w:eastAsia="Calibri" w:hAnsi="Calibri" w:cs="Times New Roman"/>
              </w:rPr>
              <w:t>oster</w:t>
            </w:r>
            <w:r w:rsidRPr="008B36A4">
              <w:rPr>
                <w:rFonts w:ascii="Calibri" w:eastAsia="Calibri" w:hAnsi="Calibri" w:cs="Times New Roman"/>
              </w:rPr>
              <w:t xml:space="preserve"> information sheets (</w:t>
            </w:r>
            <w:r w:rsidR="00482E41">
              <w:rPr>
                <w:rFonts w:ascii="Calibri" w:eastAsia="Calibri" w:hAnsi="Calibri" w:cs="Times New Roman"/>
              </w:rPr>
              <w:t>poster activity instructions</w:t>
            </w:r>
            <w:r w:rsidRPr="008B36A4">
              <w:rPr>
                <w:rFonts w:ascii="Calibri" w:eastAsia="Calibri" w:hAnsi="Calibri" w:cs="Times New Roman"/>
              </w:rPr>
              <w:t xml:space="preserve">) and information to include on the poster sheet </w:t>
            </w:r>
            <w:r>
              <w:rPr>
                <w:rFonts w:ascii="Calibri" w:eastAsia="Calibri" w:hAnsi="Calibri" w:cs="Times New Roman"/>
              </w:rPr>
              <w:t>(</w:t>
            </w:r>
            <w:r w:rsidRPr="008D7DED">
              <w:rPr>
                <w:rFonts w:ascii="Calibri" w:eastAsia="Calibri" w:hAnsi="Calibri" w:cs="Times New Roman"/>
              </w:rPr>
              <w:t xml:space="preserve">Fact </w:t>
            </w:r>
            <w:r>
              <w:rPr>
                <w:rFonts w:ascii="Calibri" w:eastAsia="Calibri" w:hAnsi="Calibri" w:cs="Times New Roman"/>
              </w:rPr>
              <w:t xml:space="preserve">sheet - </w:t>
            </w:r>
            <w:r w:rsidRPr="008D7DED">
              <w:rPr>
                <w:rFonts w:ascii="Calibri" w:eastAsia="Calibri" w:hAnsi="Calibri" w:cs="Times New Roman"/>
              </w:rPr>
              <w:t>1 girl &amp; 1 boy).</w:t>
            </w:r>
            <w:r w:rsidR="00482E41">
              <w:rPr>
                <w:rFonts w:ascii="Calibri" w:eastAsia="Calibri" w:hAnsi="Calibri" w:cs="Times New Roman"/>
              </w:rPr>
              <w:t xml:space="preserve"> </w:t>
            </w:r>
          </w:p>
          <w:p w14:paraId="06C09107" w14:textId="28FF8AF3" w:rsidR="00572E3D" w:rsidRPr="008B36A4" w:rsidRDefault="00572E3D" w:rsidP="00AA5DD9">
            <w:pPr>
              <w:numPr>
                <w:ilvl w:val="0"/>
                <w:numId w:val="6"/>
              </w:numPr>
              <w:rPr>
                <w:rFonts w:ascii="Calibri" w:eastAsia="Calibri" w:hAnsi="Calibri" w:cs="Times New Roman"/>
              </w:rPr>
            </w:pPr>
            <w:r>
              <w:rPr>
                <w:rFonts w:ascii="Calibri" w:eastAsia="Calibri" w:hAnsi="Calibri" w:cs="Times New Roman"/>
              </w:rPr>
              <w:t xml:space="preserve">Please read out: - 1) the poster information </w:t>
            </w:r>
            <w:r w:rsidR="00380C33">
              <w:rPr>
                <w:rFonts w:ascii="Calibri" w:eastAsia="Calibri" w:hAnsi="Calibri" w:cs="Times New Roman"/>
              </w:rPr>
              <w:t>sheet and</w:t>
            </w:r>
            <w:r>
              <w:rPr>
                <w:rFonts w:ascii="Calibri" w:eastAsia="Calibri" w:hAnsi="Calibri" w:cs="Times New Roman"/>
              </w:rPr>
              <w:t xml:space="preserve"> 2) the facts to include on the poster</w:t>
            </w:r>
            <w:r w:rsidRPr="008B36A4">
              <w:rPr>
                <w:rFonts w:ascii="Calibri" w:eastAsia="Calibri" w:hAnsi="Calibri" w:cs="Times New Roman"/>
              </w:rPr>
              <w:t xml:space="preserve">. </w:t>
            </w:r>
            <w:r w:rsidRPr="007D4A60">
              <w:rPr>
                <w:rFonts w:ascii="Calibri" w:eastAsia="Calibri" w:hAnsi="Calibri" w:cs="Times New Roman"/>
                <w:b/>
                <w:u w:val="single"/>
              </w:rPr>
              <w:t>They are not to cut and glue these on to the posters</w:t>
            </w:r>
            <w:r>
              <w:rPr>
                <w:rFonts w:ascii="Calibri" w:eastAsia="Calibri" w:hAnsi="Calibri" w:cs="Times New Roman"/>
              </w:rPr>
              <w:t xml:space="preserve"> they need to display the information in their own way. Please a</w:t>
            </w:r>
            <w:r w:rsidRPr="008B36A4">
              <w:rPr>
                <w:rFonts w:ascii="Calibri" w:eastAsia="Calibri" w:hAnsi="Calibri" w:cs="Times New Roman"/>
              </w:rPr>
              <w:t xml:space="preserve">sk if any students have any questions. </w:t>
            </w:r>
          </w:p>
          <w:p w14:paraId="24887989" w14:textId="77777777" w:rsidR="00572E3D" w:rsidRPr="008B36A4" w:rsidRDefault="00572E3D" w:rsidP="00AA5DD9">
            <w:pPr>
              <w:numPr>
                <w:ilvl w:val="0"/>
                <w:numId w:val="6"/>
              </w:numPr>
              <w:rPr>
                <w:rFonts w:ascii="Calibri" w:eastAsia="Calibri" w:hAnsi="Calibri" w:cs="Times New Roman"/>
              </w:rPr>
            </w:pPr>
            <w:r w:rsidRPr="008B36A4">
              <w:rPr>
                <w:rFonts w:ascii="Calibri" w:eastAsia="Calibri" w:hAnsi="Calibri" w:cs="Times New Roman"/>
              </w:rPr>
              <w:t xml:space="preserve">Inform students that there will be a prize for the best poster in the year. </w:t>
            </w:r>
          </w:p>
          <w:p w14:paraId="22AB34E5" w14:textId="0A5B8004" w:rsidR="00572E3D" w:rsidRPr="008B36A4" w:rsidRDefault="00572E3D" w:rsidP="00AA5DD9">
            <w:pPr>
              <w:numPr>
                <w:ilvl w:val="0"/>
                <w:numId w:val="6"/>
              </w:numPr>
              <w:rPr>
                <w:rFonts w:ascii="Calibri" w:eastAsia="Calibri" w:hAnsi="Calibri" w:cs="Times New Roman"/>
              </w:rPr>
            </w:pPr>
            <w:r w:rsidRPr="008B36A4">
              <w:rPr>
                <w:rFonts w:ascii="Calibri" w:eastAsia="Calibri" w:hAnsi="Calibri" w:cs="Times New Roman"/>
              </w:rPr>
              <w:t xml:space="preserve">Verbally ask if students would like to take part in the poster-making activity, and if they do not wish to then </w:t>
            </w:r>
            <w:r w:rsidR="0015447B">
              <w:rPr>
                <w:rFonts w:ascii="Calibri" w:eastAsia="Calibri" w:hAnsi="Calibri" w:cs="Times New Roman"/>
              </w:rPr>
              <w:t xml:space="preserve">the </w:t>
            </w:r>
            <w:r w:rsidRPr="008B36A4">
              <w:rPr>
                <w:rFonts w:ascii="Calibri" w:eastAsia="Calibri" w:hAnsi="Calibri" w:cs="Times New Roman"/>
              </w:rPr>
              <w:t xml:space="preserve">school will specify </w:t>
            </w:r>
            <w:r w:rsidR="0015447B">
              <w:rPr>
                <w:rFonts w:ascii="Calibri" w:eastAsia="Calibri" w:hAnsi="Calibri" w:cs="Times New Roman"/>
              </w:rPr>
              <w:t xml:space="preserve">an </w:t>
            </w:r>
            <w:r w:rsidRPr="008B36A4">
              <w:rPr>
                <w:rFonts w:ascii="Calibri" w:eastAsia="Calibri" w:hAnsi="Calibri" w:cs="Times New Roman"/>
              </w:rPr>
              <w:t>alternate activity</w:t>
            </w:r>
            <w:r w:rsidR="00B47EFC">
              <w:rPr>
                <w:rFonts w:ascii="Calibri" w:eastAsia="Calibri" w:hAnsi="Calibri" w:cs="Times New Roman"/>
              </w:rPr>
              <w:t>.</w:t>
            </w:r>
          </w:p>
        </w:tc>
      </w:tr>
      <w:tr w:rsidR="00572E3D" w:rsidRPr="008B36A4" w14:paraId="6A2A74E1" w14:textId="77777777" w:rsidTr="00611086">
        <w:trPr>
          <w:trHeight w:val="1206"/>
        </w:trPr>
        <w:tc>
          <w:tcPr>
            <w:tcW w:w="1277" w:type="dxa"/>
          </w:tcPr>
          <w:p w14:paraId="5FEA968F" w14:textId="77777777" w:rsidR="00572E3D" w:rsidRPr="008B36A4" w:rsidRDefault="00572E3D" w:rsidP="00611086">
            <w:pPr>
              <w:rPr>
                <w:rFonts w:ascii="Calibri" w:eastAsia="Calibri" w:hAnsi="Calibri" w:cs="Times New Roman"/>
              </w:rPr>
            </w:pPr>
            <w:r w:rsidRPr="008B36A4">
              <w:rPr>
                <w:rFonts w:ascii="Calibri" w:eastAsia="Calibri" w:hAnsi="Calibri" w:cs="Times New Roman"/>
              </w:rPr>
              <w:t xml:space="preserve">5-40 minutes </w:t>
            </w:r>
          </w:p>
        </w:tc>
        <w:tc>
          <w:tcPr>
            <w:tcW w:w="8647" w:type="dxa"/>
          </w:tcPr>
          <w:p w14:paraId="459ED167" w14:textId="77777777" w:rsidR="00572E3D" w:rsidRPr="008B36A4" w:rsidRDefault="00572E3D" w:rsidP="00611086">
            <w:pPr>
              <w:rPr>
                <w:rFonts w:ascii="Calibri" w:eastAsia="Calibri" w:hAnsi="Calibri" w:cs="Times New Roman"/>
                <w:b/>
              </w:rPr>
            </w:pPr>
            <w:r w:rsidRPr="008B36A4">
              <w:rPr>
                <w:rFonts w:ascii="Calibri" w:eastAsia="Calibri" w:hAnsi="Calibri" w:cs="Times New Roman"/>
                <w:b/>
              </w:rPr>
              <w:t>Students designing posters</w:t>
            </w:r>
          </w:p>
          <w:p w14:paraId="78D43402" w14:textId="77777777" w:rsidR="00572E3D" w:rsidRPr="008B36A4" w:rsidRDefault="00572E3D" w:rsidP="00AA5DD9">
            <w:pPr>
              <w:numPr>
                <w:ilvl w:val="0"/>
                <w:numId w:val="7"/>
              </w:numPr>
              <w:rPr>
                <w:rFonts w:ascii="Calibri" w:eastAsia="Calibri" w:hAnsi="Calibri" w:cs="Times New Roman"/>
              </w:rPr>
            </w:pPr>
            <w:r w:rsidRPr="008B36A4">
              <w:rPr>
                <w:rFonts w:ascii="Calibri" w:eastAsia="Calibri" w:hAnsi="Calibri" w:cs="Times New Roman"/>
              </w:rPr>
              <w:t xml:space="preserve">Students can start; they have 35 minutes </w:t>
            </w:r>
          </w:p>
          <w:p w14:paraId="7FDC1786" w14:textId="77777777" w:rsidR="00572E3D" w:rsidRPr="008B36A4" w:rsidRDefault="00572E3D" w:rsidP="00AA5DD9">
            <w:pPr>
              <w:numPr>
                <w:ilvl w:val="0"/>
                <w:numId w:val="7"/>
              </w:numPr>
              <w:rPr>
                <w:rFonts w:ascii="Calibri" w:eastAsia="Calibri" w:hAnsi="Calibri" w:cs="Times New Roman"/>
              </w:rPr>
            </w:pPr>
            <w:r w:rsidRPr="008B36A4">
              <w:rPr>
                <w:rFonts w:ascii="Calibri" w:eastAsia="Calibri" w:hAnsi="Calibri" w:cs="Times New Roman"/>
              </w:rPr>
              <w:t>Students are free to design the posters in any way they want</w:t>
            </w:r>
            <w:r>
              <w:rPr>
                <w:rFonts w:ascii="Calibri" w:eastAsia="Calibri" w:hAnsi="Calibri" w:cs="Times New Roman"/>
              </w:rPr>
              <w:t xml:space="preserve"> using the </w:t>
            </w:r>
            <w:r w:rsidRPr="00FA576E">
              <w:rPr>
                <w:rFonts w:ascii="Calibri" w:eastAsia="Calibri" w:hAnsi="Calibri" w:cs="Times New Roman"/>
                <w:b/>
              </w:rPr>
              <w:t>information</w:t>
            </w:r>
            <w:r>
              <w:rPr>
                <w:rFonts w:ascii="Calibri" w:eastAsia="Calibri" w:hAnsi="Calibri" w:cs="Times New Roman"/>
              </w:rPr>
              <w:t xml:space="preserve"> and </w:t>
            </w:r>
            <w:r w:rsidRPr="00FA576E">
              <w:rPr>
                <w:rFonts w:ascii="Calibri" w:eastAsia="Calibri" w:hAnsi="Calibri" w:cs="Times New Roman"/>
                <w:b/>
              </w:rPr>
              <w:t>materials</w:t>
            </w:r>
            <w:r>
              <w:rPr>
                <w:rFonts w:ascii="Calibri" w:eastAsia="Calibri" w:hAnsi="Calibri" w:cs="Times New Roman"/>
              </w:rPr>
              <w:t xml:space="preserve"> provided. </w:t>
            </w:r>
          </w:p>
          <w:p w14:paraId="397F77FA" w14:textId="2A4E1FF1" w:rsidR="00572E3D" w:rsidRPr="00C10DD3" w:rsidRDefault="00572E3D" w:rsidP="00AA5DD9">
            <w:pPr>
              <w:numPr>
                <w:ilvl w:val="0"/>
                <w:numId w:val="7"/>
              </w:numPr>
              <w:rPr>
                <w:rFonts w:ascii="Calibri" w:eastAsia="Calibri" w:hAnsi="Calibri" w:cs="Times New Roman"/>
              </w:rPr>
            </w:pPr>
            <w:r w:rsidRPr="008B36A4">
              <w:rPr>
                <w:rFonts w:ascii="Calibri" w:eastAsia="Calibri" w:hAnsi="Calibri" w:cs="Times New Roman"/>
              </w:rPr>
              <w:t>Speak to each group and make sure again</w:t>
            </w:r>
            <w:r w:rsidR="000549F1">
              <w:rPr>
                <w:rFonts w:ascii="Calibri" w:eastAsia="Calibri" w:hAnsi="Calibri" w:cs="Times New Roman"/>
              </w:rPr>
              <w:t xml:space="preserve"> they</w:t>
            </w:r>
            <w:r w:rsidRPr="008B36A4">
              <w:rPr>
                <w:rFonts w:ascii="Calibri" w:eastAsia="Calibri" w:hAnsi="Calibri" w:cs="Times New Roman"/>
              </w:rPr>
              <w:t xml:space="preserve"> understand the task, and answer any questions they may have regarding the poster activity </w:t>
            </w:r>
          </w:p>
        </w:tc>
      </w:tr>
      <w:tr w:rsidR="00572E3D" w:rsidRPr="008B36A4" w14:paraId="77799213" w14:textId="77777777" w:rsidTr="00611086">
        <w:trPr>
          <w:trHeight w:val="1139"/>
        </w:trPr>
        <w:tc>
          <w:tcPr>
            <w:tcW w:w="1277" w:type="dxa"/>
          </w:tcPr>
          <w:p w14:paraId="79D2CB61" w14:textId="77777777" w:rsidR="00572E3D" w:rsidRPr="00BA16F6" w:rsidRDefault="00572E3D" w:rsidP="00611086">
            <w:pPr>
              <w:rPr>
                <w:rFonts w:ascii="Calibri" w:eastAsia="Calibri" w:hAnsi="Calibri" w:cs="Times New Roman"/>
              </w:rPr>
            </w:pPr>
            <w:r w:rsidRPr="00BA16F6">
              <w:rPr>
                <w:rFonts w:ascii="Calibri" w:eastAsia="Calibri" w:hAnsi="Calibri" w:cs="Times New Roman"/>
              </w:rPr>
              <w:t xml:space="preserve">40-55 minutes </w:t>
            </w:r>
          </w:p>
        </w:tc>
        <w:tc>
          <w:tcPr>
            <w:tcW w:w="8647" w:type="dxa"/>
          </w:tcPr>
          <w:p w14:paraId="26D13ACE" w14:textId="122C2710" w:rsidR="00572E3D" w:rsidRPr="00BA16F6" w:rsidRDefault="00572E3D" w:rsidP="00611086">
            <w:pPr>
              <w:rPr>
                <w:rFonts w:ascii="Calibri" w:eastAsia="Calibri" w:hAnsi="Calibri" w:cs="Times New Roman"/>
                <w:b/>
              </w:rPr>
            </w:pPr>
            <w:r w:rsidRPr="00BA16F6">
              <w:rPr>
                <w:rFonts w:ascii="Calibri" w:eastAsia="Calibri" w:hAnsi="Calibri" w:cs="Times New Roman"/>
                <w:b/>
              </w:rPr>
              <w:t>Students feed</w:t>
            </w:r>
            <w:r w:rsidR="000549F1" w:rsidRPr="00BA16F6">
              <w:rPr>
                <w:rFonts w:ascii="Calibri" w:eastAsia="Calibri" w:hAnsi="Calibri" w:cs="Times New Roman"/>
                <w:b/>
              </w:rPr>
              <w:t xml:space="preserve"> </w:t>
            </w:r>
            <w:r w:rsidRPr="00BA16F6">
              <w:rPr>
                <w:rFonts w:ascii="Calibri" w:eastAsia="Calibri" w:hAnsi="Calibri" w:cs="Times New Roman"/>
                <w:b/>
              </w:rPr>
              <w:t>back to the rest of the group</w:t>
            </w:r>
          </w:p>
          <w:p w14:paraId="43C9C056" w14:textId="77777777" w:rsidR="00572E3D" w:rsidRPr="00BA16F6" w:rsidRDefault="00572E3D" w:rsidP="00AA5DD9">
            <w:pPr>
              <w:numPr>
                <w:ilvl w:val="0"/>
                <w:numId w:val="8"/>
              </w:numPr>
              <w:rPr>
                <w:rFonts w:ascii="Calibri" w:eastAsia="Calibri" w:hAnsi="Calibri" w:cs="Times New Roman"/>
                <w:b/>
              </w:rPr>
            </w:pPr>
            <w:r w:rsidRPr="00BA16F6">
              <w:rPr>
                <w:rFonts w:ascii="Calibri" w:eastAsia="Calibri" w:hAnsi="Calibri" w:cs="Times New Roman"/>
              </w:rPr>
              <w:t xml:space="preserve">Ask students within their groups to briefly present the poster to the rest of the class (a few minutes per group). </w:t>
            </w:r>
          </w:p>
          <w:p w14:paraId="2DE4725E" w14:textId="77777777" w:rsidR="00572E3D" w:rsidRPr="00BA16F6" w:rsidRDefault="00572E3D" w:rsidP="00AA5DD9">
            <w:pPr>
              <w:numPr>
                <w:ilvl w:val="0"/>
                <w:numId w:val="8"/>
              </w:numPr>
              <w:rPr>
                <w:rFonts w:ascii="Calibri" w:eastAsia="Calibri" w:hAnsi="Calibri" w:cs="Times New Roman"/>
                <w:b/>
              </w:rPr>
            </w:pPr>
            <w:r w:rsidRPr="00BA16F6">
              <w:rPr>
                <w:rFonts w:ascii="Calibri" w:eastAsia="Calibri" w:hAnsi="Calibri" w:cs="Times New Roman"/>
              </w:rPr>
              <w:t xml:space="preserve">Ask them to say why they designed the poster in that way and what information they have included on the poster. </w:t>
            </w:r>
          </w:p>
          <w:p w14:paraId="300452CC" w14:textId="77777777" w:rsidR="00572E3D" w:rsidRPr="00BA16F6" w:rsidRDefault="00572E3D" w:rsidP="00AA5DD9">
            <w:pPr>
              <w:numPr>
                <w:ilvl w:val="0"/>
                <w:numId w:val="9"/>
              </w:numPr>
              <w:rPr>
                <w:rFonts w:ascii="Calibri" w:eastAsia="Calibri" w:hAnsi="Calibri" w:cs="Times New Roman"/>
                <w:b/>
              </w:rPr>
            </w:pPr>
            <w:r w:rsidRPr="00BA16F6">
              <w:rPr>
                <w:i/>
                <w:iCs/>
              </w:rPr>
              <w:t>W</w:t>
            </w:r>
            <w:r w:rsidRPr="00BA16F6">
              <w:rPr>
                <w:rFonts w:eastAsia="Calibri"/>
                <w:i/>
                <w:iCs/>
              </w:rPr>
              <w:t>hy did they design the poster in that way?</w:t>
            </w:r>
          </w:p>
          <w:p w14:paraId="30E91D00" w14:textId="77777777" w:rsidR="00572E3D" w:rsidRPr="00BA16F6" w:rsidRDefault="00572E3D" w:rsidP="00AA5DD9">
            <w:pPr>
              <w:numPr>
                <w:ilvl w:val="0"/>
                <w:numId w:val="9"/>
              </w:numPr>
              <w:rPr>
                <w:rFonts w:ascii="Calibri" w:eastAsia="Calibri" w:hAnsi="Calibri" w:cs="Times New Roman"/>
                <w:b/>
                <w:i/>
                <w:iCs/>
              </w:rPr>
            </w:pPr>
            <w:r w:rsidRPr="00BA16F6">
              <w:rPr>
                <w:rFonts w:ascii="Calibri" w:eastAsia="Calibri" w:hAnsi="Calibri" w:cs="Times New Roman"/>
                <w:i/>
                <w:iCs/>
              </w:rPr>
              <w:t xml:space="preserve">Was any of the information surprising to them? </w:t>
            </w:r>
          </w:p>
          <w:p w14:paraId="7A0A4803" w14:textId="77777777" w:rsidR="00572E3D" w:rsidRPr="00BA16F6" w:rsidRDefault="00572E3D" w:rsidP="00AA5DD9">
            <w:pPr>
              <w:numPr>
                <w:ilvl w:val="0"/>
                <w:numId w:val="9"/>
              </w:numPr>
              <w:rPr>
                <w:rFonts w:ascii="Calibri" w:eastAsia="Calibri" w:hAnsi="Calibri" w:cs="Times New Roman"/>
                <w:b/>
              </w:rPr>
            </w:pPr>
            <w:r w:rsidRPr="00BA16F6">
              <w:rPr>
                <w:rFonts w:ascii="Calibri" w:eastAsia="Calibri" w:hAnsi="Calibri" w:cs="Times New Roman"/>
                <w:i/>
                <w:iCs/>
              </w:rPr>
              <w:t xml:space="preserve">Did they learn something new? </w:t>
            </w:r>
          </w:p>
        </w:tc>
      </w:tr>
      <w:tr w:rsidR="00572E3D" w:rsidRPr="008B36A4" w14:paraId="00E6C360" w14:textId="77777777" w:rsidTr="00611086">
        <w:trPr>
          <w:trHeight w:val="70"/>
        </w:trPr>
        <w:tc>
          <w:tcPr>
            <w:tcW w:w="1277" w:type="dxa"/>
          </w:tcPr>
          <w:p w14:paraId="0DE5CDD4" w14:textId="77777777" w:rsidR="00572E3D" w:rsidRPr="00BA16F6" w:rsidRDefault="00572E3D" w:rsidP="00611086">
            <w:pPr>
              <w:rPr>
                <w:rFonts w:ascii="Calibri" w:eastAsia="Calibri" w:hAnsi="Calibri" w:cs="Times New Roman"/>
              </w:rPr>
            </w:pPr>
            <w:r w:rsidRPr="00BA16F6">
              <w:rPr>
                <w:rFonts w:ascii="Calibri" w:eastAsia="Calibri" w:hAnsi="Calibri" w:cs="Times New Roman"/>
              </w:rPr>
              <w:t xml:space="preserve">55-60 minutes </w:t>
            </w:r>
          </w:p>
        </w:tc>
        <w:tc>
          <w:tcPr>
            <w:tcW w:w="8647" w:type="dxa"/>
          </w:tcPr>
          <w:p w14:paraId="4415F949" w14:textId="77777777" w:rsidR="00572E3D" w:rsidRPr="00BA16F6" w:rsidRDefault="00572E3D" w:rsidP="00611086">
            <w:pPr>
              <w:rPr>
                <w:rFonts w:ascii="Calibri" w:eastAsia="Calibri" w:hAnsi="Calibri" w:cs="Times New Roman"/>
                <w:b/>
              </w:rPr>
            </w:pPr>
            <w:r w:rsidRPr="00BA16F6">
              <w:rPr>
                <w:rFonts w:ascii="Calibri" w:eastAsia="Calibri" w:hAnsi="Calibri" w:cs="Times New Roman"/>
                <w:b/>
              </w:rPr>
              <w:t xml:space="preserve">Competition </w:t>
            </w:r>
          </w:p>
          <w:p w14:paraId="1A0932FF" w14:textId="77777777" w:rsidR="00572E3D" w:rsidRPr="00BA16F6" w:rsidRDefault="00572E3D" w:rsidP="00AA5DD9">
            <w:pPr>
              <w:pStyle w:val="ListParagraph"/>
              <w:numPr>
                <w:ilvl w:val="0"/>
                <w:numId w:val="10"/>
              </w:numPr>
              <w:spacing w:after="0" w:line="240" w:lineRule="auto"/>
              <w:rPr>
                <w:rFonts w:ascii="Calibri" w:eastAsia="Calibri" w:hAnsi="Calibri" w:cs="Times New Roman"/>
              </w:rPr>
            </w:pPr>
            <w:r w:rsidRPr="00BA16F6">
              <w:rPr>
                <w:rFonts w:ascii="Calibri" w:eastAsia="Calibri" w:hAnsi="Calibri" w:cs="Times New Roman"/>
              </w:rPr>
              <w:t>Number the posters and ask students to write their names on the back of the posters</w:t>
            </w:r>
          </w:p>
          <w:p w14:paraId="6DF6336E" w14:textId="39DAC0FC" w:rsidR="00572E3D" w:rsidRPr="00BA16F6" w:rsidRDefault="00572E3D" w:rsidP="00AA5DD9">
            <w:pPr>
              <w:pStyle w:val="ListParagraph"/>
              <w:numPr>
                <w:ilvl w:val="0"/>
                <w:numId w:val="10"/>
              </w:numPr>
              <w:spacing w:after="0" w:line="240" w:lineRule="auto"/>
              <w:rPr>
                <w:rFonts w:ascii="Calibri" w:eastAsia="Calibri" w:hAnsi="Calibri" w:cs="Times New Roman"/>
              </w:rPr>
            </w:pPr>
            <w:r w:rsidRPr="00BA16F6">
              <w:rPr>
                <w:rFonts w:ascii="Calibri" w:eastAsia="Calibri" w:hAnsi="Calibri" w:cs="Times New Roman"/>
              </w:rPr>
              <w:t>Ask students to vote for which poster they think is the best (using a slip</w:t>
            </w:r>
            <w:r w:rsidR="000C1CC4" w:rsidRPr="00BA16F6">
              <w:rPr>
                <w:rFonts w:ascii="Calibri" w:eastAsia="Calibri" w:hAnsi="Calibri" w:cs="Times New Roman"/>
              </w:rPr>
              <w:t xml:space="preserve"> of paper</w:t>
            </w:r>
            <w:r w:rsidRPr="00BA16F6">
              <w:rPr>
                <w:rFonts w:ascii="Calibri" w:eastAsia="Calibri" w:hAnsi="Calibri" w:cs="Times New Roman"/>
              </w:rPr>
              <w:t xml:space="preserve">). They should think </w:t>
            </w:r>
            <w:r w:rsidR="007D734F" w:rsidRPr="00BA16F6">
              <w:rPr>
                <w:rFonts w:ascii="Calibri" w:eastAsia="Calibri" w:hAnsi="Calibri" w:cs="Times New Roman"/>
              </w:rPr>
              <w:t>about: -</w:t>
            </w:r>
          </w:p>
          <w:p w14:paraId="191FF827" w14:textId="77777777" w:rsidR="00572E3D" w:rsidRPr="00BA16F6" w:rsidRDefault="00572E3D" w:rsidP="00BE4DE7">
            <w:pPr>
              <w:spacing w:after="200" w:line="276" w:lineRule="auto"/>
              <w:ind w:left="720"/>
              <w:contextualSpacing/>
              <w:rPr>
                <w:rFonts w:ascii="Calibri" w:eastAsia="Calibri" w:hAnsi="Calibri" w:cs="Times New Roman"/>
                <w:i/>
                <w:iCs/>
              </w:rPr>
            </w:pPr>
            <w:r w:rsidRPr="00BA16F6">
              <w:rPr>
                <w:rFonts w:ascii="Calibri" w:eastAsia="Calibri" w:hAnsi="Calibri" w:cs="Times New Roman"/>
                <w:i/>
                <w:iCs/>
              </w:rPr>
              <w:t>- Which poster displays the information clearly?</w:t>
            </w:r>
          </w:p>
          <w:p w14:paraId="7A7FA6F0" w14:textId="77777777" w:rsidR="00572E3D" w:rsidRPr="00BA16F6" w:rsidRDefault="00572E3D" w:rsidP="00BE4DE7">
            <w:pPr>
              <w:spacing w:after="200" w:line="276" w:lineRule="auto"/>
              <w:ind w:left="720"/>
              <w:contextualSpacing/>
              <w:rPr>
                <w:rFonts w:ascii="Calibri" w:eastAsia="Calibri" w:hAnsi="Calibri" w:cs="Times New Roman"/>
                <w:i/>
                <w:iCs/>
              </w:rPr>
            </w:pPr>
            <w:r w:rsidRPr="00BA16F6">
              <w:rPr>
                <w:rFonts w:ascii="Calibri" w:eastAsia="Calibri" w:hAnsi="Calibri" w:cs="Times New Roman"/>
                <w:i/>
                <w:iCs/>
              </w:rPr>
              <w:t xml:space="preserve"> -Which poster is the most eye-catching?</w:t>
            </w:r>
          </w:p>
          <w:p w14:paraId="0E343CED" w14:textId="77777777" w:rsidR="00572E3D" w:rsidRPr="00BA16F6" w:rsidRDefault="00572E3D" w:rsidP="00BE4DE7">
            <w:pPr>
              <w:spacing w:after="200" w:line="276" w:lineRule="auto"/>
              <w:ind w:left="720"/>
              <w:contextualSpacing/>
              <w:rPr>
                <w:rFonts w:ascii="Calibri" w:eastAsia="Calibri" w:hAnsi="Calibri" w:cs="Times New Roman"/>
                <w:i/>
                <w:iCs/>
              </w:rPr>
            </w:pPr>
            <w:r w:rsidRPr="00BA16F6">
              <w:rPr>
                <w:rFonts w:ascii="Calibri" w:eastAsia="Calibri" w:hAnsi="Calibri" w:cs="Times New Roman"/>
                <w:i/>
                <w:iCs/>
              </w:rPr>
              <w:t xml:space="preserve"> -Which poster is the easiest to read? </w:t>
            </w:r>
          </w:p>
          <w:p w14:paraId="05120DC4" w14:textId="77777777" w:rsidR="00572E3D" w:rsidRPr="00BA16F6" w:rsidRDefault="00572E3D" w:rsidP="00611086">
            <w:pPr>
              <w:rPr>
                <w:rFonts w:ascii="Calibri" w:eastAsia="Calibri" w:hAnsi="Calibri" w:cs="Times New Roman"/>
              </w:rPr>
            </w:pPr>
            <w:r w:rsidRPr="00BA16F6">
              <w:rPr>
                <w:rFonts w:ascii="Calibri" w:eastAsia="Calibri" w:hAnsi="Calibri" w:cs="Times New Roman"/>
              </w:rPr>
              <w:t>Ask students to complete their votes and hand them to the teacher on the way out.</w:t>
            </w:r>
          </w:p>
          <w:p w14:paraId="20A6DE7D" w14:textId="77777777" w:rsidR="00572E3D" w:rsidRPr="00BA16F6" w:rsidRDefault="00572E3D" w:rsidP="00611086">
            <w:pPr>
              <w:rPr>
                <w:rFonts w:ascii="Calibri" w:eastAsia="Calibri" w:hAnsi="Calibri" w:cs="Times New Roman"/>
              </w:rPr>
            </w:pPr>
          </w:p>
          <w:p w14:paraId="3CB2236C" w14:textId="77777777" w:rsidR="00572E3D" w:rsidRPr="00BA16F6" w:rsidRDefault="00572E3D" w:rsidP="00611086">
            <w:pPr>
              <w:spacing w:after="200" w:line="276" w:lineRule="auto"/>
              <w:jc w:val="center"/>
              <w:rPr>
                <w:rFonts w:ascii="Calibri" w:eastAsia="Calibri" w:hAnsi="Calibri" w:cs="Times New Roman"/>
                <w:b/>
              </w:rPr>
            </w:pPr>
            <w:r w:rsidRPr="00BA16F6">
              <w:rPr>
                <w:rFonts w:ascii="Calibri" w:eastAsia="Calibri" w:hAnsi="Calibri" w:cs="Times New Roman"/>
                <w:b/>
              </w:rPr>
              <w:t>Please keep all posters and write on the back of the poster, which one was voted the best out of the class by tallying the votes.</w:t>
            </w:r>
          </w:p>
          <w:p w14:paraId="1905C10D" w14:textId="77777777" w:rsidR="00572E3D" w:rsidRPr="00BA16F6" w:rsidRDefault="00572E3D" w:rsidP="00611086">
            <w:pPr>
              <w:spacing w:after="200" w:line="276" w:lineRule="auto"/>
              <w:jc w:val="center"/>
              <w:rPr>
                <w:rFonts w:ascii="Calibri" w:eastAsia="Calibri" w:hAnsi="Calibri" w:cs="Times New Roman"/>
                <w:b/>
                <w:u w:val="single"/>
              </w:rPr>
            </w:pPr>
            <w:r w:rsidRPr="00BA16F6">
              <w:rPr>
                <w:rFonts w:ascii="Calibri" w:eastAsia="Calibri" w:hAnsi="Calibri" w:cs="Times New Roman"/>
                <w:b/>
                <w:u w:val="single"/>
              </w:rPr>
              <w:t xml:space="preserve">Thank you for your help with this session </w:t>
            </w:r>
          </w:p>
          <w:p w14:paraId="0CCBC8E5" w14:textId="77777777" w:rsidR="00572E3D" w:rsidRPr="00BA16F6" w:rsidRDefault="00572E3D" w:rsidP="00611086">
            <w:pPr>
              <w:rPr>
                <w:rFonts w:ascii="Calibri" w:eastAsia="Calibri" w:hAnsi="Calibri" w:cs="Times New Roman"/>
              </w:rPr>
            </w:pPr>
          </w:p>
        </w:tc>
      </w:tr>
    </w:tbl>
    <w:bookmarkStart w:id="378" w:name="_Toc84845188"/>
    <w:bookmarkStart w:id="379" w:name="_Toc84854199"/>
    <w:p w14:paraId="0F4BEB16" w14:textId="79DD59FD" w:rsidR="00572E3D" w:rsidRPr="00265133" w:rsidRDefault="00572E3D" w:rsidP="00572E3D">
      <w:r w:rsidRPr="00E272EB">
        <w:lastRenderedPageBreak/>
        <w:fldChar w:fldCharType="begin"/>
      </w:r>
      <w:r w:rsidRPr="00E272EB">
        <w:instrText xml:space="preserve"> TC  " </w:instrText>
      </w:r>
      <w:bookmarkStart w:id="380" w:name="_Toc97557178"/>
      <w:r w:rsidRPr="00265133">
        <w:instrText xml:space="preserve">Appendix </w:instrText>
      </w:r>
      <w:r w:rsidR="00D236D4">
        <w:instrText>2</w:instrText>
      </w:r>
      <w:r w:rsidR="007F5E1F">
        <w:instrText>6</w:instrText>
      </w:r>
      <w:r w:rsidRPr="00265133">
        <w:instrText xml:space="preserve">: </w:instrText>
      </w:r>
      <w:r>
        <w:instrText>Poster session guidance for students</w:instrText>
      </w:r>
      <w:r w:rsidRPr="00265133">
        <w:instrText xml:space="preserve">(Study </w:instrText>
      </w:r>
      <w:r w:rsidR="005930C3">
        <w:instrText>Three</w:instrText>
      </w:r>
      <w:r w:rsidRPr="00265133">
        <w:instrText>, Chapter 8)</w:instrText>
      </w:r>
      <w:bookmarkEnd w:id="380"/>
      <w:r w:rsidRPr="00E272EB">
        <w:instrText xml:space="preserve">" \f y\l </w:instrText>
      </w:r>
      <w:r>
        <w:instrText>2</w:instrText>
      </w:r>
      <w:r w:rsidRPr="00E272EB">
        <w:instrText xml:space="preserve"> </w:instrText>
      </w:r>
      <w:r w:rsidRPr="00E272EB">
        <w:fldChar w:fldCharType="end"/>
      </w:r>
      <w:r w:rsidRPr="00265133">
        <w:rPr>
          <w:noProof/>
        </w:rPr>
        <w:drawing>
          <wp:anchor distT="0" distB="0" distL="114300" distR="114300" simplePos="0" relativeHeight="251661312" behindDoc="1" locked="0" layoutInCell="1" allowOverlap="1" wp14:anchorId="06FE587E" wp14:editId="66957EF0">
            <wp:simplePos x="0" y="0"/>
            <wp:positionH relativeFrom="column">
              <wp:posOffset>4617720</wp:posOffset>
            </wp:positionH>
            <wp:positionV relativeFrom="paragraph">
              <wp:posOffset>0</wp:posOffset>
            </wp:positionV>
            <wp:extent cx="862330" cy="982980"/>
            <wp:effectExtent l="0" t="0" r="0" b="7620"/>
            <wp:wrapSquare wrapText="bothSides"/>
            <wp:docPr id="250" name="Picture 2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62330" cy="982980"/>
                    </a:xfrm>
                    <a:prstGeom prst="rect">
                      <a:avLst/>
                    </a:prstGeom>
                  </pic:spPr>
                </pic:pic>
              </a:graphicData>
            </a:graphic>
            <wp14:sizeRelH relativeFrom="margin">
              <wp14:pctWidth>0</wp14:pctWidth>
            </wp14:sizeRelH>
            <wp14:sizeRelV relativeFrom="margin">
              <wp14:pctHeight>0</wp14:pctHeight>
            </wp14:sizeRelV>
          </wp:anchor>
        </w:drawing>
      </w:r>
      <w:r w:rsidRPr="00265133">
        <w:t xml:space="preserve">Appendix </w:t>
      </w:r>
      <w:r w:rsidR="00D236D4">
        <w:t>2</w:t>
      </w:r>
      <w:r w:rsidR="007F5E1F">
        <w:t>6</w:t>
      </w:r>
      <w:r w:rsidRPr="00265133">
        <w:t xml:space="preserve">: Poster session guidance for students (Study </w:t>
      </w:r>
      <w:r w:rsidR="005930C3">
        <w:t>Three</w:t>
      </w:r>
      <w:r w:rsidRPr="00265133">
        <w:t>, Chapter 8)</w:t>
      </w:r>
      <w:bookmarkEnd w:id="378"/>
      <w:bookmarkEnd w:id="379"/>
    </w:p>
    <w:p w14:paraId="6E867611" w14:textId="77777777" w:rsidR="00572E3D" w:rsidRDefault="00572E3D" w:rsidP="00572E3D">
      <w:pPr>
        <w:rPr>
          <w:rFonts w:ascii="Calibri" w:eastAsia="Calibri" w:hAnsi="Calibri" w:cs="Times New Roman"/>
          <w:b/>
          <w:sz w:val="28"/>
          <w:szCs w:val="28"/>
        </w:rPr>
      </w:pPr>
    </w:p>
    <w:p w14:paraId="553F9CBA" w14:textId="77777777" w:rsidR="00572E3D" w:rsidRPr="00634290" w:rsidRDefault="00572E3D" w:rsidP="00572E3D">
      <w:pPr>
        <w:jc w:val="center"/>
        <w:rPr>
          <w:rFonts w:ascii="Calibri" w:eastAsia="Calibri" w:hAnsi="Calibri" w:cs="Times New Roman"/>
          <w:b/>
          <w:sz w:val="28"/>
          <w:szCs w:val="28"/>
          <w:u w:val="single"/>
        </w:rPr>
      </w:pPr>
      <w:r w:rsidRPr="00EE4F38">
        <w:rPr>
          <w:rFonts w:ascii="Calibri" w:eastAsia="Calibri" w:hAnsi="Calibri" w:cs="Times New Roman"/>
          <w:b/>
          <w:sz w:val="28"/>
          <w:szCs w:val="28"/>
        </w:rPr>
        <w:t xml:space="preserve">      </w:t>
      </w:r>
      <w:r>
        <w:rPr>
          <w:rFonts w:ascii="Calibri" w:eastAsia="Calibri" w:hAnsi="Calibri" w:cs="Times New Roman"/>
          <w:b/>
          <w:sz w:val="28"/>
          <w:szCs w:val="28"/>
          <w:u w:val="single"/>
        </w:rPr>
        <w:t xml:space="preserve"> </w:t>
      </w:r>
      <w:r w:rsidRPr="00DB08AC">
        <w:rPr>
          <w:rFonts w:ascii="Calibri" w:eastAsia="Calibri" w:hAnsi="Calibri" w:cs="Times New Roman"/>
          <w:b/>
          <w:sz w:val="28"/>
          <w:szCs w:val="28"/>
          <w:u w:val="single"/>
        </w:rPr>
        <w:t xml:space="preserve">Poster information sheet </w:t>
      </w:r>
    </w:p>
    <w:p w14:paraId="046C63B1" w14:textId="77777777" w:rsidR="00572E3D" w:rsidRPr="00DB08AC" w:rsidRDefault="00572E3D" w:rsidP="00AA5DD9">
      <w:pPr>
        <w:pStyle w:val="ListParagraph"/>
        <w:numPr>
          <w:ilvl w:val="0"/>
          <w:numId w:val="5"/>
        </w:numPr>
        <w:spacing w:after="160" w:line="259" w:lineRule="auto"/>
        <w:rPr>
          <w:rFonts w:ascii="Calibri" w:eastAsia="Calibri" w:hAnsi="Calibri" w:cs="Times New Roman"/>
          <w:sz w:val="28"/>
          <w:szCs w:val="28"/>
        </w:rPr>
      </w:pPr>
      <w:r w:rsidRPr="00DB08AC">
        <w:rPr>
          <w:rFonts w:ascii="Calibri" w:eastAsia="Calibri" w:hAnsi="Calibri" w:cs="Times New Roman"/>
          <w:sz w:val="28"/>
          <w:szCs w:val="28"/>
        </w:rPr>
        <w:t>In groups of 4-5 students, I would like you to design a poster</w:t>
      </w:r>
      <w:r>
        <w:rPr>
          <w:rFonts w:ascii="Calibri" w:eastAsia="Calibri" w:hAnsi="Calibri" w:cs="Times New Roman"/>
          <w:sz w:val="28"/>
          <w:szCs w:val="28"/>
        </w:rPr>
        <w:t xml:space="preserve"> about </w:t>
      </w:r>
      <w:r w:rsidRPr="008D7DED">
        <w:rPr>
          <w:rFonts w:ascii="Calibri" w:eastAsia="Calibri" w:hAnsi="Calibri" w:cs="Times New Roman"/>
          <w:b/>
          <w:i/>
          <w:sz w:val="28"/>
          <w:szCs w:val="28"/>
        </w:rPr>
        <w:t>snacking.</w:t>
      </w:r>
      <w:r w:rsidRPr="00DB08AC">
        <w:rPr>
          <w:rFonts w:ascii="Calibri" w:eastAsia="Calibri" w:hAnsi="Calibri" w:cs="Times New Roman"/>
          <w:sz w:val="28"/>
          <w:szCs w:val="28"/>
        </w:rPr>
        <w:t xml:space="preserve"> </w:t>
      </w:r>
    </w:p>
    <w:p w14:paraId="4D3921CA" w14:textId="77777777" w:rsidR="00572E3D" w:rsidRPr="00DB08AC" w:rsidRDefault="00572E3D" w:rsidP="00572E3D">
      <w:pPr>
        <w:pStyle w:val="ListParagraph"/>
        <w:rPr>
          <w:rFonts w:ascii="Calibri" w:eastAsia="Calibri" w:hAnsi="Calibri" w:cs="Times New Roman"/>
          <w:sz w:val="28"/>
          <w:szCs w:val="28"/>
        </w:rPr>
      </w:pPr>
    </w:p>
    <w:p w14:paraId="23D22DD5" w14:textId="77777777" w:rsidR="00572E3D" w:rsidRPr="00DB08AC" w:rsidRDefault="00572E3D" w:rsidP="00AA5DD9">
      <w:pPr>
        <w:pStyle w:val="ListParagraph"/>
        <w:numPr>
          <w:ilvl w:val="0"/>
          <w:numId w:val="5"/>
        </w:numPr>
        <w:spacing w:after="160" w:line="259" w:lineRule="auto"/>
        <w:rPr>
          <w:rFonts w:ascii="Calibri" w:eastAsia="Calibri" w:hAnsi="Calibri" w:cs="Times New Roman"/>
          <w:sz w:val="28"/>
          <w:szCs w:val="28"/>
        </w:rPr>
      </w:pPr>
      <w:r w:rsidRPr="00DB08AC">
        <w:rPr>
          <w:rFonts w:ascii="Calibri" w:eastAsia="Calibri" w:hAnsi="Calibri" w:cs="Times New Roman"/>
          <w:sz w:val="28"/>
          <w:szCs w:val="28"/>
        </w:rPr>
        <w:t>I will be coming around with a short fact sheet and your job is to add all the information from the fact sheet</w:t>
      </w:r>
      <w:r>
        <w:rPr>
          <w:rFonts w:ascii="Calibri" w:eastAsia="Calibri" w:hAnsi="Calibri" w:cs="Times New Roman"/>
          <w:sz w:val="28"/>
          <w:szCs w:val="28"/>
        </w:rPr>
        <w:t xml:space="preserve"> about snacks</w:t>
      </w:r>
      <w:r w:rsidRPr="00DB08AC">
        <w:rPr>
          <w:rFonts w:ascii="Calibri" w:eastAsia="Calibri" w:hAnsi="Calibri" w:cs="Times New Roman"/>
          <w:sz w:val="28"/>
          <w:szCs w:val="28"/>
        </w:rPr>
        <w:t xml:space="preserve"> to your posters.</w:t>
      </w:r>
      <w:r>
        <w:rPr>
          <w:rFonts w:ascii="Calibri" w:eastAsia="Calibri" w:hAnsi="Calibri" w:cs="Times New Roman"/>
          <w:sz w:val="28"/>
          <w:szCs w:val="28"/>
        </w:rPr>
        <w:t xml:space="preserve"> </w:t>
      </w:r>
      <w:r w:rsidRPr="00B66833">
        <w:rPr>
          <w:rFonts w:ascii="Calibri" w:eastAsia="Calibri" w:hAnsi="Calibri" w:cs="Times New Roman"/>
          <w:b/>
          <w:sz w:val="28"/>
          <w:szCs w:val="28"/>
          <w:u w:val="double"/>
        </w:rPr>
        <w:t>DO NOT</w:t>
      </w:r>
      <w:r>
        <w:rPr>
          <w:rFonts w:ascii="Calibri" w:eastAsia="Calibri" w:hAnsi="Calibri" w:cs="Times New Roman"/>
          <w:sz w:val="28"/>
          <w:szCs w:val="28"/>
        </w:rPr>
        <w:t xml:space="preserve"> </w:t>
      </w:r>
      <w:r>
        <w:rPr>
          <w:rFonts w:ascii="Calibri" w:eastAsia="Calibri" w:hAnsi="Calibri" w:cs="Times New Roman"/>
          <w:b/>
          <w:sz w:val="28"/>
          <w:szCs w:val="28"/>
        </w:rPr>
        <w:t>glue</w:t>
      </w:r>
      <w:r w:rsidRPr="007D4A60">
        <w:rPr>
          <w:rFonts w:ascii="Calibri" w:eastAsia="Calibri" w:hAnsi="Calibri" w:cs="Times New Roman"/>
          <w:b/>
          <w:sz w:val="28"/>
          <w:szCs w:val="28"/>
        </w:rPr>
        <w:t xml:space="preserve"> the fact sheet</w:t>
      </w:r>
      <w:r>
        <w:rPr>
          <w:rFonts w:ascii="Calibri" w:eastAsia="Calibri" w:hAnsi="Calibri" w:cs="Times New Roman"/>
          <w:b/>
          <w:sz w:val="28"/>
          <w:szCs w:val="28"/>
        </w:rPr>
        <w:t>s on to your poster, display the information in your own way</w:t>
      </w:r>
      <w:r>
        <w:rPr>
          <w:rFonts w:ascii="Calibri" w:eastAsia="Calibri" w:hAnsi="Calibri" w:cs="Times New Roman"/>
          <w:sz w:val="28"/>
          <w:szCs w:val="28"/>
        </w:rPr>
        <w:t>.</w:t>
      </w:r>
    </w:p>
    <w:p w14:paraId="513509FD" w14:textId="77777777" w:rsidR="00572E3D" w:rsidRPr="00DB08AC" w:rsidRDefault="00572E3D" w:rsidP="00572E3D">
      <w:pPr>
        <w:pStyle w:val="ListParagraph"/>
        <w:rPr>
          <w:rFonts w:ascii="Calibri" w:eastAsia="Calibri" w:hAnsi="Calibri" w:cs="Times New Roman"/>
          <w:sz w:val="28"/>
          <w:szCs w:val="28"/>
        </w:rPr>
      </w:pPr>
    </w:p>
    <w:p w14:paraId="7ACCFEEE" w14:textId="77777777" w:rsidR="00572E3D" w:rsidRDefault="00572E3D" w:rsidP="00AA5DD9">
      <w:pPr>
        <w:pStyle w:val="ListParagraph"/>
        <w:numPr>
          <w:ilvl w:val="0"/>
          <w:numId w:val="5"/>
        </w:numPr>
        <w:spacing w:after="160" w:line="259" w:lineRule="auto"/>
        <w:rPr>
          <w:rFonts w:ascii="Calibri" w:eastAsia="Calibri" w:hAnsi="Calibri" w:cs="Times New Roman"/>
          <w:sz w:val="28"/>
          <w:szCs w:val="28"/>
        </w:rPr>
      </w:pPr>
      <w:r w:rsidRPr="00DB08AC">
        <w:rPr>
          <w:rFonts w:ascii="Calibri" w:eastAsia="Calibri" w:hAnsi="Calibri" w:cs="Times New Roman"/>
          <w:sz w:val="28"/>
          <w:szCs w:val="28"/>
        </w:rPr>
        <w:t>You can display the information in any way you wish</w:t>
      </w:r>
      <w:r>
        <w:rPr>
          <w:rFonts w:ascii="Calibri" w:eastAsia="Calibri" w:hAnsi="Calibri" w:cs="Times New Roman"/>
          <w:sz w:val="28"/>
          <w:szCs w:val="28"/>
        </w:rPr>
        <w:t xml:space="preserve">. For example, draw or add pictures. </w:t>
      </w:r>
    </w:p>
    <w:p w14:paraId="255CF05E" w14:textId="77777777" w:rsidR="00572E3D" w:rsidRPr="00634290" w:rsidRDefault="00572E3D" w:rsidP="00572E3D">
      <w:pPr>
        <w:pStyle w:val="ListParagraph"/>
        <w:rPr>
          <w:rFonts w:ascii="Calibri" w:eastAsia="Calibri" w:hAnsi="Calibri" w:cs="Times New Roman"/>
          <w:sz w:val="28"/>
          <w:szCs w:val="28"/>
        </w:rPr>
      </w:pPr>
    </w:p>
    <w:p w14:paraId="797DFC05" w14:textId="77777777" w:rsidR="00572E3D" w:rsidRPr="00DB08AC" w:rsidRDefault="00572E3D" w:rsidP="00AA5DD9">
      <w:pPr>
        <w:pStyle w:val="ListParagraph"/>
        <w:numPr>
          <w:ilvl w:val="0"/>
          <w:numId w:val="5"/>
        </w:numPr>
        <w:spacing w:after="160" w:line="259" w:lineRule="auto"/>
        <w:rPr>
          <w:rFonts w:ascii="Calibri" w:eastAsia="Calibri" w:hAnsi="Calibri" w:cs="Times New Roman"/>
          <w:sz w:val="28"/>
          <w:szCs w:val="28"/>
        </w:rPr>
      </w:pPr>
      <w:r>
        <w:rPr>
          <w:rFonts w:ascii="Calibri" w:eastAsia="Calibri" w:hAnsi="Calibri" w:cs="Times New Roman"/>
          <w:sz w:val="28"/>
          <w:szCs w:val="28"/>
        </w:rPr>
        <w:t>Include a</w:t>
      </w:r>
      <w:r w:rsidRPr="008D7DED">
        <w:rPr>
          <w:rFonts w:ascii="Calibri" w:eastAsia="Calibri" w:hAnsi="Calibri" w:cs="Times New Roman"/>
          <w:b/>
          <w:sz w:val="28"/>
          <w:szCs w:val="28"/>
        </w:rPr>
        <w:t xml:space="preserve"> </w:t>
      </w:r>
      <w:r w:rsidRPr="008D7DED">
        <w:rPr>
          <w:rFonts w:ascii="Calibri" w:eastAsia="Calibri" w:hAnsi="Calibri" w:cs="Times New Roman"/>
          <w:b/>
          <w:i/>
          <w:sz w:val="28"/>
          <w:szCs w:val="28"/>
        </w:rPr>
        <w:t>title</w:t>
      </w:r>
      <w:r>
        <w:rPr>
          <w:rFonts w:ascii="Calibri" w:eastAsia="Calibri" w:hAnsi="Calibri" w:cs="Times New Roman"/>
          <w:sz w:val="28"/>
          <w:szCs w:val="28"/>
        </w:rPr>
        <w:t xml:space="preserve"> on your poster to tell the reader what your poster is about</w:t>
      </w:r>
    </w:p>
    <w:p w14:paraId="713A3CA8" w14:textId="77777777" w:rsidR="00572E3D" w:rsidRPr="00DB08AC" w:rsidRDefault="00572E3D" w:rsidP="00572E3D">
      <w:pPr>
        <w:pStyle w:val="ListParagraph"/>
        <w:rPr>
          <w:rFonts w:ascii="Calibri" w:eastAsia="Calibri" w:hAnsi="Calibri" w:cs="Times New Roman"/>
          <w:sz w:val="28"/>
          <w:szCs w:val="28"/>
        </w:rPr>
      </w:pPr>
    </w:p>
    <w:p w14:paraId="6235E826" w14:textId="77777777" w:rsidR="00572E3D" w:rsidRPr="00DB08AC" w:rsidRDefault="00572E3D" w:rsidP="00AA5DD9">
      <w:pPr>
        <w:pStyle w:val="ListParagraph"/>
        <w:numPr>
          <w:ilvl w:val="0"/>
          <w:numId w:val="5"/>
        </w:numPr>
        <w:spacing w:after="160" w:line="259" w:lineRule="auto"/>
        <w:rPr>
          <w:rFonts w:ascii="Calibri" w:eastAsia="Calibri" w:hAnsi="Calibri" w:cs="Times New Roman"/>
          <w:sz w:val="28"/>
          <w:szCs w:val="28"/>
        </w:rPr>
      </w:pPr>
      <w:r w:rsidRPr="00DB08AC">
        <w:rPr>
          <w:rFonts w:ascii="Calibri" w:eastAsia="Calibri" w:hAnsi="Calibri" w:cs="Times New Roman"/>
          <w:sz w:val="28"/>
          <w:szCs w:val="28"/>
        </w:rPr>
        <w:t xml:space="preserve">You will be provided with poster paper, </w:t>
      </w:r>
      <w:r>
        <w:rPr>
          <w:rFonts w:ascii="Calibri" w:eastAsia="Calibri" w:hAnsi="Calibri" w:cs="Times New Roman"/>
          <w:sz w:val="28"/>
          <w:szCs w:val="28"/>
        </w:rPr>
        <w:t xml:space="preserve">coloured paper, </w:t>
      </w:r>
      <w:r w:rsidRPr="00DB08AC">
        <w:rPr>
          <w:rFonts w:ascii="Calibri" w:eastAsia="Calibri" w:hAnsi="Calibri" w:cs="Times New Roman"/>
          <w:sz w:val="28"/>
          <w:szCs w:val="28"/>
        </w:rPr>
        <w:t xml:space="preserve">coloured pens and some blank paper to make notes with </w:t>
      </w:r>
    </w:p>
    <w:p w14:paraId="4917E208" w14:textId="77777777" w:rsidR="00572E3D" w:rsidRPr="00DB08AC" w:rsidRDefault="00572E3D" w:rsidP="00572E3D">
      <w:pPr>
        <w:pStyle w:val="ListParagraph"/>
        <w:rPr>
          <w:rFonts w:ascii="Calibri" w:eastAsia="Calibri" w:hAnsi="Calibri" w:cs="Times New Roman"/>
          <w:sz w:val="28"/>
          <w:szCs w:val="28"/>
        </w:rPr>
      </w:pPr>
    </w:p>
    <w:p w14:paraId="344719C9" w14:textId="77777777" w:rsidR="00572E3D" w:rsidRPr="008D7DED" w:rsidRDefault="00572E3D" w:rsidP="00AA5DD9">
      <w:pPr>
        <w:pStyle w:val="ListParagraph"/>
        <w:numPr>
          <w:ilvl w:val="0"/>
          <w:numId w:val="5"/>
        </w:numPr>
        <w:spacing w:after="160" w:line="259" w:lineRule="auto"/>
        <w:rPr>
          <w:rFonts w:ascii="Calibri" w:eastAsia="Calibri" w:hAnsi="Calibri" w:cs="Times New Roman"/>
          <w:sz w:val="28"/>
          <w:szCs w:val="28"/>
        </w:rPr>
      </w:pPr>
      <w:r w:rsidRPr="00DB08AC">
        <w:rPr>
          <w:rFonts w:ascii="Calibri" w:eastAsia="Calibri" w:hAnsi="Calibri" w:cs="Times New Roman"/>
          <w:sz w:val="28"/>
          <w:szCs w:val="28"/>
        </w:rPr>
        <w:t xml:space="preserve">Make sure everyone in the group takes part </w:t>
      </w:r>
      <w:r>
        <w:rPr>
          <w:rFonts w:ascii="Calibri" w:eastAsia="Calibri" w:hAnsi="Calibri" w:cs="Times New Roman"/>
          <w:sz w:val="28"/>
          <w:szCs w:val="28"/>
        </w:rPr>
        <w:t xml:space="preserve">and please </w:t>
      </w:r>
      <w:r w:rsidRPr="008D7DED">
        <w:rPr>
          <w:rFonts w:ascii="Calibri" w:eastAsia="Calibri" w:hAnsi="Calibri" w:cs="Times New Roman"/>
          <w:sz w:val="28"/>
          <w:szCs w:val="28"/>
        </w:rPr>
        <w:t xml:space="preserve">ask </w:t>
      </w:r>
      <w:r>
        <w:rPr>
          <w:rFonts w:ascii="Calibri" w:eastAsia="Calibri" w:hAnsi="Calibri" w:cs="Times New Roman"/>
          <w:sz w:val="28"/>
          <w:szCs w:val="28"/>
        </w:rPr>
        <w:t xml:space="preserve">the teacher </w:t>
      </w:r>
      <w:r w:rsidRPr="008D7DED">
        <w:rPr>
          <w:rFonts w:ascii="Calibri" w:eastAsia="Calibri" w:hAnsi="Calibri" w:cs="Times New Roman"/>
          <w:sz w:val="28"/>
          <w:szCs w:val="28"/>
        </w:rPr>
        <w:t xml:space="preserve">any questions if you are stuck </w:t>
      </w:r>
    </w:p>
    <w:p w14:paraId="26B4F56F" w14:textId="77777777" w:rsidR="00572E3D" w:rsidRPr="00DB08AC" w:rsidRDefault="00572E3D" w:rsidP="00572E3D">
      <w:pPr>
        <w:pStyle w:val="ListParagraph"/>
        <w:rPr>
          <w:rFonts w:ascii="Calibri" w:eastAsia="Calibri" w:hAnsi="Calibri" w:cs="Times New Roman"/>
          <w:sz w:val="28"/>
          <w:szCs w:val="28"/>
        </w:rPr>
      </w:pPr>
    </w:p>
    <w:p w14:paraId="07386CC2" w14:textId="77777777" w:rsidR="00572E3D" w:rsidRPr="00DB08AC" w:rsidRDefault="00572E3D" w:rsidP="00AA5DD9">
      <w:pPr>
        <w:pStyle w:val="ListParagraph"/>
        <w:numPr>
          <w:ilvl w:val="0"/>
          <w:numId w:val="5"/>
        </w:numPr>
        <w:spacing w:after="160" w:line="259" w:lineRule="auto"/>
        <w:rPr>
          <w:rFonts w:ascii="Calibri" w:eastAsia="Calibri" w:hAnsi="Calibri" w:cs="Times New Roman"/>
          <w:sz w:val="28"/>
          <w:szCs w:val="28"/>
        </w:rPr>
      </w:pPr>
      <w:r w:rsidRPr="00DB08AC">
        <w:rPr>
          <w:rFonts w:ascii="Calibri" w:eastAsia="Calibri" w:hAnsi="Calibri" w:cs="Times New Roman"/>
          <w:sz w:val="28"/>
          <w:szCs w:val="28"/>
        </w:rPr>
        <w:t xml:space="preserve">You have </w:t>
      </w:r>
      <w:r>
        <w:rPr>
          <w:rFonts w:ascii="Calibri" w:eastAsia="Calibri" w:hAnsi="Calibri" w:cs="Times New Roman"/>
          <w:sz w:val="28"/>
          <w:szCs w:val="28"/>
        </w:rPr>
        <w:t>35</w:t>
      </w:r>
      <w:r w:rsidRPr="00DB08AC">
        <w:rPr>
          <w:rFonts w:ascii="Calibri" w:eastAsia="Calibri" w:hAnsi="Calibri" w:cs="Times New Roman"/>
          <w:sz w:val="28"/>
          <w:szCs w:val="28"/>
        </w:rPr>
        <w:t xml:space="preserve"> minutes to finish your posters </w:t>
      </w:r>
    </w:p>
    <w:p w14:paraId="1AB10241" w14:textId="77777777" w:rsidR="00572E3D" w:rsidRPr="00DB08AC" w:rsidRDefault="00572E3D" w:rsidP="00572E3D">
      <w:pPr>
        <w:rPr>
          <w:rFonts w:ascii="Calibri" w:eastAsia="Calibri" w:hAnsi="Calibri" w:cs="Times New Roman"/>
          <w:sz w:val="28"/>
          <w:szCs w:val="28"/>
        </w:rPr>
      </w:pPr>
    </w:p>
    <w:p w14:paraId="13B03ECC" w14:textId="77777777" w:rsidR="00572E3D" w:rsidRPr="00192A99" w:rsidRDefault="00572E3D" w:rsidP="00572E3D">
      <w:pPr>
        <w:jc w:val="center"/>
        <w:rPr>
          <w:rFonts w:ascii="Calibri" w:eastAsia="Calibri" w:hAnsi="Calibri" w:cs="Times New Roman"/>
          <w:b/>
          <w:sz w:val="28"/>
          <w:szCs w:val="28"/>
        </w:rPr>
      </w:pPr>
      <w:r w:rsidRPr="003764AB">
        <w:rPr>
          <w:noProof/>
          <w:u w:val="single"/>
          <w:lang w:eastAsia="en-GB"/>
        </w:rPr>
        <w:drawing>
          <wp:anchor distT="0" distB="0" distL="114300" distR="114300" simplePos="0" relativeHeight="251662336" behindDoc="1" locked="0" layoutInCell="1" allowOverlap="1" wp14:anchorId="10339AA0" wp14:editId="26BFB302">
            <wp:simplePos x="0" y="0"/>
            <wp:positionH relativeFrom="margin">
              <wp:align>center</wp:align>
            </wp:positionH>
            <wp:positionV relativeFrom="paragraph">
              <wp:posOffset>286385</wp:posOffset>
            </wp:positionV>
            <wp:extent cx="1562100" cy="619125"/>
            <wp:effectExtent l="0" t="0" r="0" b="9525"/>
            <wp:wrapTight wrapText="bothSides">
              <wp:wrapPolygon edited="0">
                <wp:start x="0" y="0"/>
                <wp:lineTo x="0" y="21268"/>
                <wp:lineTo x="21337" y="21268"/>
                <wp:lineTo x="21337" y="0"/>
                <wp:lineTo x="0" y="0"/>
              </wp:wrapPolygon>
            </wp:wrapTight>
            <wp:docPr id="49" name="Picture 49" descr="Image result for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moji"/>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621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8AC">
        <w:rPr>
          <w:rFonts w:ascii="Calibri" w:eastAsia="Calibri" w:hAnsi="Calibri" w:cs="Times New Roman"/>
          <w:b/>
          <w:sz w:val="28"/>
          <w:szCs w:val="28"/>
        </w:rPr>
        <w:t>Good luck - Get started</w:t>
      </w:r>
      <w:r w:rsidRPr="00E36D3E">
        <w:t xml:space="preserve"> </w:t>
      </w:r>
    </w:p>
    <w:p w14:paraId="6B65E103" w14:textId="77777777" w:rsidR="00572E3D" w:rsidRDefault="00572E3D" w:rsidP="00572E3D">
      <w:pPr>
        <w:jc w:val="center"/>
        <w:rPr>
          <w:u w:val="single"/>
        </w:rPr>
      </w:pPr>
    </w:p>
    <w:p w14:paraId="3E76262D" w14:textId="7A866406" w:rsidR="00572E3D" w:rsidRDefault="00BA16F6" w:rsidP="00572E3D">
      <w:pPr>
        <w:jc w:val="center"/>
        <w:rPr>
          <w:u w:val="single"/>
        </w:rPr>
      </w:pPr>
      <w:r w:rsidRPr="00E36D3E">
        <w:rPr>
          <w:noProof/>
          <w:u w:val="single"/>
          <w:lang w:eastAsia="en-GB"/>
        </w:rPr>
        <w:drawing>
          <wp:anchor distT="0" distB="0" distL="114300" distR="114300" simplePos="0" relativeHeight="251664384" behindDoc="1" locked="0" layoutInCell="1" allowOverlap="1" wp14:anchorId="66BECE1F" wp14:editId="36B3716C">
            <wp:simplePos x="0" y="0"/>
            <wp:positionH relativeFrom="margin">
              <wp:posOffset>1982470</wp:posOffset>
            </wp:positionH>
            <wp:positionV relativeFrom="paragraph">
              <wp:posOffset>815975</wp:posOffset>
            </wp:positionV>
            <wp:extent cx="1738630" cy="658495"/>
            <wp:effectExtent l="0" t="0" r="0" b="8255"/>
            <wp:wrapTight wrapText="bothSides">
              <wp:wrapPolygon edited="0">
                <wp:start x="0" y="0"/>
                <wp:lineTo x="0" y="21246"/>
                <wp:lineTo x="21300" y="21246"/>
                <wp:lineTo x="21300" y="0"/>
                <wp:lineTo x="0" y="0"/>
              </wp:wrapPolygon>
            </wp:wrapTight>
            <wp:docPr id="50" name="Picture 50" descr="Image result for competi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mpetition clipart"/>
                    <pic:cNvPicPr>
                      <a:picLocks noChangeAspect="1" noChangeArrowheads="1"/>
                    </pic:cNvPicPr>
                  </pic:nvPicPr>
                  <pic:blipFill rotWithShape="1">
                    <a:blip r:embed="rId109">
                      <a:extLst>
                        <a:ext uri="{28A0092B-C50C-407E-A947-70E740481C1C}">
                          <a14:useLocalDpi xmlns:a14="http://schemas.microsoft.com/office/drawing/2010/main" val="0"/>
                        </a:ext>
                      </a:extLst>
                    </a:blip>
                    <a:srcRect t="1" b="13333"/>
                    <a:stretch/>
                  </pic:blipFill>
                  <pic:spPr bwMode="auto">
                    <a:xfrm>
                      <a:off x="0" y="0"/>
                      <a:ext cx="1738630" cy="65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E3D" w:rsidRPr="00E36D3E">
        <w:rPr>
          <w:noProof/>
          <w:u w:val="single"/>
          <w:lang w:eastAsia="en-GB"/>
        </w:rPr>
        <mc:AlternateContent>
          <mc:Choice Requires="wps">
            <w:drawing>
              <wp:anchor distT="45720" distB="45720" distL="114300" distR="114300" simplePos="0" relativeHeight="251663360" behindDoc="0" locked="0" layoutInCell="1" allowOverlap="1" wp14:anchorId="23432720" wp14:editId="6240B078">
                <wp:simplePos x="0" y="0"/>
                <wp:positionH relativeFrom="margin">
                  <wp:posOffset>6581</wp:posOffset>
                </wp:positionH>
                <wp:positionV relativeFrom="paragraph">
                  <wp:posOffset>454314</wp:posOffset>
                </wp:positionV>
                <wp:extent cx="6191250" cy="12477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47775"/>
                        </a:xfrm>
                        <a:prstGeom prst="rect">
                          <a:avLst/>
                        </a:prstGeom>
                        <a:solidFill>
                          <a:srgbClr val="FFFFFF"/>
                        </a:solidFill>
                        <a:ln w="38100">
                          <a:solidFill>
                            <a:srgbClr val="00B0F0"/>
                          </a:solidFill>
                          <a:prstDash val="lgDash"/>
                          <a:miter lim="800000"/>
                          <a:headEnd/>
                          <a:tailEnd/>
                        </a:ln>
                      </wps:spPr>
                      <wps:txbx>
                        <w:txbxContent>
                          <w:p w14:paraId="0CB0B023" w14:textId="77777777" w:rsidR="00572E3D" w:rsidRPr="00E36D3E" w:rsidRDefault="00572E3D" w:rsidP="00572E3D">
                            <w:pPr>
                              <w:jc w:val="center"/>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pPr>
                            <w:r w:rsidRPr="00E36D3E">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There is a prize for the best poster in your year</w:t>
                            </w:r>
                            <w:r>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 xml:space="preserve"> </w:t>
                            </w:r>
                            <w:r w:rsidRPr="00E36D3E">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w:t>
                            </w:r>
                          </w:p>
                          <w:p w14:paraId="7161ECAE" w14:textId="77777777" w:rsidR="00D1262B" w:rsidRDefault="00D1262B"/>
                          <w:p w14:paraId="1933BF5E" w14:textId="1D131481" w:rsidR="00572E3D" w:rsidRPr="00E36D3E" w:rsidRDefault="00572E3D" w:rsidP="00572E3D">
                            <w:pPr>
                              <w:jc w:val="center"/>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32720" id="_x0000_s1059" type="#_x0000_t202" style="position:absolute;left:0;text-align:left;margin-left:.5pt;margin-top:35.75pt;width:487.5pt;height:9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" strokecolor="#00b0f0" strokeweight="3pt">
                <v:stroke dashstyle="longDash"/>
                <v:textbox>
                  <w:txbxContent>
                    <w:p w14:paraId="0CB0B023" w14:textId="77777777" w:rsidR="00572E3D" w:rsidRPr="00E36D3E" w:rsidRDefault="00572E3D" w:rsidP="00572E3D">
                      <w:pPr>
                        <w:jc w:val="center"/>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pPr>
                      <w:r w:rsidRPr="00E36D3E">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There is a prize for the best poster in your year</w:t>
                      </w:r>
                      <w:r>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 xml:space="preserve"> </w:t>
                      </w:r>
                      <w:r w:rsidRPr="00E36D3E">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w:t>
                      </w:r>
                    </w:p>
                    <w:p w14:paraId="7161ECAE" w14:textId="77777777" w:rsidR="00D1262B" w:rsidRDefault="00D1262B"/>
                    <w:p w14:paraId="1933BF5E" w14:textId="1D131481" w:rsidR="00572E3D" w:rsidRPr="00E36D3E" w:rsidRDefault="00572E3D" w:rsidP="00572E3D">
                      <w:pPr>
                        <w:jc w:val="center"/>
                        <w:rPr>
                          <w:rFonts w:ascii="Adobe Gothic Std B" w:eastAsia="Adobe Gothic Std B" w:hAnsi="Adobe Gothic Std B"/>
                          <w:color w:val="00B0F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pPr>
                    </w:p>
                  </w:txbxContent>
                </v:textbox>
                <w10:wrap type="square" anchorx="margin"/>
              </v:shape>
            </w:pict>
          </mc:Fallback>
        </mc:AlternateContent>
      </w:r>
    </w:p>
    <w:p w14:paraId="119AD716" w14:textId="77777777" w:rsidR="00BA16F6" w:rsidRDefault="00BA16F6" w:rsidP="00572E3D">
      <w:bookmarkStart w:id="381" w:name="_Toc84845189"/>
      <w:bookmarkStart w:id="382" w:name="_Toc84854200"/>
    </w:p>
    <w:p w14:paraId="7A1AFF85" w14:textId="568C77EC" w:rsidR="00572E3D" w:rsidRDefault="00A66254" w:rsidP="00572E3D">
      <w:pPr>
        <w:rPr>
          <w:noProof/>
        </w:rPr>
      </w:pPr>
      <w:r w:rsidRPr="00E272EB">
        <w:fldChar w:fldCharType="begin"/>
      </w:r>
      <w:r w:rsidRPr="00E272EB">
        <w:instrText xml:space="preserve"> TC  " </w:instrText>
      </w:r>
      <w:bookmarkStart w:id="383" w:name="_Toc97557179"/>
      <w:r w:rsidRPr="00265133">
        <w:instrText xml:space="preserve">Appendix </w:instrText>
      </w:r>
      <w:r>
        <w:instrText>2</w:instrText>
      </w:r>
      <w:r w:rsidR="007F5E1F">
        <w:instrText>7</w:instrText>
      </w:r>
      <w:r w:rsidRPr="00265133">
        <w:instrText xml:space="preserve">: </w:instrText>
      </w:r>
      <w:r w:rsidR="00BE058D" w:rsidRPr="00265133">
        <w:instrText>SNA feedback</w:instrText>
      </w:r>
      <w:r w:rsidR="00BE058D">
        <w:instrText xml:space="preserve"> sheets</w:instrText>
      </w:r>
      <w:r w:rsidR="00BE058D" w:rsidRPr="00265133">
        <w:instrText xml:space="preserve"> (Study </w:instrText>
      </w:r>
      <w:r w:rsidR="005930C3">
        <w:instrText>Three</w:instrText>
      </w:r>
      <w:r w:rsidR="00BE058D" w:rsidRPr="00265133">
        <w:instrText>, Chapter 8</w:instrText>
      </w:r>
      <w:r w:rsidR="002E02C9">
        <w:instrText>)</w:instrText>
      </w:r>
      <w:bookmarkEnd w:id="383"/>
      <w:r w:rsidRPr="00E272EB">
        <w:instrText xml:space="preserve">" \f y\l </w:instrText>
      </w:r>
      <w:r>
        <w:instrText>2</w:instrText>
      </w:r>
      <w:r w:rsidRPr="00E272EB">
        <w:instrText xml:space="preserve"> </w:instrText>
      </w:r>
      <w:r w:rsidRPr="00E272EB">
        <w:fldChar w:fldCharType="end"/>
      </w:r>
      <w:r w:rsidR="0007261C">
        <w:rPr>
          <w:noProof/>
        </w:rPr>
        <w:drawing>
          <wp:anchor distT="0" distB="0" distL="114300" distR="114300" simplePos="0" relativeHeight="251728896" behindDoc="1" locked="0" layoutInCell="1" allowOverlap="1" wp14:anchorId="1671FC72" wp14:editId="0B760848">
            <wp:simplePos x="0" y="0"/>
            <wp:positionH relativeFrom="column">
              <wp:posOffset>0</wp:posOffset>
            </wp:positionH>
            <wp:positionV relativeFrom="paragraph">
              <wp:posOffset>286385</wp:posOffset>
            </wp:positionV>
            <wp:extent cx="5974715" cy="8079740"/>
            <wp:effectExtent l="0" t="0" r="6985" b="0"/>
            <wp:wrapTight wrapText="bothSides">
              <wp:wrapPolygon edited="0">
                <wp:start x="0" y="0"/>
                <wp:lineTo x="0" y="21542"/>
                <wp:lineTo x="21556" y="21542"/>
                <wp:lineTo x="21556" y="0"/>
                <wp:lineTo x="0" y="0"/>
              </wp:wrapPolygon>
            </wp:wrapTight>
            <wp:docPr id="19778" name="Picture 197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 name="Picture 19778" descr="Timeline&#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5974715" cy="8079740"/>
                    </a:xfrm>
                    <a:prstGeom prst="rect">
                      <a:avLst/>
                    </a:prstGeom>
                  </pic:spPr>
                </pic:pic>
              </a:graphicData>
            </a:graphic>
            <wp14:sizeRelH relativeFrom="margin">
              <wp14:pctWidth>0</wp14:pctWidth>
            </wp14:sizeRelH>
            <wp14:sizeRelV relativeFrom="margin">
              <wp14:pctHeight>0</wp14:pctHeight>
            </wp14:sizeRelV>
          </wp:anchor>
        </w:drawing>
      </w:r>
      <w:r w:rsidR="00BE058D">
        <w:t>A</w:t>
      </w:r>
      <w:r w:rsidR="00BE058D" w:rsidRPr="00265133">
        <w:t xml:space="preserve">ppendix </w:t>
      </w:r>
      <w:r w:rsidR="00BE058D">
        <w:t>2</w:t>
      </w:r>
      <w:r w:rsidR="007F5E1F">
        <w:t>7</w:t>
      </w:r>
      <w:r w:rsidR="00572E3D" w:rsidRPr="00265133">
        <w:t>: SNA feedback</w:t>
      </w:r>
      <w:r>
        <w:t xml:space="preserve"> sheets</w:t>
      </w:r>
      <w:r w:rsidR="00572E3D" w:rsidRPr="00265133">
        <w:t xml:space="preserve"> (Study </w:t>
      </w:r>
      <w:r w:rsidR="005930C3">
        <w:t>Three</w:t>
      </w:r>
      <w:r w:rsidR="00572E3D" w:rsidRPr="00265133">
        <w:t>, Chapter 8) – these were printed on A3</w:t>
      </w:r>
      <w:bookmarkEnd w:id="381"/>
      <w:bookmarkEnd w:id="382"/>
    </w:p>
    <w:p w14:paraId="459F868E" w14:textId="1118B23F" w:rsidR="0096683D" w:rsidRDefault="000202F8" w:rsidP="00572E3D">
      <w:pPr>
        <w:rPr>
          <w:noProof/>
        </w:rPr>
      </w:pPr>
      <w:r>
        <w:rPr>
          <w:noProof/>
        </w:rPr>
        <w:lastRenderedPageBreak/>
        <w:drawing>
          <wp:inline distT="0" distB="0" distL="0" distR="0" wp14:anchorId="7C8BA7CD" wp14:editId="209BF765">
            <wp:extent cx="5753418" cy="8442325"/>
            <wp:effectExtent l="0" t="0" r="0" b="0"/>
            <wp:docPr id="19780" name="Picture 1978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 name="Picture 19780" descr="Diagram&#10;&#10;Description automatically generated with low confidence"/>
                    <pic:cNvPicPr/>
                  </pic:nvPicPr>
                  <pic:blipFill rotWithShape="1">
                    <a:blip r:embed="rId111">
                      <a:extLst>
                        <a:ext uri="{28A0092B-C50C-407E-A947-70E740481C1C}">
                          <a14:useLocalDpi xmlns:a14="http://schemas.microsoft.com/office/drawing/2010/main" val="0"/>
                        </a:ext>
                      </a:extLst>
                    </a:blip>
                    <a:srcRect l="1750"/>
                    <a:stretch/>
                  </pic:blipFill>
                  <pic:spPr bwMode="auto">
                    <a:xfrm>
                      <a:off x="0" y="0"/>
                      <a:ext cx="5754895" cy="8444493"/>
                    </a:xfrm>
                    <a:prstGeom prst="rect">
                      <a:avLst/>
                    </a:prstGeom>
                    <a:ln>
                      <a:noFill/>
                    </a:ln>
                    <a:extLst>
                      <a:ext uri="{53640926-AAD7-44D8-BBD7-CCE9431645EC}">
                        <a14:shadowObscured xmlns:a14="http://schemas.microsoft.com/office/drawing/2010/main"/>
                      </a:ext>
                    </a:extLst>
                  </pic:spPr>
                </pic:pic>
              </a:graphicData>
            </a:graphic>
          </wp:inline>
        </w:drawing>
      </w:r>
    </w:p>
    <w:bookmarkStart w:id="384" w:name="_Toc84845190"/>
    <w:bookmarkStart w:id="385" w:name="_Toc84854201"/>
    <w:p w14:paraId="0DBBD00F" w14:textId="4D7D792D" w:rsidR="00BC0126" w:rsidRPr="00265133" w:rsidRDefault="00BC0126" w:rsidP="00BC0126">
      <w:r w:rsidRPr="00E272EB">
        <w:lastRenderedPageBreak/>
        <w:fldChar w:fldCharType="begin"/>
      </w:r>
      <w:r w:rsidRPr="00E272EB">
        <w:instrText xml:space="preserve"> TC  " </w:instrText>
      </w:r>
      <w:bookmarkStart w:id="386" w:name="_Toc97557180"/>
      <w:r w:rsidRPr="00265133">
        <w:instrText xml:space="preserve">Appendix </w:instrText>
      </w:r>
      <w:r w:rsidR="00BE058D">
        <w:instrText>2</w:instrText>
      </w:r>
      <w:r w:rsidR="00742498">
        <w:instrText>8</w:instrText>
      </w:r>
      <w:r w:rsidRPr="00265133">
        <w:instrText xml:space="preserve">: </w:instrText>
      </w:r>
      <w:r>
        <w:instrText>Examples of designed p</w:instrText>
      </w:r>
      <w:r w:rsidRPr="00265133">
        <w:instrText xml:space="preserve">osters (Study </w:instrText>
      </w:r>
      <w:r w:rsidR="005930C3">
        <w:instrText>Three</w:instrText>
      </w:r>
      <w:r w:rsidRPr="00265133">
        <w:instrText>, Chapter 8)</w:instrText>
      </w:r>
      <w:bookmarkEnd w:id="386"/>
      <w:r w:rsidRPr="00E272EB">
        <w:instrText xml:space="preserve">" \f y\l </w:instrText>
      </w:r>
      <w:r>
        <w:instrText>2</w:instrText>
      </w:r>
      <w:r w:rsidRPr="00E272EB">
        <w:instrText xml:space="preserve"> </w:instrText>
      </w:r>
      <w:r w:rsidRPr="00E272EB">
        <w:fldChar w:fldCharType="end"/>
      </w:r>
      <w:r w:rsidRPr="00265133">
        <w:t xml:space="preserve">Appendix </w:t>
      </w:r>
      <w:r w:rsidR="00BE058D">
        <w:t>2</w:t>
      </w:r>
      <w:r w:rsidR="00742498">
        <w:t>8</w:t>
      </w:r>
      <w:r w:rsidRPr="00265133">
        <w:t xml:space="preserve">: </w:t>
      </w:r>
      <w:r>
        <w:t>Examples of designed p</w:t>
      </w:r>
      <w:r w:rsidRPr="00265133">
        <w:t xml:space="preserve">osters (Study </w:t>
      </w:r>
      <w:r w:rsidR="005930C3">
        <w:t>Three</w:t>
      </w:r>
      <w:r w:rsidRPr="00265133">
        <w:t>, Chapter 8)</w:t>
      </w:r>
    </w:p>
    <w:p w14:paraId="06829D05" w14:textId="4D7F54C2" w:rsidR="00572E3D" w:rsidRDefault="0048437B" w:rsidP="00572E3D">
      <w:r>
        <w:rPr>
          <w:noProof/>
        </w:rPr>
        <w:drawing>
          <wp:inline distT="0" distB="0" distL="0" distR="0" wp14:anchorId="45BD9AF6" wp14:editId="15EE9D98">
            <wp:extent cx="5731510" cy="3986530"/>
            <wp:effectExtent l="0" t="0" r="2540" b="0"/>
            <wp:docPr id="266" name="Picture 266" descr="A picture containing text, clock,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different, several&#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731510" cy="3986530"/>
                    </a:xfrm>
                    <a:prstGeom prst="rect">
                      <a:avLst/>
                    </a:prstGeom>
                  </pic:spPr>
                </pic:pic>
              </a:graphicData>
            </a:graphic>
          </wp:inline>
        </w:drawing>
      </w:r>
      <w:r>
        <w:rPr>
          <w:noProof/>
        </w:rPr>
        <w:drawing>
          <wp:inline distT="0" distB="0" distL="0" distR="0" wp14:anchorId="7E209BF8" wp14:editId="440C6B6F">
            <wp:extent cx="5665443" cy="4012565"/>
            <wp:effectExtent l="0" t="0" r="0" b="6985"/>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rotWithShape="1">
                    <a:blip r:embed="rId113">
                      <a:extLst>
                        <a:ext uri="{28A0092B-C50C-407E-A947-70E740481C1C}">
                          <a14:useLocalDpi xmlns:a14="http://schemas.microsoft.com/office/drawing/2010/main" val="0"/>
                        </a:ext>
                      </a:extLst>
                    </a:blip>
                    <a:srcRect t="1876" r="1151"/>
                    <a:stretch/>
                  </pic:blipFill>
                  <pic:spPr bwMode="auto">
                    <a:xfrm>
                      <a:off x="0" y="0"/>
                      <a:ext cx="5665587" cy="4012667"/>
                    </a:xfrm>
                    <a:prstGeom prst="rect">
                      <a:avLst/>
                    </a:prstGeom>
                    <a:ln>
                      <a:noFill/>
                    </a:ln>
                    <a:extLst>
                      <a:ext uri="{53640926-AAD7-44D8-BBD7-CCE9431645EC}">
                        <a14:shadowObscured xmlns:a14="http://schemas.microsoft.com/office/drawing/2010/main"/>
                      </a:ext>
                    </a:extLst>
                  </pic:spPr>
                </pic:pic>
              </a:graphicData>
            </a:graphic>
          </wp:inline>
        </w:drawing>
      </w:r>
      <w:r w:rsidR="009D0C1B">
        <w:rPr>
          <w:noProof/>
        </w:rPr>
        <w:lastRenderedPageBreak/>
        <mc:AlternateContent>
          <mc:Choice Requires="wps">
            <w:drawing>
              <wp:anchor distT="0" distB="0" distL="114300" distR="114300" simplePos="0" relativeHeight="251745280" behindDoc="0" locked="0" layoutInCell="1" allowOverlap="1" wp14:anchorId="28E37EB4" wp14:editId="1C23200C">
                <wp:simplePos x="0" y="0"/>
                <wp:positionH relativeFrom="column">
                  <wp:posOffset>662787</wp:posOffset>
                </wp:positionH>
                <wp:positionV relativeFrom="paragraph">
                  <wp:posOffset>3086607</wp:posOffset>
                </wp:positionV>
                <wp:extent cx="159385" cy="85725"/>
                <wp:effectExtent l="0" t="0" r="12065" b="28575"/>
                <wp:wrapNone/>
                <wp:docPr id="19777" name="Rectangle 19777"/>
                <wp:cNvGraphicFramePr/>
                <a:graphic xmlns:a="http://schemas.openxmlformats.org/drawingml/2006/main">
                  <a:graphicData uri="http://schemas.microsoft.com/office/word/2010/wordprocessingShape">
                    <wps:wsp>
                      <wps:cNvSpPr/>
                      <wps:spPr>
                        <a:xfrm>
                          <a:off x="0" y="0"/>
                          <a:ext cx="15938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30737" id="Rectangle 19777" o:spid="_x0000_s1026" style="position:absolute;margin-left:52.2pt;margin-top:243.05pt;width:12.55pt;height:6.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" fillcolor="black [3200]" strokecolor="black [1600]" strokeweight="1pt"/>
            </w:pict>
          </mc:Fallback>
        </mc:AlternateContent>
      </w:r>
      <w:r>
        <w:rPr>
          <w:noProof/>
        </w:rPr>
        <w:drawing>
          <wp:inline distT="0" distB="0" distL="0" distR="0" wp14:anchorId="2B82625C" wp14:editId="40CB48BB">
            <wp:extent cx="5731510" cy="3657600"/>
            <wp:effectExtent l="0" t="0" r="2540" b="0"/>
            <wp:docPr id="7" name="Picture 7"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tter&#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731510" cy="3657600"/>
                    </a:xfrm>
                    <a:prstGeom prst="rect">
                      <a:avLst/>
                    </a:prstGeom>
                  </pic:spPr>
                </pic:pic>
              </a:graphicData>
            </a:graphic>
          </wp:inline>
        </w:drawing>
      </w:r>
      <w:r>
        <w:rPr>
          <w:noProof/>
        </w:rPr>
        <w:drawing>
          <wp:inline distT="0" distB="0" distL="0" distR="0" wp14:anchorId="6D39D85A" wp14:editId="3A6DE59E">
            <wp:extent cx="5731510" cy="3643532"/>
            <wp:effectExtent l="0" t="0" r="2540" b="0"/>
            <wp:docPr id="267" name="Picture 2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5731510" cy="3643532"/>
                    </a:xfrm>
                    <a:prstGeom prst="rect">
                      <a:avLst/>
                    </a:prstGeom>
                  </pic:spPr>
                </pic:pic>
              </a:graphicData>
            </a:graphic>
          </wp:inline>
        </w:drawing>
      </w:r>
    </w:p>
    <w:p w14:paraId="0881CF09" w14:textId="76F03986" w:rsidR="003358F0" w:rsidRDefault="003358F0" w:rsidP="00572E3D">
      <w:r>
        <w:rPr>
          <w:noProof/>
        </w:rPr>
        <w:lastRenderedPageBreak/>
        <w:drawing>
          <wp:inline distT="0" distB="0" distL="0" distR="0" wp14:anchorId="78DBBECA" wp14:editId="568A1ECD">
            <wp:extent cx="5731510" cy="3169920"/>
            <wp:effectExtent l="0" t="0" r="2540" b="0"/>
            <wp:docPr id="268" name="Picture 2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5731510" cy="3169920"/>
                    </a:xfrm>
                    <a:prstGeom prst="rect">
                      <a:avLst/>
                    </a:prstGeom>
                  </pic:spPr>
                </pic:pic>
              </a:graphicData>
            </a:graphic>
          </wp:inline>
        </w:drawing>
      </w:r>
    </w:p>
    <w:p w14:paraId="78C2B571" w14:textId="03F07665" w:rsidR="00BE058D" w:rsidRDefault="00E27368" w:rsidP="00572E3D">
      <w:pPr>
        <w:rPr>
          <w:rFonts w:ascii="Calibri" w:eastAsia="Calibri" w:hAnsi="Calibri" w:cs="Times New Roman"/>
        </w:rPr>
      </w:pPr>
      <w:bookmarkStart w:id="387" w:name="_Toc84845191"/>
      <w:bookmarkStart w:id="388" w:name="_Toc84854202"/>
      <w:r>
        <w:rPr>
          <w:rFonts w:ascii="Calibri" w:eastAsia="Calibri" w:hAnsi="Calibri" w:cs="Times New Roman"/>
          <w:noProof/>
        </w:rPr>
        <w:lastRenderedPageBreak/>
        <w:drawing>
          <wp:anchor distT="0" distB="0" distL="114300" distR="114300" simplePos="0" relativeHeight="251666432" behindDoc="1" locked="0" layoutInCell="1" allowOverlap="1" wp14:anchorId="00F09202" wp14:editId="4BAB71B2">
            <wp:simplePos x="0" y="0"/>
            <wp:positionH relativeFrom="column">
              <wp:posOffset>-749935</wp:posOffset>
            </wp:positionH>
            <wp:positionV relativeFrom="paragraph">
              <wp:posOffset>290195</wp:posOffset>
            </wp:positionV>
            <wp:extent cx="7395845" cy="8462645"/>
            <wp:effectExtent l="0" t="0" r="0" b="0"/>
            <wp:wrapTight wrapText="bothSides">
              <wp:wrapPolygon edited="0">
                <wp:start x="0" y="0"/>
                <wp:lineTo x="0" y="21540"/>
                <wp:lineTo x="21531" y="21540"/>
                <wp:lineTo x="21531" y="0"/>
                <wp:lineTo x="0" y="0"/>
              </wp:wrapPolygon>
            </wp:wrapTight>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rotWithShape="1">
                    <a:blip r:embed="rId117">
                      <a:extLst>
                        <a:ext uri="{28A0092B-C50C-407E-A947-70E740481C1C}">
                          <a14:useLocalDpi xmlns:a14="http://schemas.microsoft.com/office/drawing/2010/main" val="0"/>
                        </a:ext>
                      </a:extLst>
                    </a:blip>
                    <a:srcRect l="1936" t="1907"/>
                    <a:stretch/>
                  </pic:blipFill>
                  <pic:spPr bwMode="auto">
                    <a:xfrm>
                      <a:off x="0" y="0"/>
                      <a:ext cx="7395845" cy="846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87"/>
      <w:bookmarkEnd w:id="388"/>
      <w:r w:rsidR="00572E3D" w:rsidRPr="00E272EB">
        <w:fldChar w:fldCharType="begin"/>
      </w:r>
      <w:r w:rsidR="00572E3D" w:rsidRPr="00E272EB">
        <w:instrText xml:space="preserve"> TC  " </w:instrText>
      </w:r>
      <w:bookmarkStart w:id="389" w:name="_Toc97557181"/>
      <w:r w:rsidR="00572E3D" w:rsidRPr="00265133">
        <w:instrText xml:space="preserve">Appendix </w:instrText>
      </w:r>
      <w:r w:rsidR="0029384A">
        <w:instrText>2</w:instrText>
      </w:r>
      <w:r w:rsidR="00742498">
        <w:instrText>9</w:instrText>
      </w:r>
      <w:r w:rsidR="00572E3D" w:rsidRPr="00265133">
        <w:instrText xml:space="preserve">: Ethical </w:instrText>
      </w:r>
      <w:r w:rsidR="00DD60A2">
        <w:instrText>A</w:instrText>
      </w:r>
      <w:r w:rsidR="00572E3D" w:rsidRPr="00265133">
        <w:instrText xml:space="preserve">pproval (Study </w:instrText>
      </w:r>
      <w:r w:rsidR="005930C3">
        <w:instrText>Four</w:instrText>
      </w:r>
      <w:r w:rsidR="00572E3D">
        <w:instrText>, Chapter 9)</w:instrText>
      </w:r>
      <w:bookmarkEnd w:id="389"/>
      <w:r w:rsidR="00572E3D" w:rsidRPr="00E272EB">
        <w:instrText xml:space="preserve">" \f y\l </w:instrText>
      </w:r>
      <w:r w:rsidR="00572E3D">
        <w:instrText>2</w:instrText>
      </w:r>
      <w:r w:rsidR="00572E3D" w:rsidRPr="00E272EB">
        <w:instrText xml:space="preserve"> </w:instrText>
      </w:r>
      <w:r w:rsidR="00572E3D" w:rsidRPr="00E272EB">
        <w:fldChar w:fldCharType="end"/>
      </w:r>
      <w:r w:rsidR="00572E3D" w:rsidRPr="00265133">
        <w:t xml:space="preserve">Appendix </w:t>
      </w:r>
      <w:r w:rsidR="0029384A">
        <w:t>2</w:t>
      </w:r>
      <w:r w:rsidR="00742498">
        <w:t>9</w:t>
      </w:r>
      <w:r w:rsidR="00572E3D" w:rsidRPr="00265133">
        <w:t xml:space="preserve">: Ethical </w:t>
      </w:r>
      <w:r w:rsidR="00DD60A2">
        <w:t>A</w:t>
      </w:r>
      <w:r w:rsidR="00572E3D" w:rsidRPr="00265133">
        <w:t xml:space="preserve">pproval (Study </w:t>
      </w:r>
      <w:r w:rsidR="005930C3">
        <w:t>Four</w:t>
      </w:r>
      <w:r w:rsidR="00572E3D" w:rsidRPr="00265133">
        <w:t>, Chapter 9)</w:t>
      </w:r>
      <w:bookmarkStart w:id="390" w:name="_Toc84845194"/>
      <w:bookmarkStart w:id="391" w:name="_Toc84854205"/>
      <w:bookmarkEnd w:id="384"/>
      <w:bookmarkEnd w:id="385"/>
    </w:p>
    <w:p w14:paraId="0FC6DAAD" w14:textId="305C0467" w:rsidR="00572E3D" w:rsidRPr="00BE058D" w:rsidRDefault="00572E3D" w:rsidP="00572E3D">
      <w:pPr>
        <w:rPr>
          <w:rFonts w:ascii="Calibri" w:eastAsia="Calibri" w:hAnsi="Calibri" w:cs="Times New Roman"/>
        </w:rPr>
      </w:pPr>
      <w:r w:rsidRPr="00E272EB">
        <w:lastRenderedPageBreak/>
        <w:fldChar w:fldCharType="begin"/>
      </w:r>
      <w:r w:rsidRPr="00E272EB">
        <w:instrText xml:space="preserve"> TC  " </w:instrText>
      </w:r>
      <w:bookmarkStart w:id="392" w:name="_Toc97557182"/>
      <w:r w:rsidRPr="00265133">
        <w:instrText xml:space="preserve">Appendix </w:instrText>
      </w:r>
      <w:r w:rsidR="00742498">
        <w:instrText>30</w:instrText>
      </w:r>
      <w:r w:rsidRPr="00265133">
        <w:instrText xml:space="preserve">: </w:instrText>
      </w:r>
      <w:r>
        <w:instrText xml:space="preserve">Parent information letter and opt-out consent </w:instrText>
      </w:r>
      <w:r w:rsidRPr="00265133">
        <w:instrText xml:space="preserve">(Study </w:instrText>
      </w:r>
      <w:r w:rsidR="005930C3">
        <w:instrText>Four</w:instrText>
      </w:r>
      <w:r>
        <w:instrText>, Chapter 9)</w:instrText>
      </w:r>
      <w:bookmarkEnd w:id="392"/>
      <w:r w:rsidRPr="00E272EB">
        <w:instrText xml:space="preserve">" \f y\l </w:instrText>
      </w:r>
      <w:r>
        <w:instrText>2</w:instrText>
      </w:r>
      <w:r w:rsidRPr="00E272EB">
        <w:instrText xml:space="preserve"> </w:instrText>
      </w:r>
      <w:r w:rsidRPr="00E272EB">
        <w:fldChar w:fldCharType="end"/>
      </w:r>
      <w:r w:rsidRPr="00265133">
        <w:t xml:space="preserve">Appendix </w:t>
      </w:r>
      <w:r w:rsidR="00742498">
        <w:t>30</w:t>
      </w:r>
      <w:r w:rsidRPr="00265133">
        <w:t xml:space="preserve">: Parent information letter and opt-out consent (Study </w:t>
      </w:r>
      <w:r w:rsidR="005930C3">
        <w:t>Four</w:t>
      </w:r>
      <w:r w:rsidRPr="00265133">
        <w:t>, Chapter 9)</w:t>
      </w:r>
      <w:bookmarkEnd w:id="390"/>
      <w:bookmarkEnd w:id="391"/>
    </w:p>
    <w:p w14:paraId="5ABFD1B9" w14:textId="448A2380" w:rsidR="00572E3D" w:rsidRDefault="00FA24E4" w:rsidP="00572E3D">
      <w:pPr>
        <w:tabs>
          <w:tab w:val="left" w:pos="885"/>
          <w:tab w:val="left" w:pos="1560"/>
          <w:tab w:val="right" w:pos="10466"/>
        </w:tabs>
        <w:spacing w:before="100" w:after="200" w:line="276" w:lineRule="auto"/>
        <w:jc w:val="center"/>
        <w:rPr>
          <w:rFonts w:ascii="Calibri" w:eastAsia="Times New Roman" w:hAnsi="Calibri" w:cs="Times New Roman"/>
          <w:b/>
          <w:sz w:val="28"/>
          <w:szCs w:val="28"/>
          <w:u w:val="single"/>
        </w:rPr>
      </w:pPr>
      <w:r w:rsidRPr="00C96AC0">
        <w:rPr>
          <w:rFonts w:ascii="Calibri" w:eastAsia="Times New Roman" w:hAnsi="Calibri" w:cs="Times New Roman"/>
          <w:b/>
          <w:noProof/>
          <w:sz w:val="28"/>
          <w:szCs w:val="28"/>
          <w:lang w:eastAsia="en-GB"/>
        </w:rPr>
        <w:drawing>
          <wp:anchor distT="0" distB="0" distL="114300" distR="114300" simplePos="0" relativeHeight="251667456" behindDoc="1" locked="0" layoutInCell="1" allowOverlap="1" wp14:anchorId="013C0450" wp14:editId="2DA9D823">
            <wp:simplePos x="0" y="0"/>
            <wp:positionH relativeFrom="margin">
              <wp:posOffset>-92710</wp:posOffset>
            </wp:positionH>
            <wp:positionV relativeFrom="paragraph">
              <wp:posOffset>188595</wp:posOffset>
            </wp:positionV>
            <wp:extent cx="1111885" cy="540385"/>
            <wp:effectExtent l="0" t="0" r="0" b="0"/>
            <wp:wrapNone/>
            <wp:docPr id="56" name="Picture 56" descr="A picture containing text, di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dish, vegetabl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11885" cy="540385"/>
                    </a:xfrm>
                    <a:prstGeom prst="rect">
                      <a:avLst/>
                    </a:prstGeom>
                  </pic:spPr>
                </pic:pic>
              </a:graphicData>
            </a:graphic>
            <wp14:sizeRelH relativeFrom="margin">
              <wp14:pctWidth>0</wp14:pctWidth>
            </wp14:sizeRelH>
            <wp14:sizeRelV relativeFrom="margin">
              <wp14:pctHeight>0</wp14:pctHeight>
            </wp14:sizeRelV>
          </wp:anchor>
        </w:drawing>
      </w:r>
      <w:r w:rsidR="00572E3D" w:rsidRPr="00C96AC0">
        <w:rPr>
          <w:rFonts w:ascii="Calibri" w:eastAsia="Calibri" w:hAnsi="Calibri" w:cs="Times New Roman"/>
          <w:b/>
          <w:noProof/>
          <w:sz w:val="28"/>
          <w:szCs w:val="28"/>
          <w:lang w:eastAsia="en-GB"/>
        </w:rPr>
        <w:drawing>
          <wp:anchor distT="0" distB="0" distL="114300" distR="114300" simplePos="0" relativeHeight="251668480" behindDoc="1" locked="0" layoutInCell="1" allowOverlap="1" wp14:anchorId="1BC6E5A4" wp14:editId="0280BD52">
            <wp:simplePos x="0" y="0"/>
            <wp:positionH relativeFrom="column">
              <wp:posOffset>4601845</wp:posOffset>
            </wp:positionH>
            <wp:positionV relativeFrom="paragraph">
              <wp:posOffset>15240</wp:posOffset>
            </wp:positionV>
            <wp:extent cx="969645" cy="1103630"/>
            <wp:effectExtent l="0" t="0" r="1905" b="1270"/>
            <wp:wrapTight wrapText="bothSides">
              <wp:wrapPolygon edited="0">
                <wp:start x="0" y="0"/>
                <wp:lineTo x="0" y="21252"/>
                <wp:lineTo x="21218" y="21252"/>
                <wp:lineTo x="21218" y="0"/>
                <wp:lineTo x="0" y="0"/>
              </wp:wrapPolygon>
            </wp:wrapTight>
            <wp:docPr id="53" name="Picture 53"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anchor>
        </w:drawing>
      </w:r>
    </w:p>
    <w:p w14:paraId="0BDD8CDD" w14:textId="0648674C" w:rsidR="00572E3D" w:rsidRDefault="00572E3D" w:rsidP="00572E3D">
      <w:pPr>
        <w:tabs>
          <w:tab w:val="left" w:pos="885"/>
          <w:tab w:val="left" w:pos="1560"/>
          <w:tab w:val="right" w:pos="10466"/>
        </w:tabs>
        <w:spacing w:before="100" w:after="200" w:line="276" w:lineRule="auto"/>
        <w:jc w:val="center"/>
        <w:rPr>
          <w:rFonts w:ascii="Calibri" w:eastAsia="Times New Roman" w:hAnsi="Calibri" w:cs="Times New Roman"/>
          <w:b/>
          <w:sz w:val="28"/>
          <w:szCs w:val="28"/>
          <w:u w:val="single"/>
        </w:rPr>
      </w:pPr>
    </w:p>
    <w:p w14:paraId="22AF871C" w14:textId="42DEEF00" w:rsidR="00FA24E4" w:rsidRDefault="00FA24E4" w:rsidP="00572E3D">
      <w:pPr>
        <w:tabs>
          <w:tab w:val="left" w:pos="885"/>
          <w:tab w:val="left" w:pos="1560"/>
          <w:tab w:val="right" w:pos="10466"/>
        </w:tabs>
        <w:spacing w:before="100" w:after="200" w:line="276" w:lineRule="auto"/>
        <w:jc w:val="center"/>
        <w:rPr>
          <w:rFonts w:ascii="Calibri" w:eastAsia="Times New Roman" w:hAnsi="Calibri" w:cs="Times New Roman"/>
          <w:b/>
          <w:sz w:val="28"/>
          <w:szCs w:val="28"/>
          <w:u w:val="single"/>
        </w:rPr>
      </w:pPr>
    </w:p>
    <w:p w14:paraId="7D83A4D1" w14:textId="77777777" w:rsidR="00FA24E4" w:rsidRPr="006F6DFC" w:rsidRDefault="00FA24E4" w:rsidP="00572E3D">
      <w:pPr>
        <w:tabs>
          <w:tab w:val="left" w:pos="885"/>
          <w:tab w:val="left" w:pos="1560"/>
          <w:tab w:val="right" w:pos="10466"/>
        </w:tabs>
        <w:spacing w:before="100" w:after="200" w:line="276" w:lineRule="auto"/>
        <w:jc w:val="center"/>
        <w:rPr>
          <w:rFonts w:ascii="Calibri" w:eastAsia="Times New Roman" w:hAnsi="Calibri" w:cs="Times New Roman"/>
          <w:b/>
          <w:sz w:val="28"/>
          <w:szCs w:val="28"/>
          <w:u w:val="single"/>
        </w:rPr>
      </w:pPr>
    </w:p>
    <w:p w14:paraId="4D71A7EA" w14:textId="77777777" w:rsidR="00572E3D" w:rsidRPr="0063305B" w:rsidRDefault="00572E3D" w:rsidP="00572E3D">
      <w:pPr>
        <w:spacing w:before="100" w:after="200" w:line="276" w:lineRule="auto"/>
        <w:rPr>
          <w:rFonts w:ascii="Calibri" w:eastAsia="Times New Roman" w:hAnsi="Calibri" w:cs="Times New Roman"/>
          <w:b/>
          <w:sz w:val="24"/>
          <w:szCs w:val="24"/>
        </w:rPr>
      </w:pPr>
      <w:r w:rsidRPr="0063305B">
        <w:rPr>
          <w:rFonts w:ascii="Calibri" w:eastAsia="Times New Roman" w:hAnsi="Calibri" w:cs="Times New Roman"/>
          <w:b/>
          <w:sz w:val="24"/>
          <w:szCs w:val="24"/>
        </w:rPr>
        <w:t xml:space="preserve">Dear Parent or Guardian,   </w:t>
      </w:r>
    </w:p>
    <w:p w14:paraId="1C43AD9A" w14:textId="77777777" w:rsidR="00572E3D" w:rsidRPr="00E17CEC" w:rsidRDefault="00572E3D" w:rsidP="00572E3D">
      <w:pPr>
        <w:spacing w:before="100" w:after="200" w:line="276" w:lineRule="auto"/>
        <w:jc w:val="both"/>
        <w:rPr>
          <w:rFonts w:ascii="Calibri" w:eastAsia="Times New Roman" w:hAnsi="Calibri" w:cs="Times New Roman"/>
        </w:rPr>
      </w:pPr>
      <w:r w:rsidRPr="0063305B">
        <w:rPr>
          <w:rFonts w:ascii="Calibri" w:eastAsia="Times New Roman" w:hAnsi="Calibri" w:cs="Times New Roman"/>
        </w:rPr>
        <w:t>My name is Sian Calvert</w:t>
      </w:r>
      <w:r>
        <w:rPr>
          <w:rFonts w:ascii="Calibri" w:eastAsia="Times New Roman" w:hAnsi="Calibri" w:cs="Times New Roman"/>
        </w:rPr>
        <w:t>,</w:t>
      </w:r>
      <w:r w:rsidRPr="0063305B">
        <w:rPr>
          <w:rFonts w:ascii="Calibri" w:eastAsia="Times New Roman" w:hAnsi="Calibri" w:cs="Times New Roman"/>
        </w:rPr>
        <w:t xml:space="preserve"> I am currently undertaking my PhD in </w:t>
      </w:r>
      <w:r>
        <w:rPr>
          <w:rFonts w:ascii="Calibri" w:eastAsia="Times New Roman" w:hAnsi="Calibri" w:cs="Times New Roman"/>
        </w:rPr>
        <w:t>P</w:t>
      </w:r>
      <w:r w:rsidRPr="00E17CEC">
        <w:rPr>
          <w:rFonts w:ascii="Calibri" w:eastAsia="Times New Roman" w:hAnsi="Calibri" w:cs="Times New Roman"/>
        </w:rPr>
        <w:t xml:space="preserve">sychology at Staffordshire University, </w:t>
      </w:r>
      <w:r>
        <w:rPr>
          <w:rFonts w:ascii="Calibri" w:eastAsia="Times New Roman" w:hAnsi="Calibri" w:cs="Times New Roman"/>
        </w:rPr>
        <w:t>and I have</w:t>
      </w:r>
      <w:r w:rsidRPr="00E17CEC">
        <w:rPr>
          <w:rFonts w:ascii="Calibri" w:eastAsia="Times New Roman" w:hAnsi="Calibri" w:cs="Times New Roman"/>
        </w:rPr>
        <w:t xml:space="preserve"> a particular interest in children’s eating behaviours.  I am contacting you to ask permission for your child to take part in a discussion about the healthy eating campaign </w:t>
      </w:r>
      <w:r>
        <w:rPr>
          <w:rFonts w:ascii="Calibri" w:eastAsia="Times New Roman" w:hAnsi="Calibri" w:cs="Times New Roman"/>
        </w:rPr>
        <w:t xml:space="preserve">run at your school </w:t>
      </w:r>
      <w:r w:rsidRPr="00E17CEC">
        <w:rPr>
          <w:rFonts w:ascii="Calibri" w:eastAsia="Times New Roman" w:hAnsi="Calibri" w:cs="Times New Roman"/>
        </w:rPr>
        <w:t>where they helped design a poster</w:t>
      </w:r>
      <w:r>
        <w:rPr>
          <w:rFonts w:ascii="Calibri" w:eastAsia="Times New Roman" w:hAnsi="Calibri" w:cs="Times New Roman"/>
        </w:rPr>
        <w:t xml:space="preserve"> to encourage more healthy eating behaviours and voted on the best poster</w:t>
      </w:r>
      <w:r w:rsidRPr="00E17CEC">
        <w:rPr>
          <w:rFonts w:ascii="Calibri" w:eastAsia="Times New Roman" w:hAnsi="Calibri" w:cs="Times New Roman"/>
        </w:rPr>
        <w:t>.</w:t>
      </w:r>
    </w:p>
    <w:p w14:paraId="6B67AE81" w14:textId="77777777" w:rsidR="00572E3D" w:rsidRPr="00E17CEC" w:rsidRDefault="00572E3D" w:rsidP="00572E3D">
      <w:pPr>
        <w:spacing w:before="100" w:after="200" w:line="276" w:lineRule="auto"/>
        <w:jc w:val="both"/>
        <w:rPr>
          <w:rFonts w:ascii="Calibri" w:eastAsia="Times New Roman" w:hAnsi="Calibri" w:cs="Times New Roman"/>
          <w:b/>
        </w:rPr>
      </w:pPr>
      <w:r w:rsidRPr="00E17CEC">
        <w:rPr>
          <w:rFonts w:ascii="Calibri" w:eastAsia="Times New Roman" w:hAnsi="Calibri" w:cs="Times New Roman"/>
          <w:b/>
        </w:rPr>
        <w:t>What would my child have to do?</w:t>
      </w:r>
    </w:p>
    <w:p w14:paraId="039E8899" w14:textId="77777777" w:rsidR="00572E3D" w:rsidRPr="0063305B" w:rsidRDefault="00572E3D" w:rsidP="00572E3D">
      <w:pPr>
        <w:spacing w:before="100" w:after="200" w:line="276" w:lineRule="auto"/>
        <w:jc w:val="both"/>
        <w:rPr>
          <w:rFonts w:ascii="Calibri" w:eastAsia="Times New Roman" w:hAnsi="Calibri" w:cs="Times New Roman"/>
        </w:rPr>
      </w:pPr>
      <w:r w:rsidRPr="00E17CEC">
        <w:rPr>
          <w:rFonts w:ascii="Calibri" w:eastAsia="Times New Roman" w:hAnsi="Calibri" w:cs="Times New Roman"/>
        </w:rPr>
        <w:t xml:space="preserve">If you are willing for your child to take part, they will be asked to get involved in a focus group (group discussion) </w:t>
      </w:r>
      <w:r w:rsidRPr="00A72DA3">
        <w:rPr>
          <w:rFonts w:ascii="Calibri" w:eastAsia="Times New Roman" w:hAnsi="Calibri" w:cs="Times New Roman"/>
        </w:rPr>
        <w:t xml:space="preserve">with children from the same school year.  The focus groups will be conducted in school hours and will take no longer than 45 minutes. Your child will be asked to discuss within a group their views on making </w:t>
      </w:r>
      <w:r>
        <w:rPr>
          <w:rFonts w:ascii="Calibri" w:eastAsia="Times New Roman" w:hAnsi="Calibri" w:cs="Times New Roman"/>
        </w:rPr>
        <w:t>the</w:t>
      </w:r>
      <w:r w:rsidRPr="00A72DA3">
        <w:rPr>
          <w:rFonts w:ascii="Calibri" w:eastAsia="Times New Roman" w:hAnsi="Calibri" w:cs="Times New Roman"/>
        </w:rPr>
        <w:t xml:space="preserve"> healthy eating poster</w:t>
      </w:r>
      <w:r>
        <w:rPr>
          <w:rFonts w:ascii="Calibri" w:eastAsia="Times New Roman" w:hAnsi="Calibri" w:cs="Times New Roman"/>
        </w:rPr>
        <w:t>, voting for the best one and</w:t>
      </w:r>
      <w:r w:rsidRPr="00A72DA3">
        <w:rPr>
          <w:rFonts w:ascii="Calibri" w:eastAsia="Times New Roman" w:hAnsi="Calibri" w:cs="Times New Roman"/>
        </w:rPr>
        <w:t xml:space="preserve"> the related questionnaires.  The</w:t>
      </w:r>
      <w:r w:rsidRPr="00E17CEC">
        <w:rPr>
          <w:rFonts w:ascii="Calibri" w:eastAsia="Times New Roman" w:hAnsi="Calibri" w:cs="Times New Roman"/>
        </w:rPr>
        <w:t xml:space="preserve"> focus group will be</w:t>
      </w:r>
      <w:r>
        <w:rPr>
          <w:rFonts w:ascii="Calibri" w:eastAsia="Times New Roman" w:hAnsi="Calibri" w:cs="Times New Roman"/>
        </w:rPr>
        <w:t xml:space="preserve"> audio-</w:t>
      </w:r>
      <w:r w:rsidRPr="00E17CEC">
        <w:rPr>
          <w:rFonts w:ascii="Calibri" w:eastAsia="Times New Roman" w:hAnsi="Calibri" w:cs="Times New Roman"/>
        </w:rPr>
        <w:t>recorded for later analysis, but when the recordings are transcribed, all names will be changed so no-one can be identified. From all students who give consent to take part in the focus groups, only a limited number will be randomly selected to take part in the final focus groups.</w:t>
      </w:r>
      <w:r>
        <w:rPr>
          <w:rFonts w:ascii="Calibri" w:eastAsia="Times New Roman" w:hAnsi="Calibri" w:cs="Times New Roman"/>
        </w:rPr>
        <w:t xml:space="preserve">   </w:t>
      </w:r>
    </w:p>
    <w:p w14:paraId="73EB0143" w14:textId="77777777" w:rsidR="00572E3D" w:rsidRPr="0063305B" w:rsidRDefault="00572E3D" w:rsidP="00572E3D">
      <w:pPr>
        <w:spacing w:before="100" w:after="200" w:line="276" w:lineRule="auto"/>
        <w:jc w:val="both"/>
        <w:rPr>
          <w:rFonts w:ascii="Calibri" w:eastAsia="Times New Roman" w:hAnsi="Calibri" w:cs="Times New Roman"/>
          <w:b/>
        </w:rPr>
      </w:pPr>
      <w:r w:rsidRPr="0063305B">
        <w:rPr>
          <w:rFonts w:ascii="Calibri" w:eastAsia="Times New Roman" w:hAnsi="Calibri" w:cs="Times New Roman"/>
          <w:b/>
        </w:rPr>
        <w:t>Has this research been approved?</w:t>
      </w:r>
    </w:p>
    <w:p w14:paraId="199C6393" w14:textId="1D6D45A0" w:rsidR="00572E3D" w:rsidRPr="0063305B" w:rsidRDefault="00572E3D" w:rsidP="00572E3D">
      <w:pPr>
        <w:spacing w:before="100" w:after="200" w:line="276" w:lineRule="auto"/>
        <w:jc w:val="both"/>
        <w:rPr>
          <w:rFonts w:ascii="Calibri" w:eastAsia="Times New Roman" w:hAnsi="Calibri" w:cs="Times New Roman"/>
        </w:rPr>
      </w:pPr>
      <w:r w:rsidRPr="0063305B">
        <w:rPr>
          <w:rFonts w:ascii="Calibri" w:eastAsia="Times New Roman" w:hAnsi="Calibri" w:cs="Times New Roman"/>
        </w:rPr>
        <w:t xml:space="preserve">The research has been approved by the </w:t>
      </w:r>
      <w:r>
        <w:rPr>
          <w:rFonts w:ascii="Calibri" w:eastAsia="Times New Roman" w:hAnsi="Calibri" w:cs="Times New Roman"/>
        </w:rPr>
        <w:t>Staffordshire University Ethics Committee</w:t>
      </w:r>
      <w:r w:rsidR="00592AF4">
        <w:rPr>
          <w:rFonts w:ascii="Calibri" w:eastAsia="Times New Roman" w:hAnsi="Calibri" w:cs="Times New Roman"/>
        </w:rPr>
        <w:t xml:space="preserve">. </w:t>
      </w:r>
      <w:r w:rsidRPr="0063305B">
        <w:rPr>
          <w:rFonts w:ascii="Calibri" w:eastAsia="Times New Roman" w:hAnsi="Calibri" w:cs="Times New Roman"/>
        </w:rPr>
        <w:t xml:space="preserve">Only the research team at Staffordshire University will have access to your data and it will not be passed onto third parties.  Taking part in this research should not pose any harm to you or your child, and if at any time </w:t>
      </w:r>
      <w:r>
        <w:rPr>
          <w:rFonts w:ascii="Calibri" w:eastAsia="Times New Roman" w:hAnsi="Calibri" w:cs="Times New Roman"/>
        </w:rPr>
        <w:t>your</w:t>
      </w:r>
      <w:r w:rsidRPr="0063305B">
        <w:rPr>
          <w:rFonts w:ascii="Calibri" w:eastAsia="Times New Roman" w:hAnsi="Calibri" w:cs="Times New Roman"/>
        </w:rPr>
        <w:t xml:space="preserve"> child no longer wishes to par</w:t>
      </w:r>
      <w:r>
        <w:rPr>
          <w:rFonts w:ascii="Calibri" w:eastAsia="Times New Roman" w:hAnsi="Calibri" w:cs="Times New Roman"/>
        </w:rPr>
        <w:t>take in the focus group then they</w:t>
      </w:r>
      <w:r w:rsidRPr="0063305B">
        <w:rPr>
          <w:rFonts w:ascii="Calibri" w:eastAsia="Times New Roman" w:hAnsi="Calibri" w:cs="Times New Roman"/>
        </w:rPr>
        <w:t xml:space="preserve"> are welcome to leave with no questions asked.</w:t>
      </w:r>
    </w:p>
    <w:p w14:paraId="07484710" w14:textId="77777777" w:rsidR="00FA24E4" w:rsidRDefault="00FA24E4" w:rsidP="00572E3D">
      <w:pPr>
        <w:spacing w:before="100" w:after="200" w:line="276" w:lineRule="auto"/>
        <w:jc w:val="both"/>
        <w:rPr>
          <w:rFonts w:ascii="Calibri" w:eastAsia="Times New Roman" w:hAnsi="Calibri" w:cs="Times New Roman"/>
          <w:b/>
        </w:rPr>
      </w:pPr>
    </w:p>
    <w:p w14:paraId="3B6351D2" w14:textId="77777777" w:rsidR="00FA24E4" w:rsidRDefault="00FA24E4" w:rsidP="00572E3D">
      <w:pPr>
        <w:spacing w:before="100" w:after="200" w:line="276" w:lineRule="auto"/>
        <w:jc w:val="both"/>
        <w:rPr>
          <w:rFonts w:ascii="Calibri" w:eastAsia="Times New Roman" w:hAnsi="Calibri" w:cs="Times New Roman"/>
          <w:b/>
        </w:rPr>
      </w:pPr>
    </w:p>
    <w:p w14:paraId="718C61BE" w14:textId="77777777" w:rsidR="00FA24E4" w:rsidRDefault="00FA24E4" w:rsidP="00572E3D">
      <w:pPr>
        <w:spacing w:before="100" w:after="200" w:line="276" w:lineRule="auto"/>
        <w:jc w:val="both"/>
        <w:rPr>
          <w:rFonts w:ascii="Calibri" w:eastAsia="Times New Roman" w:hAnsi="Calibri" w:cs="Times New Roman"/>
          <w:b/>
        </w:rPr>
      </w:pPr>
    </w:p>
    <w:p w14:paraId="4A67A706" w14:textId="5B34FEB8" w:rsidR="00FA24E4" w:rsidRDefault="00FA24E4" w:rsidP="00572E3D">
      <w:pPr>
        <w:spacing w:before="100" w:after="200" w:line="276" w:lineRule="auto"/>
        <w:jc w:val="both"/>
        <w:rPr>
          <w:rFonts w:ascii="Calibri" w:eastAsia="Times New Roman" w:hAnsi="Calibri" w:cs="Times New Roman"/>
          <w:b/>
        </w:rPr>
      </w:pPr>
    </w:p>
    <w:p w14:paraId="1B1CADE4" w14:textId="77777777" w:rsidR="00BE058D" w:rsidRDefault="00BE058D" w:rsidP="00572E3D">
      <w:pPr>
        <w:spacing w:before="100" w:after="200" w:line="276" w:lineRule="auto"/>
        <w:jc w:val="both"/>
        <w:rPr>
          <w:rFonts w:ascii="Calibri" w:eastAsia="Times New Roman" w:hAnsi="Calibri" w:cs="Times New Roman"/>
          <w:b/>
        </w:rPr>
      </w:pPr>
    </w:p>
    <w:p w14:paraId="06197AE5" w14:textId="77777777" w:rsidR="00FA24E4" w:rsidRDefault="00FA24E4" w:rsidP="00572E3D">
      <w:pPr>
        <w:spacing w:before="100" w:after="200" w:line="276" w:lineRule="auto"/>
        <w:jc w:val="both"/>
        <w:rPr>
          <w:rFonts w:ascii="Calibri" w:eastAsia="Times New Roman" w:hAnsi="Calibri" w:cs="Times New Roman"/>
          <w:b/>
        </w:rPr>
      </w:pPr>
    </w:p>
    <w:p w14:paraId="1FA4B82D" w14:textId="057F7789" w:rsidR="00572E3D" w:rsidRPr="00F456B9" w:rsidRDefault="00572E3D" w:rsidP="00572E3D">
      <w:pPr>
        <w:spacing w:before="100" w:after="200" w:line="276" w:lineRule="auto"/>
        <w:jc w:val="both"/>
        <w:rPr>
          <w:rFonts w:ascii="Calibri" w:eastAsia="Times New Roman" w:hAnsi="Calibri" w:cs="Times New Roman"/>
          <w:b/>
        </w:rPr>
      </w:pPr>
      <w:r w:rsidRPr="00F456B9">
        <w:rPr>
          <w:rFonts w:ascii="Calibri" w:eastAsia="Times New Roman" w:hAnsi="Calibri" w:cs="Times New Roman"/>
          <w:b/>
        </w:rPr>
        <w:lastRenderedPageBreak/>
        <w:t>What should I do if I do NOT want my child to take part?</w:t>
      </w:r>
    </w:p>
    <w:p w14:paraId="0D3A4B8D" w14:textId="77777777" w:rsidR="00572E3D" w:rsidRPr="00F456B9" w:rsidRDefault="00572E3D" w:rsidP="00572E3D">
      <w:pPr>
        <w:spacing w:before="100" w:after="200" w:line="276" w:lineRule="auto"/>
        <w:jc w:val="both"/>
        <w:rPr>
          <w:rFonts w:ascii="Calibri" w:eastAsia="Times New Roman" w:hAnsi="Calibri" w:cs="Times New Roman"/>
        </w:rPr>
      </w:pPr>
      <w:r w:rsidRPr="00F456B9">
        <w:rPr>
          <w:rFonts w:ascii="Calibri" w:eastAsia="Times New Roman" w:hAnsi="Calibri" w:cs="Times New Roman"/>
        </w:rPr>
        <w:t xml:space="preserve">If you would </w:t>
      </w:r>
      <w:r w:rsidRPr="00F456B9">
        <w:rPr>
          <w:rFonts w:ascii="Calibri" w:eastAsia="Times New Roman" w:hAnsi="Calibri" w:cs="Times New Roman"/>
          <w:b/>
          <w:u w:val="single"/>
        </w:rPr>
        <w:t>NOT</w:t>
      </w:r>
      <w:r w:rsidRPr="00F456B9">
        <w:rPr>
          <w:rFonts w:ascii="Calibri" w:eastAsia="Times New Roman" w:hAnsi="Calibri" w:cs="Times New Roman"/>
          <w:b/>
        </w:rPr>
        <w:t xml:space="preserve"> </w:t>
      </w:r>
      <w:r w:rsidRPr="00F456B9">
        <w:rPr>
          <w:rFonts w:ascii="Calibri" w:eastAsia="Times New Roman" w:hAnsi="Calibri" w:cs="Times New Roman"/>
        </w:rPr>
        <w:t>like your child to partak</w:t>
      </w:r>
      <w:r>
        <w:rPr>
          <w:rFonts w:ascii="Calibri" w:eastAsia="Times New Roman" w:hAnsi="Calibri" w:cs="Times New Roman"/>
        </w:rPr>
        <w:t xml:space="preserve">e in the research, please fill </w:t>
      </w:r>
      <w:r w:rsidRPr="00F456B9">
        <w:rPr>
          <w:rFonts w:ascii="Calibri" w:eastAsia="Times New Roman" w:hAnsi="Calibri" w:cs="Times New Roman"/>
        </w:rPr>
        <w:t xml:space="preserve">out </w:t>
      </w:r>
      <w:r>
        <w:rPr>
          <w:rFonts w:ascii="Calibri" w:eastAsia="Times New Roman" w:hAnsi="Calibri" w:cs="Times New Roman"/>
        </w:rPr>
        <w:t xml:space="preserve">the </w:t>
      </w:r>
      <w:r w:rsidRPr="00F456B9">
        <w:rPr>
          <w:rFonts w:ascii="Calibri" w:eastAsia="Times New Roman" w:hAnsi="Calibri" w:cs="Times New Roman"/>
        </w:rPr>
        <w:t xml:space="preserve">slip below and return it to the school by </w:t>
      </w:r>
      <w:r w:rsidRPr="00F456B9">
        <w:rPr>
          <w:rFonts w:ascii="Calibri" w:eastAsia="Times New Roman" w:hAnsi="Calibri" w:cs="Times New Roman"/>
          <w:b/>
          <w:u w:val="single"/>
        </w:rPr>
        <w:t>DATE.</w:t>
      </w:r>
      <w:r w:rsidRPr="00F456B9">
        <w:rPr>
          <w:rFonts w:ascii="Calibri" w:eastAsia="Times New Roman" w:hAnsi="Calibri" w:cs="Times New Roman"/>
        </w:rPr>
        <w:t xml:space="preserve"> </w:t>
      </w:r>
    </w:p>
    <w:p w14:paraId="1071125A" w14:textId="77777777" w:rsidR="00572E3D" w:rsidRPr="0063305B" w:rsidRDefault="00572E3D" w:rsidP="00572E3D">
      <w:pPr>
        <w:spacing w:before="100" w:after="200" w:line="276" w:lineRule="auto"/>
        <w:jc w:val="both"/>
        <w:rPr>
          <w:rFonts w:ascii="Calibri" w:eastAsia="Times New Roman" w:hAnsi="Calibri" w:cs="Times New Roman"/>
        </w:rPr>
      </w:pPr>
      <w:r w:rsidRPr="0063305B">
        <w:rPr>
          <w:rFonts w:ascii="Calibri" w:eastAsia="Times New Roman" w:hAnsi="Calibri" w:cs="Times New Roman"/>
        </w:rPr>
        <w:t>Thank you f</w:t>
      </w:r>
      <w:r>
        <w:rPr>
          <w:rFonts w:ascii="Calibri" w:eastAsia="Times New Roman" w:hAnsi="Calibri" w:cs="Times New Roman"/>
        </w:rPr>
        <w:t xml:space="preserve">or taking the time to read this. </w:t>
      </w:r>
      <w:r w:rsidRPr="0063305B">
        <w:rPr>
          <w:rFonts w:ascii="Calibri" w:eastAsia="Times New Roman" w:hAnsi="Calibri" w:cs="Times New Roman"/>
        </w:rPr>
        <w:t>If you have any f</w:t>
      </w:r>
      <w:r>
        <w:rPr>
          <w:rFonts w:ascii="Calibri" w:eastAsia="Times New Roman" w:hAnsi="Calibri" w:cs="Times New Roman"/>
        </w:rPr>
        <w:t>urther questions, please contact me.</w:t>
      </w:r>
    </w:p>
    <w:p w14:paraId="5CD9CE07"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Kind regards</w:t>
      </w:r>
    </w:p>
    <w:p w14:paraId="2AC1B963" w14:textId="77777777" w:rsidR="00572E3D" w:rsidRPr="0063305B" w:rsidRDefault="00572E3D" w:rsidP="00572E3D">
      <w:pPr>
        <w:spacing w:after="0" w:line="240" w:lineRule="auto"/>
        <w:rPr>
          <w:rFonts w:ascii="Calibri" w:eastAsia="Calibri" w:hAnsi="Calibri" w:cs="Times New Roman"/>
        </w:rPr>
      </w:pPr>
      <w:r w:rsidRPr="0063305B">
        <w:rPr>
          <w:rFonts w:ascii="Calibri" w:eastAsia="Calibri" w:hAnsi="Calibri" w:cs="Times New Roman"/>
        </w:rPr>
        <w:t>Sian Calvert</w:t>
      </w:r>
    </w:p>
    <w:p w14:paraId="64F1D272" w14:textId="77777777" w:rsidR="00572E3D" w:rsidRPr="0063305B" w:rsidRDefault="00322DCE" w:rsidP="00572E3D">
      <w:pPr>
        <w:spacing w:after="0" w:line="240" w:lineRule="auto"/>
        <w:rPr>
          <w:rFonts w:ascii="Calibri" w:eastAsia="Calibri" w:hAnsi="Calibri" w:cs="Times New Roman"/>
          <w:color w:val="0563C1"/>
          <w:u w:val="single"/>
        </w:rPr>
      </w:pPr>
      <w:hyperlink r:id="rId119" w:history="1">
        <w:r w:rsidR="00572E3D" w:rsidRPr="0063305B">
          <w:rPr>
            <w:rFonts w:ascii="Calibri" w:eastAsia="Calibri" w:hAnsi="Calibri" w:cs="Times New Roman"/>
            <w:color w:val="0563C1"/>
            <w:u w:val="single"/>
          </w:rPr>
          <w:t>Sian.calvert@research.staffs.ac.uk</w:t>
        </w:r>
      </w:hyperlink>
    </w:p>
    <w:p w14:paraId="2C234432" w14:textId="77777777" w:rsidR="00572E3D" w:rsidRPr="0063305B" w:rsidRDefault="00572E3D" w:rsidP="00572E3D">
      <w:pPr>
        <w:spacing w:after="0" w:line="240" w:lineRule="auto"/>
        <w:rPr>
          <w:rFonts w:ascii="Calibri" w:eastAsia="Calibri" w:hAnsi="Calibri" w:cs="Times New Roman"/>
        </w:rPr>
      </w:pPr>
      <w:r w:rsidRPr="0063305B">
        <w:rPr>
          <w:rFonts w:ascii="Calibri" w:eastAsia="Calibri" w:hAnsi="Calibri" w:cs="Times New Roman"/>
          <w:i/>
        </w:rPr>
        <w:t xml:space="preserve">PhD student in psychology, at Staffordshire University </w:t>
      </w:r>
    </w:p>
    <w:p w14:paraId="5FFBF167" w14:textId="77777777" w:rsidR="00572E3D" w:rsidRDefault="00572E3D" w:rsidP="00572E3D">
      <w:pPr>
        <w:spacing w:after="0" w:line="240" w:lineRule="auto"/>
        <w:rPr>
          <w:rFonts w:ascii="Calibri" w:eastAsia="Calibri" w:hAnsi="Calibri" w:cs="Times New Roman"/>
        </w:rPr>
      </w:pPr>
      <w:r w:rsidRPr="0063305B">
        <w:rPr>
          <w:rFonts w:ascii="Calibri" w:eastAsia="Calibri" w:hAnsi="Calibri" w:cs="Times New Roman"/>
        </w:rPr>
        <w:t>01782 294121</w:t>
      </w:r>
    </w:p>
    <w:p w14:paraId="5F68E1F2" w14:textId="77777777" w:rsidR="00572E3D" w:rsidRDefault="00572E3D" w:rsidP="00572E3D">
      <w:pPr>
        <w:spacing w:after="0" w:line="240" w:lineRule="auto"/>
        <w:rPr>
          <w:rFonts w:ascii="Calibri" w:eastAsia="Calibri" w:hAnsi="Calibri" w:cs="Times New Roman"/>
        </w:rPr>
      </w:pPr>
    </w:p>
    <w:p w14:paraId="55B0DF79" w14:textId="77777777" w:rsidR="00572E3D" w:rsidRPr="00F456B9" w:rsidRDefault="00572E3D" w:rsidP="00572E3D">
      <w:pPr>
        <w:spacing w:after="0" w:line="240" w:lineRule="auto"/>
        <w:rPr>
          <w:rFonts w:ascii="Calibri" w:eastAsia="Calibri" w:hAnsi="Calibri" w:cs="Times New Roman"/>
        </w:rPr>
      </w:pPr>
      <w:r w:rsidRPr="00F456B9">
        <w:rPr>
          <w:rFonts w:ascii="Calibri" w:eastAsia="Calibri" w:hAnsi="Calibri" w:cs="Times New Roman"/>
        </w:rPr>
        <w:t>Supervisors:</w:t>
      </w:r>
    </w:p>
    <w:p w14:paraId="7D7A07A2" w14:textId="77777777" w:rsidR="00572E3D" w:rsidRPr="00F456B9" w:rsidRDefault="00572E3D" w:rsidP="00572E3D">
      <w:pPr>
        <w:spacing w:after="0" w:line="240" w:lineRule="auto"/>
        <w:rPr>
          <w:rFonts w:ascii="Calibri" w:eastAsia="Calibri" w:hAnsi="Calibri" w:cs="Times New Roman"/>
        </w:rPr>
        <w:sectPr w:rsidR="00572E3D" w:rsidRPr="00F456B9" w:rsidSect="00F37AFF">
          <w:type w:val="continuous"/>
          <w:pgSz w:w="11906" w:h="16838"/>
          <w:pgMar w:top="1440" w:right="1440" w:bottom="1440" w:left="1440" w:header="708" w:footer="708" w:gutter="0"/>
          <w:cols w:space="708"/>
          <w:docGrid w:linePitch="360"/>
        </w:sectPr>
      </w:pPr>
    </w:p>
    <w:p w14:paraId="4D83DA85" w14:textId="77777777" w:rsidR="00572E3D" w:rsidRPr="00F456B9" w:rsidRDefault="00572E3D" w:rsidP="00572E3D">
      <w:pPr>
        <w:spacing w:after="0" w:line="240" w:lineRule="auto"/>
        <w:rPr>
          <w:rFonts w:ascii="Calibri" w:eastAsia="Calibri" w:hAnsi="Calibri" w:cs="Times New Roman"/>
          <w:sz w:val="20"/>
          <w:szCs w:val="20"/>
        </w:rPr>
      </w:pPr>
      <w:r w:rsidRPr="00F456B9">
        <w:rPr>
          <w:rFonts w:ascii="Calibri" w:eastAsia="Calibri" w:hAnsi="Calibri" w:cs="Times New Roman"/>
          <w:sz w:val="20"/>
          <w:szCs w:val="20"/>
        </w:rPr>
        <w:t xml:space="preserve">Dr. Robert Dempsey </w:t>
      </w:r>
    </w:p>
    <w:p w14:paraId="56630625" w14:textId="77777777" w:rsidR="00572E3D" w:rsidRPr="00F456B9" w:rsidRDefault="00572E3D" w:rsidP="00572E3D">
      <w:pPr>
        <w:spacing w:after="0" w:line="240" w:lineRule="auto"/>
        <w:rPr>
          <w:rFonts w:ascii="Calibri" w:eastAsia="Calibri" w:hAnsi="Calibri" w:cs="Times New Roman"/>
          <w:sz w:val="20"/>
          <w:szCs w:val="20"/>
        </w:rPr>
      </w:pPr>
      <w:r w:rsidRPr="00F456B9">
        <w:rPr>
          <w:rFonts w:ascii="Calibri" w:eastAsia="Calibri" w:hAnsi="Calibri" w:cs="Times New Roman"/>
          <w:sz w:val="20"/>
          <w:szCs w:val="20"/>
        </w:rPr>
        <w:t>robert.dempsey@staffs.ac.uk</w:t>
      </w:r>
    </w:p>
    <w:p w14:paraId="2FEF8D83" w14:textId="77777777" w:rsidR="00572E3D" w:rsidRPr="00F456B9" w:rsidRDefault="00572E3D" w:rsidP="00572E3D">
      <w:pPr>
        <w:spacing w:after="0" w:line="240" w:lineRule="auto"/>
        <w:rPr>
          <w:rFonts w:ascii="Calibri" w:eastAsia="Calibri" w:hAnsi="Calibri" w:cs="Times New Roman"/>
          <w:i/>
          <w:sz w:val="20"/>
          <w:szCs w:val="20"/>
        </w:rPr>
      </w:pPr>
      <w:r>
        <w:rPr>
          <w:rFonts w:ascii="Calibri" w:eastAsia="Calibri" w:hAnsi="Calibri" w:cs="Times New Roman"/>
          <w:i/>
          <w:sz w:val="20"/>
          <w:szCs w:val="20"/>
        </w:rPr>
        <w:t xml:space="preserve">Senior </w:t>
      </w:r>
      <w:r w:rsidRPr="00F456B9">
        <w:rPr>
          <w:rFonts w:ascii="Calibri" w:eastAsia="Calibri" w:hAnsi="Calibri" w:cs="Times New Roman"/>
          <w:i/>
          <w:sz w:val="20"/>
          <w:szCs w:val="20"/>
        </w:rPr>
        <w:t xml:space="preserve">Lecturer at Staffordshire University </w:t>
      </w:r>
    </w:p>
    <w:p w14:paraId="1414ACCA" w14:textId="77777777" w:rsidR="00572E3D" w:rsidRPr="00BB7D17" w:rsidRDefault="00572E3D" w:rsidP="00572E3D">
      <w:pPr>
        <w:spacing w:after="0" w:line="240" w:lineRule="auto"/>
        <w:rPr>
          <w:rFonts w:ascii="Calibri" w:eastAsia="Calibri" w:hAnsi="Calibri" w:cs="Times New Roman"/>
          <w:sz w:val="20"/>
          <w:szCs w:val="20"/>
          <w:lang w:val="it-IT"/>
        </w:rPr>
      </w:pPr>
      <w:r w:rsidRPr="00BB7D17">
        <w:rPr>
          <w:rFonts w:ascii="Calibri" w:eastAsia="Calibri" w:hAnsi="Calibri" w:cs="Times New Roman"/>
          <w:sz w:val="20"/>
          <w:szCs w:val="20"/>
          <w:lang w:val="it-IT"/>
        </w:rPr>
        <w:t xml:space="preserve">Dr. Rachel Povey </w:t>
      </w:r>
    </w:p>
    <w:p w14:paraId="78357ED2" w14:textId="77777777" w:rsidR="00572E3D" w:rsidRPr="00BB7D17" w:rsidRDefault="00572E3D" w:rsidP="00572E3D">
      <w:pPr>
        <w:spacing w:after="0" w:line="240" w:lineRule="auto"/>
        <w:rPr>
          <w:rFonts w:ascii="Calibri" w:eastAsia="Calibri" w:hAnsi="Calibri" w:cs="Times New Roman"/>
          <w:sz w:val="20"/>
          <w:szCs w:val="20"/>
          <w:lang w:val="it-IT"/>
        </w:rPr>
      </w:pPr>
      <w:r w:rsidRPr="00BB7D17">
        <w:rPr>
          <w:rFonts w:ascii="Calibri" w:eastAsia="Calibri" w:hAnsi="Calibri" w:cs="Times New Roman"/>
          <w:sz w:val="20"/>
          <w:szCs w:val="20"/>
          <w:lang w:val="it-IT"/>
        </w:rPr>
        <w:t>r.povey@staffs.ac.uk</w:t>
      </w:r>
    </w:p>
    <w:p w14:paraId="374F3C65" w14:textId="77777777" w:rsidR="00572E3D" w:rsidRPr="00F456B9" w:rsidRDefault="00572E3D" w:rsidP="00572E3D">
      <w:pPr>
        <w:spacing w:after="0" w:line="240" w:lineRule="auto"/>
        <w:rPr>
          <w:rFonts w:ascii="Calibri" w:eastAsia="Calibri" w:hAnsi="Calibri" w:cs="Times New Roman"/>
          <w:i/>
          <w:sz w:val="20"/>
          <w:szCs w:val="20"/>
        </w:rPr>
      </w:pPr>
      <w:r>
        <w:rPr>
          <w:rFonts w:ascii="Calibri" w:eastAsia="Calibri" w:hAnsi="Calibri" w:cs="Times New Roman"/>
          <w:i/>
          <w:sz w:val="20"/>
          <w:szCs w:val="20"/>
        </w:rPr>
        <w:t>Associate Professor</w:t>
      </w:r>
      <w:r w:rsidRPr="00F456B9">
        <w:rPr>
          <w:rFonts w:ascii="Calibri" w:eastAsia="Calibri" w:hAnsi="Calibri" w:cs="Times New Roman"/>
          <w:i/>
          <w:sz w:val="20"/>
          <w:szCs w:val="20"/>
        </w:rPr>
        <w:t xml:space="preserve"> at Staffordshire University </w:t>
      </w:r>
    </w:p>
    <w:p w14:paraId="75CCBD23" w14:textId="77777777" w:rsidR="00572E3D" w:rsidRDefault="00572E3D" w:rsidP="00572E3D">
      <w:pPr>
        <w:spacing w:before="100" w:after="200" w:line="276" w:lineRule="auto"/>
        <w:rPr>
          <w:rFonts w:ascii="Calibri" w:eastAsia="Times New Roman" w:hAnsi="Calibri" w:cs="Times New Roman"/>
        </w:rPr>
        <w:sectPr w:rsidR="00572E3D" w:rsidSect="00DA07FB">
          <w:type w:val="continuous"/>
          <w:pgSz w:w="11906" w:h="16838"/>
          <w:pgMar w:top="426" w:right="849" w:bottom="1440" w:left="1440" w:header="708" w:footer="708" w:gutter="0"/>
          <w:cols w:num="2" w:space="708"/>
          <w:docGrid w:linePitch="360"/>
        </w:sectPr>
      </w:pPr>
    </w:p>
    <w:p w14:paraId="4A80EEBC" w14:textId="0C1C99E5" w:rsidR="00572E3D" w:rsidRPr="00BA5B67" w:rsidRDefault="0029384A" w:rsidP="00572E3D">
      <w:pPr>
        <w:spacing w:before="100" w:after="200" w:line="276" w:lineRule="auto"/>
        <w:rPr>
          <w:rFonts w:ascii="Calibri" w:eastAsia="Times New Roman" w:hAnsi="Calibri" w:cs="Times New Roman"/>
        </w:rPr>
      </w:pPr>
      <w:r w:rsidRPr="006D6711">
        <w:rPr>
          <w:rFonts w:ascii="Calibri" w:eastAsia="Times New Roman" w:hAnsi="Calibri" w:cs="Times New Roman"/>
          <w:b/>
          <w:noProof/>
          <w:sz w:val="32"/>
          <w:szCs w:val="32"/>
          <w:highlight w:val="yellow"/>
          <w:lang w:eastAsia="en-GB"/>
        </w:rPr>
        <mc:AlternateContent>
          <mc:Choice Requires="wps">
            <w:drawing>
              <wp:anchor distT="0" distB="0" distL="114300" distR="114300" simplePos="0" relativeHeight="251669504" behindDoc="0" locked="0" layoutInCell="1" allowOverlap="1" wp14:anchorId="61E4C171" wp14:editId="3C08491F">
                <wp:simplePos x="0" y="0"/>
                <wp:positionH relativeFrom="margin">
                  <wp:posOffset>-308610</wp:posOffset>
                </wp:positionH>
                <wp:positionV relativeFrom="paragraph">
                  <wp:posOffset>261620</wp:posOffset>
                </wp:positionV>
                <wp:extent cx="6436360" cy="1076325"/>
                <wp:effectExtent l="19050" t="19050" r="21590" b="28575"/>
                <wp:wrapNone/>
                <wp:docPr id="52" name="Rectangle 52"/>
                <wp:cNvGraphicFramePr/>
                <a:graphic xmlns:a="http://schemas.openxmlformats.org/drawingml/2006/main">
                  <a:graphicData uri="http://schemas.microsoft.com/office/word/2010/wordprocessingShape">
                    <wps:wsp>
                      <wps:cNvSpPr/>
                      <wps:spPr>
                        <a:xfrm>
                          <a:off x="0" y="0"/>
                          <a:ext cx="6436360" cy="1076325"/>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27104BCD"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 reflection.</w:t>
                            </w:r>
                            <w:r w:rsidRPr="0063305B">
                              <w:rPr>
                                <w:rFonts w:ascii="Calibri" w:eastAsia="Times New Roman" w:hAnsi="Calibri" w:cs="Times New Roman"/>
                              </w:rPr>
                              <w:t xml:space="preserve"> </w:t>
                            </w:r>
                          </w:p>
                          <w:p w14:paraId="3738B404"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155ECE4E"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711D396F" w14:textId="77777777" w:rsidR="00572E3D" w:rsidRDefault="00572E3D" w:rsidP="00572E3D">
                            <w:pPr>
                              <w:jc w:val="center"/>
                            </w:pPr>
                            <w:r>
                              <w:t>.</w:t>
                            </w:r>
                          </w:p>
                          <w:p w14:paraId="093152E2" w14:textId="77777777" w:rsidR="00572E3D" w:rsidRDefault="00572E3D" w:rsidP="00572E3D">
                            <w:pPr>
                              <w:jc w:val="center"/>
                            </w:pPr>
                          </w:p>
                          <w:p w14:paraId="44456FCF" w14:textId="77777777" w:rsidR="00D1262B" w:rsidRDefault="00D1262B"/>
                          <w:p w14:paraId="221EE79F" w14:textId="36DF2B85"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 reflection.</w:t>
                            </w:r>
                            <w:r w:rsidRPr="0063305B">
                              <w:rPr>
                                <w:rFonts w:ascii="Calibri" w:eastAsia="Times New Roman" w:hAnsi="Calibri" w:cs="Times New Roman"/>
                              </w:rPr>
                              <w:t xml:space="preserve"> </w:t>
                            </w:r>
                          </w:p>
                          <w:p w14:paraId="16A88EF0"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5B804E4D"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6448B3E4" w14:textId="77777777" w:rsidR="00572E3D" w:rsidRDefault="00572E3D" w:rsidP="00572E3D">
                            <w:pPr>
                              <w:jc w:val="center"/>
                            </w:pPr>
                            <w:r>
                              <w:t>.</w:t>
                            </w:r>
                          </w:p>
                          <w:p w14:paraId="542A1C73" w14:textId="77777777" w:rsidR="00572E3D" w:rsidRDefault="00572E3D" w:rsidP="00572E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4C171" id="Rectangle 52" o:spid="_x0000_s1060" style="position:absolute;margin-left:-24.3pt;margin-top:20.6pt;width:506.8pt;height:84.7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" fillcolor="window" strokecolor="windowText" strokeweight="3pt">
                <v:textbox>
                  <w:txbxContent>
                    <w:p w14:paraId="27104BCD" w14:textId="77777777"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 reflection.</w:t>
                      </w:r>
                      <w:r w:rsidRPr="0063305B">
                        <w:rPr>
                          <w:rFonts w:ascii="Calibri" w:eastAsia="Times New Roman" w:hAnsi="Calibri" w:cs="Times New Roman"/>
                        </w:rPr>
                        <w:t xml:space="preserve"> </w:t>
                      </w:r>
                    </w:p>
                    <w:p w14:paraId="3738B404"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155ECE4E"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711D396F" w14:textId="77777777" w:rsidR="00572E3D" w:rsidRDefault="00572E3D" w:rsidP="00572E3D">
                      <w:pPr>
                        <w:jc w:val="center"/>
                      </w:pPr>
                      <w:r>
                        <w:t>.</w:t>
                      </w:r>
                    </w:p>
                    <w:p w14:paraId="093152E2" w14:textId="77777777" w:rsidR="00572E3D" w:rsidRDefault="00572E3D" w:rsidP="00572E3D">
                      <w:pPr>
                        <w:jc w:val="center"/>
                      </w:pPr>
                    </w:p>
                    <w:p w14:paraId="44456FCF" w14:textId="77777777" w:rsidR="00D1262B" w:rsidRDefault="00D1262B"/>
                    <w:p w14:paraId="221EE79F" w14:textId="36DF2B85" w:rsidR="00572E3D" w:rsidRPr="0063305B" w:rsidRDefault="00572E3D" w:rsidP="00572E3D">
                      <w:pPr>
                        <w:spacing w:before="100" w:after="200" w:line="276" w:lineRule="auto"/>
                        <w:rPr>
                          <w:rFonts w:ascii="Calibri" w:eastAsia="Times New Roman" w:hAnsi="Calibri" w:cs="Times New Roman"/>
                        </w:rPr>
                      </w:pPr>
                      <w:r w:rsidRPr="0063305B">
                        <w:rPr>
                          <w:rFonts w:ascii="Calibri" w:eastAsia="Times New Roman" w:hAnsi="Calibri" w:cs="Times New Roman"/>
                        </w:rPr>
                        <w:t xml:space="preserve">I am </w:t>
                      </w:r>
                      <w:r w:rsidRPr="007D6687">
                        <w:rPr>
                          <w:rFonts w:ascii="Calibri" w:eastAsia="Times New Roman" w:hAnsi="Calibri" w:cs="Times New Roman"/>
                          <w:b/>
                          <w:u w:val="single"/>
                        </w:rPr>
                        <w:t>NOT</w:t>
                      </w:r>
                      <w:r>
                        <w:rPr>
                          <w:rFonts w:ascii="Calibri" w:eastAsia="Times New Roman" w:hAnsi="Calibri" w:cs="Times New Roman"/>
                        </w:rPr>
                        <w:t xml:space="preserve"> </w:t>
                      </w:r>
                      <w:r w:rsidRPr="0063305B">
                        <w:rPr>
                          <w:rFonts w:ascii="Calibri" w:eastAsia="Times New Roman" w:hAnsi="Calibri" w:cs="Times New Roman"/>
                        </w:rPr>
                        <w:t xml:space="preserve">happy for </w:t>
                      </w:r>
                      <w:r w:rsidRPr="007D6687">
                        <w:rPr>
                          <w:rFonts w:ascii="Calibri" w:eastAsia="Times New Roman" w:hAnsi="Calibri" w:cs="Times New Roman"/>
                        </w:rPr>
                        <w:t>my child to</w:t>
                      </w:r>
                      <w:r w:rsidRPr="0063305B">
                        <w:rPr>
                          <w:rFonts w:ascii="Calibri" w:eastAsia="Times New Roman" w:hAnsi="Calibri" w:cs="Times New Roman"/>
                        </w:rPr>
                        <w:t xml:space="preserve"> take p</w:t>
                      </w:r>
                      <w:r>
                        <w:rPr>
                          <w:rFonts w:ascii="Calibri" w:eastAsia="Times New Roman" w:hAnsi="Calibri" w:cs="Times New Roman"/>
                        </w:rPr>
                        <w:t>art in the healthy eating campaign reflection.</w:t>
                      </w:r>
                      <w:r w:rsidRPr="0063305B">
                        <w:rPr>
                          <w:rFonts w:ascii="Calibri" w:eastAsia="Times New Roman" w:hAnsi="Calibri" w:cs="Times New Roman"/>
                        </w:rPr>
                        <w:t xml:space="preserve"> </w:t>
                      </w:r>
                    </w:p>
                    <w:p w14:paraId="16A88EF0" w14:textId="77777777" w:rsidR="00572E3D" w:rsidRPr="00282FBB"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 xml:space="preserve">My child’s name is …………………………………………………  Class …………………….. </w:t>
                      </w:r>
                    </w:p>
                    <w:p w14:paraId="5B804E4D" w14:textId="77777777" w:rsidR="00572E3D" w:rsidRDefault="00572E3D" w:rsidP="00572E3D">
                      <w:pPr>
                        <w:spacing w:before="100" w:after="200" w:line="276" w:lineRule="auto"/>
                        <w:rPr>
                          <w:rFonts w:ascii="Calibri" w:eastAsia="Times New Roman" w:hAnsi="Calibri" w:cs="Times New Roman"/>
                        </w:rPr>
                      </w:pPr>
                      <w:r w:rsidRPr="00282FBB">
                        <w:rPr>
                          <w:rFonts w:ascii="Calibri" w:eastAsia="Times New Roman" w:hAnsi="Calibri" w:cs="Times New Roman"/>
                        </w:rPr>
                        <w:t>Person (with parental responsibility)’s signature</w:t>
                      </w:r>
                      <w:r>
                        <w:rPr>
                          <w:rFonts w:ascii="Calibri" w:eastAsia="Times New Roman" w:hAnsi="Calibri" w:cs="Times New Roman"/>
                        </w:rPr>
                        <w:t>……………………………………………………………</w:t>
                      </w:r>
                      <w:r w:rsidRPr="0063305B">
                        <w:rPr>
                          <w:rFonts w:ascii="Calibri" w:eastAsia="Times New Roman" w:hAnsi="Calibri" w:cs="Times New Roman"/>
                        </w:rPr>
                        <w:t xml:space="preserve"> Date ………………………</w:t>
                      </w:r>
                    </w:p>
                    <w:p w14:paraId="6448B3E4" w14:textId="77777777" w:rsidR="00572E3D" w:rsidRDefault="00572E3D" w:rsidP="00572E3D">
                      <w:pPr>
                        <w:jc w:val="center"/>
                      </w:pPr>
                      <w:r>
                        <w:t>.</w:t>
                      </w:r>
                    </w:p>
                    <w:p w14:paraId="542A1C73" w14:textId="77777777" w:rsidR="00572E3D" w:rsidRDefault="00572E3D" w:rsidP="00572E3D">
                      <w:pPr>
                        <w:jc w:val="center"/>
                      </w:pPr>
                    </w:p>
                  </w:txbxContent>
                </v:textbox>
                <w10:wrap anchorx="margin"/>
              </v:rect>
            </w:pict>
          </mc:Fallback>
        </mc:AlternateContent>
      </w:r>
      <w:r w:rsidR="00572E3D">
        <w:rPr>
          <w:rFonts w:ascii="Calibri" w:eastAsia="Times New Roman" w:hAnsi="Calibri" w:cs="Times New Roman"/>
        </w:rPr>
        <w:sym w:font="Wingdings" w:char="F022"/>
      </w:r>
      <w:r w:rsidR="00572E3D" w:rsidRPr="0063305B">
        <w:rPr>
          <w:rFonts w:ascii="Calibri" w:eastAsia="Times New Roman" w:hAnsi="Calibri" w:cs="Times New Roman"/>
        </w:rPr>
        <w:t>-----------------------------------------------------------------------------------------------------------------------------------</w:t>
      </w:r>
    </w:p>
    <w:p w14:paraId="41E6AF74" w14:textId="0E793D36" w:rsidR="005F6601" w:rsidRDefault="005F6601" w:rsidP="00572E3D">
      <w:bookmarkStart w:id="393" w:name="_Toc84845195"/>
      <w:bookmarkStart w:id="394" w:name="_Toc84854206"/>
    </w:p>
    <w:p w14:paraId="152D8C90" w14:textId="4F33AA64" w:rsidR="00FA24E4" w:rsidRDefault="00FA24E4" w:rsidP="00572E3D"/>
    <w:p w14:paraId="44055A02" w14:textId="77777777" w:rsidR="00FA24E4" w:rsidRDefault="00FA24E4" w:rsidP="00572E3D"/>
    <w:p w14:paraId="66244DF9" w14:textId="77777777" w:rsidR="00FA24E4" w:rsidRDefault="00FA24E4" w:rsidP="00572E3D"/>
    <w:p w14:paraId="6339F182" w14:textId="77777777" w:rsidR="00FA24E4" w:rsidRDefault="00FA24E4" w:rsidP="00572E3D"/>
    <w:p w14:paraId="452A260F" w14:textId="77777777" w:rsidR="00FA24E4" w:rsidRDefault="00FA24E4" w:rsidP="00572E3D"/>
    <w:p w14:paraId="71508BFF" w14:textId="2908AFF4" w:rsidR="00FA24E4" w:rsidRDefault="00FA24E4" w:rsidP="00572E3D"/>
    <w:p w14:paraId="4D52F7A2" w14:textId="14F03557" w:rsidR="00FA24E4" w:rsidRDefault="00FA24E4" w:rsidP="00572E3D"/>
    <w:p w14:paraId="5E3B0978" w14:textId="19E729A5" w:rsidR="00FA24E4" w:rsidRDefault="00FA24E4" w:rsidP="00572E3D"/>
    <w:p w14:paraId="54356BBE" w14:textId="207338D5" w:rsidR="00FA24E4" w:rsidRDefault="00FA24E4" w:rsidP="00572E3D"/>
    <w:p w14:paraId="7F5810ED" w14:textId="708E5439" w:rsidR="00FA24E4" w:rsidRDefault="00FA24E4" w:rsidP="00572E3D"/>
    <w:p w14:paraId="1F41FFED" w14:textId="4203EC42" w:rsidR="00FA24E4" w:rsidRDefault="00FA24E4" w:rsidP="00572E3D"/>
    <w:p w14:paraId="2B8B6C8E" w14:textId="1ED04F7E" w:rsidR="00FA24E4" w:rsidRDefault="00FA24E4" w:rsidP="00572E3D"/>
    <w:p w14:paraId="38864853" w14:textId="129170CC" w:rsidR="00FA24E4" w:rsidRDefault="00FA24E4" w:rsidP="00572E3D"/>
    <w:p w14:paraId="70A0F103" w14:textId="694AF50D" w:rsidR="00FA24E4" w:rsidRDefault="00FA24E4" w:rsidP="00572E3D"/>
    <w:p w14:paraId="7BA7E263" w14:textId="77777777" w:rsidR="00FA24E4" w:rsidRDefault="00FA24E4" w:rsidP="00572E3D"/>
    <w:p w14:paraId="369739AB" w14:textId="12433345" w:rsidR="00FA24E4" w:rsidRDefault="00FA24E4" w:rsidP="00572E3D"/>
    <w:p w14:paraId="371288B4" w14:textId="77777777" w:rsidR="003B3589" w:rsidRDefault="003B3589" w:rsidP="00572E3D"/>
    <w:p w14:paraId="3745C14A" w14:textId="77777777" w:rsidR="00FA24E4" w:rsidRDefault="00FA24E4" w:rsidP="00572E3D"/>
    <w:bookmarkStart w:id="395" w:name="_Toc84845196"/>
    <w:bookmarkStart w:id="396" w:name="_Toc84854207"/>
    <w:p w14:paraId="46AEA560" w14:textId="7B401465" w:rsidR="00BE058D" w:rsidRPr="00265133" w:rsidRDefault="00BE058D" w:rsidP="00BE058D">
      <w:r w:rsidRPr="00E272EB">
        <w:lastRenderedPageBreak/>
        <w:fldChar w:fldCharType="begin"/>
      </w:r>
      <w:r w:rsidRPr="00E272EB">
        <w:instrText xml:space="preserve"> TC  " </w:instrText>
      </w:r>
      <w:bookmarkStart w:id="397" w:name="_Toc97557183"/>
      <w:r w:rsidRPr="00265133">
        <w:instrText xml:space="preserve">Appendix </w:instrText>
      </w:r>
      <w:r w:rsidR="00E06374">
        <w:instrText>3</w:instrText>
      </w:r>
      <w:r w:rsidR="00551AAA">
        <w:instrText>1</w:instrText>
      </w:r>
      <w:r w:rsidRPr="00265133">
        <w:instrText xml:space="preserve">: </w:instrText>
      </w:r>
      <w:r>
        <w:instrText>Student information sheet</w:instrText>
      </w:r>
      <w:r w:rsidRPr="00265133">
        <w:instrText xml:space="preserve"> (Study </w:instrText>
      </w:r>
      <w:r w:rsidR="005930C3">
        <w:instrText>Four</w:instrText>
      </w:r>
      <w:r>
        <w:instrText>, Chapter 9)</w:instrText>
      </w:r>
      <w:bookmarkEnd w:id="397"/>
      <w:r w:rsidRPr="00E272EB">
        <w:instrText xml:space="preserve">" \f y\l </w:instrText>
      </w:r>
      <w:r>
        <w:instrText>2</w:instrText>
      </w:r>
      <w:r w:rsidRPr="00E272EB">
        <w:instrText xml:space="preserve"> </w:instrText>
      </w:r>
      <w:r w:rsidRPr="00E272EB">
        <w:fldChar w:fldCharType="end"/>
      </w:r>
      <w:r w:rsidRPr="00265133">
        <w:t xml:space="preserve">Appendix </w:t>
      </w:r>
      <w:r w:rsidR="00E06374">
        <w:t>3</w:t>
      </w:r>
      <w:r w:rsidR="00742498">
        <w:t>1</w:t>
      </w:r>
      <w:r w:rsidRPr="00265133">
        <w:t xml:space="preserve">: Student information sheet (Study </w:t>
      </w:r>
      <w:r w:rsidR="005930C3">
        <w:t>Four</w:t>
      </w:r>
      <w:r w:rsidRPr="00265133">
        <w:t>, Chapter 9)</w:t>
      </w:r>
      <w:bookmarkEnd w:id="395"/>
      <w:bookmarkEnd w:id="396"/>
    </w:p>
    <w:p w14:paraId="350B25C6" w14:textId="77777777" w:rsidR="00BE058D" w:rsidRDefault="00BE058D" w:rsidP="00BE058D">
      <w:pPr>
        <w:spacing w:after="0"/>
        <w:jc w:val="right"/>
        <w:sectPr w:rsidR="00BE058D" w:rsidSect="00C96AC0">
          <w:type w:val="continuous"/>
          <w:pgSz w:w="11906" w:h="16838"/>
          <w:pgMar w:top="567" w:right="991" w:bottom="1440" w:left="1440" w:header="708" w:footer="708" w:gutter="0"/>
          <w:cols w:space="708"/>
          <w:docGrid w:linePitch="360"/>
        </w:sectPr>
      </w:pPr>
      <w:r>
        <w:rPr>
          <w:noProof/>
          <w:lang w:eastAsia="en-GB"/>
        </w:rPr>
        <w:drawing>
          <wp:inline distT="0" distB="0" distL="0" distR="0" wp14:anchorId="7966AB3B" wp14:editId="72C3E579">
            <wp:extent cx="969645" cy="1103630"/>
            <wp:effectExtent l="0" t="0" r="1905" b="1270"/>
            <wp:docPr id="192" name="Picture 192"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inline>
        </w:drawing>
      </w:r>
    </w:p>
    <w:p w14:paraId="07B4E4DD" w14:textId="77777777" w:rsidR="00BE058D" w:rsidRDefault="00BE058D" w:rsidP="00BE058D">
      <w:pPr>
        <w:sectPr w:rsidR="00BE058D" w:rsidSect="008E337A">
          <w:type w:val="continuous"/>
          <w:pgSz w:w="11906" w:h="16838"/>
          <w:pgMar w:top="709" w:right="991" w:bottom="1440" w:left="1440" w:header="708" w:footer="708" w:gutter="0"/>
          <w:cols w:space="708"/>
          <w:docGrid w:linePitch="360"/>
        </w:sectPr>
      </w:pPr>
    </w:p>
    <w:p w14:paraId="41BCB426" w14:textId="77777777" w:rsidR="00BE058D" w:rsidRPr="00A72DA3" w:rsidRDefault="00BE058D" w:rsidP="00BE058D">
      <w:pPr>
        <w:jc w:val="both"/>
        <w:rPr>
          <w:b/>
        </w:rPr>
      </w:pPr>
      <w:r w:rsidRPr="00A72DA3">
        <w:rPr>
          <w:b/>
        </w:rPr>
        <w:t>What is involved in taking part in this research?</w:t>
      </w:r>
    </w:p>
    <w:p w14:paraId="7F57E2AD" w14:textId="77777777" w:rsidR="00BE058D" w:rsidRPr="00E17CEC" w:rsidRDefault="00BE058D" w:rsidP="00BE058D">
      <w:pPr>
        <w:jc w:val="both"/>
      </w:pPr>
      <w:r w:rsidRPr="00A72DA3">
        <w:t>The aim of this research is to investigate your views on the poster-making session that you took part in</w:t>
      </w:r>
      <w:r>
        <w:t>, the related competition</w:t>
      </w:r>
      <w:r w:rsidRPr="00A72DA3">
        <w:t xml:space="preserve"> and the questionnaires you completed.  To investigate this, you have been selected at random to take part in a focus group (group discussion) discussing</w:t>
      </w:r>
      <w:r w:rsidRPr="00E17CEC">
        <w:t xml:space="preserve"> the topic of healthy eating posters</w:t>
      </w:r>
      <w:r>
        <w:t>, voting for the best one and the related questionnaires</w:t>
      </w:r>
      <w:r w:rsidRPr="00E17CEC">
        <w:t>.  The focus group will take</w:t>
      </w:r>
      <w:r>
        <w:t xml:space="preserve"> no longer than 45</w:t>
      </w:r>
      <w:r w:rsidRPr="00E17CEC">
        <w:t xml:space="preserve"> minutes and you are free to take a break at any time. Taking part in the focus group is voluntary, and if you wish to no longer take part in the discussion you are free to leave and return to your class with no questions asked.</w:t>
      </w:r>
      <w:r w:rsidRPr="006F6DFC">
        <w:t xml:space="preserve"> </w:t>
      </w:r>
    </w:p>
    <w:p w14:paraId="69A014FC" w14:textId="77777777" w:rsidR="00BE058D" w:rsidRPr="00E17CEC" w:rsidRDefault="00BE058D" w:rsidP="00BE058D">
      <w:pPr>
        <w:jc w:val="both"/>
        <w:rPr>
          <w:b/>
          <w:color w:val="171717" w:themeColor="background2" w:themeShade="1A"/>
        </w:rPr>
      </w:pPr>
      <w:r w:rsidRPr="00E17CEC">
        <w:rPr>
          <w:b/>
          <w:color w:val="171717" w:themeColor="background2" w:themeShade="1A"/>
        </w:rPr>
        <w:t>What will happen to the data that is collected today?</w:t>
      </w:r>
    </w:p>
    <w:p w14:paraId="3D51F76A" w14:textId="77777777" w:rsidR="00BE058D" w:rsidRPr="00E17CEC" w:rsidRDefault="00BE058D" w:rsidP="00BE058D">
      <w:pPr>
        <w:jc w:val="both"/>
      </w:pPr>
      <w:r w:rsidRPr="00E17CEC">
        <w:t>The focus group will be recorded via Dictaphone and later written up, but when the recordings are written up all names and any personal information will be removed so participants cannot be identified, and the digital recordings will be deleted. All information is confidential and will be kept securely at Staffordshire University and only the research team working on this project will have access to the raw data; it will not be passed on to anyone else. Quotes from the discussion may potentially be used in the final piece of research but there will be no information that will personally identify you.</w:t>
      </w:r>
    </w:p>
    <w:p w14:paraId="0C8D7E9E" w14:textId="77777777" w:rsidR="00BE058D" w:rsidRDefault="00BE058D" w:rsidP="00BE058D">
      <w:pPr>
        <w:spacing w:after="0"/>
        <w:jc w:val="both"/>
      </w:pPr>
      <w:r w:rsidRPr="00E17CEC">
        <w:t>If you have any questions, I am happy to answer them</w:t>
      </w:r>
      <w:r w:rsidRPr="00B03810">
        <w:t xml:space="preserve"> before the focus group</w:t>
      </w:r>
      <w:r>
        <w:t xml:space="preserve"> starts</w:t>
      </w:r>
      <w:r w:rsidRPr="00B03810">
        <w:t>, or you can contact me on the details below.</w:t>
      </w:r>
    </w:p>
    <w:p w14:paraId="2B3F3676" w14:textId="77777777" w:rsidR="00BE058D" w:rsidRDefault="00BE058D" w:rsidP="00BE058D">
      <w:pPr>
        <w:spacing w:after="0"/>
        <w:jc w:val="both"/>
      </w:pPr>
    </w:p>
    <w:p w14:paraId="33191626" w14:textId="77777777" w:rsidR="00BE058D" w:rsidRPr="00FC6CBC" w:rsidRDefault="00BE058D" w:rsidP="00BE058D">
      <w:pPr>
        <w:spacing w:after="0"/>
        <w:jc w:val="both"/>
        <w:rPr>
          <w:b/>
        </w:rPr>
      </w:pPr>
      <w:r w:rsidRPr="00FC6CBC">
        <w:rPr>
          <w:b/>
        </w:rPr>
        <w:t>What are the guidelines for participation in the focus group?</w:t>
      </w:r>
    </w:p>
    <w:p w14:paraId="64737C01" w14:textId="77777777" w:rsidR="00BE058D" w:rsidRPr="00FC6CBC" w:rsidRDefault="00BE058D" w:rsidP="00BE058D">
      <w:pPr>
        <w:spacing w:after="0"/>
        <w:jc w:val="both"/>
        <w:rPr>
          <w:b/>
        </w:rPr>
      </w:pPr>
    </w:p>
    <w:p w14:paraId="3D692827" w14:textId="77777777" w:rsidR="00BE058D" w:rsidRDefault="00BE058D" w:rsidP="00BE058D">
      <w:pPr>
        <w:spacing w:after="0"/>
        <w:jc w:val="both"/>
      </w:pPr>
      <w:r w:rsidRPr="00E17CEC">
        <w:t>All information discussed by participants will not be further discussed outside the focus group; this</w:t>
      </w:r>
      <w:r w:rsidRPr="00FC6CBC">
        <w:t xml:space="preserve"> ensures that information remains confidential. Participants are required to be respectful of one another and of their opinions and to follow the focus group guidelines.</w:t>
      </w:r>
      <w:r>
        <w:t xml:space="preserve"> </w:t>
      </w:r>
    </w:p>
    <w:p w14:paraId="06362854" w14:textId="77777777" w:rsidR="00BE058D" w:rsidRDefault="00BE058D" w:rsidP="00BE058D">
      <w:pPr>
        <w:spacing w:after="0"/>
      </w:pPr>
      <w:r w:rsidRPr="00887A69">
        <w:rPr>
          <w:noProof/>
          <w:lang w:eastAsia="en-GB"/>
        </w:rPr>
        <w:drawing>
          <wp:anchor distT="0" distB="0" distL="114300" distR="114300" simplePos="0" relativeHeight="251742208" behindDoc="1" locked="0" layoutInCell="1" allowOverlap="1" wp14:anchorId="60475AA7" wp14:editId="2C6D90B6">
            <wp:simplePos x="0" y="0"/>
            <wp:positionH relativeFrom="column">
              <wp:posOffset>4667995</wp:posOffset>
            </wp:positionH>
            <wp:positionV relativeFrom="paragraph">
              <wp:posOffset>4224</wp:posOffset>
            </wp:positionV>
            <wp:extent cx="1342672" cy="1089660"/>
            <wp:effectExtent l="0" t="0" r="0" b="0"/>
            <wp:wrapNone/>
            <wp:docPr id="193" name="Picture 193" descr="http://blog.iwantavilla.com/wp-content/uploads/2011/05/Healthy-Eating-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wantavilla.com/wp-content/uploads/2011/05/Healthy-Eating-Final3.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42672"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5CEEB" w14:textId="77777777" w:rsidR="00BE058D" w:rsidRPr="00B03810" w:rsidRDefault="00BE058D" w:rsidP="00BE058D">
      <w:pPr>
        <w:spacing w:after="0"/>
      </w:pPr>
      <w:r w:rsidRPr="00B03810">
        <w:t>Thank you for your participation</w:t>
      </w:r>
      <w:r>
        <w:t>,</w:t>
      </w:r>
      <w:r w:rsidRPr="00B03810">
        <w:t xml:space="preserve"> </w:t>
      </w:r>
    </w:p>
    <w:p w14:paraId="67CFF43F" w14:textId="77777777" w:rsidR="00BE058D" w:rsidRPr="00BB7D17" w:rsidRDefault="00BE058D" w:rsidP="00BE058D">
      <w:pPr>
        <w:spacing w:after="0" w:line="240" w:lineRule="auto"/>
        <w:rPr>
          <w:lang w:val="it-IT"/>
        </w:rPr>
      </w:pPr>
      <w:r w:rsidRPr="00BB7D17">
        <w:rPr>
          <w:lang w:val="it-IT"/>
        </w:rPr>
        <w:t>Sian Calvert</w:t>
      </w:r>
    </w:p>
    <w:p w14:paraId="2FD9FDCA" w14:textId="77777777" w:rsidR="00BE058D" w:rsidRPr="00BB7D17" w:rsidRDefault="00BE058D" w:rsidP="00BE058D">
      <w:pPr>
        <w:spacing w:after="0" w:line="240" w:lineRule="auto"/>
        <w:rPr>
          <w:lang w:val="it-IT"/>
        </w:rPr>
      </w:pPr>
    </w:p>
    <w:p w14:paraId="58E9ED3F" w14:textId="77777777" w:rsidR="00BE058D" w:rsidRPr="00BB7D17" w:rsidRDefault="00322DCE" w:rsidP="00BE058D">
      <w:pPr>
        <w:spacing w:after="0" w:line="240" w:lineRule="auto"/>
        <w:rPr>
          <w:rStyle w:val="Hyperlink"/>
          <w:lang w:val="it-IT"/>
        </w:rPr>
      </w:pPr>
      <w:hyperlink r:id="rId121" w:history="1">
        <w:r w:rsidR="00BE058D" w:rsidRPr="00BB7D17">
          <w:rPr>
            <w:rStyle w:val="Hyperlink"/>
            <w:lang w:val="it-IT"/>
          </w:rPr>
          <w:t>Sian.calvert@research.staffs.ac.uk</w:t>
        </w:r>
      </w:hyperlink>
    </w:p>
    <w:p w14:paraId="213F72F0" w14:textId="77777777" w:rsidR="00BE058D" w:rsidRPr="00463B92" w:rsidRDefault="00BE058D" w:rsidP="00BE058D">
      <w:pPr>
        <w:spacing w:after="0" w:line="240" w:lineRule="auto"/>
      </w:pPr>
      <w:r>
        <w:rPr>
          <w:i/>
        </w:rPr>
        <w:t xml:space="preserve">PhD Student in Psychology, Staffordshire University </w:t>
      </w:r>
    </w:p>
    <w:p w14:paraId="1A292DFE" w14:textId="77777777" w:rsidR="00BE058D" w:rsidRDefault="00BE058D" w:rsidP="00BE058D">
      <w:pPr>
        <w:spacing w:after="0" w:line="240" w:lineRule="auto"/>
      </w:pPr>
      <w:r>
        <w:t>01782 294121</w:t>
      </w:r>
    </w:p>
    <w:p w14:paraId="38D623B8" w14:textId="77777777" w:rsidR="00BE058D" w:rsidRDefault="00BE058D" w:rsidP="00BE058D">
      <w:pPr>
        <w:spacing w:after="0" w:line="240" w:lineRule="auto"/>
        <w:ind w:firstLine="720"/>
      </w:pPr>
    </w:p>
    <w:p w14:paraId="0A251766" w14:textId="77777777" w:rsidR="00BE058D" w:rsidRDefault="00BE058D" w:rsidP="00BE058D">
      <w:pPr>
        <w:spacing w:after="0" w:line="240" w:lineRule="auto"/>
        <w:sectPr w:rsidR="00BE058D" w:rsidSect="008E337A">
          <w:type w:val="continuous"/>
          <w:pgSz w:w="11906" w:h="16838"/>
          <w:pgMar w:top="709" w:right="991" w:bottom="1440" w:left="1440" w:header="708" w:footer="708" w:gutter="0"/>
          <w:cols w:space="708"/>
          <w:docGrid w:linePitch="360"/>
        </w:sectPr>
      </w:pPr>
    </w:p>
    <w:p w14:paraId="4BFF5775" w14:textId="77777777" w:rsidR="00BE058D" w:rsidRPr="00D23DD2" w:rsidRDefault="00BE058D" w:rsidP="00BE058D">
      <w:pPr>
        <w:spacing w:after="0" w:line="240" w:lineRule="auto"/>
      </w:pPr>
      <w:r w:rsidRPr="00D23DD2">
        <w:t xml:space="preserve">Dr. Robert Dempsey </w:t>
      </w:r>
    </w:p>
    <w:p w14:paraId="1DCAEE36" w14:textId="77777777" w:rsidR="00BE058D" w:rsidRPr="00D23DD2" w:rsidRDefault="00322DCE" w:rsidP="00BE058D">
      <w:pPr>
        <w:spacing w:after="0" w:line="240" w:lineRule="auto"/>
      </w:pPr>
      <w:hyperlink r:id="rId122" w:history="1">
        <w:r w:rsidR="00BE058D" w:rsidRPr="00D23DD2">
          <w:rPr>
            <w:rStyle w:val="Hyperlink"/>
          </w:rPr>
          <w:t>robert.dempsey@staffs.ac.uk</w:t>
        </w:r>
      </w:hyperlink>
    </w:p>
    <w:p w14:paraId="0D2144C5" w14:textId="77777777" w:rsidR="00BE058D" w:rsidRDefault="00BE058D" w:rsidP="00BE058D">
      <w:pPr>
        <w:spacing w:after="0" w:line="240" w:lineRule="auto"/>
        <w:rPr>
          <w:i/>
        </w:rPr>
      </w:pPr>
      <w:r>
        <w:rPr>
          <w:i/>
        </w:rPr>
        <w:t xml:space="preserve">Senior </w:t>
      </w:r>
      <w:r w:rsidRPr="00D23DD2">
        <w:rPr>
          <w:i/>
        </w:rPr>
        <w:t xml:space="preserve">Lecturer at Staffordshire University </w:t>
      </w:r>
    </w:p>
    <w:p w14:paraId="5057E10E" w14:textId="77777777" w:rsidR="00BE058D" w:rsidRDefault="00BE058D" w:rsidP="00BE058D">
      <w:pPr>
        <w:spacing w:after="0" w:line="240" w:lineRule="auto"/>
        <w:rPr>
          <w:lang w:val="it-IT"/>
        </w:rPr>
      </w:pPr>
    </w:p>
    <w:p w14:paraId="5661A55C" w14:textId="77777777" w:rsidR="00BE058D" w:rsidRPr="00BB7D17" w:rsidRDefault="00BE058D" w:rsidP="00BE058D">
      <w:pPr>
        <w:spacing w:after="0" w:line="240" w:lineRule="auto"/>
        <w:rPr>
          <w:lang w:val="it-IT"/>
        </w:rPr>
      </w:pPr>
      <w:r w:rsidRPr="00BB7D17">
        <w:rPr>
          <w:lang w:val="it-IT"/>
        </w:rPr>
        <w:t xml:space="preserve">Dr. Rachel Povey </w:t>
      </w:r>
    </w:p>
    <w:p w14:paraId="7B119B00" w14:textId="77777777" w:rsidR="00BE058D" w:rsidRPr="00BB7D17" w:rsidRDefault="00322DCE" w:rsidP="00BE058D">
      <w:pPr>
        <w:spacing w:after="0" w:line="240" w:lineRule="auto"/>
        <w:rPr>
          <w:lang w:val="it-IT"/>
        </w:rPr>
      </w:pPr>
      <w:hyperlink r:id="rId123" w:history="1">
        <w:r w:rsidR="00BE058D" w:rsidRPr="00BB7D17">
          <w:rPr>
            <w:rStyle w:val="Hyperlink"/>
            <w:lang w:val="it-IT"/>
          </w:rPr>
          <w:t>r.povey@staffs.ac.uk</w:t>
        </w:r>
      </w:hyperlink>
    </w:p>
    <w:p w14:paraId="6D74545F" w14:textId="77777777" w:rsidR="00BE058D" w:rsidRPr="00D23DD2" w:rsidRDefault="00BE058D" w:rsidP="00BE058D">
      <w:pPr>
        <w:spacing w:after="0" w:line="240" w:lineRule="auto"/>
        <w:rPr>
          <w:i/>
        </w:rPr>
      </w:pPr>
      <w:r>
        <w:rPr>
          <w:i/>
        </w:rPr>
        <w:t>Associate Professor</w:t>
      </w:r>
      <w:r w:rsidRPr="00D23DD2">
        <w:rPr>
          <w:i/>
        </w:rPr>
        <w:t xml:space="preserve"> at Staffordshire University </w:t>
      </w:r>
    </w:p>
    <w:p w14:paraId="22D5A6A4" w14:textId="77777777" w:rsidR="00BE058D" w:rsidRDefault="00BE058D" w:rsidP="00BE058D">
      <w:pPr>
        <w:pStyle w:val="appppppp"/>
        <w:sectPr w:rsidR="00BE058D" w:rsidSect="008D1CFC">
          <w:type w:val="continuous"/>
          <w:pgSz w:w="11906" w:h="16838"/>
          <w:pgMar w:top="1440" w:right="1440" w:bottom="1440" w:left="1440" w:header="708" w:footer="708" w:gutter="0"/>
          <w:cols w:num="2" w:space="708"/>
          <w:docGrid w:linePitch="360"/>
        </w:sectPr>
      </w:pPr>
    </w:p>
    <w:p w14:paraId="64016C48" w14:textId="77777777" w:rsidR="00FA24E4" w:rsidRDefault="00FA24E4" w:rsidP="00572E3D"/>
    <w:p w14:paraId="4F53886C" w14:textId="06A4C9E6" w:rsidR="00572E3D" w:rsidRPr="00265133" w:rsidRDefault="00572E3D" w:rsidP="00572E3D">
      <w:r w:rsidRPr="00E272EB">
        <w:lastRenderedPageBreak/>
        <w:fldChar w:fldCharType="begin"/>
      </w:r>
      <w:r w:rsidRPr="00E272EB">
        <w:instrText xml:space="preserve"> TC  " </w:instrText>
      </w:r>
      <w:bookmarkStart w:id="398" w:name="_Toc97557184"/>
      <w:r w:rsidRPr="00265133">
        <w:instrText xml:space="preserve">Appendix </w:instrText>
      </w:r>
      <w:r w:rsidR="00B71116">
        <w:instrText>3</w:instrText>
      </w:r>
      <w:r w:rsidR="00742498">
        <w:instrText>2</w:instrText>
      </w:r>
      <w:r w:rsidRPr="00265133">
        <w:instrText xml:space="preserve">: </w:instrText>
      </w:r>
      <w:r>
        <w:instrText>Student</w:instrText>
      </w:r>
      <w:r w:rsidR="004E2C53">
        <w:instrText xml:space="preserve"> assent</w:instrText>
      </w:r>
      <w:r>
        <w:instrText xml:space="preserve"> form </w:instrText>
      </w:r>
      <w:r w:rsidRPr="00265133">
        <w:instrText xml:space="preserve">(Study </w:instrText>
      </w:r>
      <w:r w:rsidR="005930C3">
        <w:instrText>Four</w:instrText>
      </w:r>
      <w:r>
        <w:instrText>, Chapter 9)</w:instrText>
      </w:r>
      <w:bookmarkEnd w:id="398"/>
      <w:r w:rsidRPr="00E272EB">
        <w:instrText xml:space="preserve">" \f y\l </w:instrText>
      </w:r>
      <w:r>
        <w:instrText>2</w:instrText>
      </w:r>
      <w:r w:rsidRPr="00E272EB">
        <w:instrText xml:space="preserve"> </w:instrText>
      </w:r>
      <w:r w:rsidRPr="00E272EB">
        <w:fldChar w:fldCharType="end"/>
      </w:r>
      <w:r w:rsidRPr="00265133">
        <w:t xml:space="preserve">Appendix </w:t>
      </w:r>
      <w:r w:rsidR="00B71116">
        <w:t>3</w:t>
      </w:r>
      <w:r w:rsidR="00742498">
        <w:t>2</w:t>
      </w:r>
      <w:r w:rsidRPr="00265133">
        <w:t xml:space="preserve">: Student </w:t>
      </w:r>
      <w:r w:rsidR="004E2C53">
        <w:t>assent</w:t>
      </w:r>
      <w:r w:rsidRPr="00265133">
        <w:t xml:space="preserve"> form (Study </w:t>
      </w:r>
      <w:r w:rsidR="005930C3">
        <w:t>Four</w:t>
      </w:r>
      <w:r w:rsidRPr="00265133">
        <w:t>, Chapter 9)</w:t>
      </w:r>
      <w:bookmarkEnd w:id="393"/>
      <w:bookmarkEnd w:id="394"/>
    </w:p>
    <w:p w14:paraId="52A5872D" w14:textId="77777777" w:rsidR="00572E3D" w:rsidRPr="00D62076" w:rsidRDefault="00572E3D" w:rsidP="00572E3D">
      <w:pPr>
        <w:ind w:right="-1440"/>
        <w:rPr>
          <w:b/>
        </w:rPr>
      </w:pPr>
    </w:p>
    <w:p w14:paraId="333FB16D" w14:textId="57C1010C" w:rsidR="00572E3D" w:rsidRDefault="00572E3D" w:rsidP="00572E3D">
      <w:pPr>
        <w:ind w:right="-1440"/>
        <w:rPr>
          <w:b/>
          <w:sz w:val="36"/>
          <w:szCs w:val="36"/>
        </w:rPr>
      </w:pPr>
      <w:r w:rsidRPr="00D62076">
        <w:rPr>
          <w:b/>
          <w:sz w:val="36"/>
          <w:szCs w:val="36"/>
        </w:rPr>
        <w:t xml:space="preserve">                         </w:t>
      </w:r>
    </w:p>
    <w:p w14:paraId="2D86618A" w14:textId="6A500DD0" w:rsidR="00572E3D" w:rsidRPr="0045253E" w:rsidRDefault="00572E3D" w:rsidP="00BF717C">
      <w:pPr>
        <w:ind w:right="-1440"/>
        <w:jc w:val="center"/>
        <w:rPr>
          <w:b/>
          <w:sz w:val="36"/>
          <w:szCs w:val="36"/>
        </w:rPr>
      </w:pPr>
      <w:r w:rsidRPr="00D62076">
        <w:rPr>
          <w:b/>
          <w:sz w:val="28"/>
          <w:szCs w:val="28"/>
          <w:u w:val="single"/>
        </w:rPr>
        <w:t xml:space="preserve">Student </w:t>
      </w:r>
      <w:r w:rsidR="004E2C53">
        <w:rPr>
          <w:b/>
          <w:sz w:val="28"/>
          <w:szCs w:val="28"/>
          <w:u w:val="single"/>
        </w:rPr>
        <w:t>assent</w:t>
      </w:r>
      <w:r w:rsidRPr="00D62076">
        <w:rPr>
          <w:b/>
          <w:sz w:val="28"/>
          <w:szCs w:val="28"/>
          <w:u w:val="single"/>
        </w:rPr>
        <w:t xml:space="preserve"> form</w:t>
      </w:r>
    </w:p>
    <w:p w14:paraId="1758B4CA" w14:textId="77777777" w:rsidR="00572E3D" w:rsidRPr="00E907E7" w:rsidRDefault="00572E3D" w:rsidP="00572E3D">
      <w:pPr>
        <w:ind w:right="-1440"/>
        <w:rPr>
          <w:b/>
          <w:sz w:val="28"/>
          <w:szCs w:val="28"/>
        </w:rPr>
      </w:pPr>
    </w:p>
    <w:p w14:paraId="411C7210" w14:textId="77777777" w:rsidR="00572E3D" w:rsidRPr="00E566CA" w:rsidRDefault="00572E3D" w:rsidP="00572E3D">
      <w:pPr>
        <w:rPr>
          <w:b/>
          <w:sz w:val="24"/>
          <w:szCs w:val="24"/>
        </w:rPr>
        <w:sectPr w:rsidR="00572E3D" w:rsidRPr="00E566CA" w:rsidSect="00FA24E4">
          <w:type w:val="continuous"/>
          <w:pgSz w:w="11906" w:h="16838"/>
          <w:pgMar w:top="1440" w:right="1440" w:bottom="1440" w:left="1440" w:header="708" w:footer="708" w:gutter="0"/>
          <w:cols w:space="708"/>
          <w:docGrid w:linePitch="360"/>
        </w:sectPr>
      </w:pPr>
      <w:r w:rsidRPr="00E566CA">
        <w:rPr>
          <w:b/>
          <w:sz w:val="24"/>
          <w:szCs w:val="24"/>
        </w:rPr>
        <w:t xml:space="preserve">Please read the following statements and tick the boxes to agree with the statements, then sign and date the consent form where advised. </w:t>
      </w:r>
    </w:p>
    <w:tbl>
      <w:tblPr>
        <w:tblStyle w:val="TableGrid"/>
        <w:tblpPr w:leftFromText="180" w:rightFromText="180" w:vertAnchor="text" w:horzAnchor="margin" w:tblpY="27"/>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9"/>
        <w:gridCol w:w="1196"/>
      </w:tblGrid>
      <w:tr w:rsidR="00572E3D" w14:paraId="42F79548" w14:textId="77777777" w:rsidTr="00611086">
        <w:trPr>
          <w:trHeight w:val="851"/>
        </w:trPr>
        <w:tc>
          <w:tcPr>
            <w:tcW w:w="7999" w:type="dxa"/>
          </w:tcPr>
          <w:p w14:paraId="7B50B0FE" w14:textId="77777777" w:rsidR="00572E3D" w:rsidRPr="00E566CA" w:rsidRDefault="00572E3D" w:rsidP="00611086">
            <w:pPr>
              <w:rPr>
                <w:sz w:val="24"/>
                <w:szCs w:val="24"/>
              </w:rPr>
            </w:pPr>
            <w:r w:rsidRPr="00E566CA">
              <w:rPr>
                <w:sz w:val="24"/>
                <w:szCs w:val="24"/>
              </w:rPr>
              <w:t xml:space="preserve">I agree that I have read and understood the information sheet and had the </w:t>
            </w:r>
            <w:r>
              <w:rPr>
                <w:sz w:val="24"/>
                <w:szCs w:val="24"/>
              </w:rPr>
              <w:t>chance</w:t>
            </w:r>
            <w:r w:rsidRPr="00E566CA">
              <w:rPr>
                <w:sz w:val="24"/>
                <w:szCs w:val="24"/>
              </w:rPr>
              <w:t xml:space="preserve"> to ask </w:t>
            </w:r>
            <w:r w:rsidRPr="00E17CEC">
              <w:rPr>
                <w:sz w:val="24"/>
                <w:szCs w:val="24"/>
              </w:rPr>
              <w:t>questions</w:t>
            </w:r>
            <w:r>
              <w:rPr>
                <w:sz w:val="24"/>
                <w:szCs w:val="24"/>
              </w:rPr>
              <w:t>, and that</w:t>
            </w:r>
            <w:r w:rsidRPr="00E17CEC">
              <w:rPr>
                <w:sz w:val="24"/>
                <w:szCs w:val="24"/>
              </w:rPr>
              <w:t xml:space="preserve"> I was happy</w:t>
            </w:r>
            <w:r w:rsidRPr="00E566CA">
              <w:rPr>
                <w:sz w:val="24"/>
                <w:szCs w:val="24"/>
              </w:rPr>
              <w:t xml:space="preserve"> with the given answers.</w:t>
            </w:r>
          </w:p>
        </w:tc>
        <w:tc>
          <w:tcPr>
            <w:tcW w:w="1196" w:type="dxa"/>
          </w:tcPr>
          <w:p w14:paraId="61A2F0AA" w14:textId="77777777" w:rsidR="00572E3D" w:rsidRPr="003C0584" w:rsidRDefault="00572E3D" w:rsidP="00611086">
            <w:pPr>
              <w:rPr>
                <w:sz w:val="48"/>
                <w:szCs w:val="48"/>
              </w:rPr>
            </w:pPr>
            <w:r w:rsidRPr="003C0584">
              <w:rPr>
                <w:sz w:val="48"/>
                <w:szCs w:val="48"/>
              </w:rPr>
              <w:sym w:font="Wingdings" w:char="F072"/>
            </w:r>
          </w:p>
        </w:tc>
      </w:tr>
      <w:tr w:rsidR="00572E3D" w14:paraId="163FD8B2" w14:textId="77777777" w:rsidTr="00611086">
        <w:trPr>
          <w:trHeight w:val="694"/>
        </w:trPr>
        <w:tc>
          <w:tcPr>
            <w:tcW w:w="7999" w:type="dxa"/>
          </w:tcPr>
          <w:p w14:paraId="2F26B7BC" w14:textId="77777777" w:rsidR="00572E3D" w:rsidRPr="00E566CA" w:rsidRDefault="00572E3D" w:rsidP="00611086">
            <w:pPr>
              <w:tabs>
                <w:tab w:val="left" w:pos="6030"/>
              </w:tabs>
              <w:rPr>
                <w:sz w:val="24"/>
                <w:szCs w:val="24"/>
              </w:rPr>
            </w:pPr>
            <w:r w:rsidRPr="00E566CA">
              <w:rPr>
                <w:sz w:val="24"/>
                <w:szCs w:val="24"/>
              </w:rPr>
              <w:t>I understand that participating in this research is voluntary and I have the right to withdraw at any time in the discussion period.</w:t>
            </w:r>
          </w:p>
          <w:p w14:paraId="7B637332" w14:textId="77777777" w:rsidR="00572E3D" w:rsidRPr="00E566CA" w:rsidRDefault="00572E3D" w:rsidP="00611086">
            <w:pPr>
              <w:tabs>
                <w:tab w:val="left" w:pos="6030"/>
              </w:tabs>
              <w:rPr>
                <w:sz w:val="24"/>
                <w:szCs w:val="24"/>
              </w:rPr>
            </w:pPr>
          </w:p>
        </w:tc>
        <w:tc>
          <w:tcPr>
            <w:tcW w:w="1196" w:type="dxa"/>
          </w:tcPr>
          <w:p w14:paraId="31474571" w14:textId="77777777" w:rsidR="00572E3D" w:rsidRDefault="00572E3D" w:rsidP="00611086">
            <w:r w:rsidRPr="003C0584">
              <w:rPr>
                <w:sz w:val="48"/>
                <w:szCs w:val="48"/>
              </w:rPr>
              <w:sym w:font="Wingdings" w:char="F072"/>
            </w:r>
          </w:p>
        </w:tc>
      </w:tr>
      <w:tr w:rsidR="00572E3D" w14:paraId="1F9277F0" w14:textId="77777777" w:rsidTr="00611086">
        <w:trPr>
          <w:trHeight w:val="694"/>
        </w:trPr>
        <w:tc>
          <w:tcPr>
            <w:tcW w:w="7999" w:type="dxa"/>
          </w:tcPr>
          <w:p w14:paraId="2A68D392" w14:textId="77777777" w:rsidR="00572E3D" w:rsidRPr="00E566CA" w:rsidRDefault="00572E3D" w:rsidP="00611086">
            <w:pPr>
              <w:tabs>
                <w:tab w:val="left" w:pos="6030"/>
              </w:tabs>
              <w:rPr>
                <w:sz w:val="24"/>
                <w:szCs w:val="24"/>
              </w:rPr>
            </w:pPr>
            <w:r>
              <w:rPr>
                <w:sz w:val="24"/>
                <w:szCs w:val="24"/>
              </w:rPr>
              <w:t xml:space="preserve">I understand that </w:t>
            </w:r>
            <w:r w:rsidRPr="00E566CA">
              <w:rPr>
                <w:sz w:val="24"/>
                <w:szCs w:val="24"/>
              </w:rPr>
              <w:t>quotations may be taken from the focus group discussions for use in future publications and Sian Calvert’s PhD thesis. I understand that these quotes will not include any information that will personally identify me.</w:t>
            </w:r>
          </w:p>
          <w:p w14:paraId="128956A4" w14:textId="77777777" w:rsidR="00572E3D" w:rsidRPr="00E566CA" w:rsidRDefault="00572E3D" w:rsidP="00611086">
            <w:pPr>
              <w:tabs>
                <w:tab w:val="left" w:pos="6030"/>
              </w:tabs>
              <w:rPr>
                <w:sz w:val="24"/>
                <w:szCs w:val="24"/>
              </w:rPr>
            </w:pPr>
          </w:p>
        </w:tc>
        <w:tc>
          <w:tcPr>
            <w:tcW w:w="1196" w:type="dxa"/>
          </w:tcPr>
          <w:p w14:paraId="39CD99CF" w14:textId="77777777" w:rsidR="00572E3D" w:rsidRDefault="00572E3D" w:rsidP="00611086">
            <w:r w:rsidRPr="003C0584">
              <w:rPr>
                <w:sz w:val="48"/>
                <w:szCs w:val="48"/>
              </w:rPr>
              <w:sym w:font="Wingdings" w:char="F072"/>
            </w:r>
          </w:p>
        </w:tc>
      </w:tr>
      <w:tr w:rsidR="00572E3D" w14:paraId="2280D00D" w14:textId="77777777" w:rsidTr="00611086">
        <w:trPr>
          <w:trHeight w:val="694"/>
        </w:trPr>
        <w:tc>
          <w:tcPr>
            <w:tcW w:w="7999" w:type="dxa"/>
          </w:tcPr>
          <w:p w14:paraId="510FEE94" w14:textId="77777777" w:rsidR="00572E3D" w:rsidRPr="00F00EBA" w:rsidRDefault="00572E3D" w:rsidP="00611086">
            <w:pPr>
              <w:tabs>
                <w:tab w:val="left" w:pos="6030"/>
              </w:tabs>
              <w:rPr>
                <w:sz w:val="24"/>
                <w:szCs w:val="24"/>
              </w:rPr>
            </w:pPr>
            <w:r w:rsidRPr="00F00EBA">
              <w:rPr>
                <w:sz w:val="24"/>
                <w:szCs w:val="24"/>
              </w:rPr>
              <w:t>I understand that no individual will be identified or identifiable from the transcripts.</w:t>
            </w:r>
          </w:p>
          <w:p w14:paraId="6B408D0A" w14:textId="77777777" w:rsidR="00572E3D" w:rsidRPr="00F00EBA" w:rsidRDefault="00572E3D" w:rsidP="00611086">
            <w:pPr>
              <w:tabs>
                <w:tab w:val="left" w:pos="6030"/>
              </w:tabs>
              <w:rPr>
                <w:sz w:val="24"/>
                <w:szCs w:val="24"/>
              </w:rPr>
            </w:pPr>
          </w:p>
        </w:tc>
        <w:tc>
          <w:tcPr>
            <w:tcW w:w="1196" w:type="dxa"/>
          </w:tcPr>
          <w:p w14:paraId="266F9A57" w14:textId="77777777" w:rsidR="00572E3D" w:rsidRPr="003C0584" w:rsidRDefault="00572E3D" w:rsidP="00611086">
            <w:pPr>
              <w:rPr>
                <w:sz w:val="48"/>
                <w:szCs w:val="48"/>
              </w:rPr>
            </w:pPr>
            <w:r w:rsidRPr="003C0584">
              <w:rPr>
                <w:sz w:val="48"/>
                <w:szCs w:val="48"/>
              </w:rPr>
              <w:sym w:font="Wingdings" w:char="F072"/>
            </w:r>
          </w:p>
        </w:tc>
      </w:tr>
      <w:tr w:rsidR="00572E3D" w14:paraId="00F1E83B" w14:textId="77777777" w:rsidTr="00611086">
        <w:trPr>
          <w:trHeight w:val="655"/>
        </w:trPr>
        <w:tc>
          <w:tcPr>
            <w:tcW w:w="7999" w:type="dxa"/>
          </w:tcPr>
          <w:p w14:paraId="42BA5166" w14:textId="77777777" w:rsidR="00572E3D" w:rsidRPr="00F00EBA" w:rsidRDefault="00572E3D" w:rsidP="00611086">
            <w:pPr>
              <w:tabs>
                <w:tab w:val="left" w:pos="6030"/>
              </w:tabs>
              <w:rPr>
                <w:sz w:val="24"/>
                <w:szCs w:val="24"/>
              </w:rPr>
            </w:pPr>
            <w:r w:rsidRPr="00F00EBA">
              <w:rPr>
                <w:sz w:val="24"/>
                <w:szCs w:val="24"/>
              </w:rPr>
              <w:t>I have read and understood the guidelines of the focus group and I give consent to participate in this research.</w:t>
            </w:r>
          </w:p>
        </w:tc>
        <w:tc>
          <w:tcPr>
            <w:tcW w:w="1196" w:type="dxa"/>
          </w:tcPr>
          <w:p w14:paraId="00D18542" w14:textId="77777777" w:rsidR="00572E3D" w:rsidRDefault="00572E3D" w:rsidP="00611086">
            <w:r w:rsidRPr="003C0584">
              <w:rPr>
                <w:sz w:val="48"/>
                <w:szCs w:val="48"/>
              </w:rPr>
              <w:sym w:font="Wingdings" w:char="F072"/>
            </w:r>
          </w:p>
        </w:tc>
      </w:tr>
    </w:tbl>
    <w:p w14:paraId="5B66DC33" w14:textId="77777777" w:rsidR="00572E3D" w:rsidRDefault="00572E3D" w:rsidP="00572E3D">
      <w:pPr>
        <w:jc w:val="center"/>
        <w:sectPr w:rsidR="00572E3D" w:rsidSect="00C75ED2">
          <w:type w:val="continuous"/>
          <w:pgSz w:w="11906" w:h="16838"/>
          <w:pgMar w:top="1440" w:right="1440" w:bottom="1440" w:left="1440" w:header="708" w:footer="708" w:gutter="0"/>
          <w:cols w:num="2" w:space="708" w:equalWidth="0">
            <w:col w:w="5780" w:space="708"/>
            <w:col w:w="2536"/>
          </w:cols>
          <w:docGrid w:linePitch="360"/>
        </w:sectPr>
      </w:pPr>
    </w:p>
    <w:p w14:paraId="141A81C8" w14:textId="77777777" w:rsidR="00572E3D" w:rsidRPr="00501385" w:rsidRDefault="00572E3D" w:rsidP="00572E3D">
      <w:r w:rsidRPr="00501385">
        <w:t>Signatures:</w:t>
      </w: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943"/>
        <w:gridCol w:w="3091"/>
      </w:tblGrid>
      <w:tr w:rsidR="00572E3D" w:rsidRPr="00501385" w14:paraId="5405F792" w14:textId="77777777" w:rsidTr="00611086">
        <w:trPr>
          <w:trHeight w:val="1191"/>
        </w:trPr>
        <w:tc>
          <w:tcPr>
            <w:tcW w:w="3556" w:type="dxa"/>
          </w:tcPr>
          <w:p w14:paraId="57F19A70" w14:textId="77777777" w:rsidR="00572E3D" w:rsidRPr="00501385" w:rsidRDefault="00572E3D" w:rsidP="00611086">
            <w:pPr>
              <w:spacing w:after="160" w:line="259" w:lineRule="auto"/>
            </w:pPr>
          </w:p>
          <w:p w14:paraId="6ABEB126" w14:textId="77777777" w:rsidR="00572E3D" w:rsidRPr="00501385" w:rsidRDefault="00572E3D" w:rsidP="00611086">
            <w:pPr>
              <w:spacing w:after="160" w:line="259" w:lineRule="auto"/>
            </w:pPr>
            <w:r w:rsidRPr="00501385">
              <w:rPr>
                <w:noProof/>
                <w:lang w:eastAsia="en-GB"/>
              </w:rPr>
              <mc:AlternateContent>
                <mc:Choice Requires="wps">
                  <w:drawing>
                    <wp:anchor distT="0" distB="0" distL="114300" distR="114300" simplePos="0" relativeHeight="251670528" behindDoc="0" locked="0" layoutInCell="1" allowOverlap="1" wp14:anchorId="1EFCEB2D" wp14:editId="67D6D2EB">
                      <wp:simplePos x="0" y="0"/>
                      <wp:positionH relativeFrom="column">
                        <wp:posOffset>1905</wp:posOffset>
                      </wp:positionH>
                      <wp:positionV relativeFrom="paragraph">
                        <wp:posOffset>99695</wp:posOffset>
                      </wp:positionV>
                      <wp:extent cx="2009775" cy="0"/>
                      <wp:effectExtent l="0" t="0" r="9525" b="190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4FB60" id="Straight Arrow Connector 57" o:spid="_x0000_s1026" type="#_x0000_t32" style="position:absolute;margin-left:.15pt;margin-top:7.85pt;width:158.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"/>
                  </w:pict>
                </mc:Fallback>
              </mc:AlternateContent>
            </w:r>
            <w:r w:rsidRPr="00501385">
              <w:t xml:space="preserve">  </w:t>
            </w:r>
          </w:p>
          <w:p w14:paraId="309EDF50" w14:textId="77777777" w:rsidR="00572E3D" w:rsidRPr="00501385" w:rsidRDefault="00572E3D" w:rsidP="00611086">
            <w:pPr>
              <w:spacing w:after="160" w:line="259" w:lineRule="auto"/>
            </w:pPr>
            <w:r w:rsidRPr="00501385">
              <w:t>Name of participant (block capitals)</w:t>
            </w:r>
          </w:p>
          <w:p w14:paraId="59E9D81A" w14:textId="77777777" w:rsidR="00572E3D" w:rsidRPr="00501385" w:rsidRDefault="00572E3D" w:rsidP="00611086">
            <w:pPr>
              <w:spacing w:after="160" w:line="259" w:lineRule="auto"/>
            </w:pPr>
          </w:p>
        </w:tc>
        <w:tc>
          <w:tcPr>
            <w:tcW w:w="2943" w:type="dxa"/>
          </w:tcPr>
          <w:p w14:paraId="7B1447B1" w14:textId="77777777" w:rsidR="00572E3D" w:rsidRPr="00501385" w:rsidRDefault="00572E3D" w:rsidP="00611086">
            <w:pPr>
              <w:spacing w:after="160" w:line="259" w:lineRule="auto"/>
            </w:pPr>
          </w:p>
          <w:p w14:paraId="540F40DE" w14:textId="77777777" w:rsidR="00572E3D" w:rsidRPr="00501385" w:rsidRDefault="00572E3D" w:rsidP="00611086">
            <w:pPr>
              <w:spacing w:after="160" w:line="259" w:lineRule="auto"/>
            </w:pPr>
            <w:r w:rsidRPr="00501385">
              <w:rPr>
                <w:noProof/>
                <w:lang w:eastAsia="en-GB"/>
              </w:rPr>
              <mc:AlternateContent>
                <mc:Choice Requires="wps">
                  <w:drawing>
                    <wp:anchor distT="0" distB="0" distL="114300" distR="114300" simplePos="0" relativeHeight="251671552" behindDoc="0" locked="0" layoutInCell="1" allowOverlap="1" wp14:anchorId="37667CB4" wp14:editId="71CADE7A">
                      <wp:simplePos x="0" y="0"/>
                      <wp:positionH relativeFrom="column">
                        <wp:posOffset>-6985</wp:posOffset>
                      </wp:positionH>
                      <wp:positionV relativeFrom="paragraph">
                        <wp:posOffset>100330</wp:posOffset>
                      </wp:positionV>
                      <wp:extent cx="1711960" cy="0"/>
                      <wp:effectExtent l="12065" t="5080" r="9525" b="139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EE4FB" id="Straight Arrow Connector 58" o:spid="_x0000_s1026" type="#_x0000_t32" style="position:absolute;margin-left:-.55pt;margin-top:7.9pt;width:134.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"/>
                  </w:pict>
                </mc:Fallback>
              </mc:AlternateContent>
            </w:r>
          </w:p>
          <w:p w14:paraId="68387051" w14:textId="77777777" w:rsidR="00572E3D" w:rsidRPr="00501385" w:rsidRDefault="00572E3D" w:rsidP="00611086">
            <w:pPr>
              <w:spacing w:after="160" w:line="259" w:lineRule="auto"/>
            </w:pPr>
            <w:r w:rsidRPr="00501385">
              <w:t>Date</w:t>
            </w:r>
          </w:p>
        </w:tc>
        <w:tc>
          <w:tcPr>
            <w:tcW w:w="3091" w:type="dxa"/>
          </w:tcPr>
          <w:p w14:paraId="5839D44D" w14:textId="77777777" w:rsidR="00572E3D" w:rsidRPr="00501385" w:rsidRDefault="00572E3D" w:rsidP="00611086">
            <w:pPr>
              <w:spacing w:after="160" w:line="259" w:lineRule="auto"/>
            </w:pPr>
          </w:p>
          <w:p w14:paraId="3D9277FF" w14:textId="77777777" w:rsidR="00572E3D" w:rsidRPr="00501385" w:rsidRDefault="00572E3D" w:rsidP="00611086">
            <w:pPr>
              <w:spacing w:after="160" w:line="259" w:lineRule="auto"/>
            </w:pPr>
            <w:r w:rsidRPr="00501385">
              <w:rPr>
                <w:noProof/>
                <w:lang w:eastAsia="en-GB"/>
              </w:rPr>
              <mc:AlternateContent>
                <mc:Choice Requires="wps">
                  <w:drawing>
                    <wp:anchor distT="0" distB="0" distL="114300" distR="114300" simplePos="0" relativeHeight="251672576" behindDoc="0" locked="0" layoutInCell="1" allowOverlap="1" wp14:anchorId="0EC5ED67" wp14:editId="5A313E4A">
                      <wp:simplePos x="0" y="0"/>
                      <wp:positionH relativeFrom="column">
                        <wp:posOffset>41910</wp:posOffset>
                      </wp:positionH>
                      <wp:positionV relativeFrom="paragraph">
                        <wp:posOffset>89535</wp:posOffset>
                      </wp:positionV>
                      <wp:extent cx="1711960" cy="0"/>
                      <wp:effectExtent l="13335" t="13335" r="8255" b="571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55E90" id="Straight Arrow Connector 59" o:spid="_x0000_s1026" type="#_x0000_t32" style="position:absolute;margin-left:3.3pt;margin-top:7.05pt;width:134.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"/>
                  </w:pict>
                </mc:Fallback>
              </mc:AlternateContent>
            </w:r>
          </w:p>
          <w:p w14:paraId="37124C4D" w14:textId="77777777" w:rsidR="00572E3D" w:rsidRPr="00501385" w:rsidRDefault="00572E3D" w:rsidP="00611086">
            <w:pPr>
              <w:spacing w:after="160" w:line="259" w:lineRule="auto"/>
            </w:pPr>
            <w:r w:rsidRPr="00501385">
              <w:t>Signature</w:t>
            </w:r>
          </w:p>
        </w:tc>
      </w:tr>
      <w:tr w:rsidR="00572E3D" w:rsidRPr="00501385" w14:paraId="0FA30BEE" w14:textId="77777777" w:rsidTr="00611086">
        <w:trPr>
          <w:trHeight w:val="596"/>
        </w:trPr>
        <w:tc>
          <w:tcPr>
            <w:tcW w:w="3556" w:type="dxa"/>
            <w:hideMark/>
          </w:tcPr>
          <w:p w14:paraId="03F76E77" w14:textId="77777777" w:rsidR="00572E3D" w:rsidRPr="00501385" w:rsidRDefault="00572E3D" w:rsidP="00611086">
            <w:pPr>
              <w:spacing w:after="160" w:line="259" w:lineRule="auto"/>
            </w:pPr>
            <w:r w:rsidRPr="00501385">
              <w:rPr>
                <w:noProof/>
                <w:lang w:eastAsia="en-GB"/>
              </w:rPr>
              <mc:AlternateContent>
                <mc:Choice Requires="wps">
                  <w:drawing>
                    <wp:anchor distT="0" distB="0" distL="114300" distR="114300" simplePos="0" relativeHeight="251673600" behindDoc="0" locked="0" layoutInCell="1" allowOverlap="1" wp14:anchorId="2E2F8DBA" wp14:editId="715CE12C">
                      <wp:simplePos x="0" y="0"/>
                      <wp:positionH relativeFrom="column">
                        <wp:posOffset>1905</wp:posOffset>
                      </wp:positionH>
                      <wp:positionV relativeFrom="paragraph">
                        <wp:posOffset>131445</wp:posOffset>
                      </wp:positionV>
                      <wp:extent cx="2009775" cy="0"/>
                      <wp:effectExtent l="0" t="0" r="9525"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0BC91" id="Straight Arrow Connector 60" o:spid="_x0000_s1026" type="#_x0000_t32" style="position:absolute;margin-left:.15pt;margin-top:10.35pt;width:158.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"/>
                  </w:pict>
                </mc:Fallback>
              </mc:AlternateContent>
            </w:r>
          </w:p>
          <w:p w14:paraId="46557737" w14:textId="77777777" w:rsidR="00572E3D" w:rsidRPr="00501385" w:rsidRDefault="00572E3D" w:rsidP="00611086">
            <w:pPr>
              <w:spacing w:after="160" w:line="259" w:lineRule="auto"/>
              <w:rPr>
                <w:i/>
              </w:rPr>
            </w:pPr>
            <w:r w:rsidRPr="00501385">
              <w:t>Researcher (block capitals)</w:t>
            </w:r>
          </w:p>
        </w:tc>
        <w:tc>
          <w:tcPr>
            <w:tcW w:w="2943" w:type="dxa"/>
            <w:hideMark/>
          </w:tcPr>
          <w:p w14:paraId="57CB445B" w14:textId="77777777" w:rsidR="00572E3D" w:rsidRPr="00501385" w:rsidRDefault="00572E3D" w:rsidP="00611086">
            <w:pPr>
              <w:spacing w:after="160" w:line="259" w:lineRule="auto"/>
            </w:pPr>
            <w:r w:rsidRPr="00501385">
              <w:rPr>
                <w:noProof/>
                <w:lang w:eastAsia="en-GB"/>
              </w:rPr>
              <mc:AlternateContent>
                <mc:Choice Requires="wps">
                  <w:drawing>
                    <wp:anchor distT="0" distB="0" distL="114300" distR="114300" simplePos="0" relativeHeight="251674624" behindDoc="0" locked="0" layoutInCell="1" allowOverlap="1" wp14:anchorId="13375590" wp14:editId="4CDA4376">
                      <wp:simplePos x="0" y="0"/>
                      <wp:positionH relativeFrom="column">
                        <wp:posOffset>-6985</wp:posOffset>
                      </wp:positionH>
                      <wp:positionV relativeFrom="paragraph">
                        <wp:posOffset>133350</wp:posOffset>
                      </wp:positionV>
                      <wp:extent cx="1711960" cy="0"/>
                      <wp:effectExtent l="12065" t="9525" r="9525"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357D" id="Straight Arrow Connector 61" o:spid="_x0000_s1026" type="#_x0000_t32" style="position:absolute;margin-left:-.55pt;margin-top:10.5pt;width:134.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"/>
                  </w:pict>
                </mc:Fallback>
              </mc:AlternateContent>
            </w:r>
          </w:p>
          <w:p w14:paraId="2C0A4CEC" w14:textId="77777777" w:rsidR="00572E3D" w:rsidRPr="00501385" w:rsidRDefault="00572E3D" w:rsidP="00611086">
            <w:pPr>
              <w:spacing w:after="160" w:line="259" w:lineRule="auto"/>
            </w:pPr>
            <w:r w:rsidRPr="00501385">
              <w:t>Date</w:t>
            </w:r>
          </w:p>
        </w:tc>
        <w:tc>
          <w:tcPr>
            <w:tcW w:w="3091" w:type="dxa"/>
            <w:hideMark/>
          </w:tcPr>
          <w:p w14:paraId="2235C8DC" w14:textId="77777777" w:rsidR="00572E3D" w:rsidRPr="00501385" w:rsidRDefault="00572E3D" w:rsidP="00611086">
            <w:pPr>
              <w:spacing w:after="160" w:line="259" w:lineRule="auto"/>
            </w:pPr>
            <w:r w:rsidRPr="00501385">
              <w:rPr>
                <w:noProof/>
                <w:lang w:eastAsia="en-GB"/>
              </w:rPr>
              <mc:AlternateContent>
                <mc:Choice Requires="wps">
                  <w:drawing>
                    <wp:anchor distT="0" distB="0" distL="114300" distR="114300" simplePos="0" relativeHeight="251675648" behindDoc="0" locked="0" layoutInCell="1" allowOverlap="1" wp14:anchorId="6C5AF103" wp14:editId="77DCF68C">
                      <wp:simplePos x="0" y="0"/>
                      <wp:positionH relativeFrom="column">
                        <wp:posOffset>32385</wp:posOffset>
                      </wp:positionH>
                      <wp:positionV relativeFrom="paragraph">
                        <wp:posOffset>133350</wp:posOffset>
                      </wp:positionV>
                      <wp:extent cx="1711960" cy="0"/>
                      <wp:effectExtent l="13335" t="9525" r="8255" b="95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11CC8" id="Straight Arrow Connector 62" o:spid="_x0000_s1026" type="#_x0000_t32" style="position:absolute;margin-left:2.55pt;margin-top:10.5pt;width:134.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"/>
                  </w:pict>
                </mc:Fallback>
              </mc:AlternateContent>
            </w:r>
          </w:p>
          <w:p w14:paraId="04677292" w14:textId="77777777" w:rsidR="00572E3D" w:rsidRPr="00501385" w:rsidRDefault="00572E3D" w:rsidP="00611086">
            <w:pPr>
              <w:spacing w:after="160" w:line="259" w:lineRule="auto"/>
            </w:pPr>
            <w:r w:rsidRPr="00501385">
              <w:t>Signature</w:t>
            </w:r>
          </w:p>
        </w:tc>
      </w:tr>
    </w:tbl>
    <w:p w14:paraId="669AD93E" w14:textId="1B87B7AA" w:rsidR="008613FE" w:rsidRDefault="00572E3D" w:rsidP="00A90E8B">
      <w:pPr>
        <w:rPr>
          <w:lang w:val="de-DE"/>
        </w:rPr>
        <w:sectPr w:rsidR="008613FE" w:rsidSect="00C96AC0">
          <w:type w:val="continuous"/>
          <w:pgSz w:w="11906" w:h="16838"/>
          <w:pgMar w:top="567" w:right="991" w:bottom="1440" w:left="1440" w:header="708" w:footer="708" w:gutter="0"/>
          <w:cols w:space="708"/>
          <w:docGrid w:linePitch="360"/>
        </w:sectPr>
      </w:pPr>
      <w:r w:rsidRPr="00501385">
        <w:br/>
      </w:r>
      <w:r>
        <w:t xml:space="preserve">If you have any further questions please contact the researcher, Sian Calvert, via </w:t>
      </w:r>
      <w:hyperlink r:id="rId124" w:history="1">
        <w:r w:rsidRPr="0076420C">
          <w:rPr>
            <w:rStyle w:val="Hyperlink"/>
          </w:rPr>
          <w:t>sian.calvert@research.staffs.ac.uk</w:t>
        </w:r>
      </w:hyperlink>
      <w:r>
        <w:t xml:space="preserve"> or Supervisors:</w:t>
      </w:r>
    </w:p>
    <w:p w14:paraId="405B6879" w14:textId="5389C015" w:rsidR="00572E3D" w:rsidRPr="00BB7D17" w:rsidRDefault="00572E3D" w:rsidP="00572E3D">
      <w:pPr>
        <w:spacing w:after="0"/>
        <w:rPr>
          <w:lang w:val="de-DE"/>
        </w:rPr>
      </w:pPr>
      <w:r w:rsidRPr="00BB7D17">
        <w:rPr>
          <w:lang w:val="de-DE"/>
        </w:rPr>
        <w:t xml:space="preserve">Dr. Robert Demspey </w:t>
      </w:r>
    </w:p>
    <w:p w14:paraId="0DC3CB84" w14:textId="77777777" w:rsidR="00572E3D" w:rsidRPr="00BB7D17" w:rsidRDefault="00572E3D" w:rsidP="00572E3D">
      <w:pPr>
        <w:spacing w:after="0"/>
        <w:rPr>
          <w:lang w:val="de-DE"/>
        </w:rPr>
      </w:pPr>
      <w:r w:rsidRPr="00BB7D17">
        <w:rPr>
          <w:lang w:val="de-DE"/>
        </w:rPr>
        <w:t>robert.dempsey@staffs.ac.uk</w:t>
      </w:r>
    </w:p>
    <w:p w14:paraId="2B634D76" w14:textId="77777777" w:rsidR="00572E3D" w:rsidRPr="00F00EBA" w:rsidRDefault="00572E3D" w:rsidP="00572E3D">
      <w:pPr>
        <w:spacing w:after="0"/>
        <w:rPr>
          <w:i/>
        </w:rPr>
      </w:pPr>
      <w:r>
        <w:rPr>
          <w:i/>
        </w:rPr>
        <w:t xml:space="preserve">Senior </w:t>
      </w:r>
      <w:r w:rsidRPr="00F00EBA">
        <w:rPr>
          <w:i/>
        </w:rPr>
        <w:t xml:space="preserve">Lecturer at Staffordshire University </w:t>
      </w:r>
    </w:p>
    <w:p w14:paraId="2DB0D237" w14:textId="77777777" w:rsidR="008613FE" w:rsidRDefault="008613FE" w:rsidP="00572E3D">
      <w:pPr>
        <w:spacing w:after="0"/>
      </w:pPr>
    </w:p>
    <w:p w14:paraId="50CFB378" w14:textId="57AD4805" w:rsidR="00572E3D" w:rsidRPr="00F00EBA" w:rsidRDefault="00572E3D" w:rsidP="00572E3D">
      <w:pPr>
        <w:spacing w:after="0"/>
      </w:pPr>
      <w:r w:rsidRPr="00F00EBA">
        <w:t xml:space="preserve">Dr. Rachel Povey </w:t>
      </w:r>
    </w:p>
    <w:p w14:paraId="4B24E340" w14:textId="77777777" w:rsidR="00572E3D" w:rsidRPr="00F00EBA" w:rsidRDefault="00572E3D" w:rsidP="00572E3D">
      <w:pPr>
        <w:spacing w:after="0"/>
      </w:pPr>
      <w:r w:rsidRPr="00F00EBA">
        <w:t>r.povey@staffs.ac.uk</w:t>
      </w:r>
    </w:p>
    <w:p w14:paraId="05D6C47C" w14:textId="3419B31E" w:rsidR="008613FE" w:rsidRDefault="00572E3D" w:rsidP="00572E3D">
      <w:pPr>
        <w:spacing w:after="0"/>
        <w:rPr>
          <w:i/>
        </w:rPr>
        <w:sectPr w:rsidR="008613FE" w:rsidSect="008613FE">
          <w:type w:val="continuous"/>
          <w:pgSz w:w="11906" w:h="16838"/>
          <w:pgMar w:top="567" w:right="991" w:bottom="1440" w:left="1440" w:header="708" w:footer="708" w:gutter="0"/>
          <w:cols w:num="2" w:space="708"/>
          <w:docGrid w:linePitch="360"/>
        </w:sectPr>
      </w:pPr>
      <w:r>
        <w:rPr>
          <w:i/>
        </w:rPr>
        <w:t>Associated Professor</w:t>
      </w:r>
      <w:r w:rsidRPr="00F00EBA">
        <w:rPr>
          <w:i/>
        </w:rPr>
        <w:t xml:space="preserve"> at Staffordshire University</w:t>
      </w:r>
      <w:r w:rsidRPr="00CB6F96">
        <w:rPr>
          <w:i/>
        </w:rPr>
        <w:t xml:space="preserve"> </w:t>
      </w:r>
    </w:p>
    <w:p w14:paraId="7C3022CC" w14:textId="77777777" w:rsidR="00BE058D" w:rsidRDefault="00BE058D" w:rsidP="00BE058D"/>
    <w:p w14:paraId="60B7979A" w14:textId="48D080E2" w:rsidR="00BE058D" w:rsidRPr="00144A79" w:rsidRDefault="00BE058D" w:rsidP="00BE058D">
      <w:pPr>
        <w:rPr>
          <w:rFonts w:ascii="Calibri" w:eastAsia="Calibri" w:hAnsi="Calibri" w:cs="Times New Roman"/>
        </w:rPr>
      </w:pPr>
      <w:r w:rsidRPr="00E272EB">
        <w:lastRenderedPageBreak/>
        <w:fldChar w:fldCharType="begin"/>
      </w:r>
      <w:r w:rsidRPr="00E272EB">
        <w:instrText xml:space="preserve"> TC  " </w:instrText>
      </w:r>
      <w:bookmarkStart w:id="399" w:name="_Toc97557185"/>
      <w:r w:rsidRPr="00265133">
        <w:instrText xml:space="preserve">Appendix </w:instrText>
      </w:r>
      <w:r w:rsidR="00B71116">
        <w:instrText>3</w:instrText>
      </w:r>
      <w:r w:rsidR="00742498">
        <w:instrText>3</w:instrText>
      </w:r>
      <w:r w:rsidRPr="00265133">
        <w:instrText xml:space="preserve">: </w:instrText>
      </w:r>
      <w:r>
        <w:instrText xml:space="preserve">Focus group questions </w:instrText>
      </w:r>
      <w:r w:rsidRPr="00265133">
        <w:instrText xml:space="preserve">(Study </w:instrText>
      </w:r>
      <w:r w:rsidR="005930C3">
        <w:instrText>Four</w:instrText>
      </w:r>
      <w:r>
        <w:instrText>, Chapter 9)</w:instrText>
      </w:r>
      <w:bookmarkEnd w:id="399"/>
      <w:r w:rsidRPr="00E272EB">
        <w:instrText xml:space="preserve">" \f y\l </w:instrText>
      </w:r>
      <w:r>
        <w:instrText>2</w:instrText>
      </w:r>
      <w:r w:rsidRPr="00E272EB">
        <w:instrText xml:space="preserve"> </w:instrText>
      </w:r>
      <w:r w:rsidRPr="00E272EB">
        <w:fldChar w:fldCharType="end"/>
      </w:r>
      <w:r w:rsidRPr="00265133">
        <w:t xml:space="preserve">Appendix </w:t>
      </w:r>
      <w:r w:rsidR="00B71116">
        <w:t>3</w:t>
      </w:r>
      <w:r w:rsidR="00742498">
        <w:t>3</w:t>
      </w:r>
      <w:r w:rsidRPr="00265133">
        <w:t xml:space="preserve">: Focus group questions (Study </w:t>
      </w:r>
      <w:r w:rsidR="005930C3">
        <w:t>Four</w:t>
      </w:r>
      <w:r w:rsidRPr="00265133">
        <w:t>, Chapter 9)</w:t>
      </w:r>
    </w:p>
    <w:p w14:paraId="7E3FC9FB" w14:textId="77777777" w:rsidR="00BE058D" w:rsidRPr="00C27477" w:rsidRDefault="00BE058D" w:rsidP="00BE058D">
      <w:pPr>
        <w:jc w:val="center"/>
        <w:rPr>
          <w:b/>
          <w:u w:val="single"/>
          <w:lang w:val="fr-FR"/>
        </w:rPr>
      </w:pPr>
      <w:r w:rsidRPr="00C27477">
        <w:rPr>
          <w:b/>
          <w:u w:val="single"/>
        </w:rPr>
        <w:t>Students’ reflection of taking part in the SNA intervention</w:t>
      </w:r>
    </w:p>
    <w:p w14:paraId="7034969F" w14:textId="77777777" w:rsidR="00BE058D" w:rsidRPr="00BB7D17" w:rsidRDefault="00BE058D" w:rsidP="00BE058D">
      <w:pPr>
        <w:spacing w:line="360" w:lineRule="auto"/>
        <w:rPr>
          <w:u w:val="single"/>
          <w:lang w:val="fr-FR"/>
        </w:rPr>
      </w:pPr>
    </w:p>
    <w:p w14:paraId="2C833618" w14:textId="77777777" w:rsidR="00BE058D" w:rsidRDefault="00BE058D" w:rsidP="00AA5DD9">
      <w:pPr>
        <w:pStyle w:val="ListParagraph"/>
        <w:numPr>
          <w:ilvl w:val="0"/>
          <w:numId w:val="11"/>
        </w:numPr>
        <w:spacing w:after="160" w:line="360" w:lineRule="auto"/>
      </w:pPr>
      <w:r>
        <w:t xml:space="preserve">How did you find taking part in the poser-making session? </w:t>
      </w:r>
    </w:p>
    <w:p w14:paraId="40BEF296" w14:textId="77777777" w:rsidR="00BE058D" w:rsidRPr="00D23DD2" w:rsidRDefault="00BE058D" w:rsidP="00AA5DD9">
      <w:pPr>
        <w:pStyle w:val="ListParagraph"/>
        <w:numPr>
          <w:ilvl w:val="0"/>
          <w:numId w:val="11"/>
        </w:numPr>
        <w:spacing w:after="160" w:line="360" w:lineRule="auto"/>
      </w:pPr>
      <w:r w:rsidRPr="00D23DD2">
        <w:t xml:space="preserve">What did you like about </w:t>
      </w:r>
      <w:r>
        <w:t>the poster-</w:t>
      </w:r>
      <w:r w:rsidRPr="00D23DD2">
        <w:t xml:space="preserve">making session? </w:t>
      </w:r>
    </w:p>
    <w:p w14:paraId="786D4359" w14:textId="77777777" w:rsidR="00BE058D" w:rsidRDefault="00BE058D" w:rsidP="00AA5DD9">
      <w:pPr>
        <w:pStyle w:val="ListParagraph"/>
        <w:numPr>
          <w:ilvl w:val="0"/>
          <w:numId w:val="11"/>
        </w:numPr>
        <w:spacing w:after="160" w:line="360" w:lineRule="auto"/>
      </w:pPr>
      <w:r w:rsidRPr="00D23DD2">
        <w:t>What did you dislike about</w:t>
      </w:r>
      <w:r>
        <w:t xml:space="preserve"> the poster-</w:t>
      </w:r>
      <w:r w:rsidRPr="00D23DD2">
        <w:t>making session?</w:t>
      </w:r>
    </w:p>
    <w:p w14:paraId="12BDABE4" w14:textId="77777777" w:rsidR="00BE058D" w:rsidRDefault="00BE058D" w:rsidP="00AA5DD9">
      <w:pPr>
        <w:pStyle w:val="ListParagraph"/>
        <w:numPr>
          <w:ilvl w:val="0"/>
          <w:numId w:val="11"/>
        </w:numPr>
        <w:spacing w:after="160" w:line="360" w:lineRule="auto"/>
      </w:pPr>
      <w:r w:rsidRPr="00B84955">
        <w:t xml:space="preserve">What do you think would be the benefits of </w:t>
      </w:r>
      <w:r>
        <w:t>the posters?</w:t>
      </w:r>
    </w:p>
    <w:p w14:paraId="1177F55D" w14:textId="77777777" w:rsidR="00BE058D" w:rsidRPr="00E17CEC" w:rsidRDefault="00BE058D" w:rsidP="00AA5DD9">
      <w:pPr>
        <w:pStyle w:val="ListParagraph"/>
        <w:numPr>
          <w:ilvl w:val="0"/>
          <w:numId w:val="11"/>
        </w:numPr>
        <w:spacing w:after="160" w:line="360" w:lineRule="auto"/>
      </w:pPr>
      <w:r w:rsidRPr="00E17CEC">
        <w:t>What did you think of the intervention messages?</w:t>
      </w:r>
    </w:p>
    <w:p w14:paraId="420CB8B7" w14:textId="77777777" w:rsidR="00BE058D" w:rsidRDefault="00BE058D" w:rsidP="00AA5DD9">
      <w:pPr>
        <w:pStyle w:val="ListParagraph"/>
        <w:numPr>
          <w:ilvl w:val="1"/>
          <w:numId w:val="11"/>
        </w:numPr>
        <w:spacing w:after="160" w:line="360" w:lineRule="auto"/>
      </w:pPr>
      <w:r w:rsidRPr="00E17CEC">
        <w:t>Were the interventional</w:t>
      </w:r>
      <w:r>
        <w:t xml:space="preserve"> messages easy to understand? </w:t>
      </w:r>
    </w:p>
    <w:p w14:paraId="7D172CB4" w14:textId="77777777" w:rsidR="00BE058D" w:rsidRDefault="00BE058D" w:rsidP="00AA5DD9">
      <w:pPr>
        <w:pStyle w:val="ListParagraph"/>
        <w:numPr>
          <w:ilvl w:val="1"/>
          <w:numId w:val="11"/>
        </w:numPr>
        <w:spacing w:after="160" w:line="360" w:lineRule="auto"/>
      </w:pPr>
      <w:r>
        <w:t>Was there anything on the posters/messages that you did not understand?</w:t>
      </w:r>
    </w:p>
    <w:p w14:paraId="7D1AE8A0" w14:textId="77777777" w:rsidR="00BE058D" w:rsidRDefault="00BE058D" w:rsidP="00AA5DD9">
      <w:pPr>
        <w:pStyle w:val="ListParagraph"/>
        <w:numPr>
          <w:ilvl w:val="0"/>
          <w:numId w:val="11"/>
        </w:numPr>
        <w:spacing w:after="160" w:line="360" w:lineRule="auto"/>
      </w:pPr>
      <w:r>
        <w:t xml:space="preserve">How do you think the messages will influence the way you eat? </w:t>
      </w:r>
    </w:p>
    <w:p w14:paraId="0C5B506B" w14:textId="77777777" w:rsidR="00BE058D" w:rsidRDefault="00BE058D" w:rsidP="00AA5DD9">
      <w:pPr>
        <w:pStyle w:val="ListParagraph"/>
        <w:numPr>
          <w:ilvl w:val="0"/>
          <w:numId w:val="11"/>
        </w:numPr>
        <w:spacing w:after="160" w:line="360" w:lineRule="auto"/>
      </w:pPr>
      <w:r>
        <w:t xml:space="preserve">What do you think we could do to improve the poster-making session? </w:t>
      </w:r>
    </w:p>
    <w:p w14:paraId="2628C9F3" w14:textId="77777777" w:rsidR="00BE058D" w:rsidRPr="00A72DA3" w:rsidRDefault="00BE058D" w:rsidP="00AA5DD9">
      <w:pPr>
        <w:pStyle w:val="ListParagraph"/>
        <w:numPr>
          <w:ilvl w:val="0"/>
          <w:numId w:val="11"/>
        </w:numPr>
        <w:spacing w:after="160" w:line="360" w:lineRule="auto"/>
      </w:pPr>
      <w:r w:rsidRPr="00A72DA3">
        <w:t>How could we display the messages in another way?</w:t>
      </w:r>
    </w:p>
    <w:p w14:paraId="05D84825" w14:textId="77777777" w:rsidR="00BE058D" w:rsidRDefault="00BE058D" w:rsidP="00AA5DD9">
      <w:pPr>
        <w:pStyle w:val="ListParagraph"/>
        <w:numPr>
          <w:ilvl w:val="1"/>
          <w:numId w:val="11"/>
        </w:numPr>
        <w:spacing w:after="160" w:line="360" w:lineRule="auto"/>
      </w:pPr>
      <w:r w:rsidRPr="00A72DA3">
        <w:t>Can you think of anymore (effective/better) ways of showing the messages?</w:t>
      </w:r>
    </w:p>
    <w:p w14:paraId="55547740" w14:textId="77777777" w:rsidR="00BE058D" w:rsidRPr="00065D5C" w:rsidRDefault="00BE058D" w:rsidP="00AA5DD9">
      <w:pPr>
        <w:pStyle w:val="ListParagraph"/>
        <w:numPr>
          <w:ilvl w:val="0"/>
          <w:numId w:val="11"/>
        </w:numPr>
        <w:spacing w:after="160" w:line="360" w:lineRule="auto"/>
      </w:pPr>
      <w:r w:rsidRPr="00065D5C">
        <w:t>What do you think about where the posters were located?</w:t>
      </w:r>
    </w:p>
    <w:p w14:paraId="246FBADA" w14:textId="77777777" w:rsidR="00BE058D" w:rsidRPr="00065D5C" w:rsidRDefault="00BE058D" w:rsidP="00AA5DD9">
      <w:pPr>
        <w:pStyle w:val="ListParagraph"/>
        <w:numPr>
          <w:ilvl w:val="1"/>
          <w:numId w:val="11"/>
        </w:numPr>
        <w:spacing w:after="160" w:line="360" w:lineRule="auto"/>
      </w:pPr>
      <w:r w:rsidRPr="00065D5C">
        <w:t>Did you see them?</w:t>
      </w:r>
    </w:p>
    <w:p w14:paraId="6D60068C" w14:textId="77777777" w:rsidR="00BE058D" w:rsidRPr="00065D5C" w:rsidRDefault="00BE058D" w:rsidP="00AA5DD9">
      <w:pPr>
        <w:pStyle w:val="ListParagraph"/>
        <w:numPr>
          <w:ilvl w:val="1"/>
          <w:numId w:val="11"/>
        </w:numPr>
        <w:spacing w:after="160" w:line="360" w:lineRule="auto"/>
      </w:pPr>
      <w:r w:rsidRPr="00065D5C">
        <w:t xml:space="preserve">Could they have been put somewhere else? </w:t>
      </w:r>
    </w:p>
    <w:p w14:paraId="17E82265" w14:textId="77777777" w:rsidR="00BE058D" w:rsidRPr="00065D5C" w:rsidRDefault="00BE058D" w:rsidP="00AA5DD9">
      <w:pPr>
        <w:pStyle w:val="ListParagraph"/>
        <w:numPr>
          <w:ilvl w:val="0"/>
          <w:numId w:val="11"/>
        </w:numPr>
        <w:spacing w:after="160" w:line="360" w:lineRule="auto"/>
      </w:pPr>
      <w:r w:rsidRPr="00065D5C">
        <w:t xml:space="preserve">What did you think about the questionnaires you completed? </w:t>
      </w:r>
    </w:p>
    <w:p w14:paraId="3F7C4825" w14:textId="77777777" w:rsidR="00BE058D" w:rsidRPr="00065D5C" w:rsidRDefault="00BE058D" w:rsidP="00AA5DD9">
      <w:pPr>
        <w:pStyle w:val="ListParagraph"/>
        <w:numPr>
          <w:ilvl w:val="0"/>
          <w:numId w:val="11"/>
        </w:numPr>
        <w:spacing w:after="160" w:line="360" w:lineRule="auto"/>
      </w:pPr>
      <w:r w:rsidRPr="00065D5C">
        <w:t>How did you find completing the questionnaire(s)?</w:t>
      </w:r>
    </w:p>
    <w:p w14:paraId="1DE889E9" w14:textId="77777777" w:rsidR="00BE058D" w:rsidRPr="00065D5C" w:rsidRDefault="00BE058D" w:rsidP="00AA5DD9">
      <w:pPr>
        <w:pStyle w:val="ListParagraph"/>
        <w:numPr>
          <w:ilvl w:val="1"/>
          <w:numId w:val="11"/>
        </w:numPr>
        <w:spacing w:after="160" w:line="360" w:lineRule="auto"/>
      </w:pPr>
      <w:r w:rsidRPr="00065D5C">
        <w:t xml:space="preserve">Were the questionnaires easy to understand/complete? </w:t>
      </w:r>
    </w:p>
    <w:p w14:paraId="7CFF7AA5" w14:textId="77777777" w:rsidR="00BE058D" w:rsidRPr="00065D5C" w:rsidRDefault="00BE058D" w:rsidP="00AA5DD9">
      <w:pPr>
        <w:pStyle w:val="ListParagraph"/>
        <w:numPr>
          <w:ilvl w:val="2"/>
          <w:numId w:val="11"/>
        </w:numPr>
        <w:spacing w:after="160" w:line="360" w:lineRule="auto"/>
      </w:pPr>
      <w:r w:rsidRPr="00065D5C">
        <w:t>If not, why?</w:t>
      </w:r>
    </w:p>
    <w:p w14:paraId="70110553" w14:textId="77777777" w:rsidR="00BE058D" w:rsidRPr="00065D5C" w:rsidRDefault="00BE058D" w:rsidP="00AA5DD9">
      <w:pPr>
        <w:pStyle w:val="ListParagraph"/>
        <w:numPr>
          <w:ilvl w:val="2"/>
          <w:numId w:val="11"/>
        </w:numPr>
        <w:spacing w:after="160" w:line="360" w:lineRule="auto"/>
      </w:pPr>
      <w:r w:rsidRPr="00065D5C">
        <w:t xml:space="preserve">How could we change them, to make them easier to understand? </w:t>
      </w:r>
    </w:p>
    <w:p w14:paraId="580624E1" w14:textId="77777777" w:rsidR="00BE058D" w:rsidRPr="00065D5C" w:rsidRDefault="00BE058D" w:rsidP="00AA5DD9">
      <w:pPr>
        <w:pStyle w:val="ListParagraph"/>
        <w:numPr>
          <w:ilvl w:val="0"/>
          <w:numId w:val="11"/>
        </w:numPr>
        <w:spacing w:after="160" w:line="360" w:lineRule="auto"/>
      </w:pPr>
      <w:r w:rsidRPr="00065D5C">
        <w:t>How could we improve the questionnaire(s)?</w:t>
      </w:r>
    </w:p>
    <w:p w14:paraId="7EC1C2F2" w14:textId="77777777" w:rsidR="00BE058D" w:rsidRPr="00065D5C" w:rsidRDefault="00BE058D" w:rsidP="00AA5DD9">
      <w:pPr>
        <w:pStyle w:val="ListParagraph"/>
        <w:numPr>
          <w:ilvl w:val="0"/>
          <w:numId w:val="11"/>
        </w:numPr>
        <w:spacing w:after="160" w:line="360" w:lineRule="auto"/>
      </w:pPr>
      <w:r w:rsidRPr="00065D5C">
        <w:t>What did you think of the competition?</w:t>
      </w:r>
    </w:p>
    <w:p w14:paraId="6A60BDBD" w14:textId="77777777" w:rsidR="00BE058D" w:rsidRPr="00065D5C" w:rsidRDefault="00BE058D" w:rsidP="00AA5DD9">
      <w:pPr>
        <w:pStyle w:val="ListParagraph"/>
        <w:numPr>
          <w:ilvl w:val="0"/>
          <w:numId w:val="11"/>
        </w:numPr>
        <w:spacing w:after="160" w:line="360" w:lineRule="auto"/>
      </w:pPr>
      <w:r w:rsidRPr="00065D5C">
        <w:t xml:space="preserve">How could we improve the competition? </w:t>
      </w:r>
    </w:p>
    <w:p w14:paraId="1C5BF75F" w14:textId="77777777" w:rsidR="00BE058D" w:rsidRDefault="00BE058D" w:rsidP="00BE058D">
      <w:pPr>
        <w:spacing w:line="360" w:lineRule="auto"/>
        <w:jc w:val="center"/>
        <w:rPr>
          <w:rFonts w:ascii="Calibri" w:eastAsia="Calibri" w:hAnsi="Calibri" w:cs="Times New Roman"/>
          <w:b/>
          <w:sz w:val="28"/>
          <w:szCs w:val="28"/>
          <w:u w:val="single"/>
        </w:rPr>
      </w:pPr>
    </w:p>
    <w:p w14:paraId="0F2DA6B8" w14:textId="77777777" w:rsidR="00BE058D" w:rsidRPr="00265133" w:rsidRDefault="00BE058D" w:rsidP="00BE058D">
      <w:pPr>
        <w:spacing w:line="360" w:lineRule="auto"/>
      </w:pPr>
    </w:p>
    <w:p w14:paraId="11953C60" w14:textId="6561A4F4" w:rsidR="00572E3D" w:rsidRDefault="00572E3D" w:rsidP="00572E3D">
      <w:pPr>
        <w:pStyle w:val="appppppp"/>
      </w:pPr>
    </w:p>
    <w:p w14:paraId="6E0202C0" w14:textId="4A69076E" w:rsidR="00BE058D" w:rsidRDefault="00BE058D" w:rsidP="00572E3D">
      <w:pPr>
        <w:pStyle w:val="appppppp"/>
      </w:pPr>
    </w:p>
    <w:p w14:paraId="0A267CF0" w14:textId="77777777" w:rsidR="00BE058D" w:rsidRDefault="00BE058D" w:rsidP="00572E3D">
      <w:pPr>
        <w:pStyle w:val="appppppp"/>
      </w:pPr>
    </w:p>
    <w:p w14:paraId="05E68F3E" w14:textId="77777777" w:rsidR="009B48D7" w:rsidRDefault="009B48D7" w:rsidP="00572E3D">
      <w:bookmarkStart w:id="400" w:name="_Toc84845197"/>
      <w:bookmarkStart w:id="401" w:name="_Toc84854208"/>
    </w:p>
    <w:p w14:paraId="2539F84F" w14:textId="595BA6EA" w:rsidR="00572E3D" w:rsidRPr="00265133" w:rsidRDefault="00572E3D" w:rsidP="00572E3D">
      <w:r w:rsidRPr="00E272EB">
        <w:lastRenderedPageBreak/>
        <w:fldChar w:fldCharType="begin"/>
      </w:r>
      <w:r w:rsidRPr="00E272EB">
        <w:instrText xml:space="preserve"> TC  " </w:instrText>
      </w:r>
      <w:bookmarkStart w:id="402" w:name="_Toc97557186"/>
      <w:r w:rsidRPr="00265133">
        <w:instrText xml:space="preserve">Appendix </w:instrText>
      </w:r>
      <w:r w:rsidR="00B71116">
        <w:instrText>3</w:instrText>
      </w:r>
      <w:r w:rsidR="00742498">
        <w:instrText>4</w:instrText>
      </w:r>
      <w:r w:rsidRPr="00265133">
        <w:instrText xml:space="preserve">: </w:instrText>
      </w:r>
      <w:r>
        <w:instrText xml:space="preserve">Student debrief </w:instrText>
      </w:r>
      <w:r w:rsidRPr="00265133">
        <w:instrText xml:space="preserve">(Study </w:instrText>
      </w:r>
      <w:r w:rsidR="005930C3">
        <w:instrText>Four</w:instrText>
      </w:r>
      <w:r>
        <w:instrText>, Chapter 9)</w:instrText>
      </w:r>
      <w:bookmarkEnd w:id="402"/>
      <w:r w:rsidRPr="00E272EB">
        <w:instrText xml:space="preserve">" \f y\l </w:instrText>
      </w:r>
      <w:r>
        <w:instrText>2</w:instrText>
      </w:r>
      <w:r w:rsidRPr="00E272EB">
        <w:instrText xml:space="preserve"> </w:instrText>
      </w:r>
      <w:r w:rsidRPr="00E272EB">
        <w:fldChar w:fldCharType="end"/>
      </w:r>
      <w:r w:rsidRPr="00265133">
        <w:t xml:space="preserve">Appendix </w:t>
      </w:r>
      <w:r w:rsidR="00B71116">
        <w:t>3</w:t>
      </w:r>
      <w:r w:rsidR="00742498">
        <w:t>4</w:t>
      </w:r>
      <w:r w:rsidRPr="00265133">
        <w:t xml:space="preserve">: Student debrief (Study </w:t>
      </w:r>
      <w:r w:rsidR="005930C3">
        <w:t>Four</w:t>
      </w:r>
      <w:r w:rsidRPr="00265133">
        <w:t>, Chapter 9)</w:t>
      </w:r>
      <w:bookmarkEnd w:id="400"/>
      <w:bookmarkEnd w:id="401"/>
    </w:p>
    <w:p w14:paraId="3BF7A27A" w14:textId="77777777" w:rsidR="00572E3D" w:rsidRDefault="00572E3D" w:rsidP="00572E3D">
      <w:pPr>
        <w:tabs>
          <w:tab w:val="left" w:pos="9214"/>
        </w:tabs>
        <w:ind w:right="1252"/>
      </w:pPr>
      <w:r>
        <w:rPr>
          <w:b/>
          <w:noProof/>
          <w:sz w:val="28"/>
          <w:szCs w:val="28"/>
          <w:lang w:eastAsia="en-GB"/>
        </w:rPr>
        <w:drawing>
          <wp:anchor distT="0" distB="0" distL="114300" distR="114300" simplePos="0" relativeHeight="251676672" behindDoc="1" locked="0" layoutInCell="1" allowOverlap="1" wp14:anchorId="136BE611" wp14:editId="2D65D5F8">
            <wp:simplePos x="0" y="0"/>
            <wp:positionH relativeFrom="column">
              <wp:posOffset>5048968</wp:posOffset>
            </wp:positionH>
            <wp:positionV relativeFrom="paragraph">
              <wp:posOffset>82109</wp:posOffset>
            </wp:positionV>
            <wp:extent cx="969645" cy="1103630"/>
            <wp:effectExtent l="0" t="0" r="1905" b="1270"/>
            <wp:wrapTight wrapText="bothSides">
              <wp:wrapPolygon edited="0">
                <wp:start x="0" y="0"/>
                <wp:lineTo x="0" y="21252"/>
                <wp:lineTo x="21218" y="21252"/>
                <wp:lineTo x="21218" y="0"/>
                <wp:lineTo x="0" y="0"/>
              </wp:wrapPolygon>
            </wp:wrapTight>
            <wp:docPr id="199" name="Picture 199"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anchor>
        </w:drawing>
      </w:r>
    </w:p>
    <w:p w14:paraId="2620E981" w14:textId="77777777" w:rsidR="00572E3D" w:rsidRDefault="00572E3D" w:rsidP="00572E3D"/>
    <w:p w14:paraId="57AAC2C4" w14:textId="77777777" w:rsidR="00572E3D" w:rsidRDefault="00572E3D" w:rsidP="00572E3D"/>
    <w:p w14:paraId="4CFECF4A" w14:textId="0DC3C2E9" w:rsidR="00572E3D" w:rsidRPr="009302A3" w:rsidRDefault="009302A3" w:rsidP="009302A3">
      <w:pPr>
        <w:jc w:val="center"/>
        <w:rPr>
          <w:b/>
          <w:bCs/>
          <w:sz w:val="28"/>
          <w:szCs w:val="28"/>
          <w:u w:val="single"/>
        </w:rPr>
      </w:pPr>
      <w:r w:rsidRPr="009302A3">
        <w:rPr>
          <w:b/>
          <w:bCs/>
          <w:sz w:val="28"/>
          <w:szCs w:val="28"/>
          <w:u w:val="single"/>
        </w:rPr>
        <w:t>Debrief</w:t>
      </w:r>
    </w:p>
    <w:p w14:paraId="66632DE9" w14:textId="77777777" w:rsidR="00572E3D" w:rsidRDefault="00572E3D" w:rsidP="00572E3D"/>
    <w:p w14:paraId="447A6F42" w14:textId="77777777" w:rsidR="00572E3D" w:rsidRPr="00E17CEC" w:rsidRDefault="00572E3D" w:rsidP="00572E3D">
      <w:pPr>
        <w:jc w:val="both"/>
      </w:pPr>
      <w:r w:rsidRPr="00A72DA3">
        <w:t xml:space="preserve">Thank you for participating in the focus group, which discussed your experiences of taking part in making a </w:t>
      </w:r>
      <w:r>
        <w:t xml:space="preserve">healthy eating poster, </w:t>
      </w:r>
      <w:r>
        <w:rPr>
          <w:rFonts w:ascii="Calibri" w:eastAsia="Times New Roman" w:hAnsi="Calibri" w:cs="Times New Roman"/>
        </w:rPr>
        <w:t>voting for the best one and</w:t>
      </w:r>
      <w:r w:rsidRPr="00A72DA3">
        <w:rPr>
          <w:rFonts w:ascii="Calibri" w:eastAsia="Times New Roman" w:hAnsi="Calibri" w:cs="Times New Roman"/>
        </w:rPr>
        <w:t xml:space="preserve"> </w:t>
      </w:r>
      <w:r>
        <w:t xml:space="preserve">completing the related questionnaires. </w:t>
      </w:r>
      <w:r w:rsidRPr="00E17CEC">
        <w:t xml:space="preserve">The research aims to </w:t>
      </w:r>
      <w:r>
        <w:t>use these experiences to help us to improve other healthy eating campaigns in the future</w:t>
      </w:r>
      <w:r w:rsidRPr="00E17CEC">
        <w:t xml:space="preserve">. The recordings from the focus group will be analysed to look for patterns and themes that arise in the discussion of designing a healthy eating poster. Please be assured that no individual will be identified or identifiable from the transcripts. To make sure the information is kept confidential as per the guidelines, the conversation from the focus group should not be further discussed once the focus group has disbanded.  We hope to use these findings to improve any future sessions.    </w:t>
      </w:r>
    </w:p>
    <w:p w14:paraId="280B11CB" w14:textId="77777777" w:rsidR="00572E3D" w:rsidRDefault="00572E3D" w:rsidP="00572E3D">
      <w:r w:rsidRPr="00E17CEC">
        <w:t>Thank you again for taking part in the focus group. If you have, any further questions please contact me</w:t>
      </w:r>
      <w:r>
        <w:t xml:space="preserve"> or one of my supervisors.</w:t>
      </w:r>
    </w:p>
    <w:p w14:paraId="4BB651EA" w14:textId="77777777" w:rsidR="00572E3D" w:rsidRDefault="00572E3D" w:rsidP="00572E3D">
      <w:pPr>
        <w:spacing w:after="0" w:line="240" w:lineRule="auto"/>
      </w:pPr>
    </w:p>
    <w:p w14:paraId="2C716E8D" w14:textId="77777777" w:rsidR="00572E3D" w:rsidRPr="00BB7D17" w:rsidRDefault="00572E3D" w:rsidP="00572E3D">
      <w:pPr>
        <w:spacing w:after="0" w:line="240" w:lineRule="auto"/>
        <w:rPr>
          <w:lang w:val="it-IT"/>
        </w:rPr>
      </w:pPr>
      <w:r w:rsidRPr="00BB7D17">
        <w:rPr>
          <w:lang w:val="it-IT"/>
        </w:rPr>
        <w:t>Sian Calvert</w:t>
      </w:r>
    </w:p>
    <w:p w14:paraId="16AAEA52" w14:textId="77777777" w:rsidR="00572E3D" w:rsidRPr="00BB7D17" w:rsidRDefault="00322DCE" w:rsidP="00572E3D">
      <w:pPr>
        <w:spacing w:after="0" w:line="240" w:lineRule="auto"/>
        <w:rPr>
          <w:rStyle w:val="Hyperlink"/>
          <w:lang w:val="it-IT"/>
        </w:rPr>
      </w:pPr>
      <w:hyperlink r:id="rId125" w:history="1">
        <w:r w:rsidR="00572E3D" w:rsidRPr="00BB7D17">
          <w:rPr>
            <w:rStyle w:val="Hyperlink"/>
            <w:lang w:val="it-IT"/>
          </w:rPr>
          <w:t>Sian.calvert@research.staffs.ac.uk</w:t>
        </w:r>
      </w:hyperlink>
    </w:p>
    <w:p w14:paraId="35EC1020" w14:textId="77777777" w:rsidR="00572E3D" w:rsidRPr="00463B92" w:rsidRDefault="00572E3D" w:rsidP="00572E3D">
      <w:pPr>
        <w:spacing w:after="0" w:line="240" w:lineRule="auto"/>
      </w:pPr>
      <w:r>
        <w:rPr>
          <w:i/>
        </w:rPr>
        <w:t xml:space="preserve">PhD student in psychology, Staffordshire University </w:t>
      </w:r>
    </w:p>
    <w:p w14:paraId="3C336847" w14:textId="77777777" w:rsidR="00572E3D" w:rsidRDefault="00572E3D" w:rsidP="00572E3D">
      <w:pPr>
        <w:spacing w:after="0" w:line="240" w:lineRule="auto"/>
      </w:pPr>
      <w:r>
        <w:t>01782 294121</w:t>
      </w:r>
    </w:p>
    <w:p w14:paraId="1B343EAB" w14:textId="77777777" w:rsidR="00572E3D" w:rsidRPr="00463B92" w:rsidRDefault="00572E3D" w:rsidP="00572E3D">
      <w:pPr>
        <w:spacing w:after="0" w:line="240" w:lineRule="auto"/>
        <w:rPr>
          <w:u w:val="single"/>
        </w:rPr>
      </w:pPr>
    </w:p>
    <w:p w14:paraId="3E54D58D" w14:textId="77777777" w:rsidR="00572E3D" w:rsidRDefault="00572E3D" w:rsidP="00572E3D">
      <w:pPr>
        <w:spacing w:after="0" w:line="240" w:lineRule="auto"/>
        <w:ind w:firstLine="720"/>
      </w:pPr>
    </w:p>
    <w:p w14:paraId="57915B3D" w14:textId="77777777" w:rsidR="00572E3D" w:rsidRPr="00F9619D" w:rsidRDefault="00572E3D" w:rsidP="00572E3D">
      <w:pPr>
        <w:spacing w:after="0" w:line="240" w:lineRule="auto"/>
      </w:pPr>
      <w:r w:rsidRPr="00F9619D">
        <w:t xml:space="preserve">Dr. Robert Dempsey </w:t>
      </w:r>
    </w:p>
    <w:p w14:paraId="7E6604E7" w14:textId="77777777" w:rsidR="00572E3D" w:rsidRPr="00F9619D" w:rsidRDefault="00322DCE" w:rsidP="00572E3D">
      <w:pPr>
        <w:spacing w:after="0" w:line="240" w:lineRule="auto"/>
      </w:pPr>
      <w:hyperlink r:id="rId126" w:history="1">
        <w:r w:rsidR="00572E3D" w:rsidRPr="00F9619D">
          <w:rPr>
            <w:rStyle w:val="Hyperlink"/>
          </w:rPr>
          <w:t>robert.dempsey@staffs.ac.uk</w:t>
        </w:r>
      </w:hyperlink>
    </w:p>
    <w:p w14:paraId="2AD718A4" w14:textId="77777777" w:rsidR="00572E3D" w:rsidRPr="00F9619D" w:rsidRDefault="00572E3D" w:rsidP="00572E3D">
      <w:pPr>
        <w:spacing w:after="0" w:line="240" w:lineRule="auto"/>
        <w:rPr>
          <w:i/>
        </w:rPr>
      </w:pPr>
      <w:r>
        <w:rPr>
          <w:i/>
        </w:rPr>
        <w:t xml:space="preserve">Senior </w:t>
      </w:r>
      <w:r w:rsidRPr="00F9619D">
        <w:rPr>
          <w:i/>
        </w:rPr>
        <w:t xml:space="preserve">Lecturer at Staffordshire University </w:t>
      </w:r>
    </w:p>
    <w:p w14:paraId="18D915D6" w14:textId="77777777" w:rsidR="00572E3D" w:rsidRPr="00BB7D17" w:rsidRDefault="00572E3D" w:rsidP="00572E3D">
      <w:pPr>
        <w:spacing w:after="0" w:line="240" w:lineRule="auto"/>
        <w:rPr>
          <w:lang w:val="it-IT"/>
        </w:rPr>
      </w:pPr>
    </w:p>
    <w:p w14:paraId="5B276671" w14:textId="77777777" w:rsidR="00572E3D" w:rsidRPr="00BB7D17" w:rsidRDefault="00572E3D" w:rsidP="00572E3D">
      <w:pPr>
        <w:spacing w:after="0" w:line="240" w:lineRule="auto"/>
        <w:rPr>
          <w:lang w:val="it-IT"/>
        </w:rPr>
      </w:pPr>
      <w:r w:rsidRPr="00BB7D17">
        <w:rPr>
          <w:lang w:val="it-IT"/>
        </w:rPr>
        <w:t xml:space="preserve">Dr. Rachel Povey </w:t>
      </w:r>
    </w:p>
    <w:p w14:paraId="1191E3A1" w14:textId="77777777" w:rsidR="00572E3D" w:rsidRPr="00BB7D17" w:rsidRDefault="00322DCE" w:rsidP="00572E3D">
      <w:pPr>
        <w:spacing w:after="0" w:line="240" w:lineRule="auto"/>
        <w:rPr>
          <w:lang w:val="it-IT"/>
        </w:rPr>
      </w:pPr>
      <w:hyperlink r:id="rId127" w:history="1">
        <w:r w:rsidR="00572E3D" w:rsidRPr="00BB7D17">
          <w:rPr>
            <w:rStyle w:val="Hyperlink"/>
            <w:lang w:val="it-IT"/>
          </w:rPr>
          <w:t>r.povey@staffs.ac.uk</w:t>
        </w:r>
      </w:hyperlink>
    </w:p>
    <w:p w14:paraId="24D66484" w14:textId="77777777" w:rsidR="00572E3D" w:rsidRPr="00F9619D" w:rsidRDefault="00572E3D" w:rsidP="00572E3D">
      <w:pPr>
        <w:spacing w:after="0" w:line="240" w:lineRule="auto"/>
        <w:rPr>
          <w:i/>
        </w:rPr>
      </w:pPr>
      <w:r>
        <w:rPr>
          <w:i/>
        </w:rPr>
        <w:t>Associated Professor</w:t>
      </w:r>
      <w:r w:rsidRPr="00F9619D">
        <w:rPr>
          <w:i/>
        </w:rPr>
        <w:t xml:space="preserve"> at Staffordshire University </w:t>
      </w:r>
    </w:p>
    <w:p w14:paraId="4FDAEB4D" w14:textId="77777777" w:rsidR="00572E3D" w:rsidRPr="00FF6E28" w:rsidRDefault="00572E3D" w:rsidP="00572E3D">
      <w:pPr>
        <w:rPr>
          <w:color w:val="000000" w:themeColor="text1"/>
        </w:rPr>
      </w:pPr>
    </w:p>
    <w:p w14:paraId="1C81D087" w14:textId="77777777" w:rsidR="00572E3D" w:rsidRPr="00934886" w:rsidRDefault="00572E3D" w:rsidP="00572E3D">
      <w:pPr>
        <w:rPr>
          <w:rFonts w:ascii="Calibri" w:eastAsia="Calibri" w:hAnsi="Calibri" w:cs="Times New Roman"/>
          <w:b/>
        </w:rPr>
      </w:pPr>
      <w:r w:rsidRPr="00FF6E28">
        <w:rPr>
          <w:rFonts w:ascii="Calibri" w:eastAsia="Calibri" w:hAnsi="Calibri" w:cs="Times New Roman"/>
          <w:b/>
          <w:noProof/>
          <w:color w:val="000000" w:themeColor="text1"/>
        </w:rPr>
        <w:drawing>
          <wp:anchor distT="0" distB="0" distL="114300" distR="114300" simplePos="0" relativeHeight="251678720" behindDoc="1" locked="0" layoutInCell="1" allowOverlap="1" wp14:anchorId="36CE62FC" wp14:editId="26B839DC">
            <wp:simplePos x="0" y="0"/>
            <wp:positionH relativeFrom="column">
              <wp:posOffset>3924300</wp:posOffset>
            </wp:positionH>
            <wp:positionV relativeFrom="paragraph">
              <wp:posOffset>349885</wp:posOffset>
            </wp:positionV>
            <wp:extent cx="1505585" cy="1335405"/>
            <wp:effectExtent l="0" t="0" r="0" b="0"/>
            <wp:wrapTight wrapText="bothSides">
              <wp:wrapPolygon edited="0">
                <wp:start x="0" y="0"/>
                <wp:lineTo x="0" y="21261"/>
                <wp:lineTo x="21318" y="21261"/>
                <wp:lineTo x="21318" y="0"/>
                <wp:lineTo x="0" y="0"/>
              </wp:wrapPolygon>
            </wp:wrapTight>
            <wp:docPr id="200" name="Picture 2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Logo, company name&#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05585" cy="1335405"/>
                    </a:xfrm>
                    <a:prstGeom prst="rect">
                      <a:avLst/>
                    </a:prstGeom>
                    <a:noFill/>
                  </pic:spPr>
                </pic:pic>
              </a:graphicData>
            </a:graphic>
          </wp:anchor>
        </w:drawing>
      </w:r>
      <w:r w:rsidRPr="00FF6E28">
        <w:rPr>
          <w:rFonts w:ascii="Calibri" w:eastAsia="Calibri" w:hAnsi="Calibri" w:cs="Times New Roman"/>
          <w:b/>
          <w:color w:val="000000" w:themeColor="text1"/>
        </w:rPr>
        <w:t xml:space="preserve">Contact details if you have any concerns about anything that has been discussed: </w:t>
      </w:r>
      <w:r w:rsidRPr="00FF6E28">
        <w:rPr>
          <w:noProof/>
          <w:color w:val="000000" w:themeColor="text1"/>
        </w:rPr>
        <w:drawing>
          <wp:anchor distT="0" distB="0" distL="114300" distR="114300" simplePos="0" relativeHeight="251677696" behindDoc="1" locked="0" layoutInCell="1" allowOverlap="1" wp14:anchorId="04907E5F" wp14:editId="364CC6FF">
            <wp:simplePos x="0" y="0"/>
            <wp:positionH relativeFrom="column">
              <wp:posOffset>-19050</wp:posOffset>
            </wp:positionH>
            <wp:positionV relativeFrom="paragraph">
              <wp:posOffset>435610</wp:posOffset>
            </wp:positionV>
            <wp:extent cx="2114550" cy="1238250"/>
            <wp:effectExtent l="0" t="0" r="0" b="0"/>
            <wp:wrapTight wrapText="bothSides">
              <wp:wrapPolygon edited="0">
                <wp:start x="0" y="0"/>
                <wp:lineTo x="0" y="21268"/>
                <wp:lineTo x="21405" y="21268"/>
                <wp:lineTo x="21405" y="0"/>
                <wp:lineTo x="0" y="0"/>
              </wp:wrapPolygon>
            </wp:wrapTight>
            <wp:docPr id="211" name="Picture 2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clipart&#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2114550" cy="1238250"/>
                    </a:xfrm>
                    <a:prstGeom prst="rect">
                      <a:avLst/>
                    </a:prstGeom>
                  </pic:spPr>
                </pic:pic>
              </a:graphicData>
            </a:graphic>
            <wp14:sizeRelH relativeFrom="margin">
              <wp14:pctWidth>0</wp14:pctWidth>
            </wp14:sizeRelH>
          </wp:anchor>
        </w:drawing>
      </w:r>
      <w:r w:rsidRPr="00FF6E28">
        <w:rPr>
          <w:rFonts w:ascii="Calibri" w:eastAsia="Calibri" w:hAnsi="Calibri" w:cs="Times New Roman"/>
          <w:b/>
          <w:color w:val="000000" w:themeColor="text1"/>
        </w:rPr>
        <w:t>-</w:t>
      </w:r>
      <w:r>
        <w:br w:type="page"/>
      </w:r>
    </w:p>
    <w:p w14:paraId="3B297F91" w14:textId="77777777" w:rsidR="00572E3D" w:rsidRDefault="00572E3D" w:rsidP="00572E3D">
      <w:pPr>
        <w:pStyle w:val="appppppp"/>
      </w:pPr>
    </w:p>
    <w:bookmarkStart w:id="403" w:name="_Toc84845198"/>
    <w:bookmarkStart w:id="404" w:name="_Toc84854209"/>
    <w:p w14:paraId="420FC42E" w14:textId="12E87F6B" w:rsidR="00572E3D" w:rsidRPr="00265133" w:rsidRDefault="00572E3D" w:rsidP="00572E3D">
      <w:r w:rsidRPr="00E272EB">
        <w:fldChar w:fldCharType="begin"/>
      </w:r>
      <w:r w:rsidRPr="00E272EB">
        <w:instrText xml:space="preserve"> TC  " </w:instrText>
      </w:r>
      <w:bookmarkStart w:id="405" w:name="_Toc97557187"/>
      <w:r w:rsidRPr="00265133">
        <w:instrText xml:space="preserve">Appendix </w:instrText>
      </w:r>
      <w:r w:rsidR="00CD5FF3">
        <w:instrText>3</w:instrText>
      </w:r>
      <w:r w:rsidR="00742498">
        <w:instrText>5</w:instrText>
      </w:r>
      <w:r w:rsidRPr="00265133">
        <w:instrText xml:space="preserve">: </w:instrText>
      </w:r>
      <w:r>
        <w:instrText>Teachers invitation letter</w:instrText>
      </w:r>
      <w:r w:rsidRPr="00265133">
        <w:instrText xml:space="preserve"> (Study </w:instrText>
      </w:r>
      <w:r w:rsidR="005930C3">
        <w:instrText>Four</w:instrText>
      </w:r>
      <w:r>
        <w:instrText>, Chapter 9)</w:instrText>
      </w:r>
      <w:bookmarkEnd w:id="405"/>
      <w:r w:rsidRPr="00E272EB">
        <w:instrText xml:space="preserve">" \f y\l </w:instrText>
      </w:r>
      <w:r>
        <w:instrText>2</w:instrText>
      </w:r>
      <w:r w:rsidRPr="00E272EB">
        <w:instrText xml:space="preserve"> </w:instrText>
      </w:r>
      <w:r w:rsidRPr="00E272EB">
        <w:fldChar w:fldCharType="end"/>
      </w:r>
      <w:r w:rsidRPr="00265133">
        <w:rPr>
          <w:noProof/>
        </w:rPr>
        <w:drawing>
          <wp:anchor distT="0" distB="0" distL="114300" distR="114300" simplePos="0" relativeHeight="251679744" behindDoc="1" locked="0" layoutInCell="1" allowOverlap="1" wp14:anchorId="3A7AFF3A" wp14:editId="1B9E1EB4">
            <wp:simplePos x="0" y="0"/>
            <wp:positionH relativeFrom="column">
              <wp:posOffset>4914900</wp:posOffset>
            </wp:positionH>
            <wp:positionV relativeFrom="paragraph">
              <wp:posOffset>62049</wp:posOffset>
            </wp:positionV>
            <wp:extent cx="969645" cy="1103630"/>
            <wp:effectExtent l="0" t="0" r="1905" b="1270"/>
            <wp:wrapThrough wrapText="bothSides">
              <wp:wrapPolygon edited="0">
                <wp:start x="0" y="0"/>
                <wp:lineTo x="0" y="21252"/>
                <wp:lineTo x="21218" y="21252"/>
                <wp:lineTo x="21218" y="0"/>
                <wp:lineTo x="0" y="0"/>
              </wp:wrapPolygon>
            </wp:wrapThrough>
            <wp:docPr id="201" name="Picture 201"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anchor>
        </w:drawing>
      </w:r>
      <w:r w:rsidRPr="00265133">
        <w:t xml:space="preserve">Appendix </w:t>
      </w:r>
      <w:r w:rsidR="00CD5FF3">
        <w:t>3</w:t>
      </w:r>
      <w:r w:rsidR="00742498">
        <w:t>5</w:t>
      </w:r>
      <w:r w:rsidRPr="00265133">
        <w:t xml:space="preserve">: Teacher’s invitation letter (Study </w:t>
      </w:r>
      <w:r w:rsidR="005930C3">
        <w:t>Four</w:t>
      </w:r>
      <w:r w:rsidRPr="00265133">
        <w:t>, Chapter 9)</w:t>
      </w:r>
      <w:bookmarkEnd w:id="403"/>
      <w:bookmarkEnd w:id="404"/>
      <w:r w:rsidRPr="00265133">
        <w:tab/>
      </w:r>
    </w:p>
    <w:p w14:paraId="71E5DEC4" w14:textId="77777777" w:rsidR="00572E3D" w:rsidRPr="005058D6" w:rsidRDefault="00572E3D" w:rsidP="00572E3D">
      <w:pPr>
        <w:jc w:val="center"/>
        <w:rPr>
          <w:b/>
          <w:sz w:val="32"/>
          <w:szCs w:val="32"/>
          <w:u w:val="single"/>
        </w:rPr>
      </w:pPr>
    </w:p>
    <w:p w14:paraId="1A9FFF0A" w14:textId="77777777" w:rsidR="00572E3D" w:rsidRPr="005058D6" w:rsidRDefault="00572E3D" w:rsidP="00572E3D">
      <w:pPr>
        <w:jc w:val="center"/>
        <w:rPr>
          <w:b/>
          <w:sz w:val="32"/>
          <w:szCs w:val="32"/>
          <w:u w:val="single"/>
        </w:rPr>
      </w:pPr>
    </w:p>
    <w:p w14:paraId="0707E399" w14:textId="77777777" w:rsidR="00572E3D" w:rsidRDefault="00572E3D" w:rsidP="00572E3D">
      <w:pPr>
        <w:jc w:val="center"/>
        <w:rPr>
          <w:b/>
          <w:sz w:val="32"/>
          <w:szCs w:val="32"/>
          <w:u w:val="single"/>
        </w:rPr>
      </w:pPr>
    </w:p>
    <w:p w14:paraId="54B32A90" w14:textId="77777777" w:rsidR="00572E3D" w:rsidRDefault="00572E3D" w:rsidP="00572E3D">
      <w:pPr>
        <w:jc w:val="center"/>
        <w:rPr>
          <w:b/>
          <w:sz w:val="32"/>
          <w:szCs w:val="32"/>
          <w:u w:val="single"/>
        </w:rPr>
      </w:pPr>
      <w:r w:rsidRPr="005058D6">
        <w:rPr>
          <w:b/>
          <w:sz w:val="32"/>
          <w:szCs w:val="32"/>
          <w:u w:val="single"/>
        </w:rPr>
        <w:t xml:space="preserve">Information </w:t>
      </w:r>
      <w:r>
        <w:rPr>
          <w:b/>
          <w:sz w:val="32"/>
          <w:szCs w:val="32"/>
          <w:u w:val="single"/>
        </w:rPr>
        <w:t>letter</w:t>
      </w:r>
      <w:r w:rsidRPr="005058D6">
        <w:rPr>
          <w:b/>
          <w:sz w:val="32"/>
          <w:szCs w:val="32"/>
          <w:u w:val="single"/>
        </w:rPr>
        <w:t xml:space="preserve"> for teachers </w:t>
      </w:r>
    </w:p>
    <w:p w14:paraId="7874C92D" w14:textId="77777777" w:rsidR="00572E3D" w:rsidRPr="0063305B" w:rsidRDefault="00572E3D" w:rsidP="00572E3D">
      <w:pPr>
        <w:spacing w:before="100" w:after="200" w:line="276" w:lineRule="auto"/>
        <w:rPr>
          <w:rFonts w:ascii="Calibri" w:eastAsia="Times New Roman" w:hAnsi="Calibri" w:cs="Times New Roman"/>
          <w:b/>
          <w:sz w:val="24"/>
          <w:szCs w:val="24"/>
        </w:rPr>
      </w:pPr>
      <w:r w:rsidRPr="0063305B">
        <w:rPr>
          <w:rFonts w:ascii="Calibri" w:eastAsia="Times New Roman" w:hAnsi="Calibri" w:cs="Times New Roman"/>
          <w:b/>
          <w:sz w:val="24"/>
          <w:szCs w:val="24"/>
        </w:rPr>
        <w:t xml:space="preserve">Dear </w:t>
      </w:r>
      <w:r>
        <w:rPr>
          <w:rFonts w:ascii="Calibri" w:eastAsia="Times New Roman" w:hAnsi="Calibri" w:cs="Times New Roman"/>
          <w:b/>
          <w:sz w:val="24"/>
          <w:szCs w:val="24"/>
        </w:rPr>
        <w:t>Teacher</w:t>
      </w:r>
      <w:r w:rsidRPr="0063305B">
        <w:rPr>
          <w:rFonts w:ascii="Calibri" w:eastAsia="Times New Roman" w:hAnsi="Calibri" w:cs="Times New Roman"/>
          <w:b/>
          <w:sz w:val="24"/>
          <w:szCs w:val="24"/>
        </w:rPr>
        <w:t xml:space="preserve">,   </w:t>
      </w:r>
    </w:p>
    <w:p w14:paraId="3356AEA5" w14:textId="5BA5D9F4" w:rsidR="00572E3D" w:rsidRPr="00843E44" w:rsidRDefault="00572E3D" w:rsidP="00572E3D">
      <w:pPr>
        <w:spacing w:before="100" w:after="200" w:line="276" w:lineRule="auto"/>
        <w:jc w:val="both"/>
        <w:rPr>
          <w:rFonts w:ascii="Calibri" w:eastAsia="Times New Roman" w:hAnsi="Calibri" w:cs="Times New Roman"/>
        </w:rPr>
      </w:pPr>
      <w:r w:rsidRPr="0063305B">
        <w:rPr>
          <w:rFonts w:ascii="Calibri" w:eastAsia="Times New Roman" w:hAnsi="Calibri" w:cs="Times New Roman"/>
        </w:rPr>
        <w:t>My name is Sian Calvert</w:t>
      </w:r>
      <w:r>
        <w:rPr>
          <w:rFonts w:ascii="Calibri" w:eastAsia="Times New Roman" w:hAnsi="Calibri" w:cs="Times New Roman"/>
        </w:rPr>
        <w:t>,</w:t>
      </w:r>
      <w:r w:rsidRPr="0063305B">
        <w:rPr>
          <w:rFonts w:ascii="Calibri" w:eastAsia="Times New Roman" w:hAnsi="Calibri" w:cs="Times New Roman"/>
        </w:rPr>
        <w:t xml:space="preserve"> I am currently undertaking my PhD in </w:t>
      </w:r>
      <w:r>
        <w:rPr>
          <w:rFonts w:ascii="Calibri" w:eastAsia="Times New Roman" w:hAnsi="Calibri" w:cs="Times New Roman"/>
        </w:rPr>
        <w:t>P</w:t>
      </w:r>
      <w:r w:rsidRPr="00E17CEC">
        <w:rPr>
          <w:rFonts w:ascii="Calibri" w:eastAsia="Times New Roman" w:hAnsi="Calibri" w:cs="Times New Roman"/>
        </w:rPr>
        <w:t xml:space="preserve">sychology at Staffordshire University, </w:t>
      </w:r>
      <w:r>
        <w:rPr>
          <w:rFonts w:ascii="Calibri" w:eastAsia="Times New Roman" w:hAnsi="Calibri" w:cs="Times New Roman"/>
        </w:rPr>
        <w:t>and I have</w:t>
      </w:r>
      <w:r w:rsidRPr="00E17CEC">
        <w:rPr>
          <w:rFonts w:ascii="Calibri" w:eastAsia="Times New Roman" w:hAnsi="Calibri" w:cs="Times New Roman"/>
        </w:rPr>
        <w:t xml:space="preserve"> a particular interest in c</w:t>
      </w:r>
      <w:r w:rsidRPr="0006599E">
        <w:rPr>
          <w:rFonts w:ascii="Calibri" w:eastAsia="Times New Roman" w:hAnsi="Calibri" w:cs="Times New Roman"/>
        </w:rPr>
        <w:t xml:space="preserve">hildren’s eating behaviours.  I am contacting you to ask if you would be willing to </w:t>
      </w:r>
      <w:r w:rsidR="0006599E" w:rsidRPr="0006599E">
        <w:rPr>
          <w:rFonts w:ascii="Calibri" w:eastAsia="Times New Roman" w:hAnsi="Calibri" w:cs="Times New Roman"/>
        </w:rPr>
        <w:t>provide</w:t>
      </w:r>
      <w:r w:rsidRPr="0006599E">
        <w:rPr>
          <w:rFonts w:ascii="Calibri" w:eastAsia="Times New Roman" w:hAnsi="Calibri" w:cs="Times New Roman"/>
        </w:rPr>
        <w:t xml:space="preserve"> feedback </w:t>
      </w:r>
      <w:r w:rsidRPr="0006599E">
        <w:t>on your views and experiences of delivering a poster-making session.</w:t>
      </w:r>
    </w:p>
    <w:p w14:paraId="1F76CDFB" w14:textId="77777777" w:rsidR="00572E3D" w:rsidRPr="005058D6" w:rsidRDefault="00572E3D" w:rsidP="00572E3D">
      <w:pPr>
        <w:jc w:val="both"/>
        <w:rPr>
          <w:b/>
        </w:rPr>
      </w:pPr>
      <w:r w:rsidRPr="005058D6">
        <w:rPr>
          <w:b/>
        </w:rPr>
        <w:t>What is involved in taking part in this research?</w:t>
      </w:r>
    </w:p>
    <w:p w14:paraId="2BC8C816" w14:textId="77777777" w:rsidR="00572E3D" w:rsidRPr="005058D6" w:rsidRDefault="00572E3D" w:rsidP="00572E3D">
      <w:pPr>
        <w:jc w:val="both"/>
      </w:pPr>
      <w:r w:rsidRPr="005058D6">
        <w:t xml:space="preserve">The aim of this research is to investigate your views on </w:t>
      </w:r>
      <w:r>
        <w:t>delivering a healthy eating poster-making session.</w:t>
      </w:r>
      <w:r w:rsidRPr="005058D6">
        <w:t xml:space="preserve"> To</w:t>
      </w:r>
      <w:r>
        <w:t xml:space="preserve"> investigate this, you are being asked to complete a short questionnaire about your experiences delivering the session. </w:t>
      </w:r>
      <w:r w:rsidRPr="005058D6">
        <w:t xml:space="preserve"> The </w:t>
      </w:r>
      <w:r>
        <w:t>questionnaire</w:t>
      </w:r>
      <w:r w:rsidRPr="005058D6">
        <w:t xml:space="preserve"> </w:t>
      </w:r>
      <w:r>
        <w:t>will take no longer than 15 minutes</w:t>
      </w:r>
      <w:r w:rsidRPr="005058D6">
        <w:t xml:space="preserve">. </w:t>
      </w:r>
      <w:r>
        <w:t>Completing the questionnaire is voluntary, and you</w:t>
      </w:r>
      <w:r w:rsidRPr="005058D6">
        <w:t xml:space="preserve"> may withdraw </w:t>
      </w:r>
      <w:r>
        <w:t xml:space="preserve">your data up to 2 weeks after date of collection. </w:t>
      </w:r>
    </w:p>
    <w:p w14:paraId="50B0CCC8" w14:textId="77777777" w:rsidR="00572E3D" w:rsidRPr="005058D6" w:rsidRDefault="00572E3D" w:rsidP="00572E3D">
      <w:pPr>
        <w:rPr>
          <w:b/>
        </w:rPr>
      </w:pPr>
      <w:r w:rsidRPr="005058D6">
        <w:rPr>
          <w:b/>
        </w:rPr>
        <w:t>What will happen to my data?</w:t>
      </w:r>
    </w:p>
    <w:p w14:paraId="29ACF7DD" w14:textId="77777777" w:rsidR="00572E3D" w:rsidRDefault="00572E3D" w:rsidP="00572E3D">
      <w:pPr>
        <w:jc w:val="both"/>
      </w:pPr>
      <w:r w:rsidRPr="005058D6">
        <w:t xml:space="preserve">The </w:t>
      </w:r>
      <w:r>
        <w:t xml:space="preserve">questionnaires’ data will be consolidated and be analysed to understand your experiences of delivering a healthy eating poster-making session.  </w:t>
      </w:r>
      <w:r w:rsidRPr="005058D6">
        <w:t xml:space="preserve"> All information is confidential and will be kept securely at Staffordshire University and only the research team working on this project will have access to the raw data; it will not be passed on to any third parties. </w:t>
      </w:r>
      <w:r>
        <w:t xml:space="preserve">  The information gained will be used in the development of future healthy eating campaigns.</w:t>
      </w:r>
    </w:p>
    <w:p w14:paraId="6BAD9FA4" w14:textId="77777777" w:rsidR="00572E3D" w:rsidRPr="00602BB1" w:rsidRDefault="00572E3D" w:rsidP="00572E3D">
      <w:pPr>
        <w:spacing w:before="100" w:after="200" w:line="276" w:lineRule="auto"/>
        <w:jc w:val="both"/>
        <w:rPr>
          <w:rFonts w:ascii="Calibri" w:eastAsia="Times New Roman" w:hAnsi="Calibri" w:cs="Times New Roman"/>
          <w:b/>
        </w:rPr>
      </w:pPr>
      <w:r w:rsidRPr="00602BB1">
        <w:rPr>
          <w:rFonts w:ascii="Calibri" w:eastAsia="Times New Roman" w:hAnsi="Calibri" w:cs="Times New Roman"/>
          <w:b/>
        </w:rPr>
        <w:t>Has this research been approved?</w:t>
      </w:r>
    </w:p>
    <w:p w14:paraId="6E670652" w14:textId="6D88B18B" w:rsidR="00572E3D" w:rsidRPr="005058D6" w:rsidRDefault="00572E3D" w:rsidP="0006599E">
      <w:pPr>
        <w:jc w:val="both"/>
      </w:pPr>
      <w:r w:rsidRPr="00602BB1">
        <w:rPr>
          <w:rFonts w:ascii="Calibri" w:eastAsia="Times New Roman" w:hAnsi="Calibri" w:cs="Times New Roman"/>
        </w:rPr>
        <w:t>The res</w:t>
      </w:r>
      <w:r w:rsidRPr="006B6E32">
        <w:rPr>
          <w:rFonts w:ascii="Calibri" w:eastAsia="Times New Roman" w:hAnsi="Calibri" w:cs="Times New Roman"/>
          <w:color w:val="000000" w:themeColor="text1"/>
        </w:rPr>
        <w:t>earch has been approved by the Staffordshire University Ethics Committee. Only the</w:t>
      </w:r>
      <w:r w:rsidRPr="00602BB1">
        <w:rPr>
          <w:rFonts w:ascii="Calibri" w:eastAsia="Times New Roman" w:hAnsi="Calibri" w:cs="Times New Roman"/>
        </w:rPr>
        <w:t xml:space="preserve"> research team at Staffordshire University will have access to the data and it will not be passed onto third parties.  </w:t>
      </w:r>
      <w:r w:rsidRPr="005058D6">
        <w:t xml:space="preserve">If you have any questions, I am happy to answer </w:t>
      </w:r>
      <w:r>
        <w:t>them</w:t>
      </w:r>
      <w:r w:rsidRPr="005058D6">
        <w:t xml:space="preserve"> before </w:t>
      </w:r>
      <w:r>
        <w:t>you complete the questionnaire</w:t>
      </w:r>
      <w:r w:rsidRPr="005058D6">
        <w:t>, or alternatively you can contact me on the details below.</w:t>
      </w:r>
    </w:p>
    <w:p w14:paraId="016A638A" w14:textId="77777777" w:rsidR="00572E3D" w:rsidRPr="005058D6" w:rsidRDefault="00572E3D" w:rsidP="00572E3D">
      <w:pPr>
        <w:spacing w:after="0"/>
      </w:pPr>
    </w:p>
    <w:p w14:paraId="69796066" w14:textId="77777777" w:rsidR="00572E3D" w:rsidRPr="005058D6" w:rsidRDefault="00572E3D" w:rsidP="00572E3D">
      <w:pPr>
        <w:spacing w:after="0"/>
      </w:pPr>
      <w:r w:rsidRPr="005058D6">
        <w:t>Th</w:t>
      </w:r>
      <w:r>
        <w:t>ank you for your participation,</w:t>
      </w:r>
    </w:p>
    <w:p w14:paraId="70741CE4" w14:textId="77777777" w:rsidR="00572E3D" w:rsidRPr="005058D6" w:rsidRDefault="00572E3D" w:rsidP="00572E3D">
      <w:pPr>
        <w:spacing w:after="0"/>
      </w:pPr>
    </w:p>
    <w:p w14:paraId="31855B74" w14:textId="77777777" w:rsidR="00572E3D" w:rsidRPr="00BB7D17" w:rsidRDefault="00572E3D" w:rsidP="00572E3D">
      <w:pPr>
        <w:spacing w:after="0" w:line="240" w:lineRule="auto"/>
        <w:rPr>
          <w:lang w:val="it-IT"/>
        </w:rPr>
      </w:pPr>
      <w:r w:rsidRPr="00BB7D17">
        <w:rPr>
          <w:lang w:val="it-IT"/>
        </w:rPr>
        <w:t>Sian Calvert</w:t>
      </w:r>
    </w:p>
    <w:p w14:paraId="64123819" w14:textId="77777777" w:rsidR="00572E3D" w:rsidRPr="00BB7D17" w:rsidRDefault="00322DCE" w:rsidP="00572E3D">
      <w:pPr>
        <w:spacing w:after="0" w:line="240" w:lineRule="auto"/>
        <w:rPr>
          <w:color w:val="0563C1" w:themeColor="hyperlink"/>
          <w:u w:val="single"/>
          <w:lang w:val="it-IT"/>
        </w:rPr>
      </w:pPr>
      <w:hyperlink r:id="rId130" w:history="1">
        <w:r w:rsidR="00572E3D" w:rsidRPr="00BB7D17">
          <w:rPr>
            <w:color w:val="0563C1" w:themeColor="hyperlink"/>
            <w:u w:val="single"/>
            <w:lang w:val="it-IT"/>
          </w:rPr>
          <w:t>Sian.calvert@research.staffs.ac.uk</w:t>
        </w:r>
      </w:hyperlink>
    </w:p>
    <w:p w14:paraId="7E48EC53" w14:textId="67AE6553" w:rsidR="004B3A7C" w:rsidRDefault="00572E3D" w:rsidP="00572E3D">
      <w:pPr>
        <w:spacing w:after="0" w:line="240" w:lineRule="auto"/>
        <w:rPr>
          <w:i/>
        </w:rPr>
      </w:pPr>
      <w:r>
        <w:rPr>
          <w:i/>
        </w:rPr>
        <w:t xml:space="preserve">PhD student in psychology, </w:t>
      </w:r>
      <w:r w:rsidRPr="005058D6">
        <w:rPr>
          <w:i/>
        </w:rPr>
        <w:t>Staffordshire University</w:t>
      </w:r>
    </w:p>
    <w:p w14:paraId="28720FF9" w14:textId="77777777" w:rsidR="004B3A7C" w:rsidRDefault="004B3A7C" w:rsidP="00572E3D">
      <w:pPr>
        <w:spacing w:after="0" w:line="240" w:lineRule="auto"/>
        <w:rPr>
          <w:i/>
        </w:rPr>
      </w:pPr>
    </w:p>
    <w:p w14:paraId="5E90057F" w14:textId="77777777" w:rsidR="004B3A7C" w:rsidRDefault="004B3A7C" w:rsidP="004B3A7C">
      <w:pPr>
        <w:spacing w:after="0" w:line="240" w:lineRule="auto"/>
        <w:sectPr w:rsidR="004B3A7C" w:rsidSect="008E337A">
          <w:type w:val="continuous"/>
          <w:pgSz w:w="11906" w:h="16838"/>
          <w:pgMar w:top="709" w:right="991" w:bottom="1440" w:left="1440" w:header="708" w:footer="708" w:gutter="0"/>
          <w:cols w:space="708"/>
          <w:docGrid w:linePitch="360"/>
        </w:sectPr>
      </w:pPr>
    </w:p>
    <w:p w14:paraId="4E9F156D" w14:textId="3EF88195" w:rsidR="004B3A7C" w:rsidRPr="00F9619D" w:rsidRDefault="004B3A7C" w:rsidP="004B3A7C">
      <w:pPr>
        <w:spacing w:after="0" w:line="240" w:lineRule="auto"/>
      </w:pPr>
      <w:r w:rsidRPr="00F9619D">
        <w:t xml:space="preserve">Dr. Robert Dempsey </w:t>
      </w:r>
    </w:p>
    <w:p w14:paraId="4805D861" w14:textId="77777777" w:rsidR="004B3A7C" w:rsidRPr="00F9619D" w:rsidRDefault="00322DCE" w:rsidP="004B3A7C">
      <w:pPr>
        <w:spacing w:after="0" w:line="240" w:lineRule="auto"/>
      </w:pPr>
      <w:hyperlink r:id="rId131" w:history="1">
        <w:r w:rsidR="004B3A7C" w:rsidRPr="00F9619D">
          <w:rPr>
            <w:rStyle w:val="Hyperlink"/>
          </w:rPr>
          <w:t>robert.dempsey@staffs.ac.uk</w:t>
        </w:r>
      </w:hyperlink>
    </w:p>
    <w:p w14:paraId="234ADCA7" w14:textId="77777777" w:rsidR="004B3A7C" w:rsidRPr="00F9619D" w:rsidRDefault="004B3A7C" w:rsidP="004B3A7C">
      <w:pPr>
        <w:spacing w:after="0" w:line="240" w:lineRule="auto"/>
        <w:rPr>
          <w:i/>
        </w:rPr>
      </w:pPr>
      <w:r>
        <w:rPr>
          <w:i/>
        </w:rPr>
        <w:t xml:space="preserve">Senior </w:t>
      </w:r>
      <w:r w:rsidRPr="00F9619D">
        <w:rPr>
          <w:i/>
        </w:rPr>
        <w:t xml:space="preserve">Lecturer at Staffordshire University </w:t>
      </w:r>
    </w:p>
    <w:p w14:paraId="33AD2B08" w14:textId="77777777" w:rsidR="004B3A7C" w:rsidRDefault="004B3A7C" w:rsidP="004B3A7C">
      <w:pPr>
        <w:spacing w:after="0" w:line="240" w:lineRule="auto"/>
        <w:rPr>
          <w:lang w:val="it-IT"/>
        </w:rPr>
      </w:pPr>
    </w:p>
    <w:p w14:paraId="330B0348" w14:textId="22B277DD" w:rsidR="004B3A7C" w:rsidRPr="00BB7D17" w:rsidRDefault="004B3A7C" w:rsidP="004B3A7C">
      <w:pPr>
        <w:spacing w:after="0" w:line="240" w:lineRule="auto"/>
        <w:rPr>
          <w:lang w:val="it-IT"/>
        </w:rPr>
      </w:pPr>
      <w:r w:rsidRPr="00BB7D17">
        <w:rPr>
          <w:lang w:val="it-IT"/>
        </w:rPr>
        <w:t xml:space="preserve">Dr. Rachel Povey </w:t>
      </w:r>
    </w:p>
    <w:p w14:paraId="4889B740" w14:textId="77777777" w:rsidR="004B3A7C" w:rsidRPr="00BB7D17" w:rsidRDefault="00322DCE" w:rsidP="004B3A7C">
      <w:pPr>
        <w:spacing w:after="0" w:line="240" w:lineRule="auto"/>
        <w:rPr>
          <w:lang w:val="it-IT"/>
        </w:rPr>
      </w:pPr>
      <w:hyperlink r:id="rId132" w:history="1">
        <w:r w:rsidR="004B3A7C" w:rsidRPr="00BB7D17">
          <w:rPr>
            <w:rStyle w:val="Hyperlink"/>
            <w:lang w:val="it-IT"/>
          </w:rPr>
          <w:t>r.povey@staffs.ac.uk</w:t>
        </w:r>
      </w:hyperlink>
    </w:p>
    <w:p w14:paraId="01FA0F94" w14:textId="1AE4497D" w:rsidR="004B3A7C" w:rsidRPr="00D55AF5" w:rsidRDefault="004B3A7C" w:rsidP="004B3A7C">
      <w:pPr>
        <w:spacing w:after="0" w:line="240" w:lineRule="auto"/>
        <w:sectPr w:rsidR="004B3A7C" w:rsidRPr="00D55AF5" w:rsidSect="004B3A7C">
          <w:type w:val="continuous"/>
          <w:pgSz w:w="11906" w:h="16838"/>
          <w:pgMar w:top="709" w:right="991" w:bottom="1440" w:left="1440" w:header="708" w:footer="708" w:gutter="0"/>
          <w:cols w:num="2" w:space="708"/>
          <w:docGrid w:linePitch="360"/>
        </w:sectPr>
      </w:pPr>
      <w:r>
        <w:rPr>
          <w:i/>
        </w:rPr>
        <w:t>Associated Professor</w:t>
      </w:r>
      <w:r w:rsidRPr="00F9619D">
        <w:rPr>
          <w:i/>
        </w:rPr>
        <w:t xml:space="preserve"> at Staffordshire University</w:t>
      </w:r>
      <w:r w:rsidRPr="005058D6">
        <w:rPr>
          <w:i/>
        </w:rPr>
        <w:t xml:space="preserve"> </w:t>
      </w:r>
    </w:p>
    <w:p w14:paraId="47A07F3A" w14:textId="77777777" w:rsidR="00572E3D" w:rsidRPr="00BB7D17" w:rsidRDefault="00572E3D" w:rsidP="00572E3D">
      <w:pPr>
        <w:spacing w:after="0" w:line="240" w:lineRule="auto"/>
        <w:rPr>
          <w:lang w:val="it-IT"/>
        </w:rPr>
      </w:pPr>
    </w:p>
    <w:bookmarkStart w:id="406" w:name="_Toc84845199"/>
    <w:bookmarkStart w:id="407" w:name="_Toc84854210"/>
    <w:p w14:paraId="733DB16E" w14:textId="0897F762" w:rsidR="00572E3D" w:rsidRPr="00265133" w:rsidRDefault="00572E3D" w:rsidP="00572E3D">
      <w:r w:rsidRPr="00E272EB">
        <w:fldChar w:fldCharType="begin"/>
      </w:r>
      <w:r w:rsidRPr="00E272EB">
        <w:instrText xml:space="preserve"> TC  " </w:instrText>
      </w:r>
      <w:bookmarkStart w:id="408" w:name="_Toc97557188"/>
      <w:r w:rsidRPr="00265133">
        <w:instrText xml:space="preserve">Appendix </w:instrText>
      </w:r>
      <w:r w:rsidR="00CD5FF3">
        <w:instrText>3</w:instrText>
      </w:r>
      <w:r w:rsidR="00742498">
        <w:instrText>6</w:instrText>
      </w:r>
      <w:r w:rsidRPr="00265133">
        <w:instrText xml:space="preserve">: </w:instrText>
      </w:r>
      <w:r>
        <w:instrText>Teachers consent form</w:instrText>
      </w:r>
      <w:r w:rsidR="00CC0265">
        <w:instrText xml:space="preserve"> </w:instrText>
      </w:r>
      <w:r w:rsidRPr="00265133">
        <w:instrText xml:space="preserve">(Study </w:instrText>
      </w:r>
      <w:r w:rsidR="005930C3">
        <w:instrText>Four</w:instrText>
      </w:r>
      <w:r>
        <w:instrText>, Chapter 9)</w:instrText>
      </w:r>
      <w:bookmarkEnd w:id="408"/>
      <w:r w:rsidRPr="00E272EB">
        <w:instrText xml:space="preserve">" \f y\l </w:instrText>
      </w:r>
      <w:r>
        <w:instrText>2</w:instrText>
      </w:r>
      <w:r w:rsidRPr="00E272EB">
        <w:instrText xml:space="preserve"> </w:instrText>
      </w:r>
      <w:r w:rsidRPr="00E272EB">
        <w:fldChar w:fldCharType="end"/>
      </w:r>
      <w:r w:rsidRPr="00265133">
        <w:t xml:space="preserve">Appendix </w:t>
      </w:r>
      <w:r w:rsidR="00CD5FF3">
        <w:t>3</w:t>
      </w:r>
      <w:r w:rsidR="00742498">
        <w:t>6</w:t>
      </w:r>
      <w:r w:rsidRPr="00265133">
        <w:t xml:space="preserve">: Teachers consent form (Study </w:t>
      </w:r>
      <w:r w:rsidR="005930C3">
        <w:t>Four</w:t>
      </w:r>
      <w:r w:rsidRPr="00265133">
        <w:t>, Chapter 9)</w:t>
      </w:r>
      <w:bookmarkEnd w:id="406"/>
      <w:bookmarkEnd w:id="407"/>
      <w:r w:rsidRPr="00265133">
        <w:tab/>
      </w:r>
    </w:p>
    <w:p w14:paraId="20CCBAB4" w14:textId="77777777" w:rsidR="00572E3D" w:rsidRPr="005058D6" w:rsidRDefault="00572E3D" w:rsidP="00572E3D">
      <w:pPr>
        <w:ind w:right="685"/>
        <w:rPr>
          <w:b/>
          <w:sz w:val="28"/>
          <w:szCs w:val="28"/>
        </w:rPr>
      </w:pPr>
      <w:r>
        <w:rPr>
          <w:rFonts w:ascii="Calibri" w:eastAsia="Calibri" w:hAnsi="Calibri" w:cs="Times New Roman"/>
          <w:b/>
          <w:noProof/>
          <w:sz w:val="32"/>
          <w:szCs w:val="32"/>
          <w:lang w:eastAsia="en-GB"/>
        </w:rPr>
        <w:drawing>
          <wp:anchor distT="0" distB="0" distL="114300" distR="114300" simplePos="0" relativeHeight="251680768" behindDoc="1" locked="0" layoutInCell="1" allowOverlap="1" wp14:anchorId="1C0C8F92" wp14:editId="55A6579D">
            <wp:simplePos x="0" y="0"/>
            <wp:positionH relativeFrom="column">
              <wp:posOffset>5064981</wp:posOffset>
            </wp:positionH>
            <wp:positionV relativeFrom="paragraph">
              <wp:posOffset>70982</wp:posOffset>
            </wp:positionV>
            <wp:extent cx="969645" cy="1103630"/>
            <wp:effectExtent l="0" t="0" r="1905" b="1270"/>
            <wp:wrapTight wrapText="bothSides">
              <wp:wrapPolygon edited="0">
                <wp:start x="0" y="0"/>
                <wp:lineTo x="0" y="21252"/>
                <wp:lineTo x="21218" y="21252"/>
                <wp:lineTo x="21218" y="0"/>
                <wp:lineTo x="0" y="0"/>
              </wp:wrapPolygon>
            </wp:wrapTight>
            <wp:docPr id="202" name="Picture 202"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anchor>
        </w:drawing>
      </w:r>
    </w:p>
    <w:p w14:paraId="69235B0A" w14:textId="77777777" w:rsidR="00572E3D" w:rsidRPr="005058D6" w:rsidRDefault="00572E3D" w:rsidP="00572E3D">
      <w:pPr>
        <w:ind w:right="685"/>
        <w:jc w:val="center"/>
        <w:rPr>
          <w:b/>
          <w:sz w:val="28"/>
          <w:szCs w:val="28"/>
          <w:u w:val="single"/>
        </w:rPr>
      </w:pPr>
    </w:p>
    <w:p w14:paraId="0C686BB2" w14:textId="77777777" w:rsidR="00572E3D" w:rsidRPr="005058D6" w:rsidRDefault="00572E3D" w:rsidP="00572E3D">
      <w:pPr>
        <w:ind w:right="685"/>
        <w:jc w:val="center"/>
        <w:rPr>
          <w:b/>
          <w:sz w:val="28"/>
          <w:szCs w:val="28"/>
          <w:u w:val="single"/>
        </w:rPr>
      </w:pPr>
    </w:p>
    <w:p w14:paraId="72CA3ECF" w14:textId="77777777" w:rsidR="00D55AF5" w:rsidRDefault="00D55AF5" w:rsidP="00572E3D">
      <w:pPr>
        <w:ind w:right="685"/>
        <w:rPr>
          <w:b/>
          <w:sz w:val="24"/>
          <w:szCs w:val="24"/>
        </w:rPr>
      </w:pPr>
    </w:p>
    <w:p w14:paraId="7E0AB22C" w14:textId="08990E67" w:rsidR="00572E3D" w:rsidRPr="005058D6" w:rsidRDefault="00572E3D" w:rsidP="00572E3D">
      <w:pPr>
        <w:ind w:right="685"/>
        <w:rPr>
          <w:b/>
          <w:sz w:val="24"/>
          <w:szCs w:val="24"/>
        </w:rPr>
        <w:sectPr w:rsidR="00572E3D" w:rsidRPr="005058D6" w:rsidSect="00D55AF5">
          <w:footerReference w:type="default" r:id="rId133"/>
          <w:type w:val="continuous"/>
          <w:pgSz w:w="11906" w:h="16838"/>
          <w:pgMar w:top="1440" w:right="1440" w:bottom="1440" w:left="1440" w:header="708" w:footer="708" w:gutter="0"/>
          <w:cols w:space="708"/>
          <w:docGrid w:linePitch="360"/>
        </w:sectPr>
      </w:pPr>
      <w:r w:rsidRPr="005058D6">
        <w:rPr>
          <w:b/>
          <w:sz w:val="24"/>
          <w:szCs w:val="24"/>
        </w:rPr>
        <w:t xml:space="preserve">Please read the following statements and tick the boxes to agree with the statements, then sign and date the consent form where advised. </w:t>
      </w:r>
    </w:p>
    <w:tbl>
      <w:tblPr>
        <w:tblStyle w:val="TableGrid1"/>
        <w:tblpPr w:leftFromText="180" w:rightFromText="180" w:vertAnchor="text" w:horzAnchor="margin" w:tblpXSpec="center" w:tblpY="-4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276"/>
      </w:tblGrid>
      <w:tr w:rsidR="00572E3D" w:rsidRPr="005058D6" w14:paraId="048A1C78" w14:textId="77777777" w:rsidTr="00611086">
        <w:trPr>
          <w:trHeight w:val="851"/>
        </w:trPr>
        <w:tc>
          <w:tcPr>
            <w:tcW w:w="8222" w:type="dxa"/>
          </w:tcPr>
          <w:p w14:paraId="7B6246AE" w14:textId="77777777" w:rsidR="00572E3D" w:rsidRDefault="00572E3D" w:rsidP="00611086">
            <w:pPr>
              <w:ind w:right="685"/>
              <w:rPr>
                <w:sz w:val="24"/>
                <w:szCs w:val="24"/>
              </w:rPr>
            </w:pPr>
            <w:r w:rsidRPr="005058D6">
              <w:rPr>
                <w:sz w:val="24"/>
                <w:szCs w:val="24"/>
              </w:rPr>
              <w:t>I agree that I have read and understood the information sheet and had the opportunity to ask questions and was satisfied with the given answers.</w:t>
            </w:r>
          </w:p>
          <w:p w14:paraId="043E756E" w14:textId="77777777" w:rsidR="00572E3D" w:rsidRPr="005058D6" w:rsidRDefault="00572E3D" w:rsidP="00611086">
            <w:pPr>
              <w:ind w:right="685"/>
              <w:rPr>
                <w:sz w:val="24"/>
                <w:szCs w:val="24"/>
              </w:rPr>
            </w:pPr>
          </w:p>
        </w:tc>
        <w:tc>
          <w:tcPr>
            <w:tcW w:w="1276" w:type="dxa"/>
          </w:tcPr>
          <w:p w14:paraId="6B2BA5F2" w14:textId="77777777" w:rsidR="00572E3D" w:rsidRPr="005058D6" w:rsidRDefault="00572E3D" w:rsidP="00611086">
            <w:pPr>
              <w:ind w:right="685"/>
              <w:rPr>
                <w:sz w:val="48"/>
                <w:szCs w:val="48"/>
              </w:rPr>
            </w:pPr>
            <w:r w:rsidRPr="005058D6">
              <w:rPr>
                <w:sz w:val="48"/>
                <w:szCs w:val="48"/>
              </w:rPr>
              <w:sym w:font="Wingdings" w:char="F072"/>
            </w:r>
          </w:p>
        </w:tc>
      </w:tr>
      <w:tr w:rsidR="00572E3D" w:rsidRPr="005058D6" w14:paraId="752C9645" w14:textId="77777777" w:rsidTr="00611086">
        <w:trPr>
          <w:trHeight w:val="694"/>
        </w:trPr>
        <w:tc>
          <w:tcPr>
            <w:tcW w:w="8222" w:type="dxa"/>
          </w:tcPr>
          <w:p w14:paraId="4172DC45" w14:textId="77777777" w:rsidR="00572E3D" w:rsidRPr="005058D6" w:rsidRDefault="00572E3D" w:rsidP="00611086">
            <w:pPr>
              <w:tabs>
                <w:tab w:val="left" w:pos="6030"/>
              </w:tabs>
              <w:ind w:right="685"/>
              <w:rPr>
                <w:sz w:val="24"/>
                <w:szCs w:val="24"/>
              </w:rPr>
            </w:pPr>
            <w:r w:rsidRPr="005058D6">
              <w:rPr>
                <w:sz w:val="24"/>
                <w:szCs w:val="24"/>
              </w:rPr>
              <w:t xml:space="preserve">I understand that participating in this research is voluntary and I have the right to withdraw </w:t>
            </w:r>
            <w:r>
              <w:rPr>
                <w:sz w:val="24"/>
                <w:szCs w:val="24"/>
              </w:rPr>
              <w:t>up to 2 weeks after completion of the questionnaire</w:t>
            </w:r>
            <w:r w:rsidRPr="005058D6">
              <w:rPr>
                <w:sz w:val="24"/>
                <w:szCs w:val="24"/>
              </w:rPr>
              <w:t>.</w:t>
            </w:r>
          </w:p>
          <w:p w14:paraId="6E791124" w14:textId="77777777" w:rsidR="00572E3D" w:rsidRPr="005058D6" w:rsidRDefault="00572E3D" w:rsidP="00611086">
            <w:pPr>
              <w:tabs>
                <w:tab w:val="left" w:pos="6030"/>
              </w:tabs>
              <w:ind w:right="685"/>
              <w:rPr>
                <w:sz w:val="24"/>
                <w:szCs w:val="24"/>
              </w:rPr>
            </w:pPr>
          </w:p>
        </w:tc>
        <w:tc>
          <w:tcPr>
            <w:tcW w:w="1276" w:type="dxa"/>
          </w:tcPr>
          <w:p w14:paraId="35937642" w14:textId="77777777" w:rsidR="00572E3D" w:rsidRPr="005058D6" w:rsidRDefault="00572E3D" w:rsidP="00611086">
            <w:pPr>
              <w:ind w:right="685"/>
            </w:pPr>
            <w:r w:rsidRPr="005058D6">
              <w:rPr>
                <w:sz w:val="48"/>
                <w:szCs w:val="48"/>
              </w:rPr>
              <w:sym w:font="Wingdings" w:char="F072"/>
            </w:r>
          </w:p>
        </w:tc>
      </w:tr>
      <w:tr w:rsidR="00572E3D" w:rsidRPr="005058D6" w14:paraId="475D843A" w14:textId="77777777" w:rsidTr="00611086">
        <w:trPr>
          <w:trHeight w:val="694"/>
        </w:trPr>
        <w:tc>
          <w:tcPr>
            <w:tcW w:w="8222" w:type="dxa"/>
          </w:tcPr>
          <w:tbl>
            <w:tblPr>
              <w:tblStyle w:val="TableGrid"/>
              <w:tblpPr w:leftFromText="180" w:rightFromText="180" w:vertAnchor="text" w:horzAnchor="margin" w:tblpY="27"/>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99"/>
              <w:gridCol w:w="1196"/>
            </w:tblGrid>
            <w:tr w:rsidR="00572E3D" w14:paraId="3EFB5FAE" w14:textId="77777777" w:rsidTr="00611086">
              <w:trPr>
                <w:trHeight w:val="655"/>
              </w:trPr>
              <w:tc>
                <w:tcPr>
                  <w:tcW w:w="7999" w:type="dxa"/>
                  <w:hideMark/>
                </w:tcPr>
                <w:p w14:paraId="4A8DBC2B" w14:textId="77777777" w:rsidR="00572E3D" w:rsidRDefault="00572E3D" w:rsidP="00611086">
                  <w:pPr>
                    <w:tabs>
                      <w:tab w:val="left" w:pos="6030"/>
                    </w:tabs>
                    <w:rPr>
                      <w:rFonts w:ascii="Calibri" w:eastAsia="Calibri" w:hAnsi="Calibri" w:cs="Times New Roman"/>
                      <w:sz w:val="24"/>
                      <w:szCs w:val="24"/>
                    </w:rPr>
                  </w:pPr>
                  <w:r>
                    <w:rPr>
                      <w:rFonts w:ascii="Calibri" w:eastAsia="Calibri" w:hAnsi="Calibri" w:cs="Times New Roman"/>
                      <w:sz w:val="24"/>
                      <w:szCs w:val="24"/>
                    </w:rPr>
                    <w:t>I give consent to participate in this research.</w:t>
                  </w:r>
                </w:p>
              </w:tc>
              <w:tc>
                <w:tcPr>
                  <w:tcW w:w="1196" w:type="dxa"/>
                  <w:hideMark/>
                </w:tcPr>
                <w:p w14:paraId="3A789510" w14:textId="77777777" w:rsidR="00572E3D" w:rsidRDefault="00572E3D" w:rsidP="00611086">
                  <w:pPr>
                    <w:rPr>
                      <w:rFonts w:ascii="Calibri" w:eastAsia="Calibri" w:hAnsi="Calibri" w:cs="Times New Roman"/>
                    </w:rPr>
                  </w:pPr>
                </w:p>
              </w:tc>
            </w:tr>
          </w:tbl>
          <w:p w14:paraId="4C925A05" w14:textId="77777777" w:rsidR="00572E3D" w:rsidRPr="005058D6" w:rsidRDefault="00572E3D" w:rsidP="00611086">
            <w:pPr>
              <w:tabs>
                <w:tab w:val="left" w:pos="6030"/>
              </w:tabs>
              <w:ind w:right="685"/>
              <w:rPr>
                <w:sz w:val="24"/>
                <w:szCs w:val="24"/>
              </w:rPr>
            </w:pPr>
          </w:p>
        </w:tc>
        <w:tc>
          <w:tcPr>
            <w:tcW w:w="1276" w:type="dxa"/>
          </w:tcPr>
          <w:p w14:paraId="25945A6B" w14:textId="77777777" w:rsidR="00572E3D" w:rsidRPr="005058D6" w:rsidRDefault="00572E3D" w:rsidP="00611086">
            <w:pPr>
              <w:ind w:right="685"/>
            </w:pPr>
            <w:r w:rsidRPr="005058D6">
              <w:rPr>
                <w:sz w:val="48"/>
                <w:szCs w:val="48"/>
              </w:rPr>
              <w:sym w:font="Wingdings" w:char="F072"/>
            </w:r>
          </w:p>
        </w:tc>
      </w:tr>
      <w:tr w:rsidR="00572E3D" w:rsidRPr="005058D6" w14:paraId="3A06CA15" w14:textId="77777777" w:rsidTr="00611086">
        <w:trPr>
          <w:trHeight w:val="694"/>
        </w:trPr>
        <w:tc>
          <w:tcPr>
            <w:tcW w:w="8222" w:type="dxa"/>
          </w:tcPr>
          <w:p w14:paraId="69A6783D" w14:textId="77777777" w:rsidR="00572E3D" w:rsidRPr="003F42FD" w:rsidRDefault="00572E3D" w:rsidP="00611086">
            <w:pPr>
              <w:tabs>
                <w:tab w:val="left" w:pos="6030"/>
              </w:tabs>
              <w:ind w:right="685"/>
              <w:rPr>
                <w:sz w:val="24"/>
                <w:szCs w:val="24"/>
                <w:highlight w:val="yellow"/>
              </w:rPr>
            </w:pPr>
          </w:p>
          <w:p w14:paraId="325FADD4" w14:textId="77777777" w:rsidR="00572E3D" w:rsidRPr="00AF4636" w:rsidRDefault="00572E3D" w:rsidP="00611086">
            <w:pPr>
              <w:tabs>
                <w:tab w:val="left" w:pos="6030"/>
              </w:tabs>
              <w:ind w:right="685"/>
              <w:rPr>
                <w:sz w:val="24"/>
                <w:szCs w:val="24"/>
              </w:rPr>
            </w:pPr>
            <w:r w:rsidRPr="00AF4636">
              <w:rPr>
                <w:sz w:val="24"/>
                <w:szCs w:val="24"/>
              </w:rPr>
              <w:t>I understand that no individual will be identified or identifiable from the results.</w:t>
            </w:r>
          </w:p>
          <w:p w14:paraId="1B9C668C" w14:textId="77777777" w:rsidR="00572E3D" w:rsidRPr="003F42FD" w:rsidRDefault="00572E3D" w:rsidP="00611086">
            <w:pPr>
              <w:tabs>
                <w:tab w:val="left" w:pos="6030"/>
              </w:tabs>
              <w:ind w:right="685"/>
              <w:rPr>
                <w:sz w:val="24"/>
                <w:szCs w:val="24"/>
                <w:highlight w:val="yellow"/>
              </w:rPr>
            </w:pPr>
          </w:p>
        </w:tc>
        <w:tc>
          <w:tcPr>
            <w:tcW w:w="1276" w:type="dxa"/>
          </w:tcPr>
          <w:p w14:paraId="5A16DC1A" w14:textId="77777777" w:rsidR="00572E3D" w:rsidRPr="005058D6" w:rsidRDefault="00572E3D" w:rsidP="00611086">
            <w:pPr>
              <w:ind w:right="685"/>
              <w:rPr>
                <w:sz w:val="48"/>
                <w:szCs w:val="48"/>
              </w:rPr>
            </w:pPr>
            <w:r w:rsidRPr="005058D6">
              <w:rPr>
                <w:sz w:val="48"/>
                <w:szCs w:val="48"/>
              </w:rPr>
              <w:sym w:font="Wingdings" w:char="F072"/>
            </w:r>
          </w:p>
        </w:tc>
      </w:tr>
    </w:tbl>
    <w:p w14:paraId="31834C0A" w14:textId="77777777" w:rsidR="00572E3D" w:rsidRPr="005058D6" w:rsidRDefault="00572E3D" w:rsidP="00572E3D">
      <w:pPr>
        <w:ind w:right="685"/>
        <w:sectPr w:rsidR="00572E3D" w:rsidRPr="005058D6" w:rsidSect="00D55AF5">
          <w:type w:val="continuous"/>
          <w:pgSz w:w="11906" w:h="16838"/>
          <w:pgMar w:top="1440" w:right="1440" w:bottom="1440" w:left="1440" w:header="708" w:footer="708" w:gutter="0"/>
          <w:cols w:num="2" w:space="708" w:equalWidth="0">
            <w:col w:w="5780" w:space="708"/>
            <w:col w:w="2536"/>
          </w:cols>
          <w:docGrid w:linePitch="360"/>
        </w:sectPr>
      </w:pPr>
    </w:p>
    <w:p w14:paraId="1508EF41" w14:textId="77777777" w:rsidR="00572E3D" w:rsidRDefault="00572E3D" w:rsidP="00572E3D">
      <w:pPr>
        <w:ind w:right="685"/>
      </w:pPr>
    </w:p>
    <w:p w14:paraId="12CF5F5E" w14:textId="77777777" w:rsidR="00572E3D" w:rsidRPr="005058D6" w:rsidRDefault="00572E3D" w:rsidP="00572E3D">
      <w:pPr>
        <w:ind w:right="685"/>
      </w:pPr>
      <w:r w:rsidRPr="005058D6">
        <w:t>Signatures:</w:t>
      </w:r>
    </w:p>
    <w:tbl>
      <w:tblPr>
        <w:tblStyle w:val="TableGrid1"/>
        <w:tblW w:w="959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943"/>
        <w:gridCol w:w="3091"/>
      </w:tblGrid>
      <w:tr w:rsidR="00572E3D" w:rsidRPr="005058D6" w14:paraId="4BDF797E" w14:textId="77777777" w:rsidTr="00611086">
        <w:trPr>
          <w:trHeight w:val="1191"/>
        </w:trPr>
        <w:tc>
          <w:tcPr>
            <w:tcW w:w="3556" w:type="dxa"/>
          </w:tcPr>
          <w:p w14:paraId="388A48F4" w14:textId="77777777" w:rsidR="00572E3D" w:rsidRPr="005058D6" w:rsidRDefault="00572E3D" w:rsidP="00611086">
            <w:pPr>
              <w:spacing w:after="160" w:line="259" w:lineRule="auto"/>
              <w:ind w:right="685"/>
            </w:pPr>
          </w:p>
          <w:p w14:paraId="2C1D8E23" w14:textId="77777777" w:rsidR="00572E3D" w:rsidRPr="005058D6" w:rsidRDefault="00572E3D" w:rsidP="00611086">
            <w:pPr>
              <w:spacing w:after="160" w:line="259" w:lineRule="auto"/>
              <w:ind w:right="685"/>
            </w:pPr>
            <w:r w:rsidRPr="005058D6">
              <w:rPr>
                <w:noProof/>
                <w:lang w:eastAsia="en-GB"/>
              </w:rPr>
              <mc:AlternateContent>
                <mc:Choice Requires="wps">
                  <w:drawing>
                    <wp:anchor distT="0" distB="0" distL="114300" distR="114300" simplePos="0" relativeHeight="251681792" behindDoc="0" locked="0" layoutInCell="1" allowOverlap="1" wp14:anchorId="19A98FFE" wp14:editId="1905C104">
                      <wp:simplePos x="0" y="0"/>
                      <wp:positionH relativeFrom="column">
                        <wp:posOffset>1905</wp:posOffset>
                      </wp:positionH>
                      <wp:positionV relativeFrom="paragraph">
                        <wp:posOffset>99695</wp:posOffset>
                      </wp:positionV>
                      <wp:extent cx="2009775" cy="0"/>
                      <wp:effectExtent l="0" t="0" r="9525" b="1905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A5D1B" id="Straight Arrow Connector 203" o:spid="_x0000_s1026" type="#_x0000_t32" style="position:absolute;margin-left:.15pt;margin-top:7.85pt;width:158.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"/>
                  </w:pict>
                </mc:Fallback>
              </mc:AlternateContent>
            </w:r>
            <w:r w:rsidRPr="005058D6">
              <w:t xml:space="preserve">  </w:t>
            </w:r>
          </w:p>
          <w:p w14:paraId="04E291DC" w14:textId="77777777" w:rsidR="00572E3D" w:rsidRPr="005058D6" w:rsidRDefault="00572E3D" w:rsidP="00611086">
            <w:pPr>
              <w:spacing w:after="160" w:line="259" w:lineRule="auto"/>
              <w:ind w:right="685"/>
            </w:pPr>
            <w:r w:rsidRPr="005058D6">
              <w:t>Name of participant (block capitals)</w:t>
            </w:r>
          </w:p>
          <w:p w14:paraId="030260CB" w14:textId="77777777" w:rsidR="00572E3D" w:rsidRPr="005058D6" w:rsidRDefault="00572E3D" w:rsidP="00611086">
            <w:pPr>
              <w:spacing w:after="160" w:line="259" w:lineRule="auto"/>
              <w:ind w:right="685"/>
            </w:pPr>
          </w:p>
        </w:tc>
        <w:tc>
          <w:tcPr>
            <w:tcW w:w="2943" w:type="dxa"/>
          </w:tcPr>
          <w:p w14:paraId="0D48043F" w14:textId="77777777" w:rsidR="00572E3D" w:rsidRPr="005058D6" w:rsidRDefault="00572E3D" w:rsidP="00611086">
            <w:pPr>
              <w:spacing w:after="160" w:line="259" w:lineRule="auto"/>
              <w:ind w:right="685"/>
            </w:pPr>
          </w:p>
          <w:p w14:paraId="1ED796B8" w14:textId="77777777" w:rsidR="00572E3D" w:rsidRPr="005058D6" w:rsidRDefault="00572E3D" w:rsidP="00611086">
            <w:pPr>
              <w:spacing w:after="160" w:line="259" w:lineRule="auto"/>
              <w:ind w:right="685"/>
            </w:pPr>
            <w:r w:rsidRPr="005058D6">
              <w:rPr>
                <w:noProof/>
                <w:lang w:eastAsia="en-GB"/>
              </w:rPr>
              <mc:AlternateContent>
                <mc:Choice Requires="wps">
                  <w:drawing>
                    <wp:anchor distT="0" distB="0" distL="114300" distR="114300" simplePos="0" relativeHeight="251682816" behindDoc="0" locked="0" layoutInCell="1" allowOverlap="1" wp14:anchorId="0CCA83B5" wp14:editId="502B74A5">
                      <wp:simplePos x="0" y="0"/>
                      <wp:positionH relativeFrom="column">
                        <wp:posOffset>-6985</wp:posOffset>
                      </wp:positionH>
                      <wp:positionV relativeFrom="paragraph">
                        <wp:posOffset>100330</wp:posOffset>
                      </wp:positionV>
                      <wp:extent cx="1711960" cy="0"/>
                      <wp:effectExtent l="12065" t="5080" r="9525" b="1397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1997E" id="Straight Arrow Connector 204" o:spid="_x0000_s1026" type="#_x0000_t32" style="position:absolute;margin-left:-.55pt;margin-top:7.9pt;width:134.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"/>
                  </w:pict>
                </mc:Fallback>
              </mc:AlternateContent>
            </w:r>
          </w:p>
          <w:p w14:paraId="4FBDD34C" w14:textId="77777777" w:rsidR="00572E3D" w:rsidRPr="005058D6" w:rsidRDefault="00572E3D" w:rsidP="00611086">
            <w:pPr>
              <w:spacing w:after="160" w:line="259" w:lineRule="auto"/>
              <w:ind w:right="685"/>
            </w:pPr>
            <w:r w:rsidRPr="005058D6">
              <w:t>Date</w:t>
            </w:r>
          </w:p>
        </w:tc>
        <w:tc>
          <w:tcPr>
            <w:tcW w:w="3091" w:type="dxa"/>
          </w:tcPr>
          <w:p w14:paraId="405FD99F" w14:textId="77777777" w:rsidR="00572E3D" w:rsidRPr="005058D6" w:rsidRDefault="00572E3D" w:rsidP="00611086">
            <w:pPr>
              <w:spacing w:after="160" w:line="259" w:lineRule="auto"/>
              <w:ind w:right="685"/>
            </w:pPr>
          </w:p>
          <w:p w14:paraId="382C842D" w14:textId="77777777" w:rsidR="00572E3D" w:rsidRPr="005058D6" w:rsidRDefault="00572E3D" w:rsidP="00611086">
            <w:pPr>
              <w:spacing w:after="160" w:line="259" w:lineRule="auto"/>
              <w:ind w:right="685"/>
            </w:pPr>
            <w:r w:rsidRPr="005058D6">
              <w:rPr>
                <w:noProof/>
                <w:lang w:eastAsia="en-GB"/>
              </w:rPr>
              <mc:AlternateContent>
                <mc:Choice Requires="wps">
                  <w:drawing>
                    <wp:anchor distT="0" distB="0" distL="114300" distR="114300" simplePos="0" relativeHeight="251683840" behindDoc="0" locked="0" layoutInCell="1" allowOverlap="1" wp14:anchorId="2E26B921" wp14:editId="1E990301">
                      <wp:simplePos x="0" y="0"/>
                      <wp:positionH relativeFrom="column">
                        <wp:posOffset>41910</wp:posOffset>
                      </wp:positionH>
                      <wp:positionV relativeFrom="paragraph">
                        <wp:posOffset>89535</wp:posOffset>
                      </wp:positionV>
                      <wp:extent cx="1711960" cy="0"/>
                      <wp:effectExtent l="13335" t="13335" r="8255" b="5715"/>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8D29B" id="Straight Arrow Connector 205" o:spid="_x0000_s1026" type="#_x0000_t32" style="position:absolute;margin-left:3.3pt;margin-top:7.05pt;width:134.8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"/>
                  </w:pict>
                </mc:Fallback>
              </mc:AlternateContent>
            </w:r>
          </w:p>
          <w:p w14:paraId="1ED77CE7" w14:textId="77777777" w:rsidR="00572E3D" w:rsidRPr="005058D6" w:rsidRDefault="00572E3D" w:rsidP="00611086">
            <w:pPr>
              <w:spacing w:after="160" w:line="259" w:lineRule="auto"/>
              <w:ind w:right="685"/>
            </w:pPr>
            <w:r w:rsidRPr="005058D6">
              <w:t>Signature</w:t>
            </w:r>
          </w:p>
        </w:tc>
      </w:tr>
      <w:tr w:rsidR="00572E3D" w:rsidRPr="005058D6" w14:paraId="3CA658DE" w14:textId="77777777" w:rsidTr="00611086">
        <w:trPr>
          <w:trHeight w:val="596"/>
        </w:trPr>
        <w:tc>
          <w:tcPr>
            <w:tcW w:w="3556" w:type="dxa"/>
            <w:hideMark/>
          </w:tcPr>
          <w:p w14:paraId="5744ACDD" w14:textId="77777777" w:rsidR="00572E3D" w:rsidRPr="005058D6" w:rsidRDefault="00572E3D" w:rsidP="00611086">
            <w:pPr>
              <w:spacing w:after="160" w:line="259" w:lineRule="auto"/>
              <w:ind w:right="685"/>
            </w:pPr>
            <w:r w:rsidRPr="005058D6">
              <w:rPr>
                <w:noProof/>
                <w:lang w:eastAsia="en-GB"/>
              </w:rPr>
              <mc:AlternateContent>
                <mc:Choice Requires="wps">
                  <w:drawing>
                    <wp:anchor distT="0" distB="0" distL="114300" distR="114300" simplePos="0" relativeHeight="251684864" behindDoc="0" locked="0" layoutInCell="1" allowOverlap="1" wp14:anchorId="6F14F2EF" wp14:editId="11B8B629">
                      <wp:simplePos x="0" y="0"/>
                      <wp:positionH relativeFrom="column">
                        <wp:posOffset>1905</wp:posOffset>
                      </wp:positionH>
                      <wp:positionV relativeFrom="paragraph">
                        <wp:posOffset>131445</wp:posOffset>
                      </wp:positionV>
                      <wp:extent cx="2009775" cy="0"/>
                      <wp:effectExtent l="0" t="0" r="9525" b="190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2FF48" id="Straight Arrow Connector 206" o:spid="_x0000_s1026" type="#_x0000_t32" style="position:absolute;margin-left:.15pt;margin-top:10.35pt;width:158.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"/>
                  </w:pict>
                </mc:Fallback>
              </mc:AlternateContent>
            </w:r>
          </w:p>
          <w:p w14:paraId="00A88F2D" w14:textId="77777777" w:rsidR="00572E3D" w:rsidRPr="005058D6" w:rsidRDefault="00572E3D" w:rsidP="00611086">
            <w:pPr>
              <w:spacing w:after="160" w:line="259" w:lineRule="auto"/>
              <w:ind w:right="685"/>
              <w:rPr>
                <w:i/>
              </w:rPr>
            </w:pPr>
            <w:r w:rsidRPr="005058D6">
              <w:t>Researcher (block capitals)</w:t>
            </w:r>
          </w:p>
        </w:tc>
        <w:tc>
          <w:tcPr>
            <w:tcW w:w="2943" w:type="dxa"/>
            <w:hideMark/>
          </w:tcPr>
          <w:p w14:paraId="5D89729C" w14:textId="77777777" w:rsidR="00572E3D" w:rsidRPr="005058D6" w:rsidRDefault="00572E3D" w:rsidP="00611086">
            <w:pPr>
              <w:spacing w:after="160" w:line="259" w:lineRule="auto"/>
              <w:ind w:right="685"/>
            </w:pPr>
            <w:r w:rsidRPr="005058D6">
              <w:rPr>
                <w:noProof/>
                <w:lang w:eastAsia="en-GB"/>
              </w:rPr>
              <mc:AlternateContent>
                <mc:Choice Requires="wps">
                  <w:drawing>
                    <wp:anchor distT="0" distB="0" distL="114300" distR="114300" simplePos="0" relativeHeight="251685888" behindDoc="0" locked="0" layoutInCell="1" allowOverlap="1" wp14:anchorId="7630F5C5" wp14:editId="4F516D38">
                      <wp:simplePos x="0" y="0"/>
                      <wp:positionH relativeFrom="column">
                        <wp:posOffset>-6985</wp:posOffset>
                      </wp:positionH>
                      <wp:positionV relativeFrom="paragraph">
                        <wp:posOffset>133350</wp:posOffset>
                      </wp:positionV>
                      <wp:extent cx="1711960" cy="0"/>
                      <wp:effectExtent l="12065" t="9525" r="9525" b="952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FD7F6" id="Straight Arrow Connector 207" o:spid="_x0000_s1026" type="#_x0000_t32" style="position:absolute;margin-left:-.55pt;margin-top:10.5pt;width:134.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"/>
                  </w:pict>
                </mc:Fallback>
              </mc:AlternateContent>
            </w:r>
          </w:p>
          <w:p w14:paraId="7CFEAC87" w14:textId="77777777" w:rsidR="00572E3D" w:rsidRPr="005058D6" w:rsidRDefault="00572E3D" w:rsidP="00611086">
            <w:pPr>
              <w:spacing w:after="160" w:line="259" w:lineRule="auto"/>
              <w:ind w:right="685"/>
            </w:pPr>
            <w:r w:rsidRPr="005058D6">
              <w:t>Date</w:t>
            </w:r>
          </w:p>
        </w:tc>
        <w:tc>
          <w:tcPr>
            <w:tcW w:w="3091" w:type="dxa"/>
            <w:hideMark/>
          </w:tcPr>
          <w:p w14:paraId="512DA4E3" w14:textId="77777777" w:rsidR="00572E3D" w:rsidRPr="005058D6" w:rsidRDefault="00572E3D" w:rsidP="00611086">
            <w:pPr>
              <w:spacing w:after="160" w:line="259" w:lineRule="auto"/>
              <w:ind w:right="685"/>
            </w:pPr>
            <w:r w:rsidRPr="005058D6">
              <w:rPr>
                <w:noProof/>
                <w:lang w:eastAsia="en-GB"/>
              </w:rPr>
              <mc:AlternateContent>
                <mc:Choice Requires="wps">
                  <w:drawing>
                    <wp:anchor distT="0" distB="0" distL="114300" distR="114300" simplePos="0" relativeHeight="251686912" behindDoc="0" locked="0" layoutInCell="1" allowOverlap="1" wp14:anchorId="01D7D17E" wp14:editId="4F8C8193">
                      <wp:simplePos x="0" y="0"/>
                      <wp:positionH relativeFrom="column">
                        <wp:posOffset>32385</wp:posOffset>
                      </wp:positionH>
                      <wp:positionV relativeFrom="paragraph">
                        <wp:posOffset>133350</wp:posOffset>
                      </wp:positionV>
                      <wp:extent cx="1711960" cy="0"/>
                      <wp:effectExtent l="13335" t="9525" r="8255" b="952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6A443" id="Straight Arrow Connector 208" o:spid="_x0000_s1026" type="#_x0000_t32" style="position:absolute;margin-left:2.55pt;margin-top:10.5pt;width:134.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"/>
                  </w:pict>
                </mc:Fallback>
              </mc:AlternateContent>
            </w:r>
          </w:p>
          <w:p w14:paraId="5F1B7D64" w14:textId="77777777" w:rsidR="00572E3D" w:rsidRPr="005058D6" w:rsidRDefault="00572E3D" w:rsidP="00611086">
            <w:pPr>
              <w:spacing w:after="160" w:line="259" w:lineRule="auto"/>
              <w:ind w:right="685"/>
            </w:pPr>
            <w:r w:rsidRPr="005058D6">
              <w:t>Signature</w:t>
            </w:r>
          </w:p>
        </w:tc>
      </w:tr>
    </w:tbl>
    <w:p w14:paraId="11C35D0C" w14:textId="77777777" w:rsidR="00D55AF5" w:rsidRDefault="00D55AF5" w:rsidP="00572E3D">
      <w:pPr>
        <w:ind w:right="685"/>
      </w:pPr>
    </w:p>
    <w:p w14:paraId="54AC19EF" w14:textId="431EDAF9" w:rsidR="00572E3D" w:rsidRDefault="00572E3D" w:rsidP="00572E3D">
      <w:pPr>
        <w:ind w:right="685"/>
      </w:pPr>
      <w:r w:rsidRPr="00AF4636">
        <w:t xml:space="preserve">If you have any further questions please contact the researcher, Sian Calvert, via </w:t>
      </w:r>
      <w:r w:rsidR="007D734F" w:rsidRPr="00AF4636">
        <w:rPr>
          <w:u w:val="single"/>
        </w:rPr>
        <w:t>sian.calvert@research.staffs.ac.uk</w:t>
      </w:r>
      <w:r w:rsidR="007D734F" w:rsidRPr="00AF4636">
        <w:t xml:space="preserve"> or</w:t>
      </w:r>
      <w:r w:rsidRPr="00AF4636">
        <w:t xml:space="preserve"> </w:t>
      </w:r>
      <w:r>
        <w:t xml:space="preserve">her </w:t>
      </w:r>
      <w:r w:rsidRPr="00AF4636">
        <w:t>supervisor</w:t>
      </w:r>
      <w:r>
        <w:t>s:</w:t>
      </w:r>
    </w:p>
    <w:p w14:paraId="29F5CBCD" w14:textId="77777777" w:rsidR="00572E3D" w:rsidRDefault="00572E3D" w:rsidP="00572E3D">
      <w:pPr>
        <w:spacing w:after="0" w:line="240" w:lineRule="auto"/>
      </w:pPr>
    </w:p>
    <w:p w14:paraId="667684FD" w14:textId="1C19EF15" w:rsidR="00136B7E" w:rsidRPr="00AF4636" w:rsidRDefault="00136B7E" w:rsidP="00572E3D">
      <w:pPr>
        <w:spacing w:after="0" w:line="240" w:lineRule="auto"/>
        <w:sectPr w:rsidR="00136B7E" w:rsidRPr="00AF4636" w:rsidSect="00D55AF5">
          <w:type w:val="continuous"/>
          <w:pgSz w:w="11906" w:h="16838"/>
          <w:pgMar w:top="1440" w:right="1440" w:bottom="1440" w:left="1440" w:header="708" w:footer="708" w:gutter="0"/>
          <w:cols w:space="708"/>
          <w:docGrid w:linePitch="360"/>
        </w:sectPr>
      </w:pPr>
    </w:p>
    <w:p w14:paraId="6BD8BD5E" w14:textId="77777777" w:rsidR="00572E3D" w:rsidRPr="00AF4636" w:rsidRDefault="00572E3D" w:rsidP="00572E3D">
      <w:pPr>
        <w:spacing w:after="0" w:line="240" w:lineRule="auto"/>
      </w:pPr>
      <w:r w:rsidRPr="00AF4636">
        <w:t xml:space="preserve">Dr. Robert Dempsey </w:t>
      </w:r>
    </w:p>
    <w:p w14:paraId="74E5A8B8" w14:textId="77777777" w:rsidR="00572E3D" w:rsidRPr="00AF4636" w:rsidRDefault="00322DCE" w:rsidP="00572E3D">
      <w:pPr>
        <w:spacing w:after="0" w:line="240" w:lineRule="auto"/>
      </w:pPr>
      <w:hyperlink r:id="rId134" w:history="1">
        <w:r w:rsidR="00572E3D" w:rsidRPr="00AF4636">
          <w:rPr>
            <w:rStyle w:val="Hyperlink"/>
          </w:rPr>
          <w:t>robert.dempsey@staffs.ac.uk</w:t>
        </w:r>
      </w:hyperlink>
    </w:p>
    <w:p w14:paraId="29869880" w14:textId="77777777" w:rsidR="00572E3D" w:rsidRPr="00AF4636" w:rsidRDefault="00572E3D" w:rsidP="00572E3D">
      <w:pPr>
        <w:spacing w:after="0" w:line="240" w:lineRule="auto"/>
        <w:rPr>
          <w:i/>
        </w:rPr>
      </w:pPr>
      <w:r>
        <w:rPr>
          <w:i/>
        </w:rPr>
        <w:t xml:space="preserve">Senior </w:t>
      </w:r>
      <w:r w:rsidRPr="00AF4636">
        <w:rPr>
          <w:i/>
        </w:rPr>
        <w:t xml:space="preserve">Lecturer at Staffordshire University </w:t>
      </w:r>
    </w:p>
    <w:p w14:paraId="41966EA1" w14:textId="77777777" w:rsidR="00D55AF5" w:rsidRDefault="00D55AF5" w:rsidP="00572E3D">
      <w:pPr>
        <w:spacing w:after="0" w:line="240" w:lineRule="auto"/>
        <w:rPr>
          <w:lang w:val="it-IT"/>
        </w:rPr>
      </w:pPr>
    </w:p>
    <w:p w14:paraId="2B953181" w14:textId="3DD22306" w:rsidR="00572E3D" w:rsidRPr="00BB7D17" w:rsidRDefault="00572E3D" w:rsidP="00572E3D">
      <w:pPr>
        <w:spacing w:after="0" w:line="240" w:lineRule="auto"/>
        <w:rPr>
          <w:lang w:val="it-IT"/>
        </w:rPr>
      </w:pPr>
      <w:r w:rsidRPr="00BB7D17">
        <w:rPr>
          <w:lang w:val="it-IT"/>
        </w:rPr>
        <w:t xml:space="preserve">Dr. Rachel Povey </w:t>
      </w:r>
    </w:p>
    <w:p w14:paraId="1598F4E3" w14:textId="77777777" w:rsidR="00572E3D" w:rsidRPr="00BB7D17" w:rsidRDefault="00322DCE" w:rsidP="00572E3D">
      <w:pPr>
        <w:spacing w:after="0" w:line="240" w:lineRule="auto"/>
        <w:rPr>
          <w:lang w:val="it-IT"/>
        </w:rPr>
      </w:pPr>
      <w:hyperlink r:id="rId135" w:history="1">
        <w:r w:rsidR="00572E3D" w:rsidRPr="00BB7D17">
          <w:rPr>
            <w:rStyle w:val="Hyperlink"/>
            <w:lang w:val="it-IT"/>
          </w:rPr>
          <w:t>r.povey@staffs.ac.uk</w:t>
        </w:r>
      </w:hyperlink>
    </w:p>
    <w:p w14:paraId="27F765D5" w14:textId="77777777" w:rsidR="00572E3D" w:rsidRPr="00FB5F71" w:rsidRDefault="00572E3D" w:rsidP="00572E3D">
      <w:pPr>
        <w:spacing w:after="0" w:line="240" w:lineRule="auto"/>
        <w:rPr>
          <w:i/>
        </w:rPr>
      </w:pPr>
      <w:r>
        <w:rPr>
          <w:i/>
        </w:rPr>
        <w:t>Associate Professor</w:t>
      </w:r>
      <w:r w:rsidRPr="00AF4636">
        <w:rPr>
          <w:i/>
        </w:rPr>
        <w:t xml:space="preserve"> at Staffordshire University</w:t>
      </w:r>
      <w:r w:rsidRPr="00FB5F71">
        <w:rPr>
          <w:i/>
        </w:rPr>
        <w:t xml:space="preserve"> </w:t>
      </w:r>
    </w:p>
    <w:p w14:paraId="06664DFC" w14:textId="77777777" w:rsidR="00FA46C9" w:rsidRDefault="00FA46C9">
      <w:r>
        <w:br w:type="page"/>
      </w:r>
    </w:p>
    <w:p w14:paraId="01A30C56" w14:textId="77777777" w:rsidR="009C4156" w:rsidRDefault="009C4156" w:rsidP="00FA46C9">
      <w:pPr>
        <w:sectPr w:rsidR="009C4156" w:rsidSect="00CB6F96">
          <w:type w:val="continuous"/>
          <w:pgSz w:w="11906" w:h="16838"/>
          <w:pgMar w:top="709" w:right="1440" w:bottom="1440" w:left="1440" w:header="708" w:footer="708" w:gutter="0"/>
          <w:cols w:num="2" w:space="708"/>
          <w:docGrid w:linePitch="360"/>
        </w:sectPr>
      </w:pPr>
    </w:p>
    <w:p w14:paraId="0A58950F" w14:textId="2776B54B" w:rsidR="00BE058D" w:rsidRPr="00265133" w:rsidRDefault="00BE058D" w:rsidP="00BE058D">
      <w:pPr>
        <w:spacing w:line="360" w:lineRule="auto"/>
      </w:pPr>
      <w:r w:rsidRPr="00E272EB">
        <w:lastRenderedPageBreak/>
        <w:fldChar w:fldCharType="begin"/>
      </w:r>
      <w:r w:rsidRPr="00E272EB">
        <w:instrText xml:space="preserve"> TC  " </w:instrText>
      </w:r>
      <w:bookmarkStart w:id="409" w:name="_Toc97557189"/>
      <w:r w:rsidRPr="00265133">
        <w:instrText xml:space="preserve">Appendix </w:instrText>
      </w:r>
      <w:r w:rsidR="00CD5FF3">
        <w:instrText>3</w:instrText>
      </w:r>
      <w:r w:rsidR="00742498">
        <w:instrText>7</w:instrText>
      </w:r>
      <w:r w:rsidRPr="00265133">
        <w:instrText xml:space="preserve">: </w:instrText>
      </w:r>
      <w:r>
        <w:instrText xml:space="preserve">Teachers’ questionnaire </w:instrText>
      </w:r>
      <w:r w:rsidRPr="00265133">
        <w:instrText xml:space="preserve">(Study </w:instrText>
      </w:r>
      <w:r w:rsidR="005930C3">
        <w:instrText>Four</w:instrText>
      </w:r>
      <w:r>
        <w:instrText>, Chapter 9)</w:instrText>
      </w:r>
      <w:bookmarkEnd w:id="409"/>
      <w:r w:rsidRPr="00E272EB">
        <w:instrText xml:space="preserve">" \f y\l </w:instrText>
      </w:r>
      <w:r>
        <w:instrText>2</w:instrText>
      </w:r>
      <w:r w:rsidRPr="00E272EB">
        <w:instrText xml:space="preserve"> </w:instrText>
      </w:r>
      <w:r w:rsidRPr="00E272EB">
        <w:fldChar w:fldCharType="end"/>
      </w:r>
      <w:r w:rsidRPr="00265133">
        <w:t xml:space="preserve">Appendix </w:t>
      </w:r>
      <w:r w:rsidR="00CD5FF3">
        <w:t>3</w:t>
      </w:r>
      <w:r w:rsidR="00742498">
        <w:t>7</w:t>
      </w:r>
      <w:r w:rsidRPr="00265133">
        <w:t>: Teachers</w:t>
      </w:r>
      <w:r>
        <w:t>’</w:t>
      </w:r>
      <w:r w:rsidRPr="00265133">
        <w:t xml:space="preserve"> questionnaire (Study </w:t>
      </w:r>
      <w:r w:rsidR="005930C3">
        <w:t>Four</w:t>
      </w:r>
      <w:r w:rsidRPr="00265133">
        <w:t>, Chapter 9)</w:t>
      </w:r>
    </w:p>
    <w:p w14:paraId="035B16DA" w14:textId="77777777" w:rsidR="00BE058D" w:rsidRPr="00C51F7E" w:rsidRDefault="00BE058D" w:rsidP="00BE058D">
      <w:pPr>
        <w:rPr>
          <w:rFonts w:ascii="Calibri" w:eastAsia="Calibri" w:hAnsi="Calibri" w:cs="Times New Roman"/>
          <w:b/>
          <w:sz w:val="28"/>
          <w:szCs w:val="28"/>
        </w:rPr>
      </w:pPr>
      <w:r w:rsidRPr="00C51F7E">
        <w:rPr>
          <w:rFonts w:ascii="Calibri" w:eastAsia="Calibri" w:hAnsi="Calibri" w:cs="Times New Roman"/>
          <w:noProof/>
          <w:lang w:eastAsia="en-GB"/>
        </w:rPr>
        <w:drawing>
          <wp:anchor distT="0" distB="0" distL="114300" distR="114300" simplePos="0" relativeHeight="251734016" behindDoc="1" locked="0" layoutInCell="1" allowOverlap="1" wp14:anchorId="57595559" wp14:editId="192C1811">
            <wp:simplePos x="0" y="0"/>
            <wp:positionH relativeFrom="column">
              <wp:posOffset>5192202</wp:posOffset>
            </wp:positionH>
            <wp:positionV relativeFrom="paragraph">
              <wp:posOffset>-74710</wp:posOffset>
            </wp:positionV>
            <wp:extent cx="969645" cy="1103630"/>
            <wp:effectExtent l="0" t="0" r="1905" b="1270"/>
            <wp:wrapTight wrapText="bothSides">
              <wp:wrapPolygon edited="0">
                <wp:start x="0" y="0"/>
                <wp:lineTo x="0" y="21252"/>
                <wp:lineTo x="21218" y="21252"/>
                <wp:lineTo x="21218" y="0"/>
                <wp:lineTo x="0" y="0"/>
              </wp:wrapPolygon>
            </wp:wrapTight>
            <wp:docPr id="224" name="Picture 248"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48" descr="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9645" cy="1103630"/>
                    </a:xfrm>
                    <a:prstGeom prst="rect">
                      <a:avLst/>
                    </a:prstGeom>
                    <a:noFill/>
                  </pic:spPr>
                </pic:pic>
              </a:graphicData>
            </a:graphic>
            <wp14:sizeRelH relativeFrom="page">
              <wp14:pctWidth>0</wp14:pctWidth>
            </wp14:sizeRelH>
            <wp14:sizeRelV relativeFrom="page">
              <wp14:pctHeight>0</wp14:pctHeight>
            </wp14:sizeRelV>
          </wp:anchor>
        </w:drawing>
      </w:r>
    </w:p>
    <w:p w14:paraId="588857BA" w14:textId="77777777" w:rsidR="00BE058D" w:rsidRPr="00C51F7E" w:rsidRDefault="00BE058D" w:rsidP="00BE058D">
      <w:pPr>
        <w:spacing w:line="256" w:lineRule="auto"/>
        <w:rPr>
          <w:rFonts w:ascii="Calibri" w:eastAsia="Calibri" w:hAnsi="Calibri" w:cs="Times New Roman"/>
          <w:b/>
        </w:rPr>
      </w:pPr>
    </w:p>
    <w:p w14:paraId="019A4CB2" w14:textId="77777777" w:rsidR="00BE058D" w:rsidRDefault="00BE058D" w:rsidP="00BE058D">
      <w:pPr>
        <w:spacing w:line="256" w:lineRule="auto"/>
        <w:jc w:val="center"/>
        <w:rPr>
          <w:rFonts w:ascii="Calibri" w:eastAsia="Calibri" w:hAnsi="Calibri" w:cs="Times New Roman"/>
          <w:b/>
          <w:sz w:val="32"/>
          <w:szCs w:val="32"/>
          <w:u w:val="single"/>
        </w:rPr>
      </w:pPr>
    </w:p>
    <w:p w14:paraId="177CFF24" w14:textId="77777777" w:rsidR="00BE058D" w:rsidRPr="00C51F7E" w:rsidRDefault="00BE058D" w:rsidP="00BE058D">
      <w:pPr>
        <w:spacing w:line="256" w:lineRule="auto"/>
        <w:jc w:val="center"/>
        <w:rPr>
          <w:rFonts w:ascii="Calibri" w:eastAsia="Calibri" w:hAnsi="Calibri" w:cs="Times New Roman"/>
          <w:b/>
          <w:sz w:val="32"/>
          <w:szCs w:val="32"/>
          <w:u w:val="single"/>
        </w:rPr>
      </w:pPr>
    </w:p>
    <w:p w14:paraId="3154BD94" w14:textId="77777777" w:rsidR="00BE058D" w:rsidRPr="00C51F7E" w:rsidRDefault="00BE058D" w:rsidP="00BE058D">
      <w:pPr>
        <w:spacing w:line="256" w:lineRule="auto"/>
        <w:jc w:val="center"/>
        <w:rPr>
          <w:rFonts w:ascii="Calibri" w:eastAsia="Calibri" w:hAnsi="Calibri" w:cs="Times New Roman"/>
          <w:b/>
          <w:sz w:val="32"/>
          <w:szCs w:val="32"/>
          <w:u w:val="single"/>
        </w:rPr>
      </w:pPr>
      <w:r>
        <w:rPr>
          <w:rFonts w:ascii="Calibri" w:eastAsia="Calibri" w:hAnsi="Calibri" w:cs="Times New Roman"/>
          <w:b/>
          <w:sz w:val="32"/>
          <w:szCs w:val="32"/>
          <w:u w:val="single"/>
        </w:rPr>
        <w:t>Teachers’ poster-making session reflection q</w:t>
      </w:r>
      <w:r w:rsidRPr="00C51F7E">
        <w:rPr>
          <w:rFonts w:ascii="Calibri" w:eastAsia="Calibri" w:hAnsi="Calibri" w:cs="Times New Roman"/>
          <w:b/>
          <w:sz w:val="32"/>
          <w:szCs w:val="32"/>
          <w:u w:val="single"/>
        </w:rPr>
        <w:t>uestionnaire</w:t>
      </w:r>
    </w:p>
    <w:p w14:paraId="1AF9B045" w14:textId="77777777" w:rsidR="00BE058D" w:rsidRPr="00C51F7E" w:rsidRDefault="00BE058D" w:rsidP="00BE058D">
      <w:pPr>
        <w:spacing w:line="256" w:lineRule="auto"/>
        <w:rPr>
          <w:rFonts w:ascii="Calibri" w:eastAsia="Calibri" w:hAnsi="Calibri" w:cs="Times New Roman"/>
          <w:b/>
        </w:rPr>
      </w:pPr>
      <w:r w:rsidRPr="00C51F7E">
        <w:rPr>
          <w:rFonts w:ascii="Calibri" w:eastAsia="Calibri" w:hAnsi="Calibri" w:cs="Times New Roman"/>
          <w:noProof/>
          <w:lang w:eastAsia="en-GB"/>
        </w:rPr>
        <mc:AlternateContent>
          <mc:Choice Requires="wps">
            <w:drawing>
              <wp:anchor distT="0" distB="0" distL="114300" distR="114300" simplePos="0" relativeHeight="251735040" behindDoc="1" locked="0" layoutInCell="1" allowOverlap="1" wp14:anchorId="4BA40AC2" wp14:editId="6F3D925C">
                <wp:simplePos x="0" y="0"/>
                <wp:positionH relativeFrom="column">
                  <wp:posOffset>-19050</wp:posOffset>
                </wp:positionH>
                <wp:positionV relativeFrom="paragraph">
                  <wp:posOffset>197485</wp:posOffset>
                </wp:positionV>
                <wp:extent cx="5924550" cy="1753870"/>
                <wp:effectExtent l="0" t="0" r="19050" b="17780"/>
                <wp:wrapNone/>
                <wp:docPr id="209" name="Rectangle 228"/>
                <wp:cNvGraphicFramePr/>
                <a:graphic xmlns:a="http://schemas.openxmlformats.org/drawingml/2006/main">
                  <a:graphicData uri="http://schemas.microsoft.com/office/word/2010/wordprocessingShape">
                    <wps:wsp>
                      <wps:cNvSpPr/>
                      <wps:spPr>
                        <a:xfrm>
                          <a:off x="0" y="0"/>
                          <a:ext cx="5924550" cy="1753870"/>
                        </a:xfrm>
                        <a:prstGeom prst="rect">
                          <a:avLst/>
                        </a:prstGeom>
                        <a:solidFill>
                          <a:srgbClr val="E7E6E6">
                            <a:lumMod val="90000"/>
                          </a:srgbClr>
                        </a:solidFill>
                        <a:ln w="6350" cap="flat" cmpd="sng" algn="ctr">
                          <a:solidFill>
                            <a:srgbClr val="A5A5A5"/>
                          </a:solidFill>
                          <a:prstDash val="solid"/>
                          <a:miter lim="800000"/>
                        </a:ln>
                        <a:effectLst/>
                      </wps:spPr>
                      <wps:txbx>
                        <w:txbxContent>
                          <w:p w14:paraId="774A0592" w14:textId="77777777" w:rsidR="00BE058D" w:rsidRDefault="00BE058D" w:rsidP="00BE058D">
                            <w:pPr>
                              <w:jc w:val="center"/>
                            </w:pPr>
                          </w:p>
                          <w:p w14:paraId="6DC4A99F" w14:textId="77777777" w:rsidR="00BE058D" w:rsidRDefault="00BE058D" w:rsidP="00BE058D"/>
                          <w:p w14:paraId="2CAC3512"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40AC2" id="_x0000_s1061" style="position:absolute;margin-left:-1.5pt;margin-top:15.55pt;width:466.5pt;height:138.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" fillcolor="#d0cece" strokecolor="#a5a5a5" strokeweight=".5pt">
                <v:textbox>
                  <w:txbxContent>
                    <w:p w14:paraId="774A0592" w14:textId="77777777" w:rsidR="00BE058D" w:rsidRDefault="00BE058D" w:rsidP="00BE058D">
                      <w:pPr>
                        <w:jc w:val="center"/>
                      </w:pPr>
                    </w:p>
                    <w:p w14:paraId="6DC4A99F" w14:textId="77777777" w:rsidR="00BE058D" w:rsidRDefault="00BE058D" w:rsidP="00BE058D"/>
                    <w:p w14:paraId="2CAC3512" w14:textId="77777777" w:rsidR="00BE058D" w:rsidRDefault="00BE058D" w:rsidP="00BE058D">
                      <w:pPr>
                        <w:jc w:val="center"/>
                      </w:pPr>
                    </w:p>
                  </w:txbxContent>
                </v:textbox>
              </v:rect>
            </w:pict>
          </mc:Fallback>
        </mc:AlternateContent>
      </w:r>
    </w:p>
    <w:p w14:paraId="77EC0C8F" w14:textId="77777777" w:rsidR="00BE058D" w:rsidRDefault="00BE058D" w:rsidP="00AA5DD9">
      <w:pPr>
        <w:numPr>
          <w:ilvl w:val="0"/>
          <w:numId w:val="3"/>
        </w:numPr>
        <w:spacing w:line="360" w:lineRule="auto"/>
        <w:contextualSpacing/>
        <w:rPr>
          <w:rFonts w:ascii="Calibri" w:eastAsia="Calibri" w:hAnsi="Calibri" w:cs="Times New Roman"/>
          <w:sz w:val="24"/>
          <w:szCs w:val="24"/>
        </w:rPr>
      </w:pPr>
      <w:r w:rsidRPr="00C51F7E">
        <w:rPr>
          <w:rFonts w:ascii="Calibri" w:eastAsia="Calibri" w:hAnsi="Calibri" w:cs="Times New Roman"/>
          <w:sz w:val="24"/>
          <w:szCs w:val="24"/>
        </w:rPr>
        <w:t xml:space="preserve">Please use a black or blue pen to complete the questionnaire </w:t>
      </w:r>
    </w:p>
    <w:p w14:paraId="35AAC911" w14:textId="77777777" w:rsidR="00BE058D" w:rsidRPr="00C51F7E" w:rsidRDefault="00BE058D" w:rsidP="00BE058D">
      <w:pPr>
        <w:spacing w:line="360" w:lineRule="auto"/>
        <w:ind w:left="720"/>
        <w:contextualSpacing/>
        <w:rPr>
          <w:rFonts w:ascii="Calibri" w:eastAsia="Calibri" w:hAnsi="Calibri" w:cs="Times New Roman"/>
          <w:sz w:val="24"/>
          <w:szCs w:val="24"/>
        </w:rPr>
      </w:pPr>
    </w:p>
    <w:p w14:paraId="73F05DD3" w14:textId="77777777" w:rsidR="00BE058D" w:rsidRDefault="00BE058D" w:rsidP="00AA5DD9">
      <w:pPr>
        <w:numPr>
          <w:ilvl w:val="0"/>
          <w:numId w:val="3"/>
        </w:numPr>
        <w:spacing w:line="360" w:lineRule="auto"/>
        <w:contextualSpacing/>
        <w:rPr>
          <w:rFonts w:ascii="Calibri" w:eastAsia="Calibri" w:hAnsi="Calibri" w:cs="Times New Roman"/>
          <w:sz w:val="24"/>
          <w:szCs w:val="24"/>
        </w:rPr>
      </w:pPr>
      <w:r>
        <w:rPr>
          <w:rFonts w:ascii="Calibri" w:eastAsia="Calibri" w:hAnsi="Calibri" w:cs="Times New Roman"/>
          <w:sz w:val="24"/>
          <w:szCs w:val="24"/>
        </w:rPr>
        <w:t xml:space="preserve">Please </w:t>
      </w:r>
      <w:r w:rsidRPr="00E17CEC">
        <w:rPr>
          <w:rFonts w:ascii="Calibri" w:eastAsia="Calibri" w:hAnsi="Calibri" w:cs="Times New Roman"/>
          <w:sz w:val="24"/>
          <w:szCs w:val="24"/>
        </w:rPr>
        <w:t xml:space="preserve">complete it on </w:t>
      </w:r>
      <w:r w:rsidRPr="00C51F7E">
        <w:rPr>
          <w:rFonts w:ascii="Calibri" w:eastAsia="Calibri" w:hAnsi="Calibri" w:cs="Times New Roman"/>
          <w:sz w:val="24"/>
          <w:szCs w:val="24"/>
        </w:rPr>
        <w:t xml:space="preserve">your own </w:t>
      </w:r>
    </w:p>
    <w:p w14:paraId="674C60E2" w14:textId="77777777" w:rsidR="00BE058D" w:rsidRPr="00C51F7E" w:rsidRDefault="00BE058D" w:rsidP="00BE058D">
      <w:pPr>
        <w:spacing w:line="360" w:lineRule="auto"/>
        <w:ind w:left="720"/>
        <w:contextualSpacing/>
        <w:rPr>
          <w:rFonts w:ascii="Calibri" w:eastAsia="Calibri" w:hAnsi="Calibri" w:cs="Times New Roman"/>
          <w:sz w:val="24"/>
          <w:szCs w:val="24"/>
        </w:rPr>
      </w:pPr>
    </w:p>
    <w:p w14:paraId="782DBA68" w14:textId="77777777" w:rsidR="00BE058D" w:rsidRPr="00C51F7E" w:rsidRDefault="00BE058D" w:rsidP="00AA5DD9">
      <w:pPr>
        <w:numPr>
          <w:ilvl w:val="0"/>
          <w:numId w:val="3"/>
        </w:numPr>
        <w:spacing w:line="360" w:lineRule="auto"/>
        <w:contextualSpacing/>
        <w:rPr>
          <w:rFonts w:ascii="Calibri" w:eastAsia="Calibri" w:hAnsi="Calibri" w:cs="Times New Roman"/>
          <w:sz w:val="24"/>
          <w:szCs w:val="24"/>
        </w:rPr>
      </w:pPr>
      <w:r w:rsidRPr="00C51F7E">
        <w:rPr>
          <w:rFonts w:ascii="Calibri" w:eastAsia="Calibri" w:hAnsi="Calibri" w:cs="Times New Roman"/>
          <w:sz w:val="24"/>
          <w:szCs w:val="24"/>
        </w:rPr>
        <w:t>The questionnai</w:t>
      </w:r>
      <w:r>
        <w:rPr>
          <w:rFonts w:ascii="Calibri" w:eastAsia="Calibri" w:hAnsi="Calibri" w:cs="Times New Roman"/>
          <w:sz w:val="24"/>
          <w:szCs w:val="24"/>
        </w:rPr>
        <w:t>re should take no longer than 15</w:t>
      </w:r>
      <w:r w:rsidRPr="00C51F7E">
        <w:rPr>
          <w:rFonts w:ascii="Calibri" w:eastAsia="Calibri" w:hAnsi="Calibri" w:cs="Times New Roman"/>
          <w:sz w:val="24"/>
          <w:szCs w:val="24"/>
        </w:rPr>
        <w:t xml:space="preserve"> minutes </w:t>
      </w:r>
    </w:p>
    <w:p w14:paraId="0D550EBC" w14:textId="77777777" w:rsidR="00BE058D" w:rsidRPr="00C51F7E" w:rsidRDefault="00BE058D" w:rsidP="00BE058D">
      <w:pPr>
        <w:spacing w:line="256" w:lineRule="auto"/>
        <w:rPr>
          <w:rFonts w:ascii="Calibri" w:eastAsia="Calibri" w:hAnsi="Calibri" w:cs="Times New Roman"/>
          <w:b/>
        </w:rPr>
      </w:pPr>
    </w:p>
    <w:p w14:paraId="13230BF4" w14:textId="77777777" w:rsidR="00BE058D" w:rsidRDefault="00BE058D" w:rsidP="00BE058D">
      <w:pPr>
        <w:spacing w:line="256" w:lineRule="auto"/>
        <w:rPr>
          <w:rFonts w:ascii="Calibri" w:eastAsia="Calibri" w:hAnsi="Calibri" w:cs="Times New Roman"/>
          <w:b/>
        </w:rPr>
      </w:pPr>
    </w:p>
    <w:p w14:paraId="428E5852" w14:textId="77777777" w:rsidR="00BE058D" w:rsidRDefault="00BE058D" w:rsidP="00BE058D">
      <w:pPr>
        <w:spacing w:line="256" w:lineRule="auto"/>
        <w:rPr>
          <w:rFonts w:ascii="Calibri" w:eastAsia="Calibri" w:hAnsi="Calibri" w:cs="Times New Roman"/>
          <w:b/>
        </w:rPr>
      </w:pPr>
    </w:p>
    <w:p w14:paraId="69DF22F8" w14:textId="77777777" w:rsidR="00BE058D" w:rsidRDefault="00BE058D" w:rsidP="00BE058D">
      <w:pPr>
        <w:spacing w:line="256" w:lineRule="auto"/>
        <w:rPr>
          <w:rFonts w:ascii="Calibri" w:eastAsia="Calibri" w:hAnsi="Calibri" w:cs="Times New Roman"/>
          <w:b/>
        </w:rPr>
      </w:pPr>
    </w:p>
    <w:p w14:paraId="304D747D" w14:textId="77777777" w:rsidR="00BE058D" w:rsidRDefault="00BE058D" w:rsidP="00BE058D">
      <w:pPr>
        <w:spacing w:line="256" w:lineRule="auto"/>
        <w:rPr>
          <w:rFonts w:ascii="Calibri" w:eastAsia="Calibri" w:hAnsi="Calibri" w:cs="Times New Roman"/>
          <w:b/>
        </w:rPr>
      </w:pPr>
    </w:p>
    <w:p w14:paraId="267AA492" w14:textId="77777777" w:rsidR="00BE058D" w:rsidRDefault="00BE058D" w:rsidP="00BE058D">
      <w:pPr>
        <w:spacing w:line="256" w:lineRule="auto"/>
        <w:rPr>
          <w:rFonts w:ascii="Calibri" w:eastAsia="Calibri" w:hAnsi="Calibri" w:cs="Times New Roman"/>
          <w:b/>
        </w:rPr>
      </w:pPr>
    </w:p>
    <w:p w14:paraId="4A08419E" w14:textId="77777777" w:rsidR="00BE058D" w:rsidRDefault="00BE058D" w:rsidP="00BE058D">
      <w:pPr>
        <w:spacing w:line="256" w:lineRule="auto"/>
        <w:rPr>
          <w:rFonts w:ascii="Calibri" w:eastAsia="Calibri" w:hAnsi="Calibri" w:cs="Times New Roman"/>
          <w:b/>
        </w:rPr>
      </w:pPr>
    </w:p>
    <w:p w14:paraId="39CA164D" w14:textId="77777777" w:rsidR="00BE058D" w:rsidRDefault="00BE058D" w:rsidP="00BE058D">
      <w:pPr>
        <w:spacing w:line="256" w:lineRule="auto"/>
        <w:rPr>
          <w:rFonts w:ascii="Calibri" w:eastAsia="Calibri" w:hAnsi="Calibri" w:cs="Times New Roman"/>
          <w:b/>
        </w:rPr>
      </w:pPr>
    </w:p>
    <w:p w14:paraId="18C661E4" w14:textId="77777777" w:rsidR="00BE058D" w:rsidRDefault="00BE058D" w:rsidP="00BE058D">
      <w:pPr>
        <w:spacing w:line="256" w:lineRule="auto"/>
        <w:rPr>
          <w:rFonts w:ascii="Calibri" w:eastAsia="Calibri" w:hAnsi="Calibri" w:cs="Times New Roman"/>
          <w:b/>
        </w:rPr>
      </w:pPr>
    </w:p>
    <w:p w14:paraId="0DA61A1C" w14:textId="77777777" w:rsidR="00BE058D" w:rsidRDefault="00BE058D" w:rsidP="00BE058D">
      <w:pPr>
        <w:spacing w:line="256" w:lineRule="auto"/>
        <w:rPr>
          <w:rFonts w:ascii="Calibri" w:eastAsia="Calibri" w:hAnsi="Calibri" w:cs="Times New Roman"/>
          <w:b/>
        </w:rPr>
      </w:pPr>
    </w:p>
    <w:p w14:paraId="38445314" w14:textId="77777777" w:rsidR="00BE058D" w:rsidRDefault="00BE058D" w:rsidP="00BE058D">
      <w:pPr>
        <w:spacing w:line="256" w:lineRule="auto"/>
        <w:rPr>
          <w:rFonts w:ascii="Calibri" w:eastAsia="Calibri" w:hAnsi="Calibri" w:cs="Times New Roman"/>
          <w:b/>
        </w:rPr>
      </w:pPr>
      <w:r w:rsidRPr="00C51F7E">
        <w:rPr>
          <w:rFonts w:ascii="Times New Roman" w:eastAsia="Calibri" w:hAnsi="Times New Roman" w:cs="Times New Roman"/>
          <w:noProof/>
          <w:sz w:val="24"/>
          <w:szCs w:val="24"/>
          <w:lang w:eastAsia="en-GB"/>
        </w:rPr>
        <mc:AlternateContent>
          <mc:Choice Requires="wps">
            <w:drawing>
              <wp:anchor distT="0" distB="0" distL="114300" distR="114300" simplePos="0" relativeHeight="251738112" behindDoc="1" locked="0" layoutInCell="1" allowOverlap="1" wp14:anchorId="2824C41E" wp14:editId="25846D92">
                <wp:simplePos x="0" y="0"/>
                <wp:positionH relativeFrom="column">
                  <wp:posOffset>42182</wp:posOffset>
                </wp:positionH>
                <wp:positionV relativeFrom="paragraph">
                  <wp:posOffset>257719</wp:posOffset>
                </wp:positionV>
                <wp:extent cx="5846445" cy="1152525"/>
                <wp:effectExtent l="0" t="0" r="20955" b="28575"/>
                <wp:wrapTight wrapText="bothSides">
                  <wp:wrapPolygon edited="0">
                    <wp:start x="0" y="0"/>
                    <wp:lineTo x="0" y="21779"/>
                    <wp:lineTo x="21607" y="21779"/>
                    <wp:lineTo x="21607" y="0"/>
                    <wp:lineTo x="0" y="0"/>
                  </wp:wrapPolygon>
                </wp:wrapTight>
                <wp:docPr id="212" name="Rectangle 238"/>
                <wp:cNvGraphicFramePr/>
                <a:graphic xmlns:a="http://schemas.openxmlformats.org/drawingml/2006/main">
                  <a:graphicData uri="http://schemas.microsoft.com/office/word/2010/wordprocessingShape">
                    <wps:wsp>
                      <wps:cNvSpPr/>
                      <wps:spPr>
                        <a:xfrm>
                          <a:off x="0" y="0"/>
                          <a:ext cx="5846445" cy="1152525"/>
                        </a:xfrm>
                        <a:prstGeom prst="rect">
                          <a:avLst/>
                        </a:prstGeom>
                        <a:solidFill>
                          <a:srgbClr val="E7E6E6">
                            <a:lumMod val="90000"/>
                          </a:srgbClr>
                        </a:solidFill>
                        <a:ln w="12700" cap="flat" cmpd="sng" algn="ctr">
                          <a:solidFill>
                            <a:sysClr val="windowText" lastClr="000000"/>
                          </a:solidFill>
                          <a:prstDash val="solid"/>
                          <a:miter lim="800000"/>
                        </a:ln>
                        <a:effectLst/>
                      </wps:spPr>
                      <wps:txbx>
                        <w:txbxContent>
                          <w:p w14:paraId="657CB433" w14:textId="77777777" w:rsidR="00BE058D" w:rsidRDefault="00BE058D" w:rsidP="00BE058D">
                            <w:pPr>
                              <w:spacing w:after="0"/>
                              <w:jc w:val="center"/>
                              <w:rPr>
                                <w:b/>
                                <w:i/>
                                <w:sz w:val="26"/>
                                <w:szCs w:val="26"/>
                              </w:rPr>
                            </w:pPr>
                            <w:r>
                              <w:rPr>
                                <w:b/>
                                <w:i/>
                                <w:sz w:val="26"/>
                                <w:szCs w:val="26"/>
                              </w:rPr>
                              <w:t>Please fill in your information below</w:t>
                            </w:r>
                          </w:p>
                          <w:p w14:paraId="7C19FF5C" w14:textId="77777777" w:rsidR="00BE058D" w:rsidRDefault="00BE058D" w:rsidP="00BE058D">
                            <w:pPr>
                              <w:spacing w:after="0"/>
                              <w:rPr>
                                <w:sz w:val="24"/>
                                <w:szCs w:val="24"/>
                              </w:rPr>
                            </w:pPr>
                            <w:r>
                              <w:rPr>
                                <w:i/>
                                <w:sz w:val="24"/>
                                <w:szCs w:val="24"/>
                              </w:rPr>
                              <w:t>Age</w:t>
                            </w:r>
                            <w:r>
                              <w:rPr>
                                <w:sz w:val="24"/>
                                <w:szCs w:val="24"/>
                              </w:rPr>
                              <w:t xml:space="preserve"> ___________________________</w:t>
                            </w:r>
                          </w:p>
                          <w:p w14:paraId="0C666FC6" w14:textId="77777777" w:rsidR="00BE058D" w:rsidRDefault="00BE058D" w:rsidP="00BE058D">
                            <w:pPr>
                              <w:pStyle w:val="ListParagraph"/>
                              <w:spacing w:after="0"/>
                              <w:rPr>
                                <w:sz w:val="24"/>
                                <w:szCs w:val="24"/>
                              </w:rPr>
                            </w:pPr>
                          </w:p>
                          <w:p w14:paraId="50DAC270" w14:textId="77777777" w:rsidR="00BE058D" w:rsidRDefault="00BE058D" w:rsidP="00BE058D">
                            <w:pPr>
                              <w:spacing w:after="0"/>
                              <w:rPr>
                                <w:sz w:val="24"/>
                                <w:szCs w:val="24"/>
                              </w:rPr>
                            </w:pPr>
                            <w:r>
                              <w:rPr>
                                <w:i/>
                                <w:sz w:val="24"/>
                                <w:szCs w:val="24"/>
                              </w:rPr>
                              <w:t>Male or female</w:t>
                            </w:r>
                            <w:r>
                              <w:rPr>
                                <w:sz w:val="24"/>
                                <w:szCs w:val="24"/>
                              </w:rPr>
                              <w:t xml:space="preserve"> ________________________________</w:t>
                            </w:r>
                          </w:p>
                          <w:p w14:paraId="736235C6" w14:textId="77777777" w:rsidR="00BE058D" w:rsidRDefault="00BE058D" w:rsidP="00BE058D">
                            <w:pPr>
                              <w:pStyle w:val="ListParagraph"/>
                              <w:spacing w:after="0"/>
                              <w:rPr>
                                <w:sz w:val="24"/>
                                <w:szCs w:val="24"/>
                              </w:rPr>
                            </w:pPr>
                          </w:p>
                          <w:p w14:paraId="19B5ED22" w14:textId="77777777" w:rsidR="00BE058D" w:rsidRDefault="00BE058D" w:rsidP="00BE058D">
                            <w:pPr>
                              <w:jc w:val="center"/>
                            </w:pPr>
                          </w:p>
                          <w:p w14:paraId="73570318" w14:textId="77777777" w:rsidR="00BE058D" w:rsidRDefault="00BE058D" w:rsidP="00BE058D"/>
                          <w:p w14:paraId="6C1EB670" w14:textId="77777777" w:rsidR="00BE058D" w:rsidRDefault="00BE058D" w:rsidP="00BE058D">
                            <w:pPr>
                              <w:spacing w:after="0"/>
                              <w:jc w:val="center"/>
                              <w:rPr>
                                <w:b/>
                                <w:i/>
                                <w:sz w:val="26"/>
                                <w:szCs w:val="26"/>
                              </w:rPr>
                            </w:pPr>
                            <w:r>
                              <w:rPr>
                                <w:b/>
                                <w:i/>
                                <w:sz w:val="26"/>
                                <w:szCs w:val="26"/>
                              </w:rPr>
                              <w:t>Please fill in your information below</w:t>
                            </w:r>
                          </w:p>
                          <w:p w14:paraId="7149D74D" w14:textId="77777777" w:rsidR="00BE058D" w:rsidRDefault="00BE058D" w:rsidP="00BE058D">
                            <w:pPr>
                              <w:spacing w:after="0"/>
                              <w:rPr>
                                <w:sz w:val="24"/>
                                <w:szCs w:val="24"/>
                              </w:rPr>
                            </w:pPr>
                            <w:r>
                              <w:rPr>
                                <w:i/>
                                <w:sz w:val="24"/>
                                <w:szCs w:val="24"/>
                              </w:rPr>
                              <w:t>Age</w:t>
                            </w:r>
                            <w:r>
                              <w:rPr>
                                <w:sz w:val="24"/>
                                <w:szCs w:val="24"/>
                              </w:rPr>
                              <w:t xml:space="preserve"> ___________________________</w:t>
                            </w:r>
                          </w:p>
                          <w:p w14:paraId="38D5A57A" w14:textId="77777777" w:rsidR="00BE058D" w:rsidRDefault="00BE058D" w:rsidP="00BE058D">
                            <w:pPr>
                              <w:pStyle w:val="ListParagraph"/>
                              <w:spacing w:after="0"/>
                              <w:rPr>
                                <w:sz w:val="24"/>
                                <w:szCs w:val="24"/>
                              </w:rPr>
                            </w:pPr>
                          </w:p>
                          <w:p w14:paraId="773A0093" w14:textId="77777777" w:rsidR="00BE058D" w:rsidRDefault="00BE058D" w:rsidP="00BE058D">
                            <w:pPr>
                              <w:spacing w:after="0"/>
                              <w:rPr>
                                <w:sz w:val="24"/>
                                <w:szCs w:val="24"/>
                              </w:rPr>
                            </w:pPr>
                            <w:r>
                              <w:rPr>
                                <w:i/>
                                <w:sz w:val="24"/>
                                <w:szCs w:val="24"/>
                              </w:rPr>
                              <w:t>Male or female</w:t>
                            </w:r>
                            <w:r>
                              <w:rPr>
                                <w:sz w:val="24"/>
                                <w:szCs w:val="24"/>
                              </w:rPr>
                              <w:t xml:space="preserve"> ________________________________</w:t>
                            </w:r>
                          </w:p>
                          <w:p w14:paraId="0734FDA5" w14:textId="77777777" w:rsidR="00BE058D" w:rsidRDefault="00BE058D" w:rsidP="00BE058D">
                            <w:pPr>
                              <w:pStyle w:val="ListParagraph"/>
                              <w:spacing w:after="0"/>
                              <w:rPr>
                                <w:sz w:val="24"/>
                                <w:szCs w:val="24"/>
                              </w:rPr>
                            </w:pPr>
                          </w:p>
                          <w:p w14:paraId="16F34855"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4C41E" id="_x0000_s1062" style="position:absolute;margin-left:3.3pt;margin-top:20.3pt;width:460.35pt;height:90.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" fillcolor="#d0cece" strokecolor="windowText" strokeweight="1pt">
                <v:textbox>
                  <w:txbxContent>
                    <w:p w14:paraId="657CB433" w14:textId="77777777" w:rsidR="00BE058D" w:rsidRDefault="00BE058D" w:rsidP="00BE058D">
                      <w:pPr>
                        <w:spacing w:after="0"/>
                        <w:jc w:val="center"/>
                        <w:rPr>
                          <w:b/>
                          <w:i/>
                          <w:sz w:val="26"/>
                          <w:szCs w:val="26"/>
                        </w:rPr>
                      </w:pPr>
                      <w:r>
                        <w:rPr>
                          <w:b/>
                          <w:i/>
                          <w:sz w:val="26"/>
                          <w:szCs w:val="26"/>
                        </w:rPr>
                        <w:t>Please fill in your information below</w:t>
                      </w:r>
                    </w:p>
                    <w:p w14:paraId="7C19FF5C" w14:textId="77777777" w:rsidR="00BE058D" w:rsidRDefault="00BE058D" w:rsidP="00BE058D">
                      <w:pPr>
                        <w:spacing w:after="0"/>
                        <w:rPr>
                          <w:sz w:val="24"/>
                          <w:szCs w:val="24"/>
                        </w:rPr>
                      </w:pPr>
                      <w:r>
                        <w:rPr>
                          <w:i/>
                          <w:sz w:val="24"/>
                          <w:szCs w:val="24"/>
                        </w:rPr>
                        <w:t>Age</w:t>
                      </w:r>
                      <w:r>
                        <w:rPr>
                          <w:sz w:val="24"/>
                          <w:szCs w:val="24"/>
                        </w:rPr>
                        <w:t xml:space="preserve"> ___________________________</w:t>
                      </w:r>
                    </w:p>
                    <w:p w14:paraId="0C666FC6" w14:textId="77777777" w:rsidR="00BE058D" w:rsidRDefault="00BE058D" w:rsidP="00BE058D">
                      <w:pPr>
                        <w:pStyle w:val="ListParagraph"/>
                        <w:spacing w:after="0"/>
                        <w:rPr>
                          <w:sz w:val="24"/>
                          <w:szCs w:val="24"/>
                        </w:rPr>
                      </w:pPr>
                    </w:p>
                    <w:p w14:paraId="50DAC270" w14:textId="77777777" w:rsidR="00BE058D" w:rsidRDefault="00BE058D" w:rsidP="00BE058D">
                      <w:pPr>
                        <w:spacing w:after="0"/>
                        <w:rPr>
                          <w:sz w:val="24"/>
                          <w:szCs w:val="24"/>
                        </w:rPr>
                      </w:pPr>
                      <w:r>
                        <w:rPr>
                          <w:i/>
                          <w:sz w:val="24"/>
                          <w:szCs w:val="24"/>
                        </w:rPr>
                        <w:t>Male or female</w:t>
                      </w:r>
                      <w:r>
                        <w:rPr>
                          <w:sz w:val="24"/>
                          <w:szCs w:val="24"/>
                        </w:rPr>
                        <w:t xml:space="preserve"> ________________________________</w:t>
                      </w:r>
                    </w:p>
                    <w:p w14:paraId="736235C6" w14:textId="77777777" w:rsidR="00BE058D" w:rsidRDefault="00BE058D" w:rsidP="00BE058D">
                      <w:pPr>
                        <w:pStyle w:val="ListParagraph"/>
                        <w:spacing w:after="0"/>
                        <w:rPr>
                          <w:sz w:val="24"/>
                          <w:szCs w:val="24"/>
                        </w:rPr>
                      </w:pPr>
                    </w:p>
                    <w:p w14:paraId="19B5ED22" w14:textId="77777777" w:rsidR="00BE058D" w:rsidRDefault="00BE058D" w:rsidP="00BE058D">
                      <w:pPr>
                        <w:jc w:val="center"/>
                      </w:pPr>
                    </w:p>
                    <w:p w14:paraId="73570318" w14:textId="77777777" w:rsidR="00BE058D" w:rsidRDefault="00BE058D" w:rsidP="00BE058D"/>
                    <w:p w14:paraId="6C1EB670" w14:textId="77777777" w:rsidR="00BE058D" w:rsidRDefault="00BE058D" w:rsidP="00BE058D">
                      <w:pPr>
                        <w:spacing w:after="0"/>
                        <w:jc w:val="center"/>
                        <w:rPr>
                          <w:b/>
                          <w:i/>
                          <w:sz w:val="26"/>
                          <w:szCs w:val="26"/>
                        </w:rPr>
                      </w:pPr>
                      <w:r>
                        <w:rPr>
                          <w:b/>
                          <w:i/>
                          <w:sz w:val="26"/>
                          <w:szCs w:val="26"/>
                        </w:rPr>
                        <w:t>Please fill in your information below</w:t>
                      </w:r>
                    </w:p>
                    <w:p w14:paraId="7149D74D" w14:textId="77777777" w:rsidR="00BE058D" w:rsidRDefault="00BE058D" w:rsidP="00BE058D">
                      <w:pPr>
                        <w:spacing w:after="0"/>
                        <w:rPr>
                          <w:sz w:val="24"/>
                          <w:szCs w:val="24"/>
                        </w:rPr>
                      </w:pPr>
                      <w:r>
                        <w:rPr>
                          <w:i/>
                          <w:sz w:val="24"/>
                          <w:szCs w:val="24"/>
                        </w:rPr>
                        <w:t>Age</w:t>
                      </w:r>
                      <w:r>
                        <w:rPr>
                          <w:sz w:val="24"/>
                          <w:szCs w:val="24"/>
                        </w:rPr>
                        <w:t xml:space="preserve"> ___________________________</w:t>
                      </w:r>
                    </w:p>
                    <w:p w14:paraId="38D5A57A" w14:textId="77777777" w:rsidR="00BE058D" w:rsidRDefault="00BE058D" w:rsidP="00BE058D">
                      <w:pPr>
                        <w:pStyle w:val="ListParagraph"/>
                        <w:spacing w:after="0"/>
                        <w:rPr>
                          <w:sz w:val="24"/>
                          <w:szCs w:val="24"/>
                        </w:rPr>
                      </w:pPr>
                    </w:p>
                    <w:p w14:paraId="773A0093" w14:textId="77777777" w:rsidR="00BE058D" w:rsidRDefault="00BE058D" w:rsidP="00BE058D">
                      <w:pPr>
                        <w:spacing w:after="0"/>
                        <w:rPr>
                          <w:sz w:val="24"/>
                          <w:szCs w:val="24"/>
                        </w:rPr>
                      </w:pPr>
                      <w:r>
                        <w:rPr>
                          <w:i/>
                          <w:sz w:val="24"/>
                          <w:szCs w:val="24"/>
                        </w:rPr>
                        <w:t>Male or female</w:t>
                      </w:r>
                      <w:r>
                        <w:rPr>
                          <w:sz w:val="24"/>
                          <w:szCs w:val="24"/>
                        </w:rPr>
                        <w:t xml:space="preserve"> ________________________________</w:t>
                      </w:r>
                    </w:p>
                    <w:p w14:paraId="0734FDA5" w14:textId="77777777" w:rsidR="00BE058D" w:rsidRDefault="00BE058D" w:rsidP="00BE058D">
                      <w:pPr>
                        <w:pStyle w:val="ListParagraph"/>
                        <w:spacing w:after="0"/>
                        <w:rPr>
                          <w:sz w:val="24"/>
                          <w:szCs w:val="24"/>
                        </w:rPr>
                      </w:pPr>
                    </w:p>
                    <w:p w14:paraId="16F34855" w14:textId="77777777" w:rsidR="00BE058D" w:rsidRDefault="00BE058D" w:rsidP="00BE058D">
                      <w:pPr>
                        <w:jc w:val="center"/>
                      </w:pPr>
                    </w:p>
                  </w:txbxContent>
                </v:textbox>
                <w10:wrap type="tight"/>
              </v:rect>
            </w:pict>
          </mc:Fallback>
        </mc:AlternateContent>
      </w:r>
    </w:p>
    <w:p w14:paraId="3033F4DE" w14:textId="77777777" w:rsidR="00BE058D" w:rsidRDefault="00BE058D" w:rsidP="00BE058D">
      <w:pPr>
        <w:spacing w:line="256" w:lineRule="auto"/>
        <w:rPr>
          <w:rFonts w:ascii="Calibri" w:eastAsia="Calibri" w:hAnsi="Calibri" w:cs="Times New Roman"/>
          <w:b/>
        </w:rPr>
      </w:pPr>
    </w:p>
    <w:p w14:paraId="5445B0E1" w14:textId="77777777" w:rsidR="00BE058D" w:rsidRDefault="00BE058D" w:rsidP="00BE058D">
      <w:pPr>
        <w:spacing w:line="256" w:lineRule="auto"/>
        <w:rPr>
          <w:rFonts w:ascii="Calibri" w:eastAsia="Calibri" w:hAnsi="Calibri" w:cs="Times New Roman"/>
          <w:b/>
        </w:rPr>
      </w:pPr>
    </w:p>
    <w:p w14:paraId="109F857A" w14:textId="77777777" w:rsidR="00BE058D" w:rsidRPr="00A72DA3" w:rsidRDefault="00BE058D" w:rsidP="00AA5DD9">
      <w:pPr>
        <w:pStyle w:val="ListParagraph"/>
        <w:numPr>
          <w:ilvl w:val="0"/>
          <w:numId w:val="12"/>
        </w:numPr>
        <w:spacing w:after="160" w:line="256" w:lineRule="auto"/>
        <w:rPr>
          <w:rFonts w:ascii="Calibri" w:eastAsia="Calibri" w:hAnsi="Calibri" w:cs="Times New Roman"/>
          <w:sz w:val="24"/>
          <w:szCs w:val="24"/>
        </w:rPr>
      </w:pPr>
      <w:r w:rsidRPr="00A72DA3">
        <w:rPr>
          <w:rFonts w:ascii="Calibri" w:eastAsia="Calibri" w:hAnsi="Calibri" w:cs="Times New Roman"/>
          <w:sz w:val="24"/>
          <w:szCs w:val="24"/>
        </w:rPr>
        <w:lastRenderedPageBreak/>
        <w:t xml:space="preserve">How many students took part in the </w:t>
      </w:r>
      <w:r>
        <w:rPr>
          <w:rFonts w:ascii="Calibri" w:eastAsia="Calibri" w:hAnsi="Calibri" w:cs="Times New Roman"/>
          <w:sz w:val="24"/>
          <w:szCs w:val="24"/>
        </w:rPr>
        <w:t xml:space="preserve">poster-making </w:t>
      </w:r>
      <w:r w:rsidRPr="00A72DA3">
        <w:rPr>
          <w:rFonts w:ascii="Calibri" w:eastAsia="Calibri" w:hAnsi="Calibri" w:cs="Times New Roman"/>
          <w:sz w:val="24"/>
          <w:szCs w:val="24"/>
        </w:rPr>
        <w:t>session you delivered?</w:t>
      </w:r>
    </w:p>
    <w:p w14:paraId="52D055B6" w14:textId="77777777" w:rsidR="00BE058D" w:rsidRDefault="00BE058D" w:rsidP="00BE058D">
      <w:pPr>
        <w:spacing w:line="256" w:lineRule="auto"/>
        <w:jc w:val="center"/>
        <w:rPr>
          <w:rFonts w:ascii="Calibri" w:eastAsia="Calibri" w:hAnsi="Calibri" w:cs="Times New Roman"/>
          <w:b/>
        </w:rPr>
      </w:pPr>
    </w:p>
    <w:p w14:paraId="1D751065" w14:textId="77777777" w:rsidR="00BE058D" w:rsidRDefault="00BE058D" w:rsidP="00BE058D">
      <w:pPr>
        <w:spacing w:line="256" w:lineRule="auto"/>
        <w:jc w:val="center"/>
        <w:rPr>
          <w:rFonts w:ascii="Calibri" w:eastAsia="Calibri" w:hAnsi="Calibri" w:cs="Times New Roman"/>
          <w:b/>
        </w:rPr>
      </w:pPr>
      <w:r>
        <w:rPr>
          <w:rFonts w:ascii="Calibri" w:eastAsia="Calibri" w:hAnsi="Calibri" w:cs="Times New Roman"/>
          <w:b/>
        </w:rPr>
        <w:t>------------------------------------------------------------------------------</w:t>
      </w:r>
    </w:p>
    <w:p w14:paraId="2F02AE09" w14:textId="77777777" w:rsidR="00BE058D" w:rsidRDefault="00BE058D" w:rsidP="00BE058D">
      <w:pPr>
        <w:spacing w:line="256" w:lineRule="auto"/>
        <w:jc w:val="center"/>
        <w:rPr>
          <w:rFonts w:ascii="Calibri" w:eastAsia="Calibri" w:hAnsi="Calibri" w:cs="Times New Roman"/>
          <w:b/>
        </w:rPr>
      </w:pPr>
    </w:p>
    <w:p w14:paraId="14DB63B7" w14:textId="77777777" w:rsidR="00BE058D" w:rsidRPr="00D608F2" w:rsidRDefault="00BE058D" w:rsidP="00BE058D">
      <w:pPr>
        <w:spacing w:line="256" w:lineRule="auto"/>
        <w:jc w:val="center"/>
        <w:rPr>
          <w:rFonts w:ascii="Calibri" w:eastAsia="Calibri" w:hAnsi="Calibri" w:cs="Times New Roman"/>
          <w:b/>
        </w:rPr>
      </w:pPr>
    </w:p>
    <w:p w14:paraId="3F8D3228" w14:textId="77777777" w:rsidR="00BE058D" w:rsidRDefault="00BE058D" w:rsidP="00BE058D">
      <w:pPr>
        <w:spacing w:line="256" w:lineRule="auto"/>
        <w:jc w:val="center"/>
        <w:rPr>
          <w:rFonts w:eastAsia="Calibri" w:cstheme="minorHAnsi"/>
          <w:i/>
          <w:sz w:val="24"/>
          <w:szCs w:val="24"/>
        </w:rPr>
      </w:pPr>
      <w:r w:rsidRPr="008B7C68">
        <w:rPr>
          <w:rFonts w:eastAsia="Calibri" w:cstheme="minorHAnsi"/>
          <w:i/>
          <w:sz w:val="24"/>
          <w:szCs w:val="24"/>
          <w:highlight w:val="lightGray"/>
        </w:rPr>
        <w:t xml:space="preserve">Please read each statement carefully and </w:t>
      </w:r>
      <w:r w:rsidRPr="008B7C68">
        <w:rPr>
          <w:rFonts w:eastAsia="Calibri" w:cstheme="minorHAnsi"/>
          <w:b/>
          <w:i/>
          <w:sz w:val="24"/>
          <w:szCs w:val="24"/>
          <w:highlight w:val="lightGray"/>
        </w:rPr>
        <w:t xml:space="preserve">circle the </w:t>
      </w:r>
      <w:r w:rsidRPr="008B7C68">
        <w:rPr>
          <w:rFonts w:eastAsia="Calibri" w:cstheme="minorHAnsi"/>
          <w:i/>
          <w:sz w:val="24"/>
          <w:szCs w:val="24"/>
          <w:highlight w:val="lightGray"/>
        </w:rPr>
        <w:t xml:space="preserve">number based on the </w:t>
      </w:r>
      <w:r w:rsidRPr="008B7C68">
        <w:rPr>
          <w:rFonts w:eastAsia="Calibri" w:cstheme="minorHAnsi"/>
          <w:b/>
          <w:i/>
          <w:sz w:val="24"/>
          <w:szCs w:val="24"/>
          <w:highlight w:val="lightGray"/>
        </w:rPr>
        <w:t>strength</w:t>
      </w:r>
      <w:r w:rsidRPr="008B7C68">
        <w:rPr>
          <w:rFonts w:eastAsia="Calibri" w:cstheme="minorHAnsi"/>
          <w:i/>
          <w:sz w:val="24"/>
          <w:szCs w:val="24"/>
          <w:highlight w:val="lightGray"/>
        </w:rPr>
        <w:t xml:space="preserve"> of </w:t>
      </w:r>
      <w:r w:rsidRPr="008B7C68">
        <w:rPr>
          <w:rFonts w:eastAsia="Calibri" w:cstheme="minorHAnsi"/>
          <w:b/>
          <w:i/>
          <w:sz w:val="24"/>
          <w:szCs w:val="24"/>
          <w:highlight w:val="lightGray"/>
        </w:rPr>
        <w:t xml:space="preserve">your </w:t>
      </w:r>
      <w:r w:rsidRPr="008B7C68">
        <w:rPr>
          <w:rFonts w:eastAsia="Calibri" w:cstheme="minorHAnsi"/>
          <w:b/>
          <w:i/>
          <w:sz w:val="24"/>
          <w:szCs w:val="24"/>
        </w:rPr>
        <w:t>feelings</w:t>
      </w:r>
      <w:r w:rsidRPr="008B7C68">
        <w:rPr>
          <w:rFonts w:eastAsia="Calibri" w:cstheme="minorHAnsi"/>
          <w:i/>
          <w:sz w:val="24"/>
          <w:szCs w:val="24"/>
        </w:rPr>
        <w:t xml:space="preserve"> to each </w:t>
      </w:r>
      <w:r w:rsidRPr="008B7C68">
        <w:rPr>
          <w:rFonts w:eastAsia="Calibri" w:cstheme="minorHAnsi"/>
          <w:i/>
          <w:sz w:val="24"/>
          <w:szCs w:val="24"/>
          <w:highlight w:val="lightGray"/>
        </w:rPr>
        <w:t>statement.</w:t>
      </w:r>
      <w:r w:rsidRPr="008B7C68">
        <w:rPr>
          <w:rFonts w:eastAsia="Calibri" w:cstheme="minorHAnsi"/>
          <w:i/>
          <w:sz w:val="24"/>
          <w:szCs w:val="24"/>
        </w:rPr>
        <w:t xml:space="preserve"> 1-5 </w:t>
      </w:r>
      <w:r w:rsidRPr="00F16074">
        <w:rPr>
          <w:rFonts w:eastAsia="Calibri" w:cstheme="minorHAnsi"/>
          <w:i/>
          <w:sz w:val="24"/>
          <w:szCs w:val="24"/>
        </w:rPr>
        <w:t xml:space="preserve">(strongly disagree to strongly agree) </w:t>
      </w:r>
    </w:p>
    <w:p w14:paraId="26C9F7BB" w14:textId="77777777" w:rsidR="00BE058D" w:rsidRPr="00D608F2" w:rsidRDefault="00BE058D" w:rsidP="00BE058D">
      <w:pPr>
        <w:spacing w:line="256" w:lineRule="auto"/>
        <w:rPr>
          <w:rFonts w:eastAsia="Calibri" w:cstheme="minorHAnsi"/>
          <w:sz w:val="24"/>
          <w:szCs w:val="24"/>
        </w:rPr>
      </w:pPr>
    </w:p>
    <w:p w14:paraId="2D319A8D" w14:textId="77777777" w:rsidR="00BE058D" w:rsidRPr="00D608F2" w:rsidRDefault="00BE058D" w:rsidP="00AA5DD9">
      <w:pPr>
        <w:pStyle w:val="ListParagraph"/>
        <w:numPr>
          <w:ilvl w:val="0"/>
          <w:numId w:val="12"/>
        </w:numPr>
        <w:spacing w:after="160" w:line="256" w:lineRule="auto"/>
        <w:rPr>
          <w:rFonts w:eastAsia="Calibri" w:cstheme="minorHAnsi"/>
          <w:sz w:val="24"/>
          <w:szCs w:val="24"/>
        </w:rPr>
      </w:pPr>
      <w:r w:rsidRPr="00D608F2">
        <w:rPr>
          <w:rFonts w:eastAsia="Calibri" w:cstheme="minorHAnsi"/>
          <w:sz w:val="24"/>
          <w:szCs w:val="24"/>
        </w:rPr>
        <w:t>I feel that the provided teacher’s lesson plan was easy to understand.</w:t>
      </w:r>
    </w:p>
    <w:tbl>
      <w:tblPr>
        <w:tblStyle w:val="TableGrid"/>
        <w:tblpPr w:leftFromText="180" w:rightFromText="180" w:vertAnchor="text" w:horzAnchor="margin" w:tblpY="4"/>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43"/>
        <w:gridCol w:w="1943"/>
        <w:gridCol w:w="1943"/>
        <w:gridCol w:w="1944"/>
      </w:tblGrid>
      <w:tr w:rsidR="00BE058D" w:rsidRPr="00F16074" w14:paraId="11522F03" w14:textId="77777777" w:rsidTr="00C81C10">
        <w:trPr>
          <w:trHeight w:val="473"/>
        </w:trPr>
        <w:tc>
          <w:tcPr>
            <w:tcW w:w="1943" w:type="dxa"/>
          </w:tcPr>
          <w:p w14:paraId="6302CFFD"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1</w:t>
            </w:r>
          </w:p>
        </w:tc>
        <w:tc>
          <w:tcPr>
            <w:tcW w:w="1943" w:type="dxa"/>
          </w:tcPr>
          <w:p w14:paraId="7DF202A9"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2</w:t>
            </w:r>
          </w:p>
        </w:tc>
        <w:tc>
          <w:tcPr>
            <w:tcW w:w="1943" w:type="dxa"/>
          </w:tcPr>
          <w:p w14:paraId="485D00DC"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3</w:t>
            </w:r>
          </w:p>
        </w:tc>
        <w:tc>
          <w:tcPr>
            <w:tcW w:w="1943" w:type="dxa"/>
          </w:tcPr>
          <w:p w14:paraId="32F6CE51"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4</w:t>
            </w:r>
          </w:p>
        </w:tc>
        <w:tc>
          <w:tcPr>
            <w:tcW w:w="1944" w:type="dxa"/>
          </w:tcPr>
          <w:p w14:paraId="4155BD76"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5</w:t>
            </w:r>
          </w:p>
        </w:tc>
      </w:tr>
      <w:tr w:rsidR="00BE058D" w:rsidRPr="00F16074" w14:paraId="655AED82" w14:textId="77777777" w:rsidTr="00C81C10">
        <w:trPr>
          <w:trHeight w:val="473"/>
        </w:trPr>
        <w:tc>
          <w:tcPr>
            <w:tcW w:w="1943" w:type="dxa"/>
          </w:tcPr>
          <w:p w14:paraId="18E24316" w14:textId="77777777" w:rsidR="00BE058D" w:rsidRPr="00F16074" w:rsidRDefault="00BE058D" w:rsidP="00C81C10">
            <w:pPr>
              <w:spacing w:line="256" w:lineRule="auto"/>
              <w:rPr>
                <w:rFonts w:eastAsia="Calibri" w:cstheme="minorHAnsi"/>
                <w:sz w:val="24"/>
                <w:szCs w:val="24"/>
              </w:rPr>
            </w:pPr>
            <w:r w:rsidRPr="00F16074">
              <w:rPr>
                <w:rFonts w:eastAsia="Calibri" w:cstheme="minorHAnsi"/>
                <w:sz w:val="24"/>
                <w:szCs w:val="24"/>
              </w:rPr>
              <w:t>Strongly disagree</w:t>
            </w:r>
          </w:p>
        </w:tc>
        <w:tc>
          <w:tcPr>
            <w:tcW w:w="1943" w:type="dxa"/>
          </w:tcPr>
          <w:p w14:paraId="3B3450ED" w14:textId="77777777" w:rsidR="00BE058D" w:rsidRPr="00F16074" w:rsidRDefault="00BE058D" w:rsidP="00C81C10">
            <w:pPr>
              <w:spacing w:line="256" w:lineRule="auto"/>
              <w:rPr>
                <w:rFonts w:eastAsia="Calibri" w:cstheme="minorHAnsi"/>
                <w:sz w:val="24"/>
                <w:szCs w:val="24"/>
              </w:rPr>
            </w:pPr>
          </w:p>
        </w:tc>
        <w:tc>
          <w:tcPr>
            <w:tcW w:w="1943" w:type="dxa"/>
          </w:tcPr>
          <w:p w14:paraId="611154D6" w14:textId="77777777" w:rsidR="00BE058D" w:rsidRPr="00F16074" w:rsidRDefault="00BE058D" w:rsidP="00C81C10">
            <w:pPr>
              <w:spacing w:line="256" w:lineRule="auto"/>
              <w:rPr>
                <w:rFonts w:eastAsia="Calibri" w:cstheme="minorHAnsi"/>
                <w:sz w:val="24"/>
                <w:szCs w:val="24"/>
              </w:rPr>
            </w:pPr>
          </w:p>
        </w:tc>
        <w:tc>
          <w:tcPr>
            <w:tcW w:w="1943" w:type="dxa"/>
          </w:tcPr>
          <w:p w14:paraId="70F06D2E" w14:textId="77777777" w:rsidR="00BE058D" w:rsidRPr="00F16074" w:rsidRDefault="00BE058D" w:rsidP="00C81C10">
            <w:pPr>
              <w:spacing w:line="256" w:lineRule="auto"/>
              <w:rPr>
                <w:rFonts w:eastAsia="Calibri" w:cstheme="minorHAnsi"/>
                <w:sz w:val="24"/>
                <w:szCs w:val="24"/>
              </w:rPr>
            </w:pPr>
          </w:p>
        </w:tc>
        <w:tc>
          <w:tcPr>
            <w:tcW w:w="1944" w:type="dxa"/>
          </w:tcPr>
          <w:p w14:paraId="52997CF0" w14:textId="77777777" w:rsidR="00BE058D" w:rsidRPr="00F16074" w:rsidRDefault="00BE058D" w:rsidP="00C81C10">
            <w:pPr>
              <w:spacing w:line="256" w:lineRule="auto"/>
              <w:rPr>
                <w:rFonts w:eastAsia="Calibri" w:cstheme="minorHAnsi"/>
                <w:sz w:val="24"/>
                <w:szCs w:val="24"/>
              </w:rPr>
            </w:pPr>
            <w:r w:rsidRPr="00F16074">
              <w:rPr>
                <w:rFonts w:eastAsia="Calibri" w:cstheme="minorHAnsi"/>
                <w:sz w:val="24"/>
                <w:szCs w:val="24"/>
              </w:rPr>
              <w:t>Strongly agree</w:t>
            </w:r>
          </w:p>
        </w:tc>
      </w:tr>
    </w:tbl>
    <w:p w14:paraId="6C568AC3" w14:textId="77777777" w:rsidR="00BE058D" w:rsidRPr="00F16074" w:rsidRDefault="00BE058D" w:rsidP="00BE058D">
      <w:pPr>
        <w:spacing w:line="256" w:lineRule="auto"/>
        <w:ind w:left="360"/>
        <w:rPr>
          <w:rFonts w:eastAsia="Calibri" w:cstheme="minorHAnsi"/>
          <w:sz w:val="24"/>
          <w:szCs w:val="24"/>
        </w:rPr>
      </w:pPr>
    </w:p>
    <w:p w14:paraId="4F164251" w14:textId="77777777" w:rsidR="00BE058D" w:rsidRPr="00F16074" w:rsidRDefault="00BE058D" w:rsidP="00BE058D">
      <w:pPr>
        <w:spacing w:line="256" w:lineRule="auto"/>
        <w:rPr>
          <w:rFonts w:eastAsia="Calibri" w:cstheme="minorHAnsi"/>
          <w:sz w:val="24"/>
          <w:szCs w:val="24"/>
        </w:rPr>
      </w:pPr>
    </w:p>
    <w:p w14:paraId="23FAF16C" w14:textId="77777777" w:rsidR="00BE058D" w:rsidRPr="00F16074" w:rsidRDefault="00BE058D" w:rsidP="00AA5DD9">
      <w:pPr>
        <w:pStyle w:val="ListParagraph"/>
        <w:numPr>
          <w:ilvl w:val="0"/>
          <w:numId w:val="12"/>
        </w:numPr>
        <w:spacing w:after="160" w:line="256" w:lineRule="auto"/>
        <w:rPr>
          <w:rFonts w:eastAsia="Calibri" w:cstheme="minorHAnsi"/>
          <w:sz w:val="24"/>
          <w:szCs w:val="24"/>
        </w:rPr>
      </w:pPr>
      <w:r w:rsidRPr="00F16074">
        <w:rPr>
          <w:rFonts w:eastAsia="Calibri" w:cstheme="minorHAnsi"/>
          <w:sz w:val="24"/>
          <w:szCs w:val="24"/>
        </w:rPr>
        <w:t xml:space="preserve">I feel that the teacher’s lesson plan was easy to follow and implement. </w:t>
      </w:r>
    </w:p>
    <w:tbl>
      <w:tblPr>
        <w:tblStyle w:val="TableGrid"/>
        <w:tblpPr w:leftFromText="180" w:rightFromText="180" w:vertAnchor="text" w:horzAnchor="margin" w:tblpY="4"/>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43"/>
        <w:gridCol w:w="1943"/>
        <w:gridCol w:w="1943"/>
        <w:gridCol w:w="1944"/>
      </w:tblGrid>
      <w:tr w:rsidR="00BE058D" w:rsidRPr="00F16074" w14:paraId="418A320B" w14:textId="77777777" w:rsidTr="00C81C10">
        <w:trPr>
          <w:trHeight w:val="473"/>
        </w:trPr>
        <w:tc>
          <w:tcPr>
            <w:tcW w:w="1943" w:type="dxa"/>
          </w:tcPr>
          <w:p w14:paraId="6D0C8776"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1</w:t>
            </w:r>
          </w:p>
        </w:tc>
        <w:tc>
          <w:tcPr>
            <w:tcW w:w="1943" w:type="dxa"/>
          </w:tcPr>
          <w:p w14:paraId="14B5A1CC"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2</w:t>
            </w:r>
          </w:p>
        </w:tc>
        <w:tc>
          <w:tcPr>
            <w:tcW w:w="1943" w:type="dxa"/>
          </w:tcPr>
          <w:p w14:paraId="170CC031"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3</w:t>
            </w:r>
          </w:p>
        </w:tc>
        <w:tc>
          <w:tcPr>
            <w:tcW w:w="1943" w:type="dxa"/>
          </w:tcPr>
          <w:p w14:paraId="5F35CA4D"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4</w:t>
            </w:r>
          </w:p>
        </w:tc>
        <w:tc>
          <w:tcPr>
            <w:tcW w:w="1944" w:type="dxa"/>
          </w:tcPr>
          <w:p w14:paraId="2D9ED626"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5</w:t>
            </w:r>
          </w:p>
        </w:tc>
      </w:tr>
      <w:tr w:rsidR="00BE058D" w:rsidRPr="00F16074" w14:paraId="40F3791C" w14:textId="77777777" w:rsidTr="00C81C10">
        <w:trPr>
          <w:trHeight w:val="473"/>
        </w:trPr>
        <w:tc>
          <w:tcPr>
            <w:tcW w:w="1943" w:type="dxa"/>
          </w:tcPr>
          <w:p w14:paraId="6DAE9959" w14:textId="77777777" w:rsidR="00BE058D" w:rsidRPr="00F16074" w:rsidRDefault="00BE058D" w:rsidP="00C81C10">
            <w:pPr>
              <w:spacing w:line="256" w:lineRule="auto"/>
              <w:rPr>
                <w:rFonts w:eastAsia="Calibri" w:cstheme="minorHAnsi"/>
                <w:sz w:val="24"/>
                <w:szCs w:val="24"/>
              </w:rPr>
            </w:pPr>
            <w:r w:rsidRPr="00F16074">
              <w:rPr>
                <w:rFonts w:eastAsia="Calibri" w:cstheme="minorHAnsi"/>
                <w:sz w:val="24"/>
                <w:szCs w:val="24"/>
              </w:rPr>
              <w:t>Strongly disagree</w:t>
            </w:r>
          </w:p>
        </w:tc>
        <w:tc>
          <w:tcPr>
            <w:tcW w:w="1943" w:type="dxa"/>
          </w:tcPr>
          <w:p w14:paraId="5E3DE4DD" w14:textId="77777777" w:rsidR="00BE058D" w:rsidRPr="00F16074" w:rsidRDefault="00BE058D" w:rsidP="00C81C10">
            <w:pPr>
              <w:spacing w:line="256" w:lineRule="auto"/>
              <w:rPr>
                <w:rFonts w:eastAsia="Calibri" w:cstheme="minorHAnsi"/>
                <w:sz w:val="24"/>
                <w:szCs w:val="24"/>
              </w:rPr>
            </w:pPr>
          </w:p>
        </w:tc>
        <w:tc>
          <w:tcPr>
            <w:tcW w:w="1943" w:type="dxa"/>
          </w:tcPr>
          <w:p w14:paraId="0781E41B" w14:textId="77777777" w:rsidR="00BE058D" w:rsidRPr="00F16074" w:rsidRDefault="00BE058D" w:rsidP="00C81C10">
            <w:pPr>
              <w:spacing w:line="256" w:lineRule="auto"/>
              <w:rPr>
                <w:rFonts w:eastAsia="Calibri" w:cstheme="minorHAnsi"/>
                <w:sz w:val="24"/>
                <w:szCs w:val="24"/>
              </w:rPr>
            </w:pPr>
          </w:p>
        </w:tc>
        <w:tc>
          <w:tcPr>
            <w:tcW w:w="1943" w:type="dxa"/>
          </w:tcPr>
          <w:p w14:paraId="1D188FEA" w14:textId="77777777" w:rsidR="00BE058D" w:rsidRPr="00F16074" w:rsidRDefault="00BE058D" w:rsidP="00C81C10">
            <w:pPr>
              <w:spacing w:line="256" w:lineRule="auto"/>
              <w:rPr>
                <w:rFonts w:eastAsia="Calibri" w:cstheme="minorHAnsi"/>
                <w:sz w:val="24"/>
                <w:szCs w:val="24"/>
              </w:rPr>
            </w:pPr>
          </w:p>
        </w:tc>
        <w:tc>
          <w:tcPr>
            <w:tcW w:w="1944" w:type="dxa"/>
          </w:tcPr>
          <w:p w14:paraId="5255CF03" w14:textId="77777777" w:rsidR="00BE058D" w:rsidRPr="00F16074" w:rsidRDefault="00BE058D" w:rsidP="00C81C10">
            <w:pPr>
              <w:spacing w:line="256" w:lineRule="auto"/>
              <w:rPr>
                <w:rFonts w:eastAsia="Calibri" w:cstheme="minorHAnsi"/>
                <w:sz w:val="24"/>
                <w:szCs w:val="24"/>
              </w:rPr>
            </w:pPr>
            <w:r w:rsidRPr="00F16074">
              <w:rPr>
                <w:rFonts w:eastAsia="Calibri" w:cstheme="minorHAnsi"/>
                <w:sz w:val="24"/>
                <w:szCs w:val="24"/>
              </w:rPr>
              <w:t>Strongly agree</w:t>
            </w:r>
          </w:p>
        </w:tc>
      </w:tr>
    </w:tbl>
    <w:p w14:paraId="577A0AE6" w14:textId="77777777" w:rsidR="00BE058D" w:rsidRPr="00F16074" w:rsidRDefault="00BE058D" w:rsidP="00BE058D">
      <w:pPr>
        <w:spacing w:line="256" w:lineRule="auto"/>
        <w:ind w:firstLine="720"/>
        <w:rPr>
          <w:rFonts w:eastAsia="Calibri" w:cstheme="minorHAnsi"/>
          <w:sz w:val="24"/>
          <w:szCs w:val="24"/>
        </w:rPr>
      </w:pPr>
    </w:p>
    <w:p w14:paraId="000110B2" w14:textId="77777777" w:rsidR="00BE058D" w:rsidRDefault="00BE058D" w:rsidP="00BE058D">
      <w:pPr>
        <w:spacing w:line="256" w:lineRule="auto"/>
        <w:ind w:firstLine="720"/>
        <w:rPr>
          <w:rFonts w:eastAsia="Calibri" w:cstheme="minorHAnsi"/>
          <w:sz w:val="24"/>
          <w:szCs w:val="24"/>
        </w:rPr>
      </w:pPr>
      <w:r w:rsidRPr="00F16074">
        <w:rPr>
          <w:rFonts w:eastAsia="Calibri" w:cstheme="minorHAnsi"/>
          <w:sz w:val="24"/>
          <w:szCs w:val="24"/>
        </w:rPr>
        <w:t>Any further comments (</w:t>
      </w:r>
      <w:r w:rsidRPr="00D2005C">
        <w:rPr>
          <w:rFonts w:eastAsia="Calibri" w:cstheme="minorHAnsi"/>
          <w:i/>
          <w:sz w:val="24"/>
          <w:szCs w:val="24"/>
        </w:rPr>
        <w:t>please add in the box provided below</w:t>
      </w:r>
      <w:r w:rsidRPr="00F16074">
        <w:rPr>
          <w:rFonts w:eastAsia="Calibri" w:cstheme="minorHAnsi"/>
          <w:sz w:val="24"/>
          <w:szCs w:val="24"/>
        </w:rPr>
        <w:t>)…………..</w:t>
      </w:r>
    </w:p>
    <w:p w14:paraId="43EA28CC" w14:textId="77777777" w:rsidR="00BE058D" w:rsidRDefault="00BE058D" w:rsidP="00BE058D">
      <w:pPr>
        <w:spacing w:line="256" w:lineRule="auto"/>
        <w:ind w:firstLine="720"/>
        <w:rPr>
          <w:rFonts w:eastAsia="Calibri" w:cstheme="minorHAnsi"/>
          <w:sz w:val="24"/>
          <w:szCs w:val="24"/>
        </w:rPr>
      </w:pPr>
      <w:r w:rsidRPr="008B7C68">
        <w:rPr>
          <w:rFonts w:eastAsia="Calibri" w:cstheme="minorHAnsi"/>
          <w:b/>
          <w:noProof/>
          <w:sz w:val="24"/>
          <w:szCs w:val="24"/>
          <w:lang w:eastAsia="en-GB"/>
        </w:rPr>
        <mc:AlternateContent>
          <mc:Choice Requires="wps">
            <w:drawing>
              <wp:anchor distT="0" distB="0" distL="114300" distR="114300" simplePos="0" relativeHeight="251736064" behindDoc="0" locked="0" layoutInCell="1" allowOverlap="1" wp14:anchorId="646C3621" wp14:editId="266583C1">
                <wp:simplePos x="0" y="0"/>
                <wp:positionH relativeFrom="margin">
                  <wp:posOffset>0</wp:posOffset>
                </wp:positionH>
                <wp:positionV relativeFrom="paragraph">
                  <wp:posOffset>96066</wp:posOffset>
                </wp:positionV>
                <wp:extent cx="6010910" cy="2285547"/>
                <wp:effectExtent l="0" t="0" r="27940" b="19685"/>
                <wp:wrapNone/>
                <wp:docPr id="218" name="Rectangle 218"/>
                <wp:cNvGraphicFramePr/>
                <a:graphic xmlns:a="http://schemas.openxmlformats.org/drawingml/2006/main">
                  <a:graphicData uri="http://schemas.microsoft.com/office/word/2010/wordprocessingShape">
                    <wps:wsp>
                      <wps:cNvSpPr/>
                      <wps:spPr>
                        <a:xfrm>
                          <a:off x="0" y="0"/>
                          <a:ext cx="6010910" cy="2285547"/>
                        </a:xfrm>
                        <a:prstGeom prst="rect">
                          <a:avLst/>
                        </a:prstGeom>
                        <a:solidFill>
                          <a:srgbClr val="E7E6E6"/>
                        </a:solidFill>
                        <a:ln w="12700" cap="flat" cmpd="sng" algn="ctr">
                          <a:solidFill>
                            <a:sysClr val="windowText" lastClr="000000"/>
                          </a:solidFill>
                          <a:prstDash val="solid"/>
                          <a:miter lim="800000"/>
                        </a:ln>
                        <a:effectLst/>
                      </wps:spPr>
                      <wps:txbx>
                        <w:txbxContent>
                          <w:p w14:paraId="0E2AB0DC" w14:textId="77777777" w:rsidR="00BE058D" w:rsidRDefault="00BE058D" w:rsidP="00BE058D">
                            <w:pPr>
                              <w:jc w:val="center"/>
                            </w:pPr>
                          </w:p>
                          <w:p w14:paraId="16CFA272" w14:textId="77777777" w:rsidR="00BE058D" w:rsidRDefault="00BE058D" w:rsidP="00BE058D"/>
                          <w:p w14:paraId="36979D92"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3621" id="Rectangle 218" o:spid="_x0000_s1063" style="position:absolute;left:0;text-align:left;margin-left:0;margin-top:7.55pt;width:473.3pt;height:179.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" fillcolor="#e7e6e6" strokecolor="windowText" strokeweight="1pt">
                <v:textbox>
                  <w:txbxContent>
                    <w:p w14:paraId="0E2AB0DC" w14:textId="77777777" w:rsidR="00BE058D" w:rsidRDefault="00BE058D" w:rsidP="00BE058D">
                      <w:pPr>
                        <w:jc w:val="center"/>
                      </w:pPr>
                    </w:p>
                    <w:p w14:paraId="16CFA272" w14:textId="77777777" w:rsidR="00BE058D" w:rsidRDefault="00BE058D" w:rsidP="00BE058D"/>
                    <w:p w14:paraId="36979D92" w14:textId="77777777" w:rsidR="00BE058D" w:rsidRDefault="00BE058D" w:rsidP="00BE058D">
                      <w:pPr>
                        <w:jc w:val="center"/>
                      </w:pPr>
                    </w:p>
                  </w:txbxContent>
                </v:textbox>
                <w10:wrap anchorx="margin"/>
              </v:rect>
            </w:pict>
          </mc:Fallback>
        </mc:AlternateContent>
      </w:r>
    </w:p>
    <w:p w14:paraId="092BF36E" w14:textId="77777777" w:rsidR="00BE058D" w:rsidRDefault="00BE058D" w:rsidP="00BE058D">
      <w:pPr>
        <w:spacing w:line="256" w:lineRule="auto"/>
        <w:ind w:firstLine="720"/>
        <w:rPr>
          <w:rFonts w:eastAsia="Calibri" w:cstheme="minorHAnsi"/>
          <w:sz w:val="24"/>
          <w:szCs w:val="24"/>
        </w:rPr>
      </w:pPr>
    </w:p>
    <w:p w14:paraId="762671B7" w14:textId="77777777" w:rsidR="00BE058D" w:rsidRDefault="00BE058D" w:rsidP="00BE058D">
      <w:pPr>
        <w:spacing w:line="256" w:lineRule="auto"/>
        <w:ind w:firstLine="720"/>
        <w:rPr>
          <w:rFonts w:eastAsia="Calibri" w:cstheme="minorHAnsi"/>
          <w:sz w:val="24"/>
          <w:szCs w:val="24"/>
        </w:rPr>
      </w:pPr>
    </w:p>
    <w:p w14:paraId="3BE56082" w14:textId="77777777" w:rsidR="00BE058D" w:rsidRDefault="00BE058D" w:rsidP="00BE058D">
      <w:pPr>
        <w:spacing w:line="256" w:lineRule="auto"/>
        <w:ind w:firstLine="720"/>
        <w:rPr>
          <w:rFonts w:eastAsia="Calibri" w:cstheme="minorHAnsi"/>
          <w:sz w:val="24"/>
          <w:szCs w:val="24"/>
        </w:rPr>
      </w:pPr>
    </w:p>
    <w:p w14:paraId="69B42BC6" w14:textId="77777777" w:rsidR="00BE058D" w:rsidRDefault="00BE058D" w:rsidP="00BE058D">
      <w:pPr>
        <w:spacing w:line="256" w:lineRule="auto"/>
        <w:ind w:firstLine="720"/>
        <w:rPr>
          <w:rFonts w:eastAsia="Calibri" w:cstheme="minorHAnsi"/>
          <w:sz w:val="24"/>
          <w:szCs w:val="24"/>
        </w:rPr>
      </w:pPr>
    </w:p>
    <w:p w14:paraId="40002EE2" w14:textId="77777777" w:rsidR="00BE058D" w:rsidRDefault="00BE058D" w:rsidP="00BE058D">
      <w:pPr>
        <w:spacing w:line="256" w:lineRule="auto"/>
        <w:rPr>
          <w:rFonts w:eastAsia="Calibri" w:cstheme="minorHAnsi"/>
          <w:sz w:val="24"/>
          <w:szCs w:val="24"/>
        </w:rPr>
      </w:pPr>
    </w:p>
    <w:p w14:paraId="621379C7" w14:textId="77777777" w:rsidR="00BE058D" w:rsidRPr="00D608F2" w:rsidRDefault="00BE058D" w:rsidP="00BE058D">
      <w:pPr>
        <w:spacing w:line="256" w:lineRule="auto"/>
        <w:rPr>
          <w:rFonts w:eastAsia="Calibri" w:cstheme="minorHAnsi"/>
          <w:sz w:val="24"/>
          <w:szCs w:val="24"/>
        </w:rPr>
      </w:pPr>
    </w:p>
    <w:p w14:paraId="2033B3CB" w14:textId="77777777" w:rsidR="00BE058D" w:rsidRDefault="00BE058D" w:rsidP="00BE058D">
      <w:pPr>
        <w:pStyle w:val="ListParagraph"/>
        <w:spacing w:line="256" w:lineRule="auto"/>
        <w:rPr>
          <w:rFonts w:eastAsia="Calibri" w:cstheme="minorHAnsi"/>
          <w:sz w:val="24"/>
          <w:szCs w:val="24"/>
        </w:rPr>
      </w:pPr>
    </w:p>
    <w:p w14:paraId="7A8526D1" w14:textId="77777777" w:rsidR="00BE058D" w:rsidRDefault="00BE058D" w:rsidP="00BE058D">
      <w:pPr>
        <w:pStyle w:val="ListParagraph"/>
        <w:spacing w:line="256" w:lineRule="auto"/>
        <w:rPr>
          <w:rFonts w:eastAsia="Calibri" w:cstheme="minorHAnsi"/>
          <w:sz w:val="24"/>
          <w:szCs w:val="24"/>
        </w:rPr>
      </w:pPr>
    </w:p>
    <w:p w14:paraId="612F2958" w14:textId="77777777" w:rsidR="00BE058D" w:rsidRPr="00DA5394" w:rsidRDefault="00BE058D" w:rsidP="00AA5DD9">
      <w:pPr>
        <w:pStyle w:val="ListParagraph"/>
        <w:numPr>
          <w:ilvl w:val="0"/>
          <w:numId w:val="12"/>
        </w:numPr>
        <w:spacing w:after="160" w:line="256" w:lineRule="auto"/>
        <w:rPr>
          <w:rFonts w:eastAsia="Calibri" w:cstheme="minorHAnsi"/>
          <w:sz w:val="24"/>
          <w:szCs w:val="24"/>
        </w:rPr>
      </w:pPr>
      <w:r w:rsidRPr="00DA5394">
        <w:rPr>
          <w:rFonts w:eastAsia="Calibri" w:cstheme="minorHAnsi"/>
          <w:sz w:val="24"/>
          <w:szCs w:val="24"/>
        </w:rPr>
        <w:t xml:space="preserve">I think the students engaged with the poster-making activity: </w:t>
      </w:r>
    </w:p>
    <w:tbl>
      <w:tblPr>
        <w:tblStyle w:val="TableGrid"/>
        <w:tblpPr w:leftFromText="180" w:rightFromText="180" w:vertAnchor="text" w:horzAnchor="margin" w:tblpY="4"/>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43"/>
        <w:gridCol w:w="1943"/>
        <w:gridCol w:w="1943"/>
        <w:gridCol w:w="1944"/>
      </w:tblGrid>
      <w:tr w:rsidR="00BE058D" w:rsidRPr="00F16074" w14:paraId="2471D448" w14:textId="77777777" w:rsidTr="00C81C10">
        <w:trPr>
          <w:trHeight w:val="473"/>
        </w:trPr>
        <w:tc>
          <w:tcPr>
            <w:tcW w:w="1943" w:type="dxa"/>
          </w:tcPr>
          <w:p w14:paraId="6951F3E7"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1</w:t>
            </w:r>
          </w:p>
        </w:tc>
        <w:tc>
          <w:tcPr>
            <w:tcW w:w="1943" w:type="dxa"/>
          </w:tcPr>
          <w:p w14:paraId="0806C415"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2</w:t>
            </w:r>
          </w:p>
        </w:tc>
        <w:tc>
          <w:tcPr>
            <w:tcW w:w="1943" w:type="dxa"/>
          </w:tcPr>
          <w:p w14:paraId="069D00F8"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3</w:t>
            </w:r>
          </w:p>
        </w:tc>
        <w:tc>
          <w:tcPr>
            <w:tcW w:w="1943" w:type="dxa"/>
          </w:tcPr>
          <w:p w14:paraId="503AEB6E"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4</w:t>
            </w:r>
          </w:p>
        </w:tc>
        <w:tc>
          <w:tcPr>
            <w:tcW w:w="1944" w:type="dxa"/>
          </w:tcPr>
          <w:p w14:paraId="7F66C3C8"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5</w:t>
            </w:r>
          </w:p>
        </w:tc>
      </w:tr>
      <w:tr w:rsidR="00BE058D" w:rsidRPr="00F16074" w14:paraId="6FB3E3A7" w14:textId="77777777" w:rsidTr="00C81C10">
        <w:trPr>
          <w:trHeight w:val="473"/>
        </w:trPr>
        <w:tc>
          <w:tcPr>
            <w:tcW w:w="1943" w:type="dxa"/>
          </w:tcPr>
          <w:p w14:paraId="3DE9951D" w14:textId="77777777" w:rsidR="00BE058D" w:rsidRPr="00F16074" w:rsidRDefault="00BE058D" w:rsidP="00C81C10">
            <w:pPr>
              <w:spacing w:line="256" w:lineRule="auto"/>
              <w:rPr>
                <w:rFonts w:eastAsia="Calibri" w:cstheme="minorHAnsi"/>
                <w:sz w:val="24"/>
                <w:szCs w:val="24"/>
              </w:rPr>
            </w:pPr>
            <w:r w:rsidRPr="00F16074">
              <w:rPr>
                <w:rFonts w:eastAsia="Calibri" w:cstheme="minorHAnsi"/>
                <w:sz w:val="24"/>
                <w:szCs w:val="24"/>
              </w:rPr>
              <w:t>Strongly disagree</w:t>
            </w:r>
          </w:p>
        </w:tc>
        <w:tc>
          <w:tcPr>
            <w:tcW w:w="1943" w:type="dxa"/>
          </w:tcPr>
          <w:p w14:paraId="450A53E6" w14:textId="77777777" w:rsidR="00BE058D" w:rsidRPr="00F16074" w:rsidRDefault="00BE058D" w:rsidP="00C81C10">
            <w:pPr>
              <w:spacing w:line="256" w:lineRule="auto"/>
              <w:rPr>
                <w:rFonts w:eastAsia="Calibri" w:cstheme="minorHAnsi"/>
                <w:sz w:val="24"/>
                <w:szCs w:val="24"/>
              </w:rPr>
            </w:pPr>
          </w:p>
        </w:tc>
        <w:tc>
          <w:tcPr>
            <w:tcW w:w="1943" w:type="dxa"/>
          </w:tcPr>
          <w:p w14:paraId="38417AA4" w14:textId="77777777" w:rsidR="00BE058D" w:rsidRPr="00F16074" w:rsidRDefault="00BE058D" w:rsidP="00C81C10">
            <w:pPr>
              <w:spacing w:line="256" w:lineRule="auto"/>
              <w:rPr>
                <w:rFonts w:eastAsia="Calibri" w:cstheme="minorHAnsi"/>
                <w:sz w:val="24"/>
                <w:szCs w:val="24"/>
              </w:rPr>
            </w:pPr>
          </w:p>
        </w:tc>
        <w:tc>
          <w:tcPr>
            <w:tcW w:w="1943" w:type="dxa"/>
          </w:tcPr>
          <w:p w14:paraId="430AC87C" w14:textId="77777777" w:rsidR="00BE058D" w:rsidRPr="00F16074" w:rsidRDefault="00BE058D" w:rsidP="00C81C10">
            <w:pPr>
              <w:spacing w:line="256" w:lineRule="auto"/>
              <w:rPr>
                <w:rFonts w:eastAsia="Calibri" w:cstheme="minorHAnsi"/>
                <w:sz w:val="24"/>
                <w:szCs w:val="24"/>
              </w:rPr>
            </w:pPr>
          </w:p>
        </w:tc>
        <w:tc>
          <w:tcPr>
            <w:tcW w:w="1944" w:type="dxa"/>
          </w:tcPr>
          <w:p w14:paraId="0FBA0DE6" w14:textId="77777777" w:rsidR="00BE058D" w:rsidRPr="00F16074" w:rsidRDefault="00BE058D" w:rsidP="00C81C10">
            <w:pPr>
              <w:spacing w:line="256" w:lineRule="auto"/>
              <w:rPr>
                <w:rFonts w:eastAsia="Calibri" w:cstheme="minorHAnsi"/>
                <w:sz w:val="24"/>
                <w:szCs w:val="24"/>
              </w:rPr>
            </w:pPr>
            <w:r w:rsidRPr="00F16074">
              <w:rPr>
                <w:rFonts w:eastAsia="Calibri" w:cstheme="minorHAnsi"/>
                <w:sz w:val="24"/>
                <w:szCs w:val="24"/>
              </w:rPr>
              <w:t>Strongly agree</w:t>
            </w:r>
          </w:p>
        </w:tc>
      </w:tr>
    </w:tbl>
    <w:p w14:paraId="63317939" w14:textId="77777777" w:rsidR="00BE058D" w:rsidRPr="00F16074" w:rsidRDefault="00BE058D" w:rsidP="00BE058D">
      <w:pPr>
        <w:spacing w:line="256" w:lineRule="auto"/>
        <w:ind w:firstLine="720"/>
        <w:rPr>
          <w:rFonts w:eastAsia="Calibri" w:cstheme="minorHAnsi"/>
          <w:sz w:val="24"/>
          <w:szCs w:val="24"/>
        </w:rPr>
      </w:pPr>
      <w:r w:rsidRPr="00F16074">
        <w:rPr>
          <w:rFonts w:eastAsia="Calibri" w:cstheme="minorHAnsi"/>
          <w:noProof/>
          <w:sz w:val="24"/>
          <w:szCs w:val="24"/>
          <w:lang w:eastAsia="en-GB"/>
        </w:rPr>
        <w:lastRenderedPageBreak/>
        <mc:AlternateContent>
          <mc:Choice Requires="wps">
            <w:drawing>
              <wp:anchor distT="0" distB="0" distL="114300" distR="114300" simplePos="0" relativeHeight="251737088" behindDoc="0" locked="0" layoutInCell="1" allowOverlap="1" wp14:anchorId="1F7C4EF1" wp14:editId="7EED467E">
                <wp:simplePos x="0" y="0"/>
                <wp:positionH relativeFrom="column">
                  <wp:posOffset>-114300</wp:posOffset>
                </wp:positionH>
                <wp:positionV relativeFrom="paragraph">
                  <wp:posOffset>310061</wp:posOffset>
                </wp:positionV>
                <wp:extent cx="6098540" cy="1974397"/>
                <wp:effectExtent l="0" t="0" r="16510" b="26035"/>
                <wp:wrapNone/>
                <wp:docPr id="219" name="Rectangle 219"/>
                <wp:cNvGraphicFramePr/>
                <a:graphic xmlns:a="http://schemas.openxmlformats.org/drawingml/2006/main">
                  <a:graphicData uri="http://schemas.microsoft.com/office/word/2010/wordprocessingShape">
                    <wps:wsp>
                      <wps:cNvSpPr/>
                      <wps:spPr>
                        <a:xfrm>
                          <a:off x="0" y="0"/>
                          <a:ext cx="6098540" cy="1974397"/>
                        </a:xfrm>
                        <a:prstGeom prst="rect">
                          <a:avLst/>
                        </a:prstGeom>
                        <a:solidFill>
                          <a:srgbClr val="E7E6E6"/>
                        </a:solidFill>
                        <a:ln w="12700" cap="flat" cmpd="sng" algn="ctr">
                          <a:solidFill>
                            <a:sysClr val="windowText" lastClr="000000"/>
                          </a:solidFill>
                          <a:prstDash val="solid"/>
                          <a:miter lim="800000"/>
                        </a:ln>
                        <a:effectLst/>
                      </wps:spPr>
                      <wps:txbx>
                        <w:txbxContent>
                          <w:p w14:paraId="7184BFAE" w14:textId="77777777" w:rsidR="00BE058D" w:rsidRDefault="00BE058D" w:rsidP="00BE058D">
                            <w:pPr>
                              <w:jc w:val="center"/>
                            </w:pPr>
                          </w:p>
                          <w:p w14:paraId="0CBA67A8" w14:textId="77777777" w:rsidR="00BE058D" w:rsidRDefault="00BE058D" w:rsidP="00BE058D"/>
                          <w:p w14:paraId="66274BCE"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4EF1" id="Rectangle 219" o:spid="_x0000_s1064" style="position:absolute;left:0;text-align:left;margin-left:-9pt;margin-top:24.4pt;width:480.2pt;height:155.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" fillcolor="#e7e6e6" strokecolor="windowText" strokeweight="1pt">
                <v:textbox>
                  <w:txbxContent>
                    <w:p w14:paraId="7184BFAE" w14:textId="77777777" w:rsidR="00BE058D" w:rsidRDefault="00BE058D" w:rsidP="00BE058D">
                      <w:pPr>
                        <w:jc w:val="center"/>
                      </w:pPr>
                    </w:p>
                    <w:p w14:paraId="0CBA67A8" w14:textId="77777777" w:rsidR="00BE058D" w:rsidRDefault="00BE058D" w:rsidP="00BE058D"/>
                    <w:p w14:paraId="66274BCE" w14:textId="77777777" w:rsidR="00BE058D" w:rsidRDefault="00BE058D" w:rsidP="00BE058D">
                      <w:pPr>
                        <w:jc w:val="center"/>
                      </w:pPr>
                    </w:p>
                  </w:txbxContent>
                </v:textbox>
              </v:rect>
            </w:pict>
          </mc:Fallback>
        </mc:AlternateContent>
      </w:r>
      <w:r w:rsidRPr="00F16074">
        <w:rPr>
          <w:rFonts w:eastAsia="Calibri" w:cstheme="minorHAnsi"/>
          <w:sz w:val="24"/>
          <w:szCs w:val="24"/>
        </w:rPr>
        <w:t xml:space="preserve"> Any further comments (</w:t>
      </w:r>
      <w:r w:rsidRPr="00D2005C">
        <w:rPr>
          <w:rFonts w:eastAsia="Calibri" w:cstheme="minorHAnsi"/>
          <w:i/>
          <w:sz w:val="24"/>
          <w:szCs w:val="24"/>
        </w:rPr>
        <w:t>please add in the box provided below</w:t>
      </w:r>
      <w:r w:rsidRPr="00F16074">
        <w:rPr>
          <w:rFonts w:eastAsia="Calibri" w:cstheme="minorHAnsi"/>
          <w:sz w:val="24"/>
          <w:szCs w:val="24"/>
        </w:rPr>
        <w:t>)…………..</w:t>
      </w:r>
    </w:p>
    <w:p w14:paraId="7C046DC6" w14:textId="77777777" w:rsidR="00BE058D" w:rsidRPr="00F16074" w:rsidRDefault="00BE058D" w:rsidP="00BE058D">
      <w:pPr>
        <w:spacing w:line="256" w:lineRule="auto"/>
        <w:rPr>
          <w:rFonts w:eastAsia="Calibri" w:cstheme="minorHAnsi"/>
          <w:sz w:val="24"/>
          <w:szCs w:val="24"/>
        </w:rPr>
      </w:pPr>
    </w:p>
    <w:p w14:paraId="50F43E9D" w14:textId="77777777" w:rsidR="00BE058D" w:rsidRPr="00F16074" w:rsidRDefault="00BE058D" w:rsidP="00BE058D">
      <w:pPr>
        <w:spacing w:line="256" w:lineRule="auto"/>
        <w:rPr>
          <w:rFonts w:eastAsia="Calibri" w:cstheme="minorHAnsi"/>
          <w:sz w:val="24"/>
          <w:szCs w:val="24"/>
        </w:rPr>
      </w:pPr>
    </w:p>
    <w:p w14:paraId="4512E646" w14:textId="77777777" w:rsidR="00BE058D" w:rsidRPr="00F16074" w:rsidRDefault="00BE058D" w:rsidP="00BE058D">
      <w:pPr>
        <w:spacing w:line="256" w:lineRule="auto"/>
        <w:rPr>
          <w:rFonts w:eastAsia="Calibri" w:cstheme="minorHAnsi"/>
          <w:sz w:val="24"/>
          <w:szCs w:val="24"/>
        </w:rPr>
      </w:pPr>
    </w:p>
    <w:p w14:paraId="0118F216" w14:textId="77777777" w:rsidR="00BE058D" w:rsidRPr="00F16074" w:rsidRDefault="00BE058D" w:rsidP="00BE058D">
      <w:pPr>
        <w:spacing w:line="256" w:lineRule="auto"/>
        <w:rPr>
          <w:rFonts w:eastAsia="Calibri" w:cstheme="minorHAnsi"/>
          <w:sz w:val="24"/>
          <w:szCs w:val="24"/>
        </w:rPr>
      </w:pPr>
    </w:p>
    <w:p w14:paraId="350BE3A0" w14:textId="77777777" w:rsidR="00BE058D" w:rsidRPr="00F16074" w:rsidRDefault="00BE058D" w:rsidP="00BE058D">
      <w:pPr>
        <w:spacing w:line="256" w:lineRule="auto"/>
        <w:rPr>
          <w:rFonts w:eastAsia="Calibri" w:cstheme="minorHAnsi"/>
          <w:sz w:val="24"/>
          <w:szCs w:val="24"/>
        </w:rPr>
      </w:pPr>
    </w:p>
    <w:p w14:paraId="24283C5B" w14:textId="77777777" w:rsidR="00BE058D" w:rsidRPr="00F16074" w:rsidRDefault="00BE058D" w:rsidP="00BE058D">
      <w:pPr>
        <w:spacing w:line="256" w:lineRule="auto"/>
        <w:rPr>
          <w:rFonts w:eastAsia="Calibri" w:cstheme="minorHAnsi"/>
          <w:sz w:val="24"/>
          <w:szCs w:val="24"/>
        </w:rPr>
      </w:pPr>
    </w:p>
    <w:p w14:paraId="36A03C20" w14:textId="77777777" w:rsidR="00BE058D" w:rsidRPr="00F16074" w:rsidRDefault="00BE058D" w:rsidP="00BE058D">
      <w:pPr>
        <w:spacing w:line="256" w:lineRule="auto"/>
        <w:rPr>
          <w:rFonts w:eastAsia="Calibri" w:cstheme="minorHAnsi"/>
          <w:sz w:val="24"/>
          <w:szCs w:val="24"/>
        </w:rPr>
      </w:pPr>
    </w:p>
    <w:p w14:paraId="3C2F5747" w14:textId="77777777" w:rsidR="00BE058D" w:rsidRPr="00F16074" w:rsidRDefault="00BE058D" w:rsidP="00BE058D">
      <w:pPr>
        <w:spacing w:line="256" w:lineRule="auto"/>
        <w:rPr>
          <w:rFonts w:eastAsia="Calibri" w:cstheme="minorHAnsi"/>
          <w:sz w:val="24"/>
          <w:szCs w:val="24"/>
        </w:rPr>
      </w:pPr>
    </w:p>
    <w:p w14:paraId="7F341110" w14:textId="77777777" w:rsidR="00BE058D" w:rsidRPr="00F16074" w:rsidRDefault="00BE058D" w:rsidP="00AA5DD9">
      <w:pPr>
        <w:pStyle w:val="ListParagraph"/>
        <w:numPr>
          <w:ilvl w:val="0"/>
          <w:numId w:val="12"/>
        </w:numPr>
        <w:spacing w:after="160" w:line="256" w:lineRule="auto"/>
        <w:rPr>
          <w:rFonts w:eastAsia="Calibri" w:cstheme="minorHAnsi"/>
          <w:sz w:val="24"/>
          <w:szCs w:val="24"/>
        </w:rPr>
      </w:pPr>
      <w:r w:rsidRPr="00F16074">
        <w:rPr>
          <w:rFonts w:eastAsia="Calibri" w:cstheme="minorHAnsi"/>
          <w:sz w:val="24"/>
          <w:szCs w:val="24"/>
        </w:rPr>
        <w:t xml:space="preserve">Do you think the messages for the posters were easy to understand? </w:t>
      </w:r>
    </w:p>
    <w:tbl>
      <w:tblPr>
        <w:tblStyle w:val="TableGrid"/>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43"/>
        <w:gridCol w:w="1943"/>
        <w:gridCol w:w="1943"/>
        <w:gridCol w:w="1944"/>
      </w:tblGrid>
      <w:tr w:rsidR="00BE058D" w:rsidRPr="00F16074" w14:paraId="478817D6" w14:textId="77777777" w:rsidTr="00C81C10">
        <w:trPr>
          <w:trHeight w:val="473"/>
        </w:trPr>
        <w:tc>
          <w:tcPr>
            <w:tcW w:w="1943" w:type="dxa"/>
          </w:tcPr>
          <w:p w14:paraId="0B7F7D97"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1</w:t>
            </w:r>
          </w:p>
        </w:tc>
        <w:tc>
          <w:tcPr>
            <w:tcW w:w="1943" w:type="dxa"/>
          </w:tcPr>
          <w:p w14:paraId="3501B730"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2</w:t>
            </w:r>
          </w:p>
        </w:tc>
        <w:tc>
          <w:tcPr>
            <w:tcW w:w="1943" w:type="dxa"/>
          </w:tcPr>
          <w:p w14:paraId="1DDD8228"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3</w:t>
            </w:r>
          </w:p>
        </w:tc>
        <w:tc>
          <w:tcPr>
            <w:tcW w:w="1943" w:type="dxa"/>
          </w:tcPr>
          <w:p w14:paraId="55D70A94"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4</w:t>
            </w:r>
          </w:p>
        </w:tc>
        <w:tc>
          <w:tcPr>
            <w:tcW w:w="1944" w:type="dxa"/>
          </w:tcPr>
          <w:p w14:paraId="35BDA5A2" w14:textId="77777777" w:rsidR="00BE058D" w:rsidRPr="00687AAC" w:rsidRDefault="00BE058D" w:rsidP="00C81C10">
            <w:pPr>
              <w:spacing w:after="160" w:line="256" w:lineRule="auto"/>
              <w:jc w:val="center"/>
              <w:rPr>
                <w:rFonts w:eastAsia="Calibri" w:cstheme="minorHAnsi"/>
                <w:b/>
                <w:sz w:val="24"/>
                <w:szCs w:val="24"/>
              </w:rPr>
            </w:pPr>
            <w:r w:rsidRPr="00687AAC">
              <w:rPr>
                <w:rFonts w:eastAsia="Calibri" w:cstheme="minorHAnsi"/>
                <w:b/>
                <w:sz w:val="24"/>
                <w:szCs w:val="24"/>
              </w:rPr>
              <w:t>5</w:t>
            </w:r>
          </w:p>
        </w:tc>
      </w:tr>
      <w:tr w:rsidR="00BE058D" w:rsidRPr="00F16074" w14:paraId="3CA6D2D9" w14:textId="77777777" w:rsidTr="00C81C10">
        <w:trPr>
          <w:trHeight w:val="473"/>
        </w:trPr>
        <w:tc>
          <w:tcPr>
            <w:tcW w:w="1943" w:type="dxa"/>
          </w:tcPr>
          <w:p w14:paraId="4B073A5E" w14:textId="77777777" w:rsidR="00BE058D" w:rsidRPr="00F16074" w:rsidRDefault="00BE058D" w:rsidP="00C81C10">
            <w:pPr>
              <w:spacing w:after="160" w:line="256" w:lineRule="auto"/>
              <w:rPr>
                <w:rFonts w:eastAsia="Calibri" w:cstheme="minorHAnsi"/>
                <w:sz w:val="24"/>
                <w:szCs w:val="24"/>
              </w:rPr>
            </w:pPr>
            <w:r w:rsidRPr="00F16074">
              <w:rPr>
                <w:rFonts w:eastAsia="Calibri" w:cstheme="minorHAnsi"/>
                <w:sz w:val="24"/>
                <w:szCs w:val="24"/>
              </w:rPr>
              <w:t>Very Easy</w:t>
            </w:r>
          </w:p>
        </w:tc>
        <w:tc>
          <w:tcPr>
            <w:tcW w:w="1943" w:type="dxa"/>
          </w:tcPr>
          <w:p w14:paraId="6F5708E1" w14:textId="77777777" w:rsidR="00BE058D" w:rsidRPr="00F16074" w:rsidRDefault="00BE058D" w:rsidP="00C81C10">
            <w:pPr>
              <w:spacing w:after="160" w:line="256" w:lineRule="auto"/>
              <w:rPr>
                <w:rFonts w:eastAsia="Calibri" w:cstheme="minorHAnsi"/>
                <w:sz w:val="24"/>
                <w:szCs w:val="24"/>
              </w:rPr>
            </w:pPr>
            <w:r w:rsidRPr="00F16074">
              <w:rPr>
                <w:rFonts w:eastAsia="Calibri" w:cstheme="minorHAnsi"/>
                <w:sz w:val="24"/>
                <w:szCs w:val="24"/>
              </w:rPr>
              <w:t>Easy</w:t>
            </w:r>
          </w:p>
        </w:tc>
        <w:tc>
          <w:tcPr>
            <w:tcW w:w="1943" w:type="dxa"/>
          </w:tcPr>
          <w:p w14:paraId="78FC8CAE" w14:textId="77777777" w:rsidR="00BE058D" w:rsidRPr="00F16074" w:rsidRDefault="00BE058D" w:rsidP="00C81C10">
            <w:pPr>
              <w:spacing w:after="160" w:line="256" w:lineRule="auto"/>
              <w:rPr>
                <w:rFonts w:eastAsia="Calibri" w:cstheme="minorHAnsi"/>
                <w:sz w:val="24"/>
                <w:szCs w:val="24"/>
              </w:rPr>
            </w:pPr>
            <w:r w:rsidRPr="00F16074">
              <w:rPr>
                <w:rFonts w:eastAsia="Calibri" w:cstheme="minorHAnsi"/>
                <w:sz w:val="24"/>
                <w:szCs w:val="24"/>
              </w:rPr>
              <w:t xml:space="preserve">Neither easy or difficult </w:t>
            </w:r>
          </w:p>
        </w:tc>
        <w:tc>
          <w:tcPr>
            <w:tcW w:w="1943" w:type="dxa"/>
          </w:tcPr>
          <w:p w14:paraId="0BADF39D" w14:textId="77777777" w:rsidR="00BE058D" w:rsidRPr="00F16074" w:rsidRDefault="00BE058D" w:rsidP="00C81C10">
            <w:pPr>
              <w:spacing w:after="160" w:line="256" w:lineRule="auto"/>
              <w:rPr>
                <w:rFonts w:eastAsia="Calibri" w:cstheme="minorHAnsi"/>
                <w:sz w:val="24"/>
                <w:szCs w:val="24"/>
              </w:rPr>
            </w:pPr>
            <w:r w:rsidRPr="00F16074">
              <w:rPr>
                <w:rFonts w:eastAsia="Calibri" w:cstheme="minorHAnsi"/>
                <w:sz w:val="24"/>
                <w:szCs w:val="24"/>
              </w:rPr>
              <w:t xml:space="preserve">Difficult  </w:t>
            </w:r>
          </w:p>
        </w:tc>
        <w:tc>
          <w:tcPr>
            <w:tcW w:w="1944" w:type="dxa"/>
          </w:tcPr>
          <w:p w14:paraId="2B678004" w14:textId="77777777" w:rsidR="00BE058D" w:rsidRPr="00F16074" w:rsidRDefault="00BE058D" w:rsidP="00C81C10">
            <w:pPr>
              <w:spacing w:after="160" w:line="256" w:lineRule="auto"/>
              <w:rPr>
                <w:rFonts w:eastAsia="Calibri" w:cstheme="minorHAnsi"/>
                <w:sz w:val="24"/>
                <w:szCs w:val="24"/>
              </w:rPr>
            </w:pPr>
            <w:r w:rsidRPr="00F16074">
              <w:rPr>
                <w:rFonts w:eastAsia="Calibri" w:cstheme="minorHAnsi"/>
                <w:sz w:val="24"/>
                <w:szCs w:val="24"/>
              </w:rPr>
              <w:t xml:space="preserve">Very difficult </w:t>
            </w:r>
          </w:p>
        </w:tc>
      </w:tr>
    </w:tbl>
    <w:p w14:paraId="66F3ADEA" w14:textId="77777777" w:rsidR="00BE058D" w:rsidRPr="00F16074" w:rsidRDefault="00BE058D" w:rsidP="00BE058D">
      <w:pPr>
        <w:spacing w:line="256" w:lineRule="auto"/>
        <w:rPr>
          <w:rFonts w:eastAsia="Calibri" w:cstheme="minorHAnsi"/>
          <w:sz w:val="24"/>
          <w:szCs w:val="24"/>
        </w:rPr>
      </w:pPr>
    </w:p>
    <w:p w14:paraId="2D63D71B" w14:textId="77777777" w:rsidR="00BE058D" w:rsidRDefault="00BE058D" w:rsidP="00BE058D">
      <w:pPr>
        <w:spacing w:line="256" w:lineRule="auto"/>
        <w:ind w:firstLine="720"/>
        <w:rPr>
          <w:rFonts w:eastAsia="Calibri" w:cstheme="minorHAnsi"/>
          <w:sz w:val="24"/>
          <w:szCs w:val="24"/>
        </w:rPr>
      </w:pPr>
      <w:r w:rsidRPr="00F16074">
        <w:rPr>
          <w:rFonts w:eastAsia="Calibri" w:cstheme="minorHAnsi"/>
          <w:sz w:val="24"/>
          <w:szCs w:val="24"/>
        </w:rPr>
        <w:t>Any further comments (</w:t>
      </w:r>
      <w:r w:rsidRPr="00D2005C">
        <w:rPr>
          <w:rFonts w:eastAsia="Calibri" w:cstheme="minorHAnsi"/>
          <w:i/>
          <w:sz w:val="24"/>
          <w:szCs w:val="24"/>
        </w:rPr>
        <w:t>please add in the box provided below</w:t>
      </w:r>
      <w:r w:rsidRPr="00F16074">
        <w:rPr>
          <w:rFonts w:eastAsia="Calibri" w:cstheme="minorHAnsi"/>
          <w:sz w:val="24"/>
          <w:szCs w:val="24"/>
        </w:rPr>
        <w:t>)…………..</w:t>
      </w:r>
    </w:p>
    <w:p w14:paraId="6A3FEC44" w14:textId="77777777" w:rsidR="00BE058D" w:rsidRDefault="00BE058D" w:rsidP="00BE058D">
      <w:pPr>
        <w:spacing w:line="256" w:lineRule="auto"/>
        <w:ind w:firstLine="720"/>
        <w:rPr>
          <w:rFonts w:eastAsia="Calibri" w:cstheme="minorHAnsi"/>
          <w:sz w:val="24"/>
          <w:szCs w:val="24"/>
        </w:rPr>
      </w:pPr>
      <w:r w:rsidRPr="008B7C68">
        <w:rPr>
          <w:rFonts w:eastAsia="Calibri" w:cstheme="minorHAnsi"/>
          <w:b/>
          <w:noProof/>
          <w:sz w:val="24"/>
          <w:szCs w:val="24"/>
          <w:lang w:eastAsia="en-GB"/>
        </w:rPr>
        <mc:AlternateContent>
          <mc:Choice Requires="wps">
            <w:drawing>
              <wp:anchor distT="0" distB="0" distL="114300" distR="114300" simplePos="0" relativeHeight="251732992" behindDoc="0" locked="0" layoutInCell="1" allowOverlap="1" wp14:anchorId="6FB652E5" wp14:editId="40971699">
                <wp:simplePos x="0" y="0"/>
                <wp:positionH relativeFrom="column">
                  <wp:posOffset>-79016</wp:posOffset>
                </wp:positionH>
                <wp:positionV relativeFrom="paragraph">
                  <wp:posOffset>273685</wp:posOffset>
                </wp:positionV>
                <wp:extent cx="6098650" cy="2115047"/>
                <wp:effectExtent l="0" t="0" r="16510" b="19050"/>
                <wp:wrapNone/>
                <wp:docPr id="220" name="Rectangle 220"/>
                <wp:cNvGraphicFramePr/>
                <a:graphic xmlns:a="http://schemas.openxmlformats.org/drawingml/2006/main">
                  <a:graphicData uri="http://schemas.microsoft.com/office/word/2010/wordprocessingShape">
                    <wps:wsp>
                      <wps:cNvSpPr/>
                      <wps:spPr>
                        <a:xfrm>
                          <a:off x="0" y="0"/>
                          <a:ext cx="6098650" cy="2115047"/>
                        </a:xfrm>
                        <a:prstGeom prst="rect">
                          <a:avLst/>
                        </a:prstGeom>
                        <a:solidFill>
                          <a:srgbClr val="E7E6E6"/>
                        </a:solidFill>
                        <a:ln w="12700" cap="flat" cmpd="sng" algn="ctr">
                          <a:solidFill>
                            <a:sysClr val="windowText" lastClr="000000"/>
                          </a:solidFill>
                          <a:prstDash val="solid"/>
                          <a:miter lim="800000"/>
                        </a:ln>
                        <a:effectLst/>
                      </wps:spPr>
                      <wps:txbx>
                        <w:txbxContent>
                          <w:p w14:paraId="0C940B62" w14:textId="77777777" w:rsidR="00BE058D" w:rsidRDefault="00BE058D" w:rsidP="00BE058D">
                            <w:pPr>
                              <w:jc w:val="center"/>
                            </w:pPr>
                          </w:p>
                          <w:p w14:paraId="26857782" w14:textId="77777777" w:rsidR="00BE058D" w:rsidRDefault="00BE058D" w:rsidP="00BE058D"/>
                          <w:p w14:paraId="694685F3"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652E5" id="Rectangle 220" o:spid="_x0000_s1065" style="position:absolute;left:0;text-align:left;margin-left:-6.2pt;margin-top:21.55pt;width:480.2pt;height:16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" fillcolor="#e7e6e6" strokecolor="windowText" strokeweight="1pt">
                <v:textbox>
                  <w:txbxContent>
                    <w:p w14:paraId="0C940B62" w14:textId="77777777" w:rsidR="00BE058D" w:rsidRDefault="00BE058D" w:rsidP="00BE058D">
                      <w:pPr>
                        <w:jc w:val="center"/>
                      </w:pPr>
                    </w:p>
                    <w:p w14:paraId="26857782" w14:textId="77777777" w:rsidR="00BE058D" w:rsidRDefault="00BE058D" w:rsidP="00BE058D"/>
                    <w:p w14:paraId="694685F3" w14:textId="77777777" w:rsidR="00BE058D" w:rsidRDefault="00BE058D" w:rsidP="00BE058D">
                      <w:pPr>
                        <w:jc w:val="center"/>
                      </w:pPr>
                    </w:p>
                  </w:txbxContent>
                </v:textbox>
              </v:rect>
            </w:pict>
          </mc:Fallback>
        </mc:AlternateContent>
      </w:r>
    </w:p>
    <w:p w14:paraId="3157D528" w14:textId="77777777" w:rsidR="00BE058D" w:rsidRDefault="00BE058D" w:rsidP="00BE058D">
      <w:pPr>
        <w:spacing w:line="256" w:lineRule="auto"/>
        <w:ind w:firstLine="720"/>
        <w:rPr>
          <w:rFonts w:eastAsia="Calibri" w:cstheme="minorHAnsi"/>
          <w:sz w:val="24"/>
          <w:szCs w:val="24"/>
        </w:rPr>
      </w:pPr>
    </w:p>
    <w:p w14:paraId="11991AF4" w14:textId="77777777" w:rsidR="00BE058D" w:rsidRDefault="00BE058D" w:rsidP="00BE058D">
      <w:pPr>
        <w:spacing w:line="256" w:lineRule="auto"/>
        <w:ind w:firstLine="720"/>
        <w:rPr>
          <w:rFonts w:eastAsia="Calibri" w:cstheme="minorHAnsi"/>
          <w:sz w:val="24"/>
          <w:szCs w:val="24"/>
        </w:rPr>
      </w:pPr>
    </w:p>
    <w:p w14:paraId="39ABB7B1" w14:textId="77777777" w:rsidR="00BE058D" w:rsidRDefault="00BE058D" w:rsidP="00BE058D">
      <w:pPr>
        <w:spacing w:line="256" w:lineRule="auto"/>
        <w:ind w:firstLine="720"/>
        <w:rPr>
          <w:rFonts w:eastAsia="Calibri" w:cstheme="minorHAnsi"/>
          <w:sz w:val="24"/>
          <w:szCs w:val="24"/>
        </w:rPr>
      </w:pPr>
    </w:p>
    <w:p w14:paraId="0BB2CBDC" w14:textId="77777777" w:rsidR="00BE058D" w:rsidRPr="00F16074" w:rsidRDefault="00BE058D" w:rsidP="00BE058D">
      <w:pPr>
        <w:spacing w:line="256" w:lineRule="auto"/>
        <w:ind w:firstLine="720"/>
        <w:rPr>
          <w:rFonts w:eastAsia="Calibri" w:cstheme="minorHAnsi"/>
          <w:sz w:val="24"/>
          <w:szCs w:val="24"/>
        </w:rPr>
      </w:pPr>
    </w:p>
    <w:p w14:paraId="65436021" w14:textId="77777777" w:rsidR="00BE058D" w:rsidRPr="008B7C68" w:rsidRDefault="00BE058D" w:rsidP="00BE058D">
      <w:pPr>
        <w:spacing w:line="256" w:lineRule="auto"/>
        <w:rPr>
          <w:rFonts w:eastAsia="Calibri" w:cstheme="minorHAnsi"/>
          <w:b/>
          <w:sz w:val="24"/>
          <w:szCs w:val="24"/>
        </w:rPr>
      </w:pPr>
    </w:p>
    <w:p w14:paraId="64CBCE71" w14:textId="77777777" w:rsidR="00BE058D" w:rsidRPr="008B7C68" w:rsidRDefault="00BE058D" w:rsidP="00BE058D">
      <w:pPr>
        <w:spacing w:line="256" w:lineRule="auto"/>
        <w:rPr>
          <w:rFonts w:eastAsia="Calibri" w:cstheme="minorHAnsi"/>
          <w:b/>
          <w:sz w:val="24"/>
          <w:szCs w:val="24"/>
        </w:rPr>
      </w:pPr>
    </w:p>
    <w:p w14:paraId="79BBB9F0" w14:textId="77777777" w:rsidR="00BE058D" w:rsidRPr="008B7C68" w:rsidRDefault="00BE058D" w:rsidP="00BE058D">
      <w:pPr>
        <w:spacing w:line="256" w:lineRule="auto"/>
        <w:rPr>
          <w:rFonts w:eastAsia="Calibri" w:cstheme="minorHAnsi"/>
          <w:b/>
          <w:sz w:val="24"/>
          <w:szCs w:val="24"/>
        </w:rPr>
      </w:pPr>
    </w:p>
    <w:p w14:paraId="31D913D1" w14:textId="77777777" w:rsidR="00BE058D" w:rsidRDefault="00BE058D" w:rsidP="00BE058D">
      <w:pPr>
        <w:spacing w:line="256" w:lineRule="auto"/>
        <w:rPr>
          <w:rFonts w:eastAsia="Calibri" w:cstheme="minorHAnsi"/>
          <w:sz w:val="24"/>
          <w:szCs w:val="24"/>
        </w:rPr>
      </w:pPr>
    </w:p>
    <w:p w14:paraId="6FD9F47E" w14:textId="77777777" w:rsidR="00BE058D" w:rsidRDefault="00BE058D" w:rsidP="00BE058D">
      <w:pPr>
        <w:spacing w:line="256" w:lineRule="auto"/>
        <w:rPr>
          <w:rFonts w:eastAsia="Calibri" w:cstheme="minorHAnsi"/>
          <w:sz w:val="24"/>
          <w:szCs w:val="24"/>
        </w:rPr>
      </w:pPr>
    </w:p>
    <w:p w14:paraId="17856F20" w14:textId="77777777" w:rsidR="00BE058D" w:rsidRDefault="00BE058D" w:rsidP="00BE058D">
      <w:pPr>
        <w:spacing w:line="256" w:lineRule="auto"/>
        <w:rPr>
          <w:rFonts w:eastAsia="Calibri" w:cstheme="minorHAnsi"/>
          <w:sz w:val="24"/>
          <w:szCs w:val="24"/>
        </w:rPr>
      </w:pPr>
    </w:p>
    <w:p w14:paraId="7504E115" w14:textId="77777777" w:rsidR="00BE058D" w:rsidRDefault="00BE058D" w:rsidP="00BE058D">
      <w:pPr>
        <w:spacing w:line="256" w:lineRule="auto"/>
        <w:rPr>
          <w:rFonts w:eastAsia="Calibri" w:cstheme="minorHAnsi"/>
          <w:sz w:val="24"/>
          <w:szCs w:val="24"/>
        </w:rPr>
      </w:pPr>
    </w:p>
    <w:p w14:paraId="573BE740" w14:textId="77777777" w:rsidR="00BE058D" w:rsidRDefault="00BE058D" w:rsidP="00BE058D">
      <w:pPr>
        <w:spacing w:line="256" w:lineRule="auto"/>
        <w:rPr>
          <w:rFonts w:eastAsia="Calibri" w:cstheme="minorHAnsi"/>
          <w:sz w:val="24"/>
          <w:szCs w:val="24"/>
        </w:rPr>
      </w:pPr>
    </w:p>
    <w:p w14:paraId="30236F92" w14:textId="77777777" w:rsidR="00BE058D" w:rsidRDefault="00BE058D" w:rsidP="00BE058D">
      <w:pPr>
        <w:spacing w:line="256" w:lineRule="auto"/>
        <w:rPr>
          <w:rFonts w:eastAsia="Calibri" w:cstheme="minorHAnsi"/>
          <w:sz w:val="24"/>
          <w:szCs w:val="24"/>
        </w:rPr>
      </w:pPr>
    </w:p>
    <w:p w14:paraId="5A7C0E67" w14:textId="77777777" w:rsidR="00BE058D" w:rsidRPr="008B7C68" w:rsidRDefault="00BE058D" w:rsidP="00BE058D">
      <w:pPr>
        <w:spacing w:line="256" w:lineRule="auto"/>
        <w:rPr>
          <w:rFonts w:eastAsia="Calibri" w:cstheme="minorHAnsi"/>
          <w:sz w:val="24"/>
          <w:szCs w:val="24"/>
        </w:rPr>
      </w:pPr>
    </w:p>
    <w:p w14:paraId="64416181" w14:textId="77777777" w:rsidR="00BE058D" w:rsidRPr="008B7C68" w:rsidRDefault="00BE058D" w:rsidP="00AA5DD9">
      <w:pPr>
        <w:pStyle w:val="ListParagraph"/>
        <w:numPr>
          <w:ilvl w:val="0"/>
          <w:numId w:val="12"/>
        </w:numPr>
        <w:spacing w:after="160" w:line="256" w:lineRule="auto"/>
        <w:rPr>
          <w:rFonts w:eastAsia="Calibri" w:cstheme="minorHAnsi"/>
          <w:sz w:val="24"/>
          <w:szCs w:val="24"/>
        </w:rPr>
      </w:pPr>
      <w:r>
        <w:rPr>
          <w:rFonts w:eastAsia="Calibri" w:cstheme="minorHAnsi"/>
          <w:sz w:val="24"/>
          <w:szCs w:val="24"/>
        </w:rPr>
        <w:t>Did</w:t>
      </w:r>
      <w:r w:rsidRPr="008B7C68">
        <w:rPr>
          <w:rFonts w:eastAsia="Calibri" w:cstheme="minorHAnsi"/>
          <w:sz w:val="24"/>
          <w:szCs w:val="24"/>
        </w:rPr>
        <w:t xml:space="preserve"> you </w:t>
      </w:r>
      <w:r>
        <w:rPr>
          <w:rFonts w:eastAsia="Calibri" w:cstheme="minorHAnsi"/>
          <w:sz w:val="24"/>
          <w:szCs w:val="24"/>
        </w:rPr>
        <w:t>experience any</w:t>
      </w:r>
      <w:r w:rsidRPr="008B7C68">
        <w:rPr>
          <w:rFonts w:eastAsia="Calibri" w:cstheme="minorHAnsi"/>
          <w:sz w:val="24"/>
          <w:szCs w:val="24"/>
        </w:rPr>
        <w:t xml:space="preserve"> problems </w:t>
      </w:r>
      <w:r>
        <w:rPr>
          <w:rFonts w:eastAsia="Calibri" w:cstheme="minorHAnsi"/>
          <w:sz w:val="24"/>
          <w:szCs w:val="24"/>
        </w:rPr>
        <w:t>during</w:t>
      </w:r>
      <w:r w:rsidRPr="008B7C68">
        <w:rPr>
          <w:rFonts w:eastAsia="Calibri" w:cstheme="minorHAnsi"/>
          <w:sz w:val="24"/>
          <w:szCs w:val="24"/>
        </w:rPr>
        <w:t xml:space="preserve"> the poster-making session?</w:t>
      </w:r>
    </w:p>
    <w:p w14:paraId="3B4674C5" w14:textId="77777777" w:rsidR="00BE058D" w:rsidRDefault="00BE058D" w:rsidP="00BE058D">
      <w:pPr>
        <w:pStyle w:val="ListParagraph"/>
        <w:spacing w:line="256" w:lineRule="auto"/>
        <w:rPr>
          <w:rFonts w:eastAsia="Calibri" w:cstheme="minorHAnsi"/>
          <w:b/>
          <w:sz w:val="24"/>
          <w:szCs w:val="24"/>
        </w:rPr>
      </w:pPr>
      <w:r>
        <w:rPr>
          <w:rFonts w:eastAsia="Calibri" w:cstheme="minorHAnsi"/>
          <w:b/>
          <w:noProof/>
          <w:sz w:val="24"/>
          <w:szCs w:val="24"/>
          <w:lang w:eastAsia="en-GB"/>
        </w:rPr>
        <mc:AlternateContent>
          <mc:Choice Requires="wps">
            <w:drawing>
              <wp:anchor distT="0" distB="0" distL="114300" distR="114300" simplePos="0" relativeHeight="251741184" behindDoc="0" locked="0" layoutInCell="1" allowOverlap="1" wp14:anchorId="7F4ACBB6" wp14:editId="7376070A">
                <wp:simplePos x="0" y="0"/>
                <wp:positionH relativeFrom="column">
                  <wp:posOffset>3618230</wp:posOffset>
                </wp:positionH>
                <wp:positionV relativeFrom="paragraph">
                  <wp:posOffset>295275</wp:posOffset>
                </wp:positionV>
                <wp:extent cx="246380" cy="206375"/>
                <wp:effectExtent l="0" t="0" r="20320" b="22225"/>
                <wp:wrapNone/>
                <wp:docPr id="221" name="Frame 221"/>
                <wp:cNvGraphicFramePr/>
                <a:graphic xmlns:a="http://schemas.openxmlformats.org/drawingml/2006/main">
                  <a:graphicData uri="http://schemas.microsoft.com/office/word/2010/wordprocessingShape">
                    <wps:wsp>
                      <wps:cNvSpPr/>
                      <wps:spPr>
                        <a:xfrm>
                          <a:off x="0" y="0"/>
                          <a:ext cx="246380" cy="206375"/>
                        </a:xfrm>
                        <a:prstGeom prst="frame">
                          <a:avLst/>
                        </a:prstGeom>
                        <a:solidFill>
                          <a:srgbClr val="A5A5A5"/>
                        </a:solidFill>
                        <a:ln w="12700" cap="flat" cmpd="sng" algn="ctr">
                          <a:solidFill>
                            <a:srgbClr val="A5A5A5">
                              <a:shade val="50000"/>
                            </a:srgbClr>
                          </a:solidFill>
                          <a:prstDash val="solid"/>
                          <a:miter lim="800000"/>
                        </a:ln>
                        <a:effectLst/>
                      </wps:spPr>
                      <wps:txbx>
                        <w:txbxContent>
                          <w:p w14:paraId="518D9F4E" w14:textId="77777777" w:rsidR="00BE058D" w:rsidRDefault="00BE058D" w:rsidP="00BE058D">
                            <w:pPr>
                              <w:jc w:val="center"/>
                            </w:pPr>
                          </w:p>
                          <w:p w14:paraId="41255FFB" w14:textId="77777777" w:rsidR="00BE058D" w:rsidRDefault="00BE058D" w:rsidP="00BE058D"/>
                          <w:p w14:paraId="51E0088F"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ACBB6" id="Frame 221" o:spid="_x0000_s1066" style="position:absolute;left:0;text-align:left;margin-left:284.9pt;margin-top:23.25pt;width:19.4pt;height:16.2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246380,20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" adj="-11796480,,5400" path="m,l246380,r,206375l,206375,,xm25797,25797r,154781l220583,180578r,-154781l25797,25797xe" fillcolor="#a5a5a5" strokecolor="#787878" strokeweight="1pt">
                <v:stroke joinstyle="miter"/>
                <v:formulas/>
                <v:path arrowok="t" o:connecttype="custom" o:connectlocs="0,0;246380,0;246380,206375;0,206375;0,0;25797,25797;25797,180578;220583,180578;220583,25797;25797,25797" o:connectangles="0,0,0,0,0,0,0,0,0,0" textboxrect="0,0,246380,206375"/>
                <v:textbox>
                  <w:txbxContent>
                    <w:p w14:paraId="518D9F4E" w14:textId="77777777" w:rsidR="00BE058D" w:rsidRDefault="00BE058D" w:rsidP="00BE058D">
                      <w:pPr>
                        <w:jc w:val="center"/>
                      </w:pPr>
                    </w:p>
                    <w:p w14:paraId="41255FFB" w14:textId="77777777" w:rsidR="00BE058D" w:rsidRDefault="00BE058D" w:rsidP="00BE058D"/>
                    <w:p w14:paraId="51E0088F" w14:textId="77777777" w:rsidR="00BE058D" w:rsidRDefault="00BE058D" w:rsidP="00BE058D">
                      <w:pPr>
                        <w:jc w:val="center"/>
                      </w:pPr>
                    </w:p>
                  </w:txbxContent>
                </v:textbox>
              </v:shape>
            </w:pict>
          </mc:Fallback>
        </mc:AlternateContent>
      </w:r>
      <w:r>
        <w:rPr>
          <w:rFonts w:eastAsia="Calibri" w:cstheme="minorHAnsi"/>
          <w:b/>
          <w:noProof/>
          <w:sz w:val="24"/>
          <w:szCs w:val="24"/>
          <w:lang w:eastAsia="en-GB"/>
        </w:rPr>
        <mc:AlternateContent>
          <mc:Choice Requires="wps">
            <w:drawing>
              <wp:anchor distT="0" distB="0" distL="114300" distR="114300" simplePos="0" relativeHeight="251740160" behindDoc="0" locked="0" layoutInCell="1" allowOverlap="1" wp14:anchorId="11F909A4" wp14:editId="19F38790">
                <wp:simplePos x="0" y="0"/>
                <wp:positionH relativeFrom="column">
                  <wp:posOffset>2795542</wp:posOffset>
                </wp:positionH>
                <wp:positionV relativeFrom="paragraph">
                  <wp:posOffset>297452</wp:posOffset>
                </wp:positionV>
                <wp:extent cx="246491" cy="206734"/>
                <wp:effectExtent l="0" t="0" r="20320" b="22225"/>
                <wp:wrapNone/>
                <wp:docPr id="222" name="Frame 222"/>
                <wp:cNvGraphicFramePr/>
                <a:graphic xmlns:a="http://schemas.openxmlformats.org/drawingml/2006/main">
                  <a:graphicData uri="http://schemas.microsoft.com/office/word/2010/wordprocessingShape">
                    <wps:wsp>
                      <wps:cNvSpPr/>
                      <wps:spPr>
                        <a:xfrm>
                          <a:off x="0" y="0"/>
                          <a:ext cx="246491" cy="206734"/>
                        </a:xfrm>
                        <a:prstGeom prst="frame">
                          <a:avLst/>
                        </a:prstGeom>
                        <a:solidFill>
                          <a:srgbClr val="A5A5A5"/>
                        </a:solidFill>
                        <a:ln w="12700" cap="flat" cmpd="sng" algn="ctr">
                          <a:solidFill>
                            <a:srgbClr val="A5A5A5">
                              <a:shade val="50000"/>
                            </a:srgbClr>
                          </a:solidFill>
                          <a:prstDash val="solid"/>
                          <a:miter lim="800000"/>
                        </a:ln>
                        <a:effectLst/>
                      </wps:spPr>
                      <wps:txbx>
                        <w:txbxContent>
                          <w:p w14:paraId="1AB530C4" w14:textId="77777777" w:rsidR="00BE058D" w:rsidRDefault="00BE058D" w:rsidP="00BE058D">
                            <w:pPr>
                              <w:jc w:val="center"/>
                            </w:pPr>
                          </w:p>
                          <w:p w14:paraId="341C8860" w14:textId="77777777" w:rsidR="00BE058D" w:rsidRDefault="00BE058D" w:rsidP="00BE058D"/>
                          <w:p w14:paraId="45A8950E"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909A4" id="Frame 222" o:spid="_x0000_s1067" style="position:absolute;left:0;text-align:left;margin-left:220.1pt;margin-top:23.4pt;width:19.4pt;height:16.3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246491,206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" adj="-11796480,,5400" path="m,l246491,r,206734l,206734,,xm25842,25842r,155050l220649,180892r,-155050l25842,25842xe" fillcolor="#a5a5a5" strokecolor="#787878" strokeweight="1pt">
                <v:stroke joinstyle="miter"/>
                <v:formulas/>
                <v:path arrowok="t" o:connecttype="custom" o:connectlocs="0,0;246491,0;246491,206734;0,206734;0,0;25842,25842;25842,180892;220649,180892;220649,25842;25842,25842" o:connectangles="0,0,0,0,0,0,0,0,0,0" textboxrect="0,0,246491,206734"/>
                <v:textbox>
                  <w:txbxContent>
                    <w:p w14:paraId="1AB530C4" w14:textId="77777777" w:rsidR="00BE058D" w:rsidRDefault="00BE058D" w:rsidP="00BE058D">
                      <w:pPr>
                        <w:jc w:val="center"/>
                      </w:pPr>
                    </w:p>
                    <w:p w14:paraId="341C8860" w14:textId="77777777" w:rsidR="00BE058D" w:rsidRDefault="00BE058D" w:rsidP="00BE058D"/>
                    <w:p w14:paraId="45A8950E" w14:textId="77777777" w:rsidR="00BE058D" w:rsidRDefault="00BE058D" w:rsidP="00BE058D">
                      <w:pPr>
                        <w:jc w:val="center"/>
                      </w:pPr>
                    </w:p>
                  </w:txbxContent>
                </v:textbox>
              </v:shape>
            </w:pict>
          </mc:Fallback>
        </mc:AlternateContent>
      </w:r>
    </w:p>
    <w:p w14:paraId="18FA7A6B" w14:textId="77777777" w:rsidR="00BE058D" w:rsidRPr="00D2005C" w:rsidRDefault="00BE058D" w:rsidP="00BE058D">
      <w:pPr>
        <w:spacing w:line="256" w:lineRule="auto"/>
        <w:jc w:val="center"/>
        <w:rPr>
          <w:rFonts w:eastAsia="Calibri" w:cstheme="minorHAnsi"/>
          <w:b/>
          <w:sz w:val="24"/>
          <w:szCs w:val="24"/>
        </w:rPr>
      </w:pPr>
      <w:r w:rsidRPr="00D2005C">
        <w:rPr>
          <w:rFonts w:eastAsia="Calibri" w:cstheme="minorHAnsi"/>
          <w:b/>
          <w:sz w:val="24"/>
          <w:szCs w:val="24"/>
        </w:rPr>
        <w:t>YES</w:t>
      </w:r>
      <w:r>
        <w:rPr>
          <w:rFonts w:eastAsia="Calibri" w:cstheme="minorHAnsi"/>
          <w:b/>
          <w:sz w:val="24"/>
          <w:szCs w:val="24"/>
        </w:rPr>
        <w:t xml:space="preserve">               </w:t>
      </w:r>
      <w:r w:rsidRPr="00D2005C">
        <w:rPr>
          <w:rFonts w:eastAsia="Calibri" w:cstheme="minorHAnsi"/>
          <w:b/>
          <w:sz w:val="24"/>
          <w:szCs w:val="24"/>
        </w:rPr>
        <w:t xml:space="preserve">  </w:t>
      </w:r>
      <w:r>
        <w:rPr>
          <w:rFonts w:eastAsia="Calibri" w:cstheme="minorHAnsi"/>
          <w:b/>
          <w:sz w:val="24"/>
          <w:szCs w:val="24"/>
        </w:rPr>
        <w:t xml:space="preserve"> </w:t>
      </w:r>
      <w:r w:rsidRPr="00D2005C">
        <w:rPr>
          <w:rFonts w:eastAsia="Calibri" w:cstheme="minorHAnsi"/>
          <w:b/>
          <w:sz w:val="24"/>
          <w:szCs w:val="24"/>
        </w:rPr>
        <w:t>NO</w:t>
      </w:r>
    </w:p>
    <w:p w14:paraId="5C370DF9" w14:textId="77777777" w:rsidR="00BE058D" w:rsidRPr="008B7C68" w:rsidRDefault="00BE058D" w:rsidP="00BE058D">
      <w:pPr>
        <w:pStyle w:val="ListParagraph"/>
        <w:spacing w:line="256" w:lineRule="auto"/>
        <w:jc w:val="center"/>
        <w:rPr>
          <w:rFonts w:eastAsia="Calibri" w:cstheme="minorHAnsi"/>
          <w:b/>
          <w:sz w:val="24"/>
          <w:szCs w:val="24"/>
        </w:rPr>
      </w:pPr>
    </w:p>
    <w:p w14:paraId="471FDEA7" w14:textId="77777777" w:rsidR="00BE058D" w:rsidRPr="00F16074" w:rsidRDefault="00BE058D" w:rsidP="00AA5DD9">
      <w:pPr>
        <w:pStyle w:val="ListParagraph"/>
        <w:numPr>
          <w:ilvl w:val="1"/>
          <w:numId w:val="12"/>
        </w:numPr>
        <w:spacing w:after="160" w:line="256" w:lineRule="auto"/>
        <w:rPr>
          <w:rFonts w:eastAsia="Calibri" w:cstheme="minorHAnsi"/>
          <w:i/>
          <w:sz w:val="24"/>
          <w:szCs w:val="24"/>
        </w:rPr>
      </w:pPr>
      <w:r w:rsidRPr="00F16074">
        <w:rPr>
          <w:rFonts w:eastAsia="Calibri" w:cstheme="minorHAnsi"/>
          <w:i/>
          <w:sz w:val="24"/>
          <w:szCs w:val="24"/>
        </w:rPr>
        <w:t xml:space="preserve">If so what were they (please add comments in box provided) </w:t>
      </w:r>
    </w:p>
    <w:p w14:paraId="2CAD744D" w14:textId="77777777" w:rsidR="00BE058D" w:rsidRDefault="00BE058D" w:rsidP="00BE058D">
      <w:pPr>
        <w:spacing w:line="256" w:lineRule="auto"/>
        <w:rPr>
          <w:rFonts w:eastAsia="Calibri" w:cstheme="minorHAnsi"/>
          <w:b/>
          <w:sz w:val="24"/>
          <w:szCs w:val="24"/>
        </w:rPr>
      </w:pPr>
      <w:r w:rsidRPr="008B7C68">
        <w:rPr>
          <w:rFonts w:eastAsia="Calibri" w:cstheme="minorHAnsi"/>
          <w:b/>
          <w:noProof/>
          <w:sz w:val="24"/>
          <w:szCs w:val="24"/>
          <w:lang w:eastAsia="en-GB"/>
        </w:rPr>
        <mc:AlternateContent>
          <mc:Choice Requires="wps">
            <w:drawing>
              <wp:anchor distT="0" distB="0" distL="114300" distR="114300" simplePos="0" relativeHeight="251739136" behindDoc="0" locked="0" layoutInCell="1" allowOverlap="1" wp14:anchorId="2EA44E85" wp14:editId="7065086C">
                <wp:simplePos x="0" y="0"/>
                <wp:positionH relativeFrom="margin">
                  <wp:align>right</wp:align>
                </wp:positionH>
                <wp:positionV relativeFrom="paragraph">
                  <wp:posOffset>104554</wp:posOffset>
                </wp:positionV>
                <wp:extent cx="6082748" cy="1709531"/>
                <wp:effectExtent l="0" t="0" r="13335" b="24130"/>
                <wp:wrapNone/>
                <wp:docPr id="223" name="Rectangle 223"/>
                <wp:cNvGraphicFramePr/>
                <a:graphic xmlns:a="http://schemas.openxmlformats.org/drawingml/2006/main">
                  <a:graphicData uri="http://schemas.microsoft.com/office/word/2010/wordprocessingShape">
                    <wps:wsp>
                      <wps:cNvSpPr/>
                      <wps:spPr>
                        <a:xfrm>
                          <a:off x="0" y="0"/>
                          <a:ext cx="6082748" cy="1709531"/>
                        </a:xfrm>
                        <a:prstGeom prst="rect">
                          <a:avLst/>
                        </a:prstGeom>
                        <a:solidFill>
                          <a:srgbClr val="E7E6E6"/>
                        </a:solidFill>
                        <a:ln w="12700" cap="flat" cmpd="sng" algn="ctr">
                          <a:solidFill>
                            <a:sysClr val="windowText" lastClr="000000"/>
                          </a:solidFill>
                          <a:prstDash val="solid"/>
                          <a:miter lim="800000"/>
                        </a:ln>
                        <a:effectLst/>
                      </wps:spPr>
                      <wps:txbx>
                        <w:txbxContent>
                          <w:p w14:paraId="6F6B0D2E" w14:textId="77777777" w:rsidR="00BE058D" w:rsidRDefault="00BE058D" w:rsidP="00BE058D">
                            <w:pPr>
                              <w:jc w:val="center"/>
                            </w:pPr>
                          </w:p>
                          <w:p w14:paraId="78E58868" w14:textId="77777777" w:rsidR="00BE058D" w:rsidRDefault="00BE058D" w:rsidP="00BE058D"/>
                          <w:p w14:paraId="18AEF0CD" w14:textId="77777777" w:rsidR="00BE058D" w:rsidRDefault="00BE058D" w:rsidP="00BE0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44E85" id="Rectangle 223" o:spid="_x0000_s1068" style="position:absolute;margin-left:427.75pt;margin-top:8.25pt;width:478.95pt;height:134.6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" fillcolor="#e7e6e6" strokecolor="windowText" strokeweight="1pt">
                <v:textbox>
                  <w:txbxContent>
                    <w:p w14:paraId="6F6B0D2E" w14:textId="77777777" w:rsidR="00BE058D" w:rsidRDefault="00BE058D" w:rsidP="00BE058D">
                      <w:pPr>
                        <w:jc w:val="center"/>
                      </w:pPr>
                    </w:p>
                    <w:p w14:paraId="78E58868" w14:textId="77777777" w:rsidR="00BE058D" w:rsidRDefault="00BE058D" w:rsidP="00BE058D"/>
                    <w:p w14:paraId="18AEF0CD" w14:textId="77777777" w:rsidR="00BE058D" w:rsidRDefault="00BE058D" w:rsidP="00BE058D">
                      <w:pPr>
                        <w:jc w:val="center"/>
                      </w:pPr>
                    </w:p>
                  </w:txbxContent>
                </v:textbox>
                <w10:wrap anchorx="margin"/>
              </v:rect>
            </w:pict>
          </mc:Fallback>
        </mc:AlternateContent>
      </w:r>
    </w:p>
    <w:p w14:paraId="15537A54" w14:textId="77777777" w:rsidR="00BE058D" w:rsidRDefault="00BE058D" w:rsidP="00BE058D">
      <w:pPr>
        <w:spacing w:line="256" w:lineRule="auto"/>
        <w:rPr>
          <w:rFonts w:eastAsia="Calibri" w:cstheme="minorHAnsi"/>
          <w:b/>
          <w:sz w:val="24"/>
          <w:szCs w:val="24"/>
        </w:rPr>
      </w:pPr>
    </w:p>
    <w:p w14:paraId="3E889F83" w14:textId="77777777" w:rsidR="00BE058D" w:rsidRDefault="00BE058D" w:rsidP="00BE058D">
      <w:pPr>
        <w:spacing w:line="256" w:lineRule="auto"/>
        <w:rPr>
          <w:rFonts w:eastAsia="Calibri" w:cstheme="minorHAnsi"/>
          <w:b/>
          <w:sz w:val="24"/>
          <w:szCs w:val="24"/>
        </w:rPr>
      </w:pPr>
    </w:p>
    <w:p w14:paraId="1A5C4ADF" w14:textId="77777777" w:rsidR="00BE058D" w:rsidRDefault="00BE058D" w:rsidP="00BE058D">
      <w:pPr>
        <w:spacing w:line="256" w:lineRule="auto"/>
        <w:rPr>
          <w:rFonts w:eastAsia="Calibri" w:cstheme="minorHAnsi"/>
          <w:b/>
          <w:sz w:val="24"/>
          <w:szCs w:val="24"/>
        </w:rPr>
      </w:pPr>
    </w:p>
    <w:p w14:paraId="61B0FE2A" w14:textId="77777777" w:rsidR="00BE058D" w:rsidRDefault="00BE058D" w:rsidP="00BE058D">
      <w:pPr>
        <w:spacing w:line="256" w:lineRule="auto"/>
        <w:rPr>
          <w:rFonts w:eastAsia="Calibri" w:cstheme="minorHAnsi"/>
          <w:b/>
          <w:sz w:val="24"/>
          <w:szCs w:val="24"/>
        </w:rPr>
      </w:pPr>
    </w:p>
    <w:p w14:paraId="5E137117" w14:textId="77777777" w:rsidR="00BE058D" w:rsidRPr="008B7C68" w:rsidRDefault="00BE058D" w:rsidP="00BE058D">
      <w:pPr>
        <w:spacing w:line="256" w:lineRule="auto"/>
        <w:rPr>
          <w:rFonts w:eastAsia="Calibri" w:cstheme="minorHAnsi"/>
          <w:b/>
          <w:sz w:val="24"/>
          <w:szCs w:val="24"/>
        </w:rPr>
      </w:pPr>
    </w:p>
    <w:p w14:paraId="2AE66569" w14:textId="77777777" w:rsidR="00BE058D" w:rsidRPr="008B7C68" w:rsidRDefault="00BE058D" w:rsidP="00BE058D">
      <w:pPr>
        <w:pStyle w:val="ListParagraph"/>
        <w:spacing w:line="256" w:lineRule="auto"/>
        <w:ind w:left="1440"/>
        <w:rPr>
          <w:rFonts w:eastAsia="Calibri" w:cstheme="minorHAnsi"/>
          <w:b/>
          <w:sz w:val="24"/>
          <w:szCs w:val="24"/>
        </w:rPr>
      </w:pPr>
    </w:p>
    <w:p w14:paraId="63CD2FC1" w14:textId="77777777" w:rsidR="00BE058D" w:rsidRPr="008B7C68" w:rsidRDefault="00BE058D" w:rsidP="00BE058D">
      <w:pPr>
        <w:pStyle w:val="ListParagraph"/>
        <w:spacing w:line="256" w:lineRule="auto"/>
        <w:ind w:left="1440"/>
        <w:rPr>
          <w:rFonts w:eastAsia="Calibri" w:cstheme="minorHAnsi"/>
          <w:b/>
          <w:sz w:val="24"/>
          <w:szCs w:val="24"/>
        </w:rPr>
      </w:pPr>
    </w:p>
    <w:p w14:paraId="51ADEB4F" w14:textId="77777777" w:rsidR="00BE058D" w:rsidRPr="008B7C68" w:rsidRDefault="00BE058D" w:rsidP="00BE058D">
      <w:pPr>
        <w:pStyle w:val="ListParagraph"/>
        <w:spacing w:line="256" w:lineRule="auto"/>
        <w:ind w:left="1440"/>
        <w:rPr>
          <w:rFonts w:eastAsia="Calibri" w:cstheme="minorHAnsi"/>
          <w:b/>
          <w:sz w:val="24"/>
          <w:szCs w:val="24"/>
        </w:rPr>
      </w:pPr>
    </w:p>
    <w:p w14:paraId="18291AA1" w14:textId="77777777" w:rsidR="00BE058D" w:rsidRPr="00F16074" w:rsidRDefault="00BE058D" w:rsidP="00AA5DD9">
      <w:pPr>
        <w:pStyle w:val="ListParagraph"/>
        <w:numPr>
          <w:ilvl w:val="0"/>
          <w:numId w:val="12"/>
        </w:numPr>
        <w:pBdr>
          <w:bottom w:val="single" w:sz="6" w:space="30" w:color="auto"/>
        </w:pBdr>
        <w:spacing w:after="160" w:line="256" w:lineRule="auto"/>
        <w:rPr>
          <w:rFonts w:eastAsia="Calibri" w:cstheme="minorHAnsi"/>
          <w:sz w:val="24"/>
          <w:szCs w:val="24"/>
        </w:rPr>
      </w:pPr>
      <w:r w:rsidRPr="00F16074">
        <w:rPr>
          <w:rFonts w:eastAsia="Calibri" w:cstheme="minorHAnsi"/>
          <w:sz w:val="24"/>
          <w:szCs w:val="24"/>
        </w:rPr>
        <w:t>What improvements if any could be made to the poster-making session?</w:t>
      </w:r>
    </w:p>
    <w:p w14:paraId="7BEF5FA9" w14:textId="77777777" w:rsidR="00BE058D" w:rsidRDefault="00BE058D" w:rsidP="00BE058D">
      <w:pPr>
        <w:spacing w:line="256" w:lineRule="auto"/>
        <w:rPr>
          <w:rFonts w:eastAsia="Calibri" w:cstheme="minorHAnsi"/>
          <w:b/>
          <w:sz w:val="24"/>
          <w:szCs w:val="24"/>
        </w:rPr>
      </w:pPr>
    </w:p>
    <w:p w14:paraId="2935DA0C" w14:textId="77777777" w:rsidR="00BE058D" w:rsidRDefault="00BE058D" w:rsidP="00BE058D">
      <w:pPr>
        <w:spacing w:line="256" w:lineRule="auto"/>
        <w:rPr>
          <w:rFonts w:eastAsia="Calibri" w:cstheme="minorHAnsi"/>
          <w:b/>
          <w:sz w:val="24"/>
          <w:szCs w:val="24"/>
        </w:rPr>
      </w:pPr>
    </w:p>
    <w:p w14:paraId="11FAB762" w14:textId="77777777" w:rsidR="00BE058D" w:rsidRDefault="00BE058D" w:rsidP="00BE058D">
      <w:pPr>
        <w:pBdr>
          <w:bottom w:val="single" w:sz="6" w:space="1" w:color="auto"/>
        </w:pBdr>
        <w:spacing w:line="256" w:lineRule="auto"/>
        <w:rPr>
          <w:rFonts w:eastAsia="Calibri" w:cstheme="minorHAnsi"/>
          <w:b/>
          <w:sz w:val="24"/>
          <w:szCs w:val="24"/>
        </w:rPr>
      </w:pPr>
    </w:p>
    <w:p w14:paraId="5A59E6D8" w14:textId="77777777" w:rsidR="00BE058D" w:rsidRDefault="00BE058D" w:rsidP="00BE058D">
      <w:pPr>
        <w:spacing w:line="256" w:lineRule="auto"/>
        <w:rPr>
          <w:rFonts w:eastAsia="Calibri" w:cstheme="minorHAnsi"/>
          <w:b/>
          <w:sz w:val="24"/>
          <w:szCs w:val="24"/>
        </w:rPr>
      </w:pPr>
    </w:p>
    <w:p w14:paraId="45F9C7CE" w14:textId="77777777" w:rsidR="00BE058D" w:rsidRDefault="00BE058D" w:rsidP="00BE058D">
      <w:pPr>
        <w:spacing w:line="256" w:lineRule="auto"/>
        <w:rPr>
          <w:rFonts w:eastAsia="Calibri" w:cstheme="minorHAnsi"/>
          <w:b/>
          <w:sz w:val="24"/>
          <w:szCs w:val="24"/>
        </w:rPr>
      </w:pPr>
    </w:p>
    <w:p w14:paraId="1A7313CA" w14:textId="77777777" w:rsidR="00BE058D" w:rsidRDefault="00BE058D" w:rsidP="00BE058D">
      <w:pPr>
        <w:pBdr>
          <w:bottom w:val="single" w:sz="6" w:space="1" w:color="auto"/>
        </w:pBdr>
        <w:spacing w:line="256" w:lineRule="auto"/>
        <w:rPr>
          <w:rFonts w:eastAsia="Calibri" w:cstheme="minorHAnsi"/>
          <w:b/>
          <w:sz w:val="24"/>
          <w:szCs w:val="24"/>
        </w:rPr>
      </w:pPr>
    </w:p>
    <w:p w14:paraId="4BCAD9B7" w14:textId="77777777" w:rsidR="00BE058D" w:rsidRDefault="00BE058D" w:rsidP="00BE058D">
      <w:pPr>
        <w:spacing w:line="256" w:lineRule="auto"/>
        <w:rPr>
          <w:rFonts w:eastAsia="Calibri" w:cstheme="minorHAnsi"/>
          <w:b/>
          <w:sz w:val="24"/>
          <w:szCs w:val="24"/>
        </w:rPr>
      </w:pPr>
    </w:p>
    <w:p w14:paraId="400F1733" w14:textId="77777777" w:rsidR="00BE058D" w:rsidRDefault="00BE058D" w:rsidP="00BE058D">
      <w:pPr>
        <w:spacing w:line="256" w:lineRule="auto"/>
        <w:rPr>
          <w:rFonts w:eastAsia="Calibri" w:cstheme="minorHAnsi"/>
          <w:b/>
          <w:sz w:val="24"/>
          <w:szCs w:val="24"/>
        </w:rPr>
      </w:pPr>
    </w:p>
    <w:p w14:paraId="1DF9D194" w14:textId="77777777" w:rsidR="00BE058D" w:rsidRPr="008B7C68" w:rsidRDefault="00BE058D" w:rsidP="00BE058D">
      <w:pPr>
        <w:spacing w:line="256" w:lineRule="auto"/>
        <w:rPr>
          <w:rFonts w:eastAsia="Calibri" w:cstheme="minorHAnsi"/>
          <w:b/>
          <w:sz w:val="24"/>
          <w:szCs w:val="24"/>
        </w:rPr>
      </w:pPr>
    </w:p>
    <w:p w14:paraId="13E9CA46" w14:textId="77777777" w:rsidR="00BE058D" w:rsidRPr="008B7C68" w:rsidRDefault="00BE058D" w:rsidP="00BE058D">
      <w:pPr>
        <w:spacing w:line="256" w:lineRule="auto"/>
        <w:rPr>
          <w:rFonts w:eastAsia="Calibri" w:cstheme="minorHAnsi"/>
          <w:b/>
          <w:sz w:val="24"/>
          <w:szCs w:val="24"/>
        </w:rPr>
      </w:pPr>
    </w:p>
    <w:p w14:paraId="0B01990E" w14:textId="77777777" w:rsidR="00BE058D" w:rsidRPr="00C96AC0" w:rsidRDefault="00BE058D" w:rsidP="00BE058D">
      <w:pPr>
        <w:spacing w:line="256" w:lineRule="auto"/>
        <w:jc w:val="center"/>
        <w:rPr>
          <w:rFonts w:eastAsia="Calibri" w:cstheme="minorHAnsi"/>
          <w:b/>
          <w:sz w:val="24"/>
          <w:szCs w:val="24"/>
        </w:rPr>
      </w:pPr>
      <w:r w:rsidRPr="008B7C68">
        <w:rPr>
          <w:rFonts w:eastAsia="Calibri" w:cstheme="minorHAnsi"/>
          <w:b/>
          <w:sz w:val="24"/>
          <w:szCs w:val="24"/>
        </w:rPr>
        <w:t>Thank you so much for taking the tim</w:t>
      </w:r>
      <w:r>
        <w:rPr>
          <w:rFonts w:eastAsia="Calibri" w:cstheme="minorHAnsi"/>
          <w:b/>
          <w:sz w:val="24"/>
          <w:szCs w:val="24"/>
        </w:rPr>
        <w:t>e to complete this questionnaire</w:t>
      </w:r>
    </w:p>
    <w:p w14:paraId="77D70344" w14:textId="52872B14" w:rsidR="00BE058D" w:rsidRDefault="00BE058D" w:rsidP="00FA46C9"/>
    <w:p w14:paraId="268C8153" w14:textId="77777777" w:rsidR="00BE058D" w:rsidRDefault="00BE058D">
      <w:r>
        <w:br w:type="page"/>
      </w:r>
    </w:p>
    <w:bookmarkStart w:id="410" w:name="_Toc84845200"/>
    <w:bookmarkStart w:id="411" w:name="_Toc84854211"/>
    <w:p w14:paraId="0EE13ECA" w14:textId="102FF8B9" w:rsidR="009C4156" w:rsidRPr="00265133" w:rsidRDefault="009C4156" w:rsidP="009C4156">
      <w:r w:rsidRPr="00E272EB">
        <w:lastRenderedPageBreak/>
        <w:fldChar w:fldCharType="begin"/>
      </w:r>
      <w:r w:rsidRPr="00E272EB">
        <w:instrText xml:space="preserve"> TC  " </w:instrText>
      </w:r>
      <w:bookmarkStart w:id="412" w:name="_Toc97557190"/>
      <w:r w:rsidRPr="00265133">
        <w:instrText xml:space="preserve">Appendix </w:instrText>
      </w:r>
      <w:r w:rsidR="00C62F35">
        <w:instrText>3</w:instrText>
      </w:r>
      <w:r w:rsidR="00742498">
        <w:instrText>8</w:instrText>
      </w:r>
      <w:r w:rsidRPr="00265133">
        <w:instrText xml:space="preserve">: </w:instrText>
      </w:r>
      <w:r>
        <w:instrText>Teachers debrief</w:instrText>
      </w:r>
      <w:r w:rsidRPr="00265133">
        <w:instrText xml:space="preserve"> (Study </w:instrText>
      </w:r>
      <w:r w:rsidR="005930C3">
        <w:instrText>Four</w:instrText>
      </w:r>
      <w:r>
        <w:instrText>, Chapter 9)</w:instrText>
      </w:r>
      <w:bookmarkEnd w:id="412"/>
      <w:r w:rsidRPr="00E272EB">
        <w:instrText xml:space="preserve">" \f y\l </w:instrText>
      </w:r>
      <w:r>
        <w:instrText>2</w:instrText>
      </w:r>
      <w:r w:rsidRPr="00E272EB">
        <w:instrText xml:space="preserve"> </w:instrText>
      </w:r>
      <w:r w:rsidRPr="00E272EB">
        <w:fldChar w:fldCharType="end"/>
      </w:r>
      <w:r w:rsidRPr="00265133">
        <w:t xml:space="preserve">Appendix </w:t>
      </w:r>
      <w:r w:rsidR="00C62F35">
        <w:t>3</w:t>
      </w:r>
      <w:r w:rsidR="00742498">
        <w:t>8</w:t>
      </w:r>
      <w:r w:rsidRPr="00265133">
        <w:t xml:space="preserve">: Teachers debrief (Study </w:t>
      </w:r>
      <w:r w:rsidR="005930C3">
        <w:t>Four</w:t>
      </w:r>
      <w:r w:rsidRPr="00265133">
        <w:t>, Chapter 9)</w:t>
      </w:r>
      <w:r w:rsidRPr="00265133">
        <w:rPr>
          <w:noProof/>
        </w:rPr>
        <w:drawing>
          <wp:anchor distT="0" distB="0" distL="114300" distR="114300" simplePos="0" relativeHeight="251718656" behindDoc="1" locked="0" layoutInCell="1" allowOverlap="1" wp14:anchorId="20CE2F46" wp14:editId="20F84CC0">
            <wp:simplePos x="0" y="0"/>
            <wp:positionH relativeFrom="margin">
              <wp:posOffset>4985385</wp:posOffset>
            </wp:positionH>
            <wp:positionV relativeFrom="paragraph">
              <wp:posOffset>35560</wp:posOffset>
            </wp:positionV>
            <wp:extent cx="1078865" cy="1256030"/>
            <wp:effectExtent l="0" t="0" r="6985" b="1270"/>
            <wp:wrapTight wrapText="bothSides">
              <wp:wrapPolygon edited="0">
                <wp:start x="0" y="0"/>
                <wp:lineTo x="0" y="21294"/>
                <wp:lineTo x="21358" y="21294"/>
                <wp:lineTo x="21358" y="0"/>
                <wp:lineTo x="0" y="0"/>
              </wp:wrapPolygon>
            </wp:wrapTight>
            <wp:docPr id="225" name="Picture 2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applica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8865" cy="1256030"/>
                    </a:xfrm>
                    <a:prstGeom prst="rect">
                      <a:avLst/>
                    </a:prstGeom>
                    <a:noFill/>
                  </pic:spPr>
                </pic:pic>
              </a:graphicData>
            </a:graphic>
          </wp:anchor>
        </w:drawing>
      </w:r>
      <w:bookmarkEnd w:id="410"/>
      <w:bookmarkEnd w:id="411"/>
    </w:p>
    <w:p w14:paraId="723272DE" w14:textId="77777777" w:rsidR="009C4156" w:rsidRPr="00602BB1" w:rsidRDefault="009C4156" w:rsidP="009C4156"/>
    <w:p w14:paraId="146DA44A" w14:textId="77777777" w:rsidR="009C4156" w:rsidRPr="00602BB1" w:rsidRDefault="009C4156" w:rsidP="009C4156"/>
    <w:p w14:paraId="4D446540" w14:textId="77777777" w:rsidR="009C4156" w:rsidRPr="00602BB1" w:rsidRDefault="009C4156" w:rsidP="009C4156"/>
    <w:p w14:paraId="53ED3532" w14:textId="77777777" w:rsidR="009C4156" w:rsidRPr="00602BB1" w:rsidRDefault="009C4156" w:rsidP="009C4156"/>
    <w:p w14:paraId="4E1E9D0C" w14:textId="77777777" w:rsidR="009C4156" w:rsidRPr="00602BB1" w:rsidRDefault="009C4156" w:rsidP="009C4156"/>
    <w:p w14:paraId="077BC60E" w14:textId="77777777" w:rsidR="009C4156" w:rsidRPr="00602BB1" w:rsidRDefault="009C4156" w:rsidP="009C4156"/>
    <w:p w14:paraId="3269C1C2" w14:textId="77777777" w:rsidR="009C4156" w:rsidRPr="00602BB1" w:rsidRDefault="009C4156" w:rsidP="009C4156">
      <w:pPr>
        <w:jc w:val="center"/>
        <w:rPr>
          <w:sz w:val="28"/>
          <w:szCs w:val="28"/>
        </w:rPr>
      </w:pPr>
      <w:r>
        <w:rPr>
          <w:b/>
          <w:sz w:val="28"/>
          <w:szCs w:val="28"/>
          <w:u w:val="single"/>
        </w:rPr>
        <w:t>Debrief</w:t>
      </w:r>
    </w:p>
    <w:p w14:paraId="1E3AEB92" w14:textId="77777777" w:rsidR="009C4156" w:rsidRDefault="009C4156" w:rsidP="009C4156">
      <w:pPr>
        <w:jc w:val="both"/>
        <w:rPr>
          <w:sz w:val="24"/>
          <w:szCs w:val="24"/>
        </w:rPr>
      </w:pPr>
      <w:r w:rsidRPr="00602BB1">
        <w:rPr>
          <w:sz w:val="24"/>
          <w:szCs w:val="24"/>
        </w:rPr>
        <w:t>T</w:t>
      </w:r>
      <w:r>
        <w:rPr>
          <w:sz w:val="24"/>
          <w:szCs w:val="24"/>
        </w:rPr>
        <w:t xml:space="preserve">hank you for taking part in </w:t>
      </w:r>
      <w:r w:rsidRPr="001C6003">
        <w:rPr>
          <w:sz w:val="24"/>
          <w:szCs w:val="24"/>
        </w:rPr>
        <w:t xml:space="preserve">completing a questionnaire about </w:t>
      </w:r>
      <w:r>
        <w:rPr>
          <w:sz w:val="24"/>
          <w:szCs w:val="24"/>
        </w:rPr>
        <w:t>your views regarding</w:t>
      </w:r>
      <w:r w:rsidRPr="001C6003">
        <w:rPr>
          <w:sz w:val="24"/>
          <w:szCs w:val="24"/>
        </w:rPr>
        <w:t xml:space="preserve"> the healthy eating poster-making session you delivered. The research aims to investigate your views on delivering a poster-making session</w:t>
      </w:r>
      <w:r>
        <w:rPr>
          <w:sz w:val="24"/>
          <w:szCs w:val="24"/>
        </w:rPr>
        <w:t>. All the</w:t>
      </w:r>
      <w:r w:rsidRPr="00602BB1">
        <w:rPr>
          <w:sz w:val="24"/>
          <w:szCs w:val="24"/>
        </w:rPr>
        <w:t xml:space="preserve"> </w:t>
      </w:r>
      <w:r>
        <w:rPr>
          <w:sz w:val="24"/>
          <w:szCs w:val="24"/>
        </w:rPr>
        <w:t xml:space="preserve">questionnaires </w:t>
      </w:r>
      <w:r w:rsidRPr="00602BB1">
        <w:rPr>
          <w:sz w:val="24"/>
          <w:szCs w:val="24"/>
        </w:rPr>
        <w:t>will be an</w:t>
      </w:r>
      <w:r>
        <w:rPr>
          <w:sz w:val="24"/>
          <w:szCs w:val="24"/>
        </w:rPr>
        <w:t>alysed together to look for patterns to understand teachers’ experiences of delivering a poster-making healthy eating session.</w:t>
      </w:r>
    </w:p>
    <w:p w14:paraId="556C0D70" w14:textId="77777777" w:rsidR="009C4156" w:rsidRPr="008B3AFE" w:rsidRDefault="009C4156" w:rsidP="009C4156">
      <w:pPr>
        <w:rPr>
          <w:sz w:val="24"/>
          <w:szCs w:val="24"/>
        </w:rPr>
      </w:pPr>
      <w:r w:rsidRPr="008B3AFE">
        <w:rPr>
          <w:sz w:val="24"/>
          <w:szCs w:val="24"/>
        </w:rPr>
        <w:t xml:space="preserve">Thank you again for taking part in </w:t>
      </w:r>
      <w:r>
        <w:rPr>
          <w:sz w:val="24"/>
          <w:szCs w:val="24"/>
        </w:rPr>
        <w:t>completing a questionnaire</w:t>
      </w:r>
      <w:r w:rsidRPr="008B3AFE">
        <w:rPr>
          <w:sz w:val="24"/>
          <w:szCs w:val="24"/>
        </w:rPr>
        <w:t>. If you have any further questions, please contact me or one of my supervisors.</w:t>
      </w:r>
    </w:p>
    <w:p w14:paraId="2D4C73E1" w14:textId="77777777" w:rsidR="009C4156" w:rsidRPr="008B3AFE" w:rsidRDefault="009C4156" w:rsidP="009C4156">
      <w:pPr>
        <w:spacing w:after="0" w:line="240" w:lineRule="auto"/>
        <w:rPr>
          <w:sz w:val="24"/>
          <w:szCs w:val="24"/>
        </w:rPr>
      </w:pPr>
    </w:p>
    <w:p w14:paraId="690651AF" w14:textId="77777777" w:rsidR="009C4156" w:rsidRPr="00755A88" w:rsidRDefault="009C4156" w:rsidP="009C4156">
      <w:pPr>
        <w:spacing w:after="0" w:line="240" w:lineRule="auto"/>
        <w:rPr>
          <w:sz w:val="24"/>
          <w:szCs w:val="24"/>
          <w:lang w:val="it-IT"/>
        </w:rPr>
      </w:pPr>
      <w:r w:rsidRPr="00755A88">
        <w:rPr>
          <w:sz w:val="24"/>
          <w:szCs w:val="24"/>
          <w:lang w:val="it-IT"/>
        </w:rPr>
        <w:t>Sian Calvert</w:t>
      </w:r>
    </w:p>
    <w:p w14:paraId="32788356" w14:textId="77777777" w:rsidR="009C4156" w:rsidRPr="00755A88" w:rsidRDefault="009C4156" w:rsidP="009C4156">
      <w:pPr>
        <w:spacing w:after="0" w:line="240" w:lineRule="auto"/>
        <w:rPr>
          <w:lang w:val="it-IT"/>
        </w:rPr>
      </w:pPr>
    </w:p>
    <w:p w14:paraId="54534F23" w14:textId="77777777" w:rsidR="009C4156" w:rsidRPr="00755A88" w:rsidRDefault="00322DCE" w:rsidP="009C4156">
      <w:pPr>
        <w:spacing w:after="0" w:line="240" w:lineRule="auto"/>
        <w:rPr>
          <w:rStyle w:val="Hyperlink"/>
          <w:lang w:val="it-IT"/>
        </w:rPr>
      </w:pPr>
      <w:hyperlink r:id="rId136" w:history="1">
        <w:r w:rsidR="009C4156" w:rsidRPr="00755A88">
          <w:rPr>
            <w:rStyle w:val="Hyperlink"/>
            <w:lang w:val="it-IT"/>
          </w:rPr>
          <w:t>Sian.calvert@research.staffs.ac.uk</w:t>
        </w:r>
      </w:hyperlink>
    </w:p>
    <w:p w14:paraId="1B0FC3D7" w14:textId="77777777" w:rsidR="009C4156" w:rsidRPr="00463B92" w:rsidRDefault="009C4156" w:rsidP="009C4156">
      <w:pPr>
        <w:spacing w:after="0" w:line="240" w:lineRule="auto"/>
      </w:pPr>
      <w:r>
        <w:rPr>
          <w:i/>
        </w:rPr>
        <w:t xml:space="preserve">PhD student in psychology, Staffordshire University </w:t>
      </w:r>
    </w:p>
    <w:p w14:paraId="46D8C594" w14:textId="77777777" w:rsidR="009C4156" w:rsidRDefault="009C4156" w:rsidP="009C4156">
      <w:pPr>
        <w:spacing w:after="0" w:line="240" w:lineRule="auto"/>
      </w:pPr>
      <w:r>
        <w:t>01782 294121</w:t>
      </w:r>
    </w:p>
    <w:p w14:paraId="05209AA2" w14:textId="77777777" w:rsidR="009C4156" w:rsidRPr="00463B92" w:rsidRDefault="009C4156" w:rsidP="009C4156">
      <w:pPr>
        <w:spacing w:after="0" w:line="240" w:lineRule="auto"/>
        <w:rPr>
          <w:u w:val="single"/>
        </w:rPr>
      </w:pPr>
    </w:p>
    <w:p w14:paraId="4ED8E07D" w14:textId="77777777" w:rsidR="009C4156" w:rsidRPr="00B44FB5" w:rsidRDefault="009C4156" w:rsidP="009C4156">
      <w:pPr>
        <w:spacing w:after="0" w:line="240" w:lineRule="auto"/>
      </w:pPr>
    </w:p>
    <w:p w14:paraId="7128F89E" w14:textId="77777777" w:rsidR="009C4156" w:rsidRPr="00D23DD2" w:rsidRDefault="009C4156" w:rsidP="009C4156">
      <w:pPr>
        <w:spacing w:after="0" w:line="240" w:lineRule="auto"/>
      </w:pPr>
      <w:r w:rsidRPr="00D23DD2">
        <w:t xml:space="preserve">Dr. Robert Dempsey </w:t>
      </w:r>
    </w:p>
    <w:p w14:paraId="4BD6C41A" w14:textId="77777777" w:rsidR="009C4156" w:rsidRPr="00D23DD2" w:rsidRDefault="00322DCE" w:rsidP="009C4156">
      <w:pPr>
        <w:spacing w:after="0" w:line="240" w:lineRule="auto"/>
      </w:pPr>
      <w:hyperlink r:id="rId137" w:history="1">
        <w:r w:rsidR="009C4156" w:rsidRPr="00D23DD2">
          <w:rPr>
            <w:rStyle w:val="Hyperlink"/>
          </w:rPr>
          <w:t>robert.dempsey@staffs.ac.uk</w:t>
        </w:r>
      </w:hyperlink>
    </w:p>
    <w:p w14:paraId="092DF948" w14:textId="44DF2437" w:rsidR="009C4156" w:rsidRPr="00D23DD2" w:rsidRDefault="009C4156" w:rsidP="009C4156">
      <w:pPr>
        <w:spacing w:after="0" w:line="240" w:lineRule="auto"/>
        <w:rPr>
          <w:i/>
        </w:rPr>
      </w:pPr>
      <w:r>
        <w:rPr>
          <w:i/>
        </w:rPr>
        <w:t xml:space="preserve">Senior </w:t>
      </w:r>
      <w:r w:rsidRPr="00D23DD2">
        <w:rPr>
          <w:i/>
        </w:rPr>
        <w:t xml:space="preserve">Lecturer at Staffordshire University </w:t>
      </w:r>
    </w:p>
    <w:p w14:paraId="43C0FED8" w14:textId="77777777" w:rsidR="009C4156" w:rsidRPr="00755A88" w:rsidRDefault="009C4156" w:rsidP="009C4156">
      <w:pPr>
        <w:spacing w:after="0" w:line="240" w:lineRule="auto"/>
      </w:pPr>
    </w:p>
    <w:p w14:paraId="6328143F" w14:textId="77777777" w:rsidR="009C4156" w:rsidRPr="00BB7D17" w:rsidRDefault="009C4156" w:rsidP="009C4156">
      <w:pPr>
        <w:spacing w:after="0" w:line="240" w:lineRule="auto"/>
        <w:rPr>
          <w:lang w:val="it-IT"/>
        </w:rPr>
      </w:pPr>
      <w:r w:rsidRPr="00BB7D17">
        <w:rPr>
          <w:lang w:val="it-IT"/>
        </w:rPr>
        <w:t xml:space="preserve">Dr. Rachel Povey </w:t>
      </w:r>
    </w:p>
    <w:p w14:paraId="139D99D1" w14:textId="77777777" w:rsidR="009C4156" w:rsidRPr="00BB7D17" w:rsidRDefault="00322DCE" w:rsidP="009C4156">
      <w:pPr>
        <w:spacing w:after="0" w:line="240" w:lineRule="auto"/>
        <w:rPr>
          <w:lang w:val="it-IT"/>
        </w:rPr>
      </w:pPr>
      <w:hyperlink r:id="rId138" w:history="1">
        <w:r w:rsidR="009C4156" w:rsidRPr="00BB7D17">
          <w:rPr>
            <w:rStyle w:val="Hyperlink"/>
            <w:lang w:val="it-IT"/>
          </w:rPr>
          <w:t>r.povey@staffs.ac.uk</w:t>
        </w:r>
      </w:hyperlink>
    </w:p>
    <w:p w14:paraId="2022B41B" w14:textId="77777777" w:rsidR="009C4156" w:rsidRPr="00D23DD2" w:rsidRDefault="009C4156" w:rsidP="009C4156">
      <w:pPr>
        <w:spacing w:after="0" w:line="240" w:lineRule="auto"/>
        <w:rPr>
          <w:i/>
        </w:rPr>
      </w:pPr>
      <w:r>
        <w:rPr>
          <w:i/>
        </w:rPr>
        <w:t>Associate Professor</w:t>
      </w:r>
      <w:r w:rsidRPr="00D23DD2">
        <w:rPr>
          <w:i/>
        </w:rPr>
        <w:t xml:space="preserve"> at Staffordshire University </w:t>
      </w:r>
    </w:p>
    <w:p w14:paraId="3BD492F9" w14:textId="77777777" w:rsidR="009C4156" w:rsidRDefault="009C4156" w:rsidP="009C4156">
      <w:pPr>
        <w:rPr>
          <w:rFonts w:ascii="Calibri" w:eastAsia="Calibri" w:hAnsi="Calibri" w:cs="Times New Roman"/>
          <w:bCs/>
        </w:rPr>
      </w:pPr>
    </w:p>
    <w:p w14:paraId="132EB33F" w14:textId="098E86C3" w:rsidR="009C4156" w:rsidRPr="004652C7" w:rsidRDefault="009C4156" w:rsidP="009C4156">
      <w:pPr>
        <w:rPr>
          <w:bCs/>
          <w:sz w:val="28"/>
          <w:szCs w:val="28"/>
        </w:rPr>
      </w:pPr>
      <w:r w:rsidRPr="004652C7">
        <w:rPr>
          <w:rFonts w:ascii="Calibri" w:eastAsia="Calibri" w:hAnsi="Calibri" w:cs="Times New Roman"/>
          <w:bCs/>
        </w:rPr>
        <w:t xml:space="preserve">Contact details of further support if needed: - </w:t>
      </w:r>
    </w:p>
    <w:p w14:paraId="019F2D2A" w14:textId="3B7FE41C" w:rsidR="009C4156" w:rsidRPr="00265133" w:rsidRDefault="009C4156" w:rsidP="009C4156">
      <w:pPr>
        <w:rPr>
          <w:b/>
          <w:sz w:val="28"/>
          <w:szCs w:val="28"/>
        </w:rPr>
      </w:pPr>
      <w:r w:rsidRPr="00934886">
        <w:rPr>
          <w:noProof/>
        </w:rPr>
        <w:drawing>
          <wp:anchor distT="0" distB="0" distL="114300" distR="114300" simplePos="0" relativeHeight="251720704" behindDoc="1" locked="0" layoutInCell="1" allowOverlap="1" wp14:anchorId="70A51DB1" wp14:editId="37379F97">
            <wp:simplePos x="0" y="0"/>
            <wp:positionH relativeFrom="column">
              <wp:posOffset>3507105</wp:posOffset>
            </wp:positionH>
            <wp:positionV relativeFrom="paragraph">
              <wp:posOffset>102870</wp:posOffset>
            </wp:positionV>
            <wp:extent cx="1819275" cy="847725"/>
            <wp:effectExtent l="0" t="0" r="9525" b="9525"/>
            <wp:wrapTight wrapText="bothSides">
              <wp:wrapPolygon edited="0">
                <wp:start x="0" y="0"/>
                <wp:lineTo x="0" y="21357"/>
                <wp:lineTo x="21487" y="21357"/>
                <wp:lineTo x="21487" y="0"/>
                <wp:lineTo x="0" y="0"/>
              </wp:wrapPolygon>
            </wp:wrapTight>
            <wp:docPr id="226" name="Picture 226" descr="A green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green sign with white text&#10;&#10;Description automatically generated with medium confidence"/>
                    <pic:cNvPicPr/>
                  </pic:nvPicPr>
                  <pic:blipFill>
                    <a:blip r:embed="rId139">
                      <a:extLst>
                        <a:ext uri="{28A0092B-C50C-407E-A947-70E740481C1C}">
                          <a14:useLocalDpi xmlns:a14="http://schemas.microsoft.com/office/drawing/2010/main" val="0"/>
                        </a:ext>
                      </a:extLst>
                    </a:blip>
                    <a:stretch>
                      <a:fillRect/>
                    </a:stretch>
                  </pic:blipFill>
                  <pic:spPr>
                    <a:xfrm>
                      <a:off x="0" y="0"/>
                      <a:ext cx="1819275" cy="847725"/>
                    </a:xfrm>
                    <a:prstGeom prst="rect">
                      <a:avLst/>
                    </a:prstGeom>
                  </pic:spPr>
                </pic:pic>
              </a:graphicData>
            </a:graphic>
          </wp:anchor>
        </w:drawing>
      </w:r>
      <w:r w:rsidRPr="00934886">
        <w:rPr>
          <w:noProof/>
        </w:rPr>
        <w:drawing>
          <wp:anchor distT="0" distB="0" distL="114300" distR="114300" simplePos="0" relativeHeight="251719680" behindDoc="1" locked="0" layoutInCell="1" allowOverlap="1" wp14:anchorId="4D78C722" wp14:editId="4A8AD2B5">
            <wp:simplePos x="0" y="0"/>
            <wp:positionH relativeFrom="margin">
              <wp:posOffset>-132080</wp:posOffset>
            </wp:positionH>
            <wp:positionV relativeFrom="paragraph">
              <wp:posOffset>122555</wp:posOffset>
            </wp:positionV>
            <wp:extent cx="2276475" cy="714375"/>
            <wp:effectExtent l="0" t="0" r="9525" b="9525"/>
            <wp:wrapTight wrapText="bothSides">
              <wp:wrapPolygon edited="0">
                <wp:start x="0" y="0"/>
                <wp:lineTo x="0" y="21312"/>
                <wp:lineTo x="21510" y="21312"/>
                <wp:lineTo x="21510" y="0"/>
                <wp:lineTo x="0" y="0"/>
              </wp:wrapPolygon>
            </wp:wrapTight>
            <wp:docPr id="227" name="Picture 2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text, application&#10;&#10;Description automatically generated"/>
                    <pic:cNvPicPr/>
                  </pic:nvPicPr>
                  <pic:blipFill>
                    <a:blip r:embed="rId140">
                      <a:extLst>
                        <a:ext uri="{28A0092B-C50C-407E-A947-70E740481C1C}">
                          <a14:useLocalDpi xmlns:a14="http://schemas.microsoft.com/office/drawing/2010/main" val="0"/>
                        </a:ext>
                      </a:extLst>
                    </a:blip>
                    <a:stretch>
                      <a:fillRect/>
                    </a:stretch>
                  </pic:blipFill>
                  <pic:spPr>
                    <a:xfrm>
                      <a:off x="0" y="0"/>
                      <a:ext cx="2276475" cy="714375"/>
                    </a:xfrm>
                    <a:prstGeom prst="rect">
                      <a:avLst/>
                    </a:prstGeom>
                  </pic:spPr>
                </pic:pic>
              </a:graphicData>
            </a:graphic>
          </wp:anchor>
        </w:drawing>
      </w:r>
    </w:p>
    <w:p w14:paraId="70B07A3A" w14:textId="24C5BC9B" w:rsidR="00055CEE" w:rsidRPr="00055CEE" w:rsidRDefault="00055CEE" w:rsidP="00742498">
      <w:pPr>
        <w:tabs>
          <w:tab w:val="left" w:pos="3987"/>
        </w:tabs>
      </w:pPr>
    </w:p>
    <w:sectPr w:rsidR="00055CEE" w:rsidRPr="00055CEE" w:rsidSect="001A409A">
      <w:footerReference w:type="default" r:id="rId141"/>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22369" w14:textId="77777777" w:rsidR="00322DCE" w:rsidRDefault="00322DCE" w:rsidP="00DD5BC7">
      <w:pPr>
        <w:spacing w:after="0" w:line="240" w:lineRule="auto"/>
      </w:pPr>
      <w:r>
        <w:separator/>
      </w:r>
    </w:p>
  </w:endnote>
  <w:endnote w:type="continuationSeparator" w:id="0">
    <w:p w14:paraId="77CE97C1" w14:textId="77777777" w:rsidR="00322DCE" w:rsidRDefault="00322DCE" w:rsidP="00DD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RWPalladioL-Roma">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othic Std B">
    <w:altName w:val="Yu Gothic"/>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800008"/>
      <w:docPartObj>
        <w:docPartGallery w:val="Page Numbers (Bottom of Page)"/>
        <w:docPartUnique/>
      </w:docPartObj>
    </w:sdtPr>
    <w:sdtEndPr>
      <w:rPr>
        <w:noProof/>
      </w:rPr>
    </w:sdtEndPr>
    <w:sdtContent>
      <w:p w14:paraId="1E752272" w14:textId="258B366E" w:rsidR="00CA70E7" w:rsidRDefault="00CA70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AFBCB9" w14:textId="77777777" w:rsidR="000D1DD8" w:rsidRDefault="000D1D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23518"/>
      <w:docPartObj>
        <w:docPartGallery w:val="Page Numbers (Bottom of Page)"/>
        <w:docPartUnique/>
      </w:docPartObj>
    </w:sdtPr>
    <w:sdtEndPr>
      <w:rPr>
        <w:noProof/>
      </w:rPr>
    </w:sdtEndPr>
    <w:sdtContent>
      <w:p w14:paraId="31A32181" w14:textId="4440E883" w:rsidR="00136B7E" w:rsidRDefault="00136B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414488"/>
      <w:docPartObj>
        <w:docPartGallery w:val="Page Numbers (Bottom of Page)"/>
        <w:docPartUnique/>
      </w:docPartObj>
    </w:sdtPr>
    <w:sdtEndPr>
      <w:rPr>
        <w:noProof/>
      </w:rPr>
    </w:sdtEndPr>
    <w:sdtContent>
      <w:p w14:paraId="316D4B99" w14:textId="77777777" w:rsidR="00171957" w:rsidRDefault="001719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F9ED18" w14:textId="77777777" w:rsidR="00171957" w:rsidRDefault="001719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36790"/>
      <w:docPartObj>
        <w:docPartGallery w:val="Page Numbers (Bottom of Page)"/>
        <w:docPartUnique/>
      </w:docPartObj>
    </w:sdtPr>
    <w:sdtEndPr>
      <w:rPr>
        <w:noProof/>
      </w:rPr>
    </w:sdtEndPr>
    <w:sdtContent>
      <w:p w14:paraId="6C8BC278" w14:textId="34FD00EC" w:rsidR="00DF4499" w:rsidRDefault="00DF44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F402" w14:textId="77777777" w:rsidR="00D56E79" w:rsidRDefault="00D56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293376"/>
      <w:docPartObj>
        <w:docPartGallery w:val="Page Numbers (Bottom of Page)"/>
        <w:docPartUnique/>
      </w:docPartObj>
    </w:sdtPr>
    <w:sdtEndPr>
      <w:rPr>
        <w:noProof/>
      </w:rPr>
    </w:sdtEndPr>
    <w:sdtContent>
      <w:p w14:paraId="1F1FAC71" w14:textId="77777777" w:rsidR="004E092E" w:rsidRDefault="004E0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273528" w14:textId="77777777" w:rsidR="004E092E" w:rsidRDefault="004E092E">
    <w:pPr>
      <w:pStyle w:val="Footer"/>
    </w:pPr>
  </w:p>
  <w:p w14:paraId="042F0BAA" w14:textId="77777777" w:rsidR="004E092E" w:rsidRDefault="004E09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381811"/>
      <w:docPartObj>
        <w:docPartGallery w:val="Page Numbers (Bottom of Page)"/>
        <w:docPartUnique/>
      </w:docPartObj>
    </w:sdtPr>
    <w:sdtEndPr>
      <w:rPr>
        <w:noProof/>
      </w:rPr>
    </w:sdtEndPr>
    <w:sdtContent>
      <w:p w14:paraId="238FB648" w14:textId="4312921D" w:rsidR="004E092E" w:rsidRDefault="004E0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380960" w14:textId="77777777" w:rsidR="004642E1" w:rsidRDefault="004642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025035"/>
      <w:docPartObj>
        <w:docPartGallery w:val="Page Numbers (Bottom of Page)"/>
        <w:docPartUnique/>
      </w:docPartObj>
    </w:sdtPr>
    <w:sdtEndPr>
      <w:rPr>
        <w:noProof/>
      </w:rPr>
    </w:sdtEndPr>
    <w:sdtContent>
      <w:p w14:paraId="4BBDC4A0" w14:textId="77777777" w:rsidR="00572E3D" w:rsidRDefault="00572E3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A2D09E9" w14:textId="77777777" w:rsidR="00572E3D" w:rsidRDefault="00572E3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022411"/>
      <w:docPartObj>
        <w:docPartGallery w:val="Page Numbers (Bottom of Page)"/>
        <w:docPartUnique/>
      </w:docPartObj>
    </w:sdtPr>
    <w:sdtEndPr>
      <w:rPr>
        <w:noProof/>
      </w:rPr>
    </w:sdtEndPr>
    <w:sdtContent>
      <w:p w14:paraId="1F5FA50E" w14:textId="77777777" w:rsidR="0070628A" w:rsidRDefault="0070628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34BC67B" w14:textId="77777777" w:rsidR="0070628A" w:rsidRDefault="007062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848359"/>
      <w:docPartObj>
        <w:docPartGallery w:val="Page Numbers (Bottom of Page)"/>
        <w:docPartUnique/>
      </w:docPartObj>
    </w:sdtPr>
    <w:sdtEndPr>
      <w:rPr>
        <w:noProof/>
      </w:rPr>
    </w:sdtEndPr>
    <w:sdtContent>
      <w:p w14:paraId="4B4D7A06" w14:textId="77777777" w:rsidR="00376179" w:rsidRDefault="0037617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64F086D" w14:textId="77777777" w:rsidR="00376179" w:rsidRDefault="0037617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70768"/>
      <w:docPartObj>
        <w:docPartGallery w:val="Page Numbers (Bottom of Page)"/>
        <w:docPartUnique/>
      </w:docPartObj>
    </w:sdtPr>
    <w:sdtEndPr>
      <w:rPr>
        <w:noProof/>
      </w:rPr>
    </w:sdtEndPr>
    <w:sdtContent>
      <w:p w14:paraId="4980E9F7" w14:textId="77777777" w:rsidR="00572E3D" w:rsidRDefault="00572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9C80B2" w14:textId="77777777" w:rsidR="00572E3D" w:rsidRDefault="00572E3D" w:rsidP="00917F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C116A" w14:textId="77777777" w:rsidR="00322DCE" w:rsidRDefault="00322DCE" w:rsidP="00DD5BC7">
      <w:pPr>
        <w:spacing w:after="0" w:line="240" w:lineRule="auto"/>
      </w:pPr>
      <w:r>
        <w:separator/>
      </w:r>
    </w:p>
  </w:footnote>
  <w:footnote w:type="continuationSeparator" w:id="0">
    <w:p w14:paraId="42906DB5" w14:textId="77777777" w:rsidR="00322DCE" w:rsidRDefault="00322DCE" w:rsidP="00DD5BC7">
      <w:pPr>
        <w:spacing w:after="0" w:line="240" w:lineRule="auto"/>
      </w:pPr>
      <w:r>
        <w:continuationSeparator/>
      </w:r>
    </w:p>
  </w:footnote>
  <w:footnote w:id="1">
    <w:p w14:paraId="4F30A344" w14:textId="221DFA65" w:rsidR="00FD470D" w:rsidRDefault="00FD470D">
      <w:pPr>
        <w:pStyle w:val="FootnoteText"/>
      </w:pPr>
      <w:r>
        <w:rPr>
          <w:rStyle w:val="FootnoteReference"/>
        </w:rPr>
        <w:footnoteRef/>
      </w:r>
      <w:r>
        <w:t xml:space="preserve"> </w:t>
      </w:r>
      <w:r w:rsidRPr="008535DC">
        <w:rPr>
          <w:rFonts w:cstheme="minorHAnsi"/>
        </w:rPr>
        <w:t>*Study design – will be indicated as high risk (+) if the design was not a Random control trial (note within the quality assessment tool some designs would be rated as moderate e.g., Cohort)</w:t>
      </w:r>
    </w:p>
  </w:footnote>
  <w:footnote w:id="2">
    <w:p w14:paraId="048098D6" w14:textId="77777777" w:rsidR="00347DE9" w:rsidRPr="00A12D66" w:rsidRDefault="00347DE9" w:rsidP="00347DE9">
      <w:pPr>
        <w:pStyle w:val="Footer"/>
        <w:jc w:val="both"/>
        <w:rPr>
          <w:sz w:val="16"/>
          <w:szCs w:val="16"/>
        </w:rPr>
      </w:pPr>
      <w:r>
        <w:rPr>
          <w:rStyle w:val="FootnoteReference"/>
        </w:rPr>
        <w:footnoteRef/>
      </w:r>
      <w:r>
        <w:t xml:space="preserve"> </w:t>
      </w:r>
      <w:r w:rsidRPr="00A12D66">
        <w:rPr>
          <w:sz w:val="16"/>
          <w:szCs w:val="16"/>
        </w:rPr>
        <w:t>Biscuits being an unhealthy snack foodstuff was only specifically mentioned once by a student. Nevertheless, s</w:t>
      </w:r>
      <w:r w:rsidRPr="00A12D66">
        <w:rPr>
          <w:sz w:val="16"/>
          <w:szCs w:val="16"/>
          <w:shd w:val="clear" w:color="auto" w:fill="FFFFFF"/>
        </w:rPr>
        <w:t xml:space="preserve">nacking is a complex behaviour, and the term ‘snacking’ can have different interpretations </w:t>
      </w:r>
      <w:r w:rsidRPr="00A12D66">
        <w:rPr>
          <w:sz w:val="16"/>
          <w:szCs w:val="16"/>
          <w:shd w:val="clear" w:color="auto" w:fill="FFFFFF"/>
        </w:rPr>
        <w:fldChar w:fldCharType="begin" w:fldLock="1"/>
      </w:r>
      <w:r w:rsidRPr="00A12D66">
        <w:rPr>
          <w:sz w:val="16"/>
          <w:szCs w:val="16"/>
          <w:shd w:val="clear" w:color="auto" w:fill="FFFFFF"/>
        </w:rPr>
        <w:instrText>ADDIN CSL_CITATION {"citationItems":[{"id":"ITEM-1","itemData":{"ISSN":"0195-6663","author":[{"dropping-particle":"","family":"Chamontin","given":"Aı̈nhoa","non-dropping-particle":"","parse-names":false,"suffix":""},{"dropping-particle":"","family":"Pretzer","given":"Gabriele","non-dropping-particle":"","parse-names":false,"suffix":""},{"dropping-particle":"","family":"Booth","given":"David A","non-dropping-particle":"","parse-names":false,"suffix":""}],"container-title":"Appetite","id":"ITEM-1","issue":"1","issued":{"date-parts":[["2003"]]},"page":"21-29","publisher":"Elsevier","title":"Ambiguity of ‘snack’in British usage","type":"article-journal","volume":"41"},"uris":["http://www.mendeley.com/documents/?uuid=b1bd548f-da27-4123-ba57-b7b2b6f253e0"]}],"mendeley":{"formattedCitation":"(Chamontin et al., 2003)","plainTextFormattedCitation":"(Chamontin et al., 2003)","previouslyFormattedCitation":"(Chamontin et al., 2003)"},"properties":{"noteIndex":0},"schema":"https://github.com/citation-style-language/schema/raw/master/csl-citation.json"}</w:instrText>
      </w:r>
      <w:r w:rsidRPr="00A12D66">
        <w:rPr>
          <w:sz w:val="16"/>
          <w:szCs w:val="16"/>
          <w:shd w:val="clear" w:color="auto" w:fill="FFFFFF"/>
        </w:rPr>
        <w:fldChar w:fldCharType="separate"/>
      </w:r>
      <w:r w:rsidRPr="00A12D66">
        <w:rPr>
          <w:noProof/>
          <w:sz w:val="16"/>
          <w:szCs w:val="16"/>
          <w:shd w:val="clear" w:color="auto" w:fill="FFFFFF"/>
        </w:rPr>
        <w:t>(Chamontin et al., 2003)</w:t>
      </w:r>
      <w:r w:rsidRPr="00A12D66">
        <w:rPr>
          <w:sz w:val="16"/>
          <w:szCs w:val="16"/>
          <w:shd w:val="clear" w:color="auto" w:fill="FFFFFF"/>
        </w:rPr>
        <w:fldChar w:fldCharType="end"/>
      </w:r>
      <w:r w:rsidRPr="00A12D66">
        <w:rPr>
          <w:sz w:val="16"/>
          <w:szCs w:val="16"/>
          <w:shd w:val="clear" w:color="auto" w:fill="FFFFFF"/>
        </w:rPr>
        <w:t xml:space="preserve">. For example, </w:t>
      </w:r>
      <w:r w:rsidRPr="00A12D66">
        <w:rPr>
          <w:sz w:val="16"/>
          <w:szCs w:val="16"/>
        </w:rPr>
        <w:t>one of the snack foodstuffs referred to as unhealthy was ‘Jaffa Cake’ which is described by the manufacturer as a ‘biscuit-sized cake’ and which was coded a</w:t>
      </w:r>
      <w:r>
        <w:rPr>
          <w:sz w:val="16"/>
          <w:szCs w:val="16"/>
        </w:rPr>
        <w:t>s</w:t>
      </w:r>
      <w:r w:rsidRPr="00A12D66">
        <w:rPr>
          <w:sz w:val="16"/>
          <w:szCs w:val="16"/>
        </w:rPr>
        <w:t xml:space="preserve"> cake, but could have been considered to be a biscuit by the students. Therefore, all unhealthy snack foodstuffs identified by the students were measured. </w:t>
      </w:r>
    </w:p>
    <w:p w14:paraId="5473F221" w14:textId="77777777" w:rsidR="00347DE9" w:rsidRDefault="00347DE9" w:rsidP="00347D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F571" w14:textId="77777777" w:rsidR="00B24021" w:rsidRPr="000E42F3" w:rsidRDefault="00B24021" w:rsidP="000E42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AB73" w14:textId="086AE1F7" w:rsidR="00B12704" w:rsidRDefault="00B12704">
    <w:pPr>
      <w:spacing w:line="14" w:lineRule="auto"/>
      <w:rPr>
        <w:sz w:val="2"/>
      </w:rPr>
    </w:pPr>
  </w:p>
  <w:p w14:paraId="01D65DC2" w14:textId="77777777" w:rsidR="00B12704" w:rsidRDefault="00B12704"/>
  <w:p w14:paraId="4C5406BD" w14:textId="77777777" w:rsidR="008E0238" w:rsidRDefault="008E02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8851"/>
      </v:shape>
    </w:pict>
  </w:numPicBullet>
  <w:abstractNum w:abstractNumId="0" w15:restartNumberingAfterBreak="0">
    <w:nsid w:val="001602C0"/>
    <w:multiLevelType w:val="hybridMultilevel"/>
    <w:tmpl w:val="56EE61F0"/>
    <w:lvl w:ilvl="0" w:tplc="5C50F5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A72F84"/>
    <w:multiLevelType w:val="hybridMultilevel"/>
    <w:tmpl w:val="151A0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78E4"/>
    <w:multiLevelType w:val="hybridMultilevel"/>
    <w:tmpl w:val="7BCE0872"/>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A3679"/>
    <w:multiLevelType w:val="hybridMultilevel"/>
    <w:tmpl w:val="FACAA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874A5"/>
    <w:multiLevelType w:val="hybridMultilevel"/>
    <w:tmpl w:val="80A4A04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9E96CCD"/>
    <w:multiLevelType w:val="hybridMultilevel"/>
    <w:tmpl w:val="605051D2"/>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4F74B7"/>
    <w:multiLevelType w:val="hybridMultilevel"/>
    <w:tmpl w:val="C2DAC8D4"/>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C4C63E8"/>
    <w:multiLevelType w:val="hybridMultilevel"/>
    <w:tmpl w:val="30628CD8"/>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0BF162C"/>
    <w:multiLevelType w:val="hybridMultilevel"/>
    <w:tmpl w:val="AC329468"/>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23D5089"/>
    <w:multiLevelType w:val="hybridMultilevel"/>
    <w:tmpl w:val="D9EA72DE"/>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3F3683"/>
    <w:multiLevelType w:val="hybridMultilevel"/>
    <w:tmpl w:val="1A40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93028D"/>
    <w:multiLevelType w:val="hybridMultilevel"/>
    <w:tmpl w:val="1FC6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D5FF2"/>
    <w:multiLevelType w:val="hybridMultilevel"/>
    <w:tmpl w:val="F1281872"/>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C6AD9"/>
    <w:multiLevelType w:val="hybridMultilevel"/>
    <w:tmpl w:val="C448AB0C"/>
    <w:lvl w:ilvl="0" w:tplc="5C50F5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5950A3"/>
    <w:multiLevelType w:val="hybridMultilevel"/>
    <w:tmpl w:val="78B2A0F6"/>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E51DA"/>
    <w:multiLevelType w:val="hybridMultilevel"/>
    <w:tmpl w:val="AD7889FC"/>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0E7CCD"/>
    <w:multiLevelType w:val="hybridMultilevel"/>
    <w:tmpl w:val="9664201E"/>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6488E"/>
    <w:multiLevelType w:val="hybridMultilevel"/>
    <w:tmpl w:val="1CBA5DA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E55FDC"/>
    <w:multiLevelType w:val="hybridMultilevel"/>
    <w:tmpl w:val="A4306BC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F675AAB"/>
    <w:multiLevelType w:val="hybridMultilevel"/>
    <w:tmpl w:val="2FCAC274"/>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E1423E"/>
    <w:multiLevelType w:val="hybridMultilevel"/>
    <w:tmpl w:val="E99C9D14"/>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FF07145"/>
    <w:multiLevelType w:val="hybridMultilevel"/>
    <w:tmpl w:val="F682792A"/>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22" w15:restartNumberingAfterBreak="0">
    <w:nsid w:val="21FA21DD"/>
    <w:multiLevelType w:val="hybridMultilevel"/>
    <w:tmpl w:val="C55C099E"/>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4946A85"/>
    <w:multiLevelType w:val="hybridMultilevel"/>
    <w:tmpl w:val="93BC2A02"/>
    <w:lvl w:ilvl="0" w:tplc="5C50F5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6984675"/>
    <w:multiLevelType w:val="hybridMultilevel"/>
    <w:tmpl w:val="630ADCE2"/>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8895717"/>
    <w:multiLevelType w:val="hybridMultilevel"/>
    <w:tmpl w:val="B30C8BB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CB13A36"/>
    <w:multiLevelType w:val="hybridMultilevel"/>
    <w:tmpl w:val="F8A6B13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DEE31AC"/>
    <w:multiLevelType w:val="hybridMultilevel"/>
    <w:tmpl w:val="73504F0E"/>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326E08"/>
    <w:multiLevelType w:val="hybridMultilevel"/>
    <w:tmpl w:val="FEEAFB18"/>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2703206"/>
    <w:multiLevelType w:val="hybridMultilevel"/>
    <w:tmpl w:val="BE50B64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35791C1A"/>
    <w:multiLevelType w:val="hybridMultilevel"/>
    <w:tmpl w:val="6ADAA7D0"/>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6E77EEE"/>
    <w:multiLevelType w:val="hybridMultilevel"/>
    <w:tmpl w:val="8EB09E40"/>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8530649"/>
    <w:multiLevelType w:val="hybridMultilevel"/>
    <w:tmpl w:val="77C2CDFC"/>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570FCC"/>
    <w:multiLevelType w:val="hybridMultilevel"/>
    <w:tmpl w:val="853CB97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EA7933"/>
    <w:multiLevelType w:val="hybridMultilevel"/>
    <w:tmpl w:val="EA2ACFD8"/>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7F43F3"/>
    <w:multiLevelType w:val="hybridMultilevel"/>
    <w:tmpl w:val="15DE46D6"/>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BCC4C16"/>
    <w:multiLevelType w:val="hybridMultilevel"/>
    <w:tmpl w:val="754ED0DE"/>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CAE3292"/>
    <w:multiLevelType w:val="hybridMultilevel"/>
    <w:tmpl w:val="8FAC28E6"/>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5E09BF"/>
    <w:multiLevelType w:val="hybridMultilevel"/>
    <w:tmpl w:val="3E688158"/>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EAF748F"/>
    <w:multiLevelType w:val="hybridMultilevel"/>
    <w:tmpl w:val="DB3AEED4"/>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0F825C6"/>
    <w:multiLevelType w:val="hybridMultilevel"/>
    <w:tmpl w:val="9FBEAF6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1412B72"/>
    <w:multiLevelType w:val="hybridMultilevel"/>
    <w:tmpl w:val="0924FAFE"/>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42" w15:restartNumberingAfterBreak="0">
    <w:nsid w:val="43E85744"/>
    <w:multiLevelType w:val="hybridMultilevel"/>
    <w:tmpl w:val="54C690FE"/>
    <w:lvl w:ilvl="0" w:tplc="327C1AD2">
      <w:start w:val="1"/>
      <w:numFmt w:val="decimal"/>
      <w:suff w:val="space"/>
      <w:lvlText w:val="%1."/>
      <w:lvlJc w:val="left"/>
      <w:pPr>
        <w:ind w:left="0" w:firstLine="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53B1F9C"/>
    <w:multiLevelType w:val="hybridMultilevel"/>
    <w:tmpl w:val="ABF8CADA"/>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9766E3F"/>
    <w:multiLevelType w:val="hybridMultilevel"/>
    <w:tmpl w:val="7A023C3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4B9A0BF0"/>
    <w:multiLevelType w:val="hybridMultilevel"/>
    <w:tmpl w:val="5EBE2BA8"/>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1A5625F"/>
    <w:multiLevelType w:val="hybridMultilevel"/>
    <w:tmpl w:val="5B5688E2"/>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986439"/>
    <w:multiLevelType w:val="hybridMultilevel"/>
    <w:tmpl w:val="35E0525C"/>
    <w:lvl w:ilvl="0" w:tplc="3D2C4CBA">
      <w:numFmt w:val="bullet"/>
      <w:lvlText w:val="-"/>
      <w:lvlJc w:val="left"/>
      <w:pPr>
        <w:ind w:left="1440" w:hanging="360"/>
      </w:pPr>
      <w:rPr>
        <w:rFonts w:ascii="Calibri" w:eastAsia="Cambria"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323381C"/>
    <w:multiLevelType w:val="hybridMultilevel"/>
    <w:tmpl w:val="88AA7030"/>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6462F8"/>
    <w:multiLevelType w:val="hybridMultilevel"/>
    <w:tmpl w:val="35602970"/>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A4D17BB"/>
    <w:multiLevelType w:val="hybridMultilevel"/>
    <w:tmpl w:val="06844C84"/>
    <w:lvl w:ilvl="0" w:tplc="5C50F5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C8C3A47"/>
    <w:multiLevelType w:val="hybridMultilevel"/>
    <w:tmpl w:val="DF0098B2"/>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5D2777E1"/>
    <w:multiLevelType w:val="hybridMultilevel"/>
    <w:tmpl w:val="A06A985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5F300FAC"/>
    <w:multiLevelType w:val="hybridMultilevel"/>
    <w:tmpl w:val="4E7C8312"/>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F383A7E"/>
    <w:multiLevelType w:val="hybridMultilevel"/>
    <w:tmpl w:val="4894EC02"/>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4282983"/>
    <w:multiLevelType w:val="hybridMultilevel"/>
    <w:tmpl w:val="88104E5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644327BB"/>
    <w:multiLevelType w:val="hybridMultilevel"/>
    <w:tmpl w:val="FC78305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6A045A61"/>
    <w:multiLevelType w:val="hybridMultilevel"/>
    <w:tmpl w:val="281C2D1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6C9550EB"/>
    <w:multiLevelType w:val="hybridMultilevel"/>
    <w:tmpl w:val="FE28FF94"/>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736368FA"/>
    <w:multiLevelType w:val="hybridMultilevel"/>
    <w:tmpl w:val="1892DFF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4273B09"/>
    <w:multiLevelType w:val="hybridMultilevel"/>
    <w:tmpl w:val="18F2441C"/>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608698C"/>
    <w:multiLevelType w:val="hybridMultilevel"/>
    <w:tmpl w:val="D5468396"/>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6991FC3"/>
    <w:multiLevelType w:val="hybridMultilevel"/>
    <w:tmpl w:val="1C346668"/>
    <w:lvl w:ilvl="0" w:tplc="5C50F5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8E4F8D"/>
    <w:multiLevelType w:val="hybridMultilevel"/>
    <w:tmpl w:val="1592F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8CF6583"/>
    <w:multiLevelType w:val="hybridMultilevel"/>
    <w:tmpl w:val="3C2A8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9C70D3C"/>
    <w:multiLevelType w:val="hybridMultilevel"/>
    <w:tmpl w:val="B8F2D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BBC3037"/>
    <w:multiLevelType w:val="hybridMultilevel"/>
    <w:tmpl w:val="EC426448"/>
    <w:lvl w:ilvl="0" w:tplc="5C50F5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D5F00E9"/>
    <w:multiLevelType w:val="hybridMultilevel"/>
    <w:tmpl w:val="62D88832"/>
    <w:lvl w:ilvl="0" w:tplc="08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ED04E30"/>
    <w:multiLevelType w:val="hybridMultilevel"/>
    <w:tmpl w:val="8B2A305A"/>
    <w:lvl w:ilvl="0" w:tplc="5C50F56A">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67273874">
    <w:abstractNumId w:val="1"/>
  </w:num>
  <w:num w:numId="2" w16cid:durableId="791435519">
    <w:abstractNumId w:val="42"/>
  </w:num>
  <w:num w:numId="3" w16cid:durableId="937100749">
    <w:abstractNumId w:val="10"/>
  </w:num>
  <w:num w:numId="4" w16cid:durableId="2078278541">
    <w:abstractNumId w:val="42"/>
    <w:lvlOverride w:ilvl="0">
      <w:lvl w:ilvl="0" w:tplc="327C1AD2">
        <w:start w:val="1"/>
        <w:numFmt w:val="decimal"/>
        <w:suff w:val="space"/>
        <w:lvlText w:val="%1)"/>
        <w:lvlJc w:val="left"/>
        <w:pPr>
          <w:ind w:left="0" w:firstLine="0"/>
        </w:pPr>
        <w:rPr>
          <w:rFonts w:hint="default"/>
          <w:b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5" w16cid:durableId="1583415780">
    <w:abstractNumId w:val="33"/>
  </w:num>
  <w:num w:numId="6" w16cid:durableId="65686033">
    <w:abstractNumId w:val="64"/>
  </w:num>
  <w:num w:numId="7" w16cid:durableId="1317955990">
    <w:abstractNumId w:val="63"/>
  </w:num>
  <w:num w:numId="8" w16cid:durableId="1213151962">
    <w:abstractNumId w:val="67"/>
  </w:num>
  <w:num w:numId="9" w16cid:durableId="353773457">
    <w:abstractNumId w:val="47"/>
  </w:num>
  <w:num w:numId="10" w16cid:durableId="507329859">
    <w:abstractNumId w:val="3"/>
  </w:num>
  <w:num w:numId="11" w16cid:durableId="1837721728">
    <w:abstractNumId w:val="65"/>
  </w:num>
  <w:num w:numId="12" w16cid:durableId="695034983">
    <w:abstractNumId w:val="17"/>
  </w:num>
  <w:num w:numId="13" w16cid:durableId="1151140930">
    <w:abstractNumId w:val="21"/>
  </w:num>
  <w:num w:numId="14" w16cid:durableId="1104958313">
    <w:abstractNumId w:val="41"/>
  </w:num>
  <w:num w:numId="15" w16cid:durableId="1005787753">
    <w:abstractNumId w:val="11"/>
  </w:num>
  <w:num w:numId="16" w16cid:durableId="158346825">
    <w:abstractNumId w:val="27"/>
  </w:num>
  <w:num w:numId="17" w16cid:durableId="1838839174">
    <w:abstractNumId w:val="46"/>
  </w:num>
  <w:num w:numId="18" w16cid:durableId="1020164970">
    <w:abstractNumId w:val="37"/>
  </w:num>
  <w:num w:numId="19" w16cid:durableId="1394935849">
    <w:abstractNumId w:val="62"/>
  </w:num>
  <w:num w:numId="20" w16cid:durableId="680857180">
    <w:abstractNumId w:val="19"/>
  </w:num>
  <w:num w:numId="21" w16cid:durableId="1701929283">
    <w:abstractNumId w:val="34"/>
  </w:num>
  <w:num w:numId="22" w16cid:durableId="1594316232">
    <w:abstractNumId w:val="53"/>
  </w:num>
  <w:num w:numId="23" w16cid:durableId="1531261376">
    <w:abstractNumId w:val="5"/>
  </w:num>
  <w:num w:numId="24" w16cid:durableId="804733761">
    <w:abstractNumId w:val="2"/>
  </w:num>
  <w:num w:numId="25" w16cid:durableId="1167359614">
    <w:abstractNumId w:val="66"/>
  </w:num>
  <w:num w:numId="26" w16cid:durableId="350373938">
    <w:abstractNumId w:val="24"/>
  </w:num>
  <w:num w:numId="27" w16cid:durableId="1661301675">
    <w:abstractNumId w:val="12"/>
  </w:num>
  <w:num w:numId="28" w16cid:durableId="420033017">
    <w:abstractNumId w:val="16"/>
  </w:num>
  <w:num w:numId="29" w16cid:durableId="1654065621">
    <w:abstractNumId w:val="43"/>
  </w:num>
  <w:num w:numId="30" w16cid:durableId="267008235">
    <w:abstractNumId w:val="6"/>
  </w:num>
  <w:num w:numId="31" w16cid:durableId="1884170238">
    <w:abstractNumId w:val="54"/>
  </w:num>
  <w:num w:numId="32" w16cid:durableId="517890473">
    <w:abstractNumId w:val="58"/>
  </w:num>
  <w:num w:numId="33" w16cid:durableId="159080438">
    <w:abstractNumId w:val="7"/>
  </w:num>
  <w:num w:numId="34" w16cid:durableId="1473982722">
    <w:abstractNumId w:val="59"/>
  </w:num>
  <w:num w:numId="35" w16cid:durableId="1507287144">
    <w:abstractNumId w:val="51"/>
  </w:num>
  <w:num w:numId="36" w16cid:durableId="422458710">
    <w:abstractNumId w:val="35"/>
  </w:num>
  <w:num w:numId="37" w16cid:durableId="721252487">
    <w:abstractNumId w:val="20"/>
  </w:num>
  <w:num w:numId="38" w16cid:durableId="568809300">
    <w:abstractNumId w:val="25"/>
  </w:num>
  <w:num w:numId="39" w16cid:durableId="1597399164">
    <w:abstractNumId w:val="18"/>
  </w:num>
  <w:num w:numId="40" w16cid:durableId="1350596472">
    <w:abstractNumId w:val="30"/>
  </w:num>
  <w:num w:numId="41" w16cid:durableId="989749510">
    <w:abstractNumId w:val="23"/>
  </w:num>
  <w:num w:numId="42" w16cid:durableId="929584536">
    <w:abstractNumId w:val="56"/>
  </w:num>
  <w:num w:numId="43" w16cid:durableId="1015695440">
    <w:abstractNumId w:val="60"/>
  </w:num>
  <w:num w:numId="44" w16cid:durableId="1620144694">
    <w:abstractNumId w:val="50"/>
  </w:num>
  <w:num w:numId="45" w16cid:durableId="561137019">
    <w:abstractNumId w:val="0"/>
  </w:num>
  <w:num w:numId="46" w16cid:durableId="910846217">
    <w:abstractNumId w:val="9"/>
  </w:num>
  <w:num w:numId="47" w16cid:durableId="1135755143">
    <w:abstractNumId w:val="26"/>
  </w:num>
  <w:num w:numId="48" w16cid:durableId="1287197248">
    <w:abstractNumId w:val="38"/>
  </w:num>
  <w:num w:numId="49" w16cid:durableId="256448563">
    <w:abstractNumId w:val="49"/>
  </w:num>
  <w:num w:numId="50" w16cid:durableId="1384325574">
    <w:abstractNumId w:val="4"/>
  </w:num>
  <w:num w:numId="51" w16cid:durableId="1270233526">
    <w:abstractNumId w:val="57"/>
  </w:num>
  <w:num w:numId="52" w16cid:durableId="1119956304">
    <w:abstractNumId w:val="14"/>
  </w:num>
  <w:num w:numId="53" w16cid:durableId="97453712">
    <w:abstractNumId w:val="8"/>
  </w:num>
  <w:num w:numId="54" w16cid:durableId="728574649">
    <w:abstractNumId w:val="55"/>
  </w:num>
  <w:num w:numId="55" w16cid:durableId="1595743055">
    <w:abstractNumId w:val="28"/>
  </w:num>
  <w:num w:numId="56" w16cid:durableId="1023166527">
    <w:abstractNumId w:val="32"/>
  </w:num>
  <w:num w:numId="57" w16cid:durableId="14383260">
    <w:abstractNumId w:val="52"/>
  </w:num>
  <w:num w:numId="58" w16cid:durableId="1881745522">
    <w:abstractNumId w:val="36"/>
  </w:num>
  <w:num w:numId="59" w16cid:durableId="1426196301">
    <w:abstractNumId w:val="68"/>
  </w:num>
  <w:num w:numId="60" w16cid:durableId="1266884067">
    <w:abstractNumId w:val="39"/>
  </w:num>
  <w:num w:numId="61" w16cid:durableId="1644696334">
    <w:abstractNumId w:val="44"/>
  </w:num>
  <w:num w:numId="62" w16cid:durableId="304631258">
    <w:abstractNumId w:val="45"/>
  </w:num>
  <w:num w:numId="63" w16cid:durableId="210578175">
    <w:abstractNumId w:val="29"/>
  </w:num>
  <w:num w:numId="64" w16cid:durableId="543098448">
    <w:abstractNumId w:val="61"/>
  </w:num>
  <w:num w:numId="65" w16cid:durableId="1274635655">
    <w:abstractNumId w:val="31"/>
  </w:num>
  <w:num w:numId="66" w16cid:durableId="713231691">
    <w:abstractNumId w:val="22"/>
  </w:num>
  <w:num w:numId="67" w16cid:durableId="158036062">
    <w:abstractNumId w:val="40"/>
  </w:num>
  <w:num w:numId="68" w16cid:durableId="1715348524">
    <w:abstractNumId w:val="15"/>
  </w:num>
  <w:num w:numId="69" w16cid:durableId="1552841956">
    <w:abstractNumId w:val="48"/>
  </w:num>
  <w:num w:numId="70" w16cid:durableId="365953732">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1MLIwtLA0MzGxNDFR0lEKTi0uzszPAykwNK4FALQJn20tAAAA"/>
  </w:docVars>
  <w:rsids>
    <w:rsidRoot w:val="00DD5BC7"/>
    <w:rsid w:val="00001AC4"/>
    <w:rsid w:val="000029C0"/>
    <w:rsid w:val="000047C4"/>
    <w:rsid w:val="00005A3A"/>
    <w:rsid w:val="00007E3E"/>
    <w:rsid w:val="00010DC2"/>
    <w:rsid w:val="000126AA"/>
    <w:rsid w:val="000127AF"/>
    <w:rsid w:val="00020029"/>
    <w:rsid w:val="00020065"/>
    <w:rsid w:val="000202F8"/>
    <w:rsid w:val="0002158C"/>
    <w:rsid w:val="00021F0B"/>
    <w:rsid w:val="00023562"/>
    <w:rsid w:val="000255E2"/>
    <w:rsid w:val="00026897"/>
    <w:rsid w:val="00026D6E"/>
    <w:rsid w:val="00030013"/>
    <w:rsid w:val="00030F1C"/>
    <w:rsid w:val="00031A3B"/>
    <w:rsid w:val="0003231C"/>
    <w:rsid w:val="00035AE3"/>
    <w:rsid w:val="000365B0"/>
    <w:rsid w:val="0003698B"/>
    <w:rsid w:val="000376FA"/>
    <w:rsid w:val="000414FE"/>
    <w:rsid w:val="00041A9F"/>
    <w:rsid w:val="00041CD1"/>
    <w:rsid w:val="00041F2D"/>
    <w:rsid w:val="0004203D"/>
    <w:rsid w:val="00043048"/>
    <w:rsid w:val="00046114"/>
    <w:rsid w:val="00046116"/>
    <w:rsid w:val="0004613C"/>
    <w:rsid w:val="000468FC"/>
    <w:rsid w:val="000504D4"/>
    <w:rsid w:val="0005172C"/>
    <w:rsid w:val="000521B0"/>
    <w:rsid w:val="00052AD7"/>
    <w:rsid w:val="000549F1"/>
    <w:rsid w:val="00055CEE"/>
    <w:rsid w:val="00057CB0"/>
    <w:rsid w:val="000603CF"/>
    <w:rsid w:val="00060734"/>
    <w:rsid w:val="00062DC6"/>
    <w:rsid w:val="00063D8A"/>
    <w:rsid w:val="00065069"/>
    <w:rsid w:val="0006599E"/>
    <w:rsid w:val="00065A51"/>
    <w:rsid w:val="00065E02"/>
    <w:rsid w:val="00066C74"/>
    <w:rsid w:val="00067225"/>
    <w:rsid w:val="0006775C"/>
    <w:rsid w:val="00067927"/>
    <w:rsid w:val="000720AD"/>
    <w:rsid w:val="000723FE"/>
    <w:rsid w:val="0007261C"/>
    <w:rsid w:val="0007405A"/>
    <w:rsid w:val="00074092"/>
    <w:rsid w:val="00074331"/>
    <w:rsid w:val="00076426"/>
    <w:rsid w:val="0007656E"/>
    <w:rsid w:val="00076C97"/>
    <w:rsid w:val="0007716B"/>
    <w:rsid w:val="0007719B"/>
    <w:rsid w:val="00077453"/>
    <w:rsid w:val="00080510"/>
    <w:rsid w:val="00080A5D"/>
    <w:rsid w:val="00080DD8"/>
    <w:rsid w:val="00080F93"/>
    <w:rsid w:val="00080FF6"/>
    <w:rsid w:val="00082958"/>
    <w:rsid w:val="0008366B"/>
    <w:rsid w:val="0008465A"/>
    <w:rsid w:val="00085276"/>
    <w:rsid w:val="00085688"/>
    <w:rsid w:val="00086965"/>
    <w:rsid w:val="0008704B"/>
    <w:rsid w:val="00087377"/>
    <w:rsid w:val="00092097"/>
    <w:rsid w:val="00093B56"/>
    <w:rsid w:val="0009505A"/>
    <w:rsid w:val="000967D5"/>
    <w:rsid w:val="000974E7"/>
    <w:rsid w:val="000A20CE"/>
    <w:rsid w:val="000A26D0"/>
    <w:rsid w:val="000A2B49"/>
    <w:rsid w:val="000A3E17"/>
    <w:rsid w:val="000A514C"/>
    <w:rsid w:val="000A63A7"/>
    <w:rsid w:val="000B2EA5"/>
    <w:rsid w:val="000B6159"/>
    <w:rsid w:val="000B7EFC"/>
    <w:rsid w:val="000C09D5"/>
    <w:rsid w:val="000C1850"/>
    <w:rsid w:val="000C1CC4"/>
    <w:rsid w:val="000C2B74"/>
    <w:rsid w:val="000C2BC0"/>
    <w:rsid w:val="000C3FD3"/>
    <w:rsid w:val="000C7F97"/>
    <w:rsid w:val="000D154A"/>
    <w:rsid w:val="000D1B6A"/>
    <w:rsid w:val="000D1DD8"/>
    <w:rsid w:val="000D1EAF"/>
    <w:rsid w:val="000D252F"/>
    <w:rsid w:val="000D4834"/>
    <w:rsid w:val="000D4BFF"/>
    <w:rsid w:val="000D7781"/>
    <w:rsid w:val="000E06E9"/>
    <w:rsid w:val="000E0B69"/>
    <w:rsid w:val="000E1BF1"/>
    <w:rsid w:val="000E21BD"/>
    <w:rsid w:val="000E289F"/>
    <w:rsid w:val="000E2DE6"/>
    <w:rsid w:val="000E33FD"/>
    <w:rsid w:val="000E3BFA"/>
    <w:rsid w:val="000E3F9F"/>
    <w:rsid w:val="000E42F3"/>
    <w:rsid w:val="000E49FC"/>
    <w:rsid w:val="000E543F"/>
    <w:rsid w:val="000F1687"/>
    <w:rsid w:val="000F3092"/>
    <w:rsid w:val="000F45DD"/>
    <w:rsid w:val="000F45FB"/>
    <w:rsid w:val="00100A41"/>
    <w:rsid w:val="001056B7"/>
    <w:rsid w:val="00105876"/>
    <w:rsid w:val="00105BD7"/>
    <w:rsid w:val="00106F1A"/>
    <w:rsid w:val="00106FCF"/>
    <w:rsid w:val="001079C1"/>
    <w:rsid w:val="001102B8"/>
    <w:rsid w:val="0011033A"/>
    <w:rsid w:val="0011116A"/>
    <w:rsid w:val="00111440"/>
    <w:rsid w:val="001119A4"/>
    <w:rsid w:val="00112810"/>
    <w:rsid w:val="00113354"/>
    <w:rsid w:val="00114795"/>
    <w:rsid w:val="0011544D"/>
    <w:rsid w:val="00116703"/>
    <w:rsid w:val="001168BB"/>
    <w:rsid w:val="00116DF9"/>
    <w:rsid w:val="00121687"/>
    <w:rsid w:val="00121E06"/>
    <w:rsid w:val="001230D4"/>
    <w:rsid w:val="00123D07"/>
    <w:rsid w:val="0012462F"/>
    <w:rsid w:val="00124BB9"/>
    <w:rsid w:val="001252E5"/>
    <w:rsid w:val="001261F5"/>
    <w:rsid w:val="0012662C"/>
    <w:rsid w:val="00126657"/>
    <w:rsid w:val="00130FB8"/>
    <w:rsid w:val="001313AF"/>
    <w:rsid w:val="001315CF"/>
    <w:rsid w:val="00131634"/>
    <w:rsid w:val="00132537"/>
    <w:rsid w:val="00132872"/>
    <w:rsid w:val="00132E73"/>
    <w:rsid w:val="00134AC8"/>
    <w:rsid w:val="0013500F"/>
    <w:rsid w:val="00135EFC"/>
    <w:rsid w:val="00136B7E"/>
    <w:rsid w:val="00137488"/>
    <w:rsid w:val="00141A6F"/>
    <w:rsid w:val="0014445C"/>
    <w:rsid w:val="00144A79"/>
    <w:rsid w:val="00146322"/>
    <w:rsid w:val="00146748"/>
    <w:rsid w:val="00147C03"/>
    <w:rsid w:val="00147D86"/>
    <w:rsid w:val="001516C3"/>
    <w:rsid w:val="00151BE8"/>
    <w:rsid w:val="00152375"/>
    <w:rsid w:val="00153568"/>
    <w:rsid w:val="00154222"/>
    <w:rsid w:val="0015447B"/>
    <w:rsid w:val="00154A83"/>
    <w:rsid w:val="00155B6D"/>
    <w:rsid w:val="0015771A"/>
    <w:rsid w:val="0016143B"/>
    <w:rsid w:val="00161E65"/>
    <w:rsid w:val="0016417D"/>
    <w:rsid w:val="00164905"/>
    <w:rsid w:val="00164E48"/>
    <w:rsid w:val="00167A08"/>
    <w:rsid w:val="001704B9"/>
    <w:rsid w:val="001713DD"/>
    <w:rsid w:val="00171957"/>
    <w:rsid w:val="00171D8C"/>
    <w:rsid w:val="0017482C"/>
    <w:rsid w:val="00174C66"/>
    <w:rsid w:val="00174F8C"/>
    <w:rsid w:val="00176765"/>
    <w:rsid w:val="00180C2E"/>
    <w:rsid w:val="00181C58"/>
    <w:rsid w:val="00181C5F"/>
    <w:rsid w:val="00181F7F"/>
    <w:rsid w:val="001820EC"/>
    <w:rsid w:val="00183ADE"/>
    <w:rsid w:val="00184D8B"/>
    <w:rsid w:val="00184EB0"/>
    <w:rsid w:val="001850D1"/>
    <w:rsid w:val="0018565B"/>
    <w:rsid w:val="00185E0D"/>
    <w:rsid w:val="00186E57"/>
    <w:rsid w:val="00186FC3"/>
    <w:rsid w:val="00187DCE"/>
    <w:rsid w:val="001906D4"/>
    <w:rsid w:val="00190EB1"/>
    <w:rsid w:val="00193A6F"/>
    <w:rsid w:val="00194138"/>
    <w:rsid w:val="0019441F"/>
    <w:rsid w:val="001963B0"/>
    <w:rsid w:val="00196734"/>
    <w:rsid w:val="00196BCC"/>
    <w:rsid w:val="001A05AB"/>
    <w:rsid w:val="001A409A"/>
    <w:rsid w:val="001A52CE"/>
    <w:rsid w:val="001A5831"/>
    <w:rsid w:val="001A6264"/>
    <w:rsid w:val="001A6BE7"/>
    <w:rsid w:val="001A6FFB"/>
    <w:rsid w:val="001A72DA"/>
    <w:rsid w:val="001B1B4D"/>
    <w:rsid w:val="001B23B7"/>
    <w:rsid w:val="001B380C"/>
    <w:rsid w:val="001B40A7"/>
    <w:rsid w:val="001B5050"/>
    <w:rsid w:val="001B7B8F"/>
    <w:rsid w:val="001C0B1C"/>
    <w:rsid w:val="001C0DED"/>
    <w:rsid w:val="001C319F"/>
    <w:rsid w:val="001C33B7"/>
    <w:rsid w:val="001C578F"/>
    <w:rsid w:val="001C5A49"/>
    <w:rsid w:val="001C74D9"/>
    <w:rsid w:val="001C759B"/>
    <w:rsid w:val="001C7E57"/>
    <w:rsid w:val="001C7E93"/>
    <w:rsid w:val="001D040F"/>
    <w:rsid w:val="001D1139"/>
    <w:rsid w:val="001D13EE"/>
    <w:rsid w:val="001D2509"/>
    <w:rsid w:val="001D2BE6"/>
    <w:rsid w:val="001D4E59"/>
    <w:rsid w:val="001D652D"/>
    <w:rsid w:val="001D757C"/>
    <w:rsid w:val="001E05C4"/>
    <w:rsid w:val="001E0F42"/>
    <w:rsid w:val="001E2A74"/>
    <w:rsid w:val="001E3218"/>
    <w:rsid w:val="001E332C"/>
    <w:rsid w:val="001E351C"/>
    <w:rsid w:val="001E3D36"/>
    <w:rsid w:val="001E4C63"/>
    <w:rsid w:val="001E64D6"/>
    <w:rsid w:val="001E6E61"/>
    <w:rsid w:val="001E7317"/>
    <w:rsid w:val="001E7C6B"/>
    <w:rsid w:val="001F0164"/>
    <w:rsid w:val="001F0D85"/>
    <w:rsid w:val="001F1C36"/>
    <w:rsid w:val="001F1E1A"/>
    <w:rsid w:val="001F2177"/>
    <w:rsid w:val="001F2939"/>
    <w:rsid w:val="001F41DD"/>
    <w:rsid w:val="001F4593"/>
    <w:rsid w:val="001F5A0E"/>
    <w:rsid w:val="001F631B"/>
    <w:rsid w:val="001F67D2"/>
    <w:rsid w:val="001F7593"/>
    <w:rsid w:val="0020034C"/>
    <w:rsid w:val="0020039F"/>
    <w:rsid w:val="00200DE0"/>
    <w:rsid w:val="002025F7"/>
    <w:rsid w:val="00203D5B"/>
    <w:rsid w:val="0020482E"/>
    <w:rsid w:val="0020589F"/>
    <w:rsid w:val="00207953"/>
    <w:rsid w:val="00212400"/>
    <w:rsid w:val="002139F8"/>
    <w:rsid w:val="002158CD"/>
    <w:rsid w:val="00215DE1"/>
    <w:rsid w:val="00216F7C"/>
    <w:rsid w:val="00217EBA"/>
    <w:rsid w:val="00220EA2"/>
    <w:rsid w:val="00222205"/>
    <w:rsid w:val="00223ABA"/>
    <w:rsid w:val="00227193"/>
    <w:rsid w:val="00230AD1"/>
    <w:rsid w:val="00231D8A"/>
    <w:rsid w:val="002322D4"/>
    <w:rsid w:val="002326C3"/>
    <w:rsid w:val="00232772"/>
    <w:rsid w:val="00233603"/>
    <w:rsid w:val="00233A64"/>
    <w:rsid w:val="0023524E"/>
    <w:rsid w:val="00237304"/>
    <w:rsid w:val="002404C4"/>
    <w:rsid w:val="002410E6"/>
    <w:rsid w:val="0024310A"/>
    <w:rsid w:val="002443A6"/>
    <w:rsid w:val="00256A9A"/>
    <w:rsid w:val="00261C9D"/>
    <w:rsid w:val="0026254F"/>
    <w:rsid w:val="00262FA2"/>
    <w:rsid w:val="0026410F"/>
    <w:rsid w:val="0026459A"/>
    <w:rsid w:val="00264C75"/>
    <w:rsid w:val="00264CF5"/>
    <w:rsid w:val="00270053"/>
    <w:rsid w:val="002711BA"/>
    <w:rsid w:val="00272083"/>
    <w:rsid w:val="00272695"/>
    <w:rsid w:val="00273B42"/>
    <w:rsid w:val="002774F2"/>
    <w:rsid w:val="00280035"/>
    <w:rsid w:val="002809AA"/>
    <w:rsid w:val="002819BE"/>
    <w:rsid w:val="00281EBE"/>
    <w:rsid w:val="002825D1"/>
    <w:rsid w:val="00283397"/>
    <w:rsid w:val="00285D0D"/>
    <w:rsid w:val="00286896"/>
    <w:rsid w:val="00286F47"/>
    <w:rsid w:val="00290176"/>
    <w:rsid w:val="002908AE"/>
    <w:rsid w:val="00291073"/>
    <w:rsid w:val="0029133D"/>
    <w:rsid w:val="002918F1"/>
    <w:rsid w:val="00291979"/>
    <w:rsid w:val="002926F7"/>
    <w:rsid w:val="0029384A"/>
    <w:rsid w:val="0029426C"/>
    <w:rsid w:val="002968A7"/>
    <w:rsid w:val="00296E8F"/>
    <w:rsid w:val="00297B61"/>
    <w:rsid w:val="002A082D"/>
    <w:rsid w:val="002A11EC"/>
    <w:rsid w:val="002A140E"/>
    <w:rsid w:val="002A1E46"/>
    <w:rsid w:val="002A2568"/>
    <w:rsid w:val="002A2ECE"/>
    <w:rsid w:val="002A3C77"/>
    <w:rsid w:val="002A5D26"/>
    <w:rsid w:val="002B0F7A"/>
    <w:rsid w:val="002B31D3"/>
    <w:rsid w:val="002B37B9"/>
    <w:rsid w:val="002B38DB"/>
    <w:rsid w:val="002B53BA"/>
    <w:rsid w:val="002B5410"/>
    <w:rsid w:val="002C16B3"/>
    <w:rsid w:val="002C2337"/>
    <w:rsid w:val="002C28FB"/>
    <w:rsid w:val="002C4C4B"/>
    <w:rsid w:val="002C4F3C"/>
    <w:rsid w:val="002C4F8E"/>
    <w:rsid w:val="002D045D"/>
    <w:rsid w:val="002D0514"/>
    <w:rsid w:val="002D23A2"/>
    <w:rsid w:val="002D280F"/>
    <w:rsid w:val="002D520E"/>
    <w:rsid w:val="002D57EA"/>
    <w:rsid w:val="002D61AB"/>
    <w:rsid w:val="002D6266"/>
    <w:rsid w:val="002D6D1C"/>
    <w:rsid w:val="002D6D48"/>
    <w:rsid w:val="002E02C9"/>
    <w:rsid w:val="002E10CC"/>
    <w:rsid w:val="002E1B15"/>
    <w:rsid w:val="002E29A4"/>
    <w:rsid w:val="002E31D9"/>
    <w:rsid w:val="002E5693"/>
    <w:rsid w:val="002E6682"/>
    <w:rsid w:val="002E6FE2"/>
    <w:rsid w:val="002F1ADE"/>
    <w:rsid w:val="002F1B6A"/>
    <w:rsid w:val="002F1BAA"/>
    <w:rsid w:val="002F1FFA"/>
    <w:rsid w:val="002F2637"/>
    <w:rsid w:val="002F40E9"/>
    <w:rsid w:val="002F6014"/>
    <w:rsid w:val="00300D33"/>
    <w:rsid w:val="00301EA3"/>
    <w:rsid w:val="00302868"/>
    <w:rsid w:val="00303112"/>
    <w:rsid w:val="00303683"/>
    <w:rsid w:val="0030385A"/>
    <w:rsid w:val="003039A4"/>
    <w:rsid w:val="003039C4"/>
    <w:rsid w:val="00303EC7"/>
    <w:rsid w:val="00305B58"/>
    <w:rsid w:val="00305C49"/>
    <w:rsid w:val="003067A2"/>
    <w:rsid w:val="00307AED"/>
    <w:rsid w:val="00307E6F"/>
    <w:rsid w:val="00311B1B"/>
    <w:rsid w:val="00312B5A"/>
    <w:rsid w:val="00313352"/>
    <w:rsid w:val="003134B0"/>
    <w:rsid w:val="0031439B"/>
    <w:rsid w:val="003176A4"/>
    <w:rsid w:val="0032092C"/>
    <w:rsid w:val="003220D5"/>
    <w:rsid w:val="0032281C"/>
    <w:rsid w:val="00322DCE"/>
    <w:rsid w:val="00323C3C"/>
    <w:rsid w:val="00324A2E"/>
    <w:rsid w:val="00325766"/>
    <w:rsid w:val="00326180"/>
    <w:rsid w:val="0032626A"/>
    <w:rsid w:val="0032696D"/>
    <w:rsid w:val="00326C38"/>
    <w:rsid w:val="00326DA4"/>
    <w:rsid w:val="00332069"/>
    <w:rsid w:val="003329B0"/>
    <w:rsid w:val="003358F0"/>
    <w:rsid w:val="00336755"/>
    <w:rsid w:val="00340CA7"/>
    <w:rsid w:val="0034134D"/>
    <w:rsid w:val="00342993"/>
    <w:rsid w:val="00343218"/>
    <w:rsid w:val="0034339E"/>
    <w:rsid w:val="00343AE9"/>
    <w:rsid w:val="00345C12"/>
    <w:rsid w:val="00346064"/>
    <w:rsid w:val="00347DE9"/>
    <w:rsid w:val="003503BF"/>
    <w:rsid w:val="003527AD"/>
    <w:rsid w:val="00352F1C"/>
    <w:rsid w:val="00353E0C"/>
    <w:rsid w:val="00354DE4"/>
    <w:rsid w:val="00355350"/>
    <w:rsid w:val="003553EB"/>
    <w:rsid w:val="00355854"/>
    <w:rsid w:val="00357DCE"/>
    <w:rsid w:val="003612DC"/>
    <w:rsid w:val="00361CD0"/>
    <w:rsid w:val="0036446D"/>
    <w:rsid w:val="00365699"/>
    <w:rsid w:val="003707B6"/>
    <w:rsid w:val="00371C57"/>
    <w:rsid w:val="00371E70"/>
    <w:rsid w:val="00374249"/>
    <w:rsid w:val="00374701"/>
    <w:rsid w:val="00374A9B"/>
    <w:rsid w:val="00374ED8"/>
    <w:rsid w:val="00375C06"/>
    <w:rsid w:val="00376179"/>
    <w:rsid w:val="003763D4"/>
    <w:rsid w:val="00377507"/>
    <w:rsid w:val="00377E93"/>
    <w:rsid w:val="003804A4"/>
    <w:rsid w:val="00380C33"/>
    <w:rsid w:val="00382225"/>
    <w:rsid w:val="003822CC"/>
    <w:rsid w:val="00383D7E"/>
    <w:rsid w:val="00383EDB"/>
    <w:rsid w:val="00385B6A"/>
    <w:rsid w:val="00391C19"/>
    <w:rsid w:val="00392133"/>
    <w:rsid w:val="00394669"/>
    <w:rsid w:val="00394986"/>
    <w:rsid w:val="00394D5B"/>
    <w:rsid w:val="00395613"/>
    <w:rsid w:val="00396CDF"/>
    <w:rsid w:val="003A1025"/>
    <w:rsid w:val="003A24D6"/>
    <w:rsid w:val="003A42B2"/>
    <w:rsid w:val="003A4E9D"/>
    <w:rsid w:val="003A50AA"/>
    <w:rsid w:val="003A63F8"/>
    <w:rsid w:val="003A6CBC"/>
    <w:rsid w:val="003A7527"/>
    <w:rsid w:val="003B0429"/>
    <w:rsid w:val="003B1BCC"/>
    <w:rsid w:val="003B3589"/>
    <w:rsid w:val="003B6458"/>
    <w:rsid w:val="003C0625"/>
    <w:rsid w:val="003C0FF9"/>
    <w:rsid w:val="003C3CAC"/>
    <w:rsid w:val="003C42B3"/>
    <w:rsid w:val="003C4965"/>
    <w:rsid w:val="003C5F0A"/>
    <w:rsid w:val="003D2410"/>
    <w:rsid w:val="003D3021"/>
    <w:rsid w:val="003D3818"/>
    <w:rsid w:val="003D3E63"/>
    <w:rsid w:val="003D727A"/>
    <w:rsid w:val="003D7632"/>
    <w:rsid w:val="003D7AFB"/>
    <w:rsid w:val="003D7FE2"/>
    <w:rsid w:val="003E2708"/>
    <w:rsid w:val="003E4B7A"/>
    <w:rsid w:val="003E5227"/>
    <w:rsid w:val="003E7897"/>
    <w:rsid w:val="003F2460"/>
    <w:rsid w:val="003F26A5"/>
    <w:rsid w:val="003F2922"/>
    <w:rsid w:val="003F2FCB"/>
    <w:rsid w:val="003F3C3C"/>
    <w:rsid w:val="003F4D75"/>
    <w:rsid w:val="003F69BF"/>
    <w:rsid w:val="003F74FC"/>
    <w:rsid w:val="003F762B"/>
    <w:rsid w:val="00400355"/>
    <w:rsid w:val="00402A89"/>
    <w:rsid w:val="004059E5"/>
    <w:rsid w:val="00405C08"/>
    <w:rsid w:val="004066EC"/>
    <w:rsid w:val="00414BA0"/>
    <w:rsid w:val="00414C75"/>
    <w:rsid w:val="004150E7"/>
    <w:rsid w:val="00416A03"/>
    <w:rsid w:val="00423E33"/>
    <w:rsid w:val="004249FE"/>
    <w:rsid w:val="00424C5D"/>
    <w:rsid w:val="00426A38"/>
    <w:rsid w:val="00427EDF"/>
    <w:rsid w:val="004318B1"/>
    <w:rsid w:val="0043332E"/>
    <w:rsid w:val="00433517"/>
    <w:rsid w:val="00433882"/>
    <w:rsid w:val="004352A1"/>
    <w:rsid w:val="004353DF"/>
    <w:rsid w:val="00436128"/>
    <w:rsid w:val="0043647E"/>
    <w:rsid w:val="004373BD"/>
    <w:rsid w:val="004417B9"/>
    <w:rsid w:val="00442C7D"/>
    <w:rsid w:val="00444E92"/>
    <w:rsid w:val="004450B5"/>
    <w:rsid w:val="00447B01"/>
    <w:rsid w:val="00450843"/>
    <w:rsid w:val="00455667"/>
    <w:rsid w:val="0045733F"/>
    <w:rsid w:val="00460AB2"/>
    <w:rsid w:val="00461C6F"/>
    <w:rsid w:val="0046212A"/>
    <w:rsid w:val="00462736"/>
    <w:rsid w:val="0046278B"/>
    <w:rsid w:val="004642E1"/>
    <w:rsid w:val="00465309"/>
    <w:rsid w:val="004666CA"/>
    <w:rsid w:val="00466811"/>
    <w:rsid w:val="00467C67"/>
    <w:rsid w:val="004702B8"/>
    <w:rsid w:val="00471458"/>
    <w:rsid w:val="004728A3"/>
    <w:rsid w:val="00477B89"/>
    <w:rsid w:val="00477FCF"/>
    <w:rsid w:val="0048099D"/>
    <w:rsid w:val="004828B3"/>
    <w:rsid w:val="00482D4C"/>
    <w:rsid w:val="00482E41"/>
    <w:rsid w:val="00483407"/>
    <w:rsid w:val="00483906"/>
    <w:rsid w:val="00483DCA"/>
    <w:rsid w:val="0048437B"/>
    <w:rsid w:val="00484E7B"/>
    <w:rsid w:val="0048570A"/>
    <w:rsid w:val="00487B8E"/>
    <w:rsid w:val="004906B4"/>
    <w:rsid w:val="004918F7"/>
    <w:rsid w:val="00492F26"/>
    <w:rsid w:val="004954DC"/>
    <w:rsid w:val="00495ED8"/>
    <w:rsid w:val="0049765B"/>
    <w:rsid w:val="004A0A65"/>
    <w:rsid w:val="004A1B1E"/>
    <w:rsid w:val="004A2C61"/>
    <w:rsid w:val="004A321F"/>
    <w:rsid w:val="004A35B9"/>
    <w:rsid w:val="004A4DCF"/>
    <w:rsid w:val="004A5E42"/>
    <w:rsid w:val="004A684E"/>
    <w:rsid w:val="004A6862"/>
    <w:rsid w:val="004B088D"/>
    <w:rsid w:val="004B1178"/>
    <w:rsid w:val="004B3A7C"/>
    <w:rsid w:val="004B4C88"/>
    <w:rsid w:val="004B537F"/>
    <w:rsid w:val="004B5678"/>
    <w:rsid w:val="004B7E33"/>
    <w:rsid w:val="004B7FAF"/>
    <w:rsid w:val="004C0FC7"/>
    <w:rsid w:val="004C3B1A"/>
    <w:rsid w:val="004C3FCC"/>
    <w:rsid w:val="004C4C97"/>
    <w:rsid w:val="004C4E7A"/>
    <w:rsid w:val="004C50F3"/>
    <w:rsid w:val="004C52C2"/>
    <w:rsid w:val="004C6D5F"/>
    <w:rsid w:val="004C6DD8"/>
    <w:rsid w:val="004C6E82"/>
    <w:rsid w:val="004C7236"/>
    <w:rsid w:val="004C7D00"/>
    <w:rsid w:val="004C7FFC"/>
    <w:rsid w:val="004D0250"/>
    <w:rsid w:val="004D095D"/>
    <w:rsid w:val="004D3117"/>
    <w:rsid w:val="004D42DA"/>
    <w:rsid w:val="004D54C5"/>
    <w:rsid w:val="004D62E4"/>
    <w:rsid w:val="004D654B"/>
    <w:rsid w:val="004E092E"/>
    <w:rsid w:val="004E125D"/>
    <w:rsid w:val="004E2C53"/>
    <w:rsid w:val="004E2DDE"/>
    <w:rsid w:val="004E3466"/>
    <w:rsid w:val="004E41D0"/>
    <w:rsid w:val="004E58A6"/>
    <w:rsid w:val="004E6447"/>
    <w:rsid w:val="004E750D"/>
    <w:rsid w:val="004F0A92"/>
    <w:rsid w:val="004F47E4"/>
    <w:rsid w:val="004F4CCC"/>
    <w:rsid w:val="004F6CDE"/>
    <w:rsid w:val="004F7789"/>
    <w:rsid w:val="004F7EC4"/>
    <w:rsid w:val="005003CF"/>
    <w:rsid w:val="00500F3A"/>
    <w:rsid w:val="0050142B"/>
    <w:rsid w:val="00503D9E"/>
    <w:rsid w:val="00505EB8"/>
    <w:rsid w:val="00505F8B"/>
    <w:rsid w:val="005064C9"/>
    <w:rsid w:val="00507114"/>
    <w:rsid w:val="00512A0E"/>
    <w:rsid w:val="00512D29"/>
    <w:rsid w:val="005140BD"/>
    <w:rsid w:val="00516218"/>
    <w:rsid w:val="00516801"/>
    <w:rsid w:val="005174FA"/>
    <w:rsid w:val="0052016D"/>
    <w:rsid w:val="00522477"/>
    <w:rsid w:val="00522621"/>
    <w:rsid w:val="00522915"/>
    <w:rsid w:val="00523FAE"/>
    <w:rsid w:val="00524A72"/>
    <w:rsid w:val="00530DE0"/>
    <w:rsid w:val="00533BA0"/>
    <w:rsid w:val="005341EC"/>
    <w:rsid w:val="00535259"/>
    <w:rsid w:val="0053594F"/>
    <w:rsid w:val="00536680"/>
    <w:rsid w:val="00536A1D"/>
    <w:rsid w:val="005372F2"/>
    <w:rsid w:val="0054115B"/>
    <w:rsid w:val="005422C0"/>
    <w:rsid w:val="005429C1"/>
    <w:rsid w:val="005433D7"/>
    <w:rsid w:val="00544094"/>
    <w:rsid w:val="00544C3D"/>
    <w:rsid w:val="00544CAC"/>
    <w:rsid w:val="00545FCE"/>
    <w:rsid w:val="0054770E"/>
    <w:rsid w:val="00551054"/>
    <w:rsid w:val="005519AB"/>
    <w:rsid w:val="00551AAA"/>
    <w:rsid w:val="00552458"/>
    <w:rsid w:val="00552FDE"/>
    <w:rsid w:val="00554CF6"/>
    <w:rsid w:val="00555630"/>
    <w:rsid w:val="005565C2"/>
    <w:rsid w:val="00556711"/>
    <w:rsid w:val="00557AF9"/>
    <w:rsid w:val="00562662"/>
    <w:rsid w:val="00562869"/>
    <w:rsid w:val="00562955"/>
    <w:rsid w:val="00563641"/>
    <w:rsid w:val="0056434B"/>
    <w:rsid w:val="0056456C"/>
    <w:rsid w:val="00565105"/>
    <w:rsid w:val="0057039E"/>
    <w:rsid w:val="005710FF"/>
    <w:rsid w:val="005711D6"/>
    <w:rsid w:val="00571CCA"/>
    <w:rsid w:val="00572E3D"/>
    <w:rsid w:val="00574FBE"/>
    <w:rsid w:val="00576572"/>
    <w:rsid w:val="005776BC"/>
    <w:rsid w:val="00577EAF"/>
    <w:rsid w:val="0058107B"/>
    <w:rsid w:val="005825C8"/>
    <w:rsid w:val="00582A8C"/>
    <w:rsid w:val="0058473B"/>
    <w:rsid w:val="00591914"/>
    <w:rsid w:val="00592AF4"/>
    <w:rsid w:val="005930C3"/>
    <w:rsid w:val="00594AFC"/>
    <w:rsid w:val="00595A51"/>
    <w:rsid w:val="00595A99"/>
    <w:rsid w:val="0059682E"/>
    <w:rsid w:val="00597350"/>
    <w:rsid w:val="005979A4"/>
    <w:rsid w:val="005A19D8"/>
    <w:rsid w:val="005A1FF0"/>
    <w:rsid w:val="005A2668"/>
    <w:rsid w:val="005A5063"/>
    <w:rsid w:val="005A5CB0"/>
    <w:rsid w:val="005A5FA8"/>
    <w:rsid w:val="005A62C6"/>
    <w:rsid w:val="005A67EA"/>
    <w:rsid w:val="005A715C"/>
    <w:rsid w:val="005B01B5"/>
    <w:rsid w:val="005B0E59"/>
    <w:rsid w:val="005B14AD"/>
    <w:rsid w:val="005B67AA"/>
    <w:rsid w:val="005B7EE5"/>
    <w:rsid w:val="005C0215"/>
    <w:rsid w:val="005C29E7"/>
    <w:rsid w:val="005C487B"/>
    <w:rsid w:val="005C58E0"/>
    <w:rsid w:val="005C672D"/>
    <w:rsid w:val="005D04C6"/>
    <w:rsid w:val="005D0504"/>
    <w:rsid w:val="005D0915"/>
    <w:rsid w:val="005E02B0"/>
    <w:rsid w:val="005E173E"/>
    <w:rsid w:val="005E22EA"/>
    <w:rsid w:val="005E2C89"/>
    <w:rsid w:val="005E5B6C"/>
    <w:rsid w:val="005E6D8B"/>
    <w:rsid w:val="005F22C3"/>
    <w:rsid w:val="005F6557"/>
    <w:rsid w:val="005F6601"/>
    <w:rsid w:val="005F6EDF"/>
    <w:rsid w:val="00600B6F"/>
    <w:rsid w:val="0060256B"/>
    <w:rsid w:val="0060357B"/>
    <w:rsid w:val="00603C00"/>
    <w:rsid w:val="00606C41"/>
    <w:rsid w:val="00611130"/>
    <w:rsid w:val="00611462"/>
    <w:rsid w:val="00612D61"/>
    <w:rsid w:val="006157A4"/>
    <w:rsid w:val="00615C4F"/>
    <w:rsid w:val="00615D79"/>
    <w:rsid w:val="00620661"/>
    <w:rsid w:val="0062494E"/>
    <w:rsid w:val="00625365"/>
    <w:rsid w:val="0062689A"/>
    <w:rsid w:val="00626F93"/>
    <w:rsid w:val="00627775"/>
    <w:rsid w:val="0063009D"/>
    <w:rsid w:val="00632193"/>
    <w:rsid w:val="006325D2"/>
    <w:rsid w:val="0063396E"/>
    <w:rsid w:val="00633DEF"/>
    <w:rsid w:val="0063434F"/>
    <w:rsid w:val="00634822"/>
    <w:rsid w:val="00635D67"/>
    <w:rsid w:val="0063715A"/>
    <w:rsid w:val="00641006"/>
    <w:rsid w:val="00641182"/>
    <w:rsid w:val="006434D7"/>
    <w:rsid w:val="00643E50"/>
    <w:rsid w:val="006443FE"/>
    <w:rsid w:val="006449AB"/>
    <w:rsid w:val="006457E0"/>
    <w:rsid w:val="00646277"/>
    <w:rsid w:val="00646E6A"/>
    <w:rsid w:val="006475CB"/>
    <w:rsid w:val="00651E76"/>
    <w:rsid w:val="00653155"/>
    <w:rsid w:val="0065489F"/>
    <w:rsid w:val="006571DE"/>
    <w:rsid w:val="00657ADA"/>
    <w:rsid w:val="00660052"/>
    <w:rsid w:val="00660FE8"/>
    <w:rsid w:val="00660FFB"/>
    <w:rsid w:val="006625A6"/>
    <w:rsid w:val="00662BC9"/>
    <w:rsid w:val="00662F53"/>
    <w:rsid w:val="006677F3"/>
    <w:rsid w:val="006710A0"/>
    <w:rsid w:val="00671B13"/>
    <w:rsid w:val="006722A7"/>
    <w:rsid w:val="0067288D"/>
    <w:rsid w:val="00672AED"/>
    <w:rsid w:val="00673C6F"/>
    <w:rsid w:val="006741EA"/>
    <w:rsid w:val="006754C7"/>
    <w:rsid w:val="00677A81"/>
    <w:rsid w:val="00677F23"/>
    <w:rsid w:val="00680BF6"/>
    <w:rsid w:val="00684B1C"/>
    <w:rsid w:val="00686266"/>
    <w:rsid w:val="006862E2"/>
    <w:rsid w:val="006864EC"/>
    <w:rsid w:val="00686F5E"/>
    <w:rsid w:val="00686F69"/>
    <w:rsid w:val="00690C46"/>
    <w:rsid w:val="006937D2"/>
    <w:rsid w:val="00693AED"/>
    <w:rsid w:val="00693B7B"/>
    <w:rsid w:val="006956FB"/>
    <w:rsid w:val="00695A6D"/>
    <w:rsid w:val="006966EE"/>
    <w:rsid w:val="00696701"/>
    <w:rsid w:val="006A06CD"/>
    <w:rsid w:val="006A0CE4"/>
    <w:rsid w:val="006A1381"/>
    <w:rsid w:val="006A13FB"/>
    <w:rsid w:val="006A1E83"/>
    <w:rsid w:val="006A3B3D"/>
    <w:rsid w:val="006A3DB5"/>
    <w:rsid w:val="006A4636"/>
    <w:rsid w:val="006A470C"/>
    <w:rsid w:val="006A49EB"/>
    <w:rsid w:val="006A522E"/>
    <w:rsid w:val="006A6207"/>
    <w:rsid w:val="006A6E58"/>
    <w:rsid w:val="006B0054"/>
    <w:rsid w:val="006B2825"/>
    <w:rsid w:val="006B5650"/>
    <w:rsid w:val="006B57E1"/>
    <w:rsid w:val="006B5F0B"/>
    <w:rsid w:val="006B6C88"/>
    <w:rsid w:val="006B7092"/>
    <w:rsid w:val="006C16F6"/>
    <w:rsid w:val="006C235C"/>
    <w:rsid w:val="006C2738"/>
    <w:rsid w:val="006C5AFA"/>
    <w:rsid w:val="006C6AE1"/>
    <w:rsid w:val="006C6C18"/>
    <w:rsid w:val="006C7948"/>
    <w:rsid w:val="006D1B03"/>
    <w:rsid w:val="006D265D"/>
    <w:rsid w:val="006D2A15"/>
    <w:rsid w:val="006D2AEC"/>
    <w:rsid w:val="006D2C1D"/>
    <w:rsid w:val="006D3EB1"/>
    <w:rsid w:val="006D4316"/>
    <w:rsid w:val="006D5438"/>
    <w:rsid w:val="006D68EC"/>
    <w:rsid w:val="006D6F5A"/>
    <w:rsid w:val="006E25E3"/>
    <w:rsid w:val="006E3AFD"/>
    <w:rsid w:val="006E666D"/>
    <w:rsid w:val="006E6ACB"/>
    <w:rsid w:val="006F0186"/>
    <w:rsid w:val="006F0FF3"/>
    <w:rsid w:val="006F1757"/>
    <w:rsid w:val="006F2267"/>
    <w:rsid w:val="006F42BB"/>
    <w:rsid w:val="006F5107"/>
    <w:rsid w:val="006F5438"/>
    <w:rsid w:val="006F55A0"/>
    <w:rsid w:val="006F5D92"/>
    <w:rsid w:val="006F7238"/>
    <w:rsid w:val="006F791E"/>
    <w:rsid w:val="006F7D8D"/>
    <w:rsid w:val="00700B59"/>
    <w:rsid w:val="00701526"/>
    <w:rsid w:val="00703C97"/>
    <w:rsid w:val="00703DCA"/>
    <w:rsid w:val="0070416D"/>
    <w:rsid w:val="007043D1"/>
    <w:rsid w:val="007049BB"/>
    <w:rsid w:val="00705B63"/>
    <w:rsid w:val="0070628A"/>
    <w:rsid w:val="00707A19"/>
    <w:rsid w:val="00707B34"/>
    <w:rsid w:val="00711CDD"/>
    <w:rsid w:val="00712963"/>
    <w:rsid w:val="00713C95"/>
    <w:rsid w:val="007148D8"/>
    <w:rsid w:val="007177FD"/>
    <w:rsid w:val="00720E15"/>
    <w:rsid w:val="00723E53"/>
    <w:rsid w:val="00724D04"/>
    <w:rsid w:val="00726B30"/>
    <w:rsid w:val="0073022A"/>
    <w:rsid w:val="007303A4"/>
    <w:rsid w:val="00730501"/>
    <w:rsid w:val="00731882"/>
    <w:rsid w:val="007322D2"/>
    <w:rsid w:val="00733440"/>
    <w:rsid w:val="007335FE"/>
    <w:rsid w:val="00734D95"/>
    <w:rsid w:val="00735351"/>
    <w:rsid w:val="0073572B"/>
    <w:rsid w:val="00735EB9"/>
    <w:rsid w:val="00737211"/>
    <w:rsid w:val="007374D3"/>
    <w:rsid w:val="00742498"/>
    <w:rsid w:val="007435A9"/>
    <w:rsid w:val="007453BF"/>
    <w:rsid w:val="007463D4"/>
    <w:rsid w:val="00746F79"/>
    <w:rsid w:val="00750ABD"/>
    <w:rsid w:val="00754FA3"/>
    <w:rsid w:val="00756212"/>
    <w:rsid w:val="00756CCF"/>
    <w:rsid w:val="00757BBA"/>
    <w:rsid w:val="00761A29"/>
    <w:rsid w:val="007630D7"/>
    <w:rsid w:val="00766675"/>
    <w:rsid w:val="007709FB"/>
    <w:rsid w:val="00771C0A"/>
    <w:rsid w:val="0077208D"/>
    <w:rsid w:val="007769E1"/>
    <w:rsid w:val="00776F82"/>
    <w:rsid w:val="00780733"/>
    <w:rsid w:val="00781138"/>
    <w:rsid w:val="00781B3D"/>
    <w:rsid w:val="00782D30"/>
    <w:rsid w:val="00784756"/>
    <w:rsid w:val="00785F48"/>
    <w:rsid w:val="00787D99"/>
    <w:rsid w:val="0079195A"/>
    <w:rsid w:val="00793023"/>
    <w:rsid w:val="00794B55"/>
    <w:rsid w:val="00795693"/>
    <w:rsid w:val="00797B72"/>
    <w:rsid w:val="007A0A51"/>
    <w:rsid w:val="007A3DF9"/>
    <w:rsid w:val="007A680F"/>
    <w:rsid w:val="007B00B0"/>
    <w:rsid w:val="007B07BD"/>
    <w:rsid w:val="007B0F29"/>
    <w:rsid w:val="007B3B6E"/>
    <w:rsid w:val="007B4127"/>
    <w:rsid w:val="007B5DD7"/>
    <w:rsid w:val="007B635F"/>
    <w:rsid w:val="007B663D"/>
    <w:rsid w:val="007B70AE"/>
    <w:rsid w:val="007C1D6F"/>
    <w:rsid w:val="007C478F"/>
    <w:rsid w:val="007C47CC"/>
    <w:rsid w:val="007C684E"/>
    <w:rsid w:val="007C6B54"/>
    <w:rsid w:val="007C6F4B"/>
    <w:rsid w:val="007C7656"/>
    <w:rsid w:val="007C797B"/>
    <w:rsid w:val="007D039D"/>
    <w:rsid w:val="007D0A44"/>
    <w:rsid w:val="007D1CA7"/>
    <w:rsid w:val="007D251F"/>
    <w:rsid w:val="007D4449"/>
    <w:rsid w:val="007D4828"/>
    <w:rsid w:val="007D6013"/>
    <w:rsid w:val="007D6E86"/>
    <w:rsid w:val="007D734F"/>
    <w:rsid w:val="007D788C"/>
    <w:rsid w:val="007E0370"/>
    <w:rsid w:val="007E0D3F"/>
    <w:rsid w:val="007E1100"/>
    <w:rsid w:val="007E267F"/>
    <w:rsid w:val="007E3392"/>
    <w:rsid w:val="007E3577"/>
    <w:rsid w:val="007E3DB1"/>
    <w:rsid w:val="007E4827"/>
    <w:rsid w:val="007E543D"/>
    <w:rsid w:val="007E5B86"/>
    <w:rsid w:val="007E6C99"/>
    <w:rsid w:val="007E7C0A"/>
    <w:rsid w:val="007F13D0"/>
    <w:rsid w:val="007F1FC4"/>
    <w:rsid w:val="007F2A50"/>
    <w:rsid w:val="007F33BC"/>
    <w:rsid w:val="007F5296"/>
    <w:rsid w:val="007F5E1F"/>
    <w:rsid w:val="007F6053"/>
    <w:rsid w:val="007F6C23"/>
    <w:rsid w:val="007F6EA8"/>
    <w:rsid w:val="0080052B"/>
    <w:rsid w:val="00801207"/>
    <w:rsid w:val="00801B75"/>
    <w:rsid w:val="008040E8"/>
    <w:rsid w:val="00804466"/>
    <w:rsid w:val="008055E0"/>
    <w:rsid w:val="00815081"/>
    <w:rsid w:val="00815BC1"/>
    <w:rsid w:val="00815F47"/>
    <w:rsid w:val="00821640"/>
    <w:rsid w:val="008218A7"/>
    <w:rsid w:val="0082360D"/>
    <w:rsid w:val="00823F83"/>
    <w:rsid w:val="00825CBF"/>
    <w:rsid w:val="00826A83"/>
    <w:rsid w:val="00827679"/>
    <w:rsid w:val="008276D1"/>
    <w:rsid w:val="0083012F"/>
    <w:rsid w:val="00830AA5"/>
    <w:rsid w:val="0083137B"/>
    <w:rsid w:val="00831D66"/>
    <w:rsid w:val="00832093"/>
    <w:rsid w:val="00832233"/>
    <w:rsid w:val="00833673"/>
    <w:rsid w:val="00833C6B"/>
    <w:rsid w:val="00834D0F"/>
    <w:rsid w:val="008363CF"/>
    <w:rsid w:val="008418E0"/>
    <w:rsid w:val="00846EB9"/>
    <w:rsid w:val="00847395"/>
    <w:rsid w:val="00847C74"/>
    <w:rsid w:val="00850B00"/>
    <w:rsid w:val="0085279C"/>
    <w:rsid w:val="00852BC6"/>
    <w:rsid w:val="008530A3"/>
    <w:rsid w:val="008535DC"/>
    <w:rsid w:val="008539C7"/>
    <w:rsid w:val="00860650"/>
    <w:rsid w:val="008613FE"/>
    <w:rsid w:val="00862001"/>
    <w:rsid w:val="00863426"/>
    <w:rsid w:val="008636A2"/>
    <w:rsid w:val="00863D93"/>
    <w:rsid w:val="00864920"/>
    <w:rsid w:val="00871B2B"/>
    <w:rsid w:val="00871F09"/>
    <w:rsid w:val="00876F19"/>
    <w:rsid w:val="008776D5"/>
    <w:rsid w:val="00877C12"/>
    <w:rsid w:val="008804DB"/>
    <w:rsid w:val="00880A28"/>
    <w:rsid w:val="0088126B"/>
    <w:rsid w:val="00882AE8"/>
    <w:rsid w:val="00884857"/>
    <w:rsid w:val="00885B44"/>
    <w:rsid w:val="00886592"/>
    <w:rsid w:val="00887BA1"/>
    <w:rsid w:val="00890DEA"/>
    <w:rsid w:val="008913A4"/>
    <w:rsid w:val="00892DD3"/>
    <w:rsid w:val="00897A23"/>
    <w:rsid w:val="008A0BC9"/>
    <w:rsid w:val="008A1D41"/>
    <w:rsid w:val="008A31D7"/>
    <w:rsid w:val="008A34E9"/>
    <w:rsid w:val="008A4F33"/>
    <w:rsid w:val="008A6408"/>
    <w:rsid w:val="008A6561"/>
    <w:rsid w:val="008A6B29"/>
    <w:rsid w:val="008A6E60"/>
    <w:rsid w:val="008A72CC"/>
    <w:rsid w:val="008A7C3A"/>
    <w:rsid w:val="008B2111"/>
    <w:rsid w:val="008B4A05"/>
    <w:rsid w:val="008B4FE0"/>
    <w:rsid w:val="008B5200"/>
    <w:rsid w:val="008B6EE8"/>
    <w:rsid w:val="008C1AD4"/>
    <w:rsid w:val="008C20EB"/>
    <w:rsid w:val="008C30B0"/>
    <w:rsid w:val="008C30E8"/>
    <w:rsid w:val="008C337F"/>
    <w:rsid w:val="008C386E"/>
    <w:rsid w:val="008C44ED"/>
    <w:rsid w:val="008C69B9"/>
    <w:rsid w:val="008C6AC6"/>
    <w:rsid w:val="008C7A4B"/>
    <w:rsid w:val="008D1678"/>
    <w:rsid w:val="008D1DB6"/>
    <w:rsid w:val="008D4CAF"/>
    <w:rsid w:val="008D4FD8"/>
    <w:rsid w:val="008D6511"/>
    <w:rsid w:val="008D66FA"/>
    <w:rsid w:val="008E0238"/>
    <w:rsid w:val="008E290F"/>
    <w:rsid w:val="008E46F3"/>
    <w:rsid w:val="008E4730"/>
    <w:rsid w:val="008E4F5F"/>
    <w:rsid w:val="008E64DB"/>
    <w:rsid w:val="008E67E7"/>
    <w:rsid w:val="008E6B5A"/>
    <w:rsid w:val="008E6DA0"/>
    <w:rsid w:val="008E770A"/>
    <w:rsid w:val="008F1AFC"/>
    <w:rsid w:val="008F3090"/>
    <w:rsid w:val="008F3548"/>
    <w:rsid w:val="008F3DD2"/>
    <w:rsid w:val="008F3E0E"/>
    <w:rsid w:val="008F49C5"/>
    <w:rsid w:val="008F7AC2"/>
    <w:rsid w:val="00901202"/>
    <w:rsid w:val="009018D4"/>
    <w:rsid w:val="00901BE8"/>
    <w:rsid w:val="00903F70"/>
    <w:rsid w:val="0090447D"/>
    <w:rsid w:val="00911504"/>
    <w:rsid w:val="00911977"/>
    <w:rsid w:val="00911F3D"/>
    <w:rsid w:val="009121A9"/>
    <w:rsid w:val="009136C6"/>
    <w:rsid w:val="00915CBF"/>
    <w:rsid w:val="009167AC"/>
    <w:rsid w:val="00916A5D"/>
    <w:rsid w:val="00916FBE"/>
    <w:rsid w:val="0091707F"/>
    <w:rsid w:val="009170BC"/>
    <w:rsid w:val="0091785B"/>
    <w:rsid w:val="009178FE"/>
    <w:rsid w:val="00917F61"/>
    <w:rsid w:val="00920C49"/>
    <w:rsid w:val="00920E59"/>
    <w:rsid w:val="00924438"/>
    <w:rsid w:val="00924D5F"/>
    <w:rsid w:val="00925293"/>
    <w:rsid w:val="00925F5F"/>
    <w:rsid w:val="00930192"/>
    <w:rsid w:val="009302A3"/>
    <w:rsid w:val="00931B6C"/>
    <w:rsid w:val="00933A35"/>
    <w:rsid w:val="00933F84"/>
    <w:rsid w:val="00934CA9"/>
    <w:rsid w:val="00935905"/>
    <w:rsid w:val="00936966"/>
    <w:rsid w:val="00941A3B"/>
    <w:rsid w:val="00943C94"/>
    <w:rsid w:val="00947B54"/>
    <w:rsid w:val="00947BFD"/>
    <w:rsid w:val="00950CE6"/>
    <w:rsid w:val="00951AEE"/>
    <w:rsid w:val="00951BFE"/>
    <w:rsid w:val="009556F5"/>
    <w:rsid w:val="009568A6"/>
    <w:rsid w:val="00961880"/>
    <w:rsid w:val="009631FC"/>
    <w:rsid w:val="00963E5E"/>
    <w:rsid w:val="00965084"/>
    <w:rsid w:val="00965AD7"/>
    <w:rsid w:val="0096683D"/>
    <w:rsid w:val="009674F3"/>
    <w:rsid w:val="00967631"/>
    <w:rsid w:val="00971CA4"/>
    <w:rsid w:val="0097303C"/>
    <w:rsid w:val="00973507"/>
    <w:rsid w:val="00975EEA"/>
    <w:rsid w:val="0097657E"/>
    <w:rsid w:val="0097666B"/>
    <w:rsid w:val="0097786C"/>
    <w:rsid w:val="00977A09"/>
    <w:rsid w:val="009808FF"/>
    <w:rsid w:val="00980C54"/>
    <w:rsid w:val="00981030"/>
    <w:rsid w:val="00982BEB"/>
    <w:rsid w:val="009852CA"/>
    <w:rsid w:val="009868C5"/>
    <w:rsid w:val="0098786A"/>
    <w:rsid w:val="00987AC8"/>
    <w:rsid w:val="00990068"/>
    <w:rsid w:val="0099074F"/>
    <w:rsid w:val="009921A6"/>
    <w:rsid w:val="00993ABF"/>
    <w:rsid w:val="00994117"/>
    <w:rsid w:val="0099613E"/>
    <w:rsid w:val="009A0EF9"/>
    <w:rsid w:val="009A10B3"/>
    <w:rsid w:val="009A1C0F"/>
    <w:rsid w:val="009A2135"/>
    <w:rsid w:val="009A3437"/>
    <w:rsid w:val="009A3D6F"/>
    <w:rsid w:val="009A6242"/>
    <w:rsid w:val="009A720D"/>
    <w:rsid w:val="009A76CC"/>
    <w:rsid w:val="009B132C"/>
    <w:rsid w:val="009B19D0"/>
    <w:rsid w:val="009B1E26"/>
    <w:rsid w:val="009B2D61"/>
    <w:rsid w:val="009B2FCB"/>
    <w:rsid w:val="009B3AFB"/>
    <w:rsid w:val="009B48D7"/>
    <w:rsid w:val="009B4CF5"/>
    <w:rsid w:val="009B5187"/>
    <w:rsid w:val="009B5BA7"/>
    <w:rsid w:val="009B785A"/>
    <w:rsid w:val="009C0B85"/>
    <w:rsid w:val="009C23EC"/>
    <w:rsid w:val="009C2D7D"/>
    <w:rsid w:val="009C3E77"/>
    <w:rsid w:val="009C4156"/>
    <w:rsid w:val="009C454E"/>
    <w:rsid w:val="009C48A1"/>
    <w:rsid w:val="009C5383"/>
    <w:rsid w:val="009C5701"/>
    <w:rsid w:val="009C72A2"/>
    <w:rsid w:val="009D077F"/>
    <w:rsid w:val="009D0AA6"/>
    <w:rsid w:val="009D0C1B"/>
    <w:rsid w:val="009D5D17"/>
    <w:rsid w:val="009D756D"/>
    <w:rsid w:val="009E068D"/>
    <w:rsid w:val="009E2B5E"/>
    <w:rsid w:val="009E32BB"/>
    <w:rsid w:val="009E4270"/>
    <w:rsid w:val="009E52FC"/>
    <w:rsid w:val="009E5873"/>
    <w:rsid w:val="009E5EB4"/>
    <w:rsid w:val="009E608B"/>
    <w:rsid w:val="009F01DB"/>
    <w:rsid w:val="009F2092"/>
    <w:rsid w:val="009F2E16"/>
    <w:rsid w:val="009F32E3"/>
    <w:rsid w:val="009F536B"/>
    <w:rsid w:val="009F54E2"/>
    <w:rsid w:val="009F6071"/>
    <w:rsid w:val="009F6602"/>
    <w:rsid w:val="009F7BE2"/>
    <w:rsid w:val="009F7EC2"/>
    <w:rsid w:val="00A00B01"/>
    <w:rsid w:val="00A01991"/>
    <w:rsid w:val="00A01A4E"/>
    <w:rsid w:val="00A025DF"/>
    <w:rsid w:val="00A032AC"/>
    <w:rsid w:val="00A032C5"/>
    <w:rsid w:val="00A05874"/>
    <w:rsid w:val="00A06C2F"/>
    <w:rsid w:val="00A06EF4"/>
    <w:rsid w:val="00A07797"/>
    <w:rsid w:val="00A07954"/>
    <w:rsid w:val="00A10477"/>
    <w:rsid w:val="00A104C5"/>
    <w:rsid w:val="00A1163C"/>
    <w:rsid w:val="00A134AE"/>
    <w:rsid w:val="00A1584F"/>
    <w:rsid w:val="00A175BC"/>
    <w:rsid w:val="00A20077"/>
    <w:rsid w:val="00A200BD"/>
    <w:rsid w:val="00A2215D"/>
    <w:rsid w:val="00A22F5F"/>
    <w:rsid w:val="00A230BB"/>
    <w:rsid w:val="00A242E2"/>
    <w:rsid w:val="00A24E0C"/>
    <w:rsid w:val="00A255A0"/>
    <w:rsid w:val="00A26B00"/>
    <w:rsid w:val="00A26CFC"/>
    <w:rsid w:val="00A270A3"/>
    <w:rsid w:val="00A27E56"/>
    <w:rsid w:val="00A27EA1"/>
    <w:rsid w:val="00A30E62"/>
    <w:rsid w:val="00A33E63"/>
    <w:rsid w:val="00A35625"/>
    <w:rsid w:val="00A36F19"/>
    <w:rsid w:val="00A379FC"/>
    <w:rsid w:val="00A4015F"/>
    <w:rsid w:val="00A40482"/>
    <w:rsid w:val="00A40798"/>
    <w:rsid w:val="00A4274F"/>
    <w:rsid w:val="00A4289B"/>
    <w:rsid w:val="00A42E3B"/>
    <w:rsid w:val="00A439DF"/>
    <w:rsid w:val="00A44501"/>
    <w:rsid w:val="00A44FA9"/>
    <w:rsid w:val="00A46D33"/>
    <w:rsid w:val="00A4761A"/>
    <w:rsid w:val="00A507CA"/>
    <w:rsid w:val="00A5247D"/>
    <w:rsid w:val="00A527C4"/>
    <w:rsid w:val="00A52E66"/>
    <w:rsid w:val="00A5347B"/>
    <w:rsid w:val="00A54C85"/>
    <w:rsid w:val="00A55A9E"/>
    <w:rsid w:val="00A5721A"/>
    <w:rsid w:val="00A607F8"/>
    <w:rsid w:val="00A62815"/>
    <w:rsid w:val="00A62913"/>
    <w:rsid w:val="00A6374A"/>
    <w:rsid w:val="00A64BDA"/>
    <w:rsid w:val="00A6505D"/>
    <w:rsid w:val="00A6619F"/>
    <w:rsid w:val="00A66254"/>
    <w:rsid w:val="00A677FA"/>
    <w:rsid w:val="00A730D2"/>
    <w:rsid w:val="00A74724"/>
    <w:rsid w:val="00A75710"/>
    <w:rsid w:val="00A766FF"/>
    <w:rsid w:val="00A774E7"/>
    <w:rsid w:val="00A81A0A"/>
    <w:rsid w:val="00A81A2D"/>
    <w:rsid w:val="00A82682"/>
    <w:rsid w:val="00A84488"/>
    <w:rsid w:val="00A86142"/>
    <w:rsid w:val="00A87F32"/>
    <w:rsid w:val="00A90E8B"/>
    <w:rsid w:val="00A91162"/>
    <w:rsid w:val="00A92ECB"/>
    <w:rsid w:val="00A931D0"/>
    <w:rsid w:val="00A94D18"/>
    <w:rsid w:val="00A958E4"/>
    <w:rsid w:val="00A96B58"/>
    <w:rsid w:val="00AA5317"/>
    <w:rsid w:val="00AA5B17"/>
    <w:rsid w:val="00AA5B3D"/>
    <w:rsid w:val="00AA5DD9"/>
    <w:rsid w:val="00AA7095"/>
    <w:rsid w:val="00AA71FF"/>
    <w:rsid w:val="00AA734D"/>
    <w:rsid w:val="00AA7E6A"/>
    <w:rsid w:val="00AB0A8E"/>
    <w:rsid w:val="00AB318A"/>
    <w:rsid w:val="00AB4F9D"/>
    <w:rsid w:val="00AB57C4"/>
    <w:rsid w:val="00AB5B5A"/>
    <w:rsid w:val="00AB6ACA"/>
    <w:rsid w:val="00AB6DA4"/>
    <w:rsid w:val="00AC1881"/>
    <w:rsid w:val="00AC1FEF"/>
    <w:rsid w:val="00AC200E"/>
    <w:rsid w:val="00AC2726"/>
    <w:rsid w:val="00AC29C0"/>
    <w:rsid w:val="00AC42FA"/>
    <w:rsid w:val="00AC4454"/>
    <w:rsid w:val="00AC6514"/>
    <w:rsid w:val="00AC72CC"/>
    <w:rsid w:val="00AC74B4"/>
    <w:rsid w:val="00AC7544"/>
    <w:rsid w:val="00AD4EF0"/>
    <w:rsid w:val="00AD77B4"/>
    <w:rsid w:val="00AE09AF"/>
    <w:rsid w:val="00AE13ED"/>
    <w:rsid w:val="00AE2ED9"/>
    <w:rsid w:val="00AE3696"/>
    <w:rsid w:val="00AE4AC2"/>
    <w:rsid w:val="00AE5627"/>
    <w:rsid w:val="00AF0E4B"/>
    <w:rsid w:val="00AF23B9"/>
    <w:rsid w:val="00AF3040"/>
    <w:rsid w:val="00AF3C0C"/>
    <w:rsid w:val="00AF3DF6"/>
    <w:rsid w:val="00AF4492"/>
    <w:rsid w:val="00AF46DB"/>
    <w:rsid w:val="00AF52DD"/>
    <w:rsid w:val="00AF5845"/>
    <w:rsid w:val="00AF5F8F"/>
    <w:rsid w:val="00AF78A0"/>
    <w:rsid w:val="00AF7C70"/>
    <w:rsid w:val="00B008A3"/>
    <w:rsid w:val="00B01A9D"/>
    <w:rsid w:val="00B03396"/>
    <w:rsid w:val="00B05D79"/>
    <w:rsid w:val="00B07823"/>
    <w:rsid w:val="00B12704"/>
    <w:rsid w:val="00B150C8"/>
    <w:rsid w:val="00B1522E"/>
    <w:rsid w:val="00B16221"/>
    <w:rsid w:val="00B16561"/>
    <w:rsid w:val="00B17B08"/>
    <w:rsid w:val="00B201D0"/>
    <w:rsid w:val="00B24021"/>
    <w:rsid w:val="00B249F2"/>
    <w:rsid w:val="00B25FAF"/>
    <w:rsid w:val="00B266B6"/>
    <w:rsid w:val="00B27E73"/>
    <w:rsid w:val="00B301C7"/>
    <w:rsid w:val="00B3030E"/>
    <w:rsid w:val="00B3167A"/>
    <w:rsid w:val="00B31A0A"/>
    <w:rsid w:val="00B32376"/>
    <w:rsid w:val="00B33683"/>
    <w:rsid w:val="00B34589"/>
    <w:rsid w:val="00B3484F"/>
    <w:rsid w:val="00B3657B"/>
    <w:rsid w:val="00B41033"/>
    <w:rsid w:val="00B41660"/>
    <w:rsid w:val="00B44020"/>
    <w:rsid w:val="00B4534F"/>
    <w:rsid w:val="00B469A2"/>
    <w:rsid w:val="00B470C1"/>
    <w:rsid w:val="00B47EFC"/>
    <w:rsid w:val="00B50CB6"/>
    <w:rsid w:val="00B5134E"/>
    <w:rsid w:val="00B51B82"/>
    <w:rsid w:val="00B5501A"/>
    <w:rsid w:val="00B5523B"/>
    <w:rsid w:val="00B55938"/>
    <w:rsid w:val="00B576C6"/>
    <w:rsid w:val="00B60E12"/>
    <w:rsid w:val="00B61682"/>
    <w:rsid w:val="00B62392"/>
    <w:rsid w:val="00B62E5F"/>
    <w:rsid w:val="00B632EE"/>
    <w:rsid w:val="00B63C3B"/>
    <w:rsid w:val="00B64665"/>
    <w:rsid w:val="00B64DC8"/>
    <w:rsid w:val="00B700CC"/>
    <w:rsid w:val="00B7021C"/>
    <w:rsid w:val="00B70344"/>
    <w:rsid w:val="00B71116"/>
    <w:rsid w:val="00B7304B"/>
    <w:rsid w:val="00B74383"/>
    <w:rsid w:val="00B75156"/>
    <w:rsid w:val="00B7764F"/>
    <w:rsid w:val="00B77CFF"/>
    <w:rsid w:val="00B8019A"/>
    <w:rsid w:val="00B80E56"/>
    <w:rsid w:val="00B81927"/>
    <w:rsid w:val="00B82010"/>
    <w:rsid w:val="00B82D0E"/>
    <w:rsid w:val="00B8355F"/>
    <w:rsid w:val="00B838A9"/>
    <w:rsid w:val="00B84553"/>
    <w:rsid w:val="00B86730"/>
    <w:rsid w:val="00B87A8B"/>
    <w:rsid w:val="00B90F8B"/>
    <w:rsid w:val="00B914C8"/>
    <w:rsid w:val="00B91D72"/>
    <w:rsid w:val="00B932D9"/>
    <w:rsid w:val="00B937C5"/>
    <w:rsid w:val="00B94823"/>
    <w:rsid w:val="00B95A72"/>
    <w:rsid w:val="00BA09B3"/>
    <w:rsid w:val="00BA0D2D"/>
    <w:rsid w:val="00BA105C"/>
    <w:rsid w:val="00BA16F6"/>
    <w:rsid w:val="00BA453D"/>
    <w:rsid w:val="00BA4F31"/>
    <w:rsid w:val="00BA7102"/>
    <w:rsid w:val="00BA7981"/>
    <w:rsid w:val="00BB0662"/>
    <w:rsid w:val="00BB4604"/>
    <w:rsid w:val="00BB50B4"/>
    <w:rsid w:val="00BB64D9"/>
    <w:rsid w:val="00BC0126"/>
    <w:rsid w:val="00BC0CA5"/>
    <w:rsid w:val="00BC1384"/>
    <w:rsid w:val="00BC23EF"/>
    <w:rsid w:val="00BC330A"/>
    <w:rsid w:val="00BC3949"/>
    <w:rsid w:val="00BC5007"/>
    <w:rsid w:val="00BC5598"/>
    <w:rsid w:val="00BC7106"/>
    <w:rsid w:val="00BC7E7C"/>
    <w:rsid w:val="00BD039F"/>
    <w:rsid w:val="00BD1088"/>
    <w:rsid w:val="00BD5DE5"/>
    <w:rsid w:val="00BD69B7"/>
    <w:rsid w:val="00BD7B77"/>
    <w:rsid w:val="00BD7BD4"/>
    <w:rsid w:val="00BE058D"/>
    <w:rsid w:val="00BE12D3"/>
    <w:rsid w:val="00BE16B3"/>
    <w:rsid w:val="00BE1B0B"/>
    <w:rsid w:val="00BE2976"/>
    <w:rsid w:val="00BE4DE7"/>
    <w:rsid w:val="00BE7BE3"/>
    <w:rsid w:val="00BF05C4"/>
    <w:rsid w:val="00BF0F8C"/>
    <w:rsid w:val="00BF1D6B"/>
    <w:rsid w:val="00BF31E1"/>
    <w:rsid w:val="00BF717C"/>
    <w:rsid w:val="00BF744C"/>
    <w:rsid w:val="00BF79BF"/>
    <w:rsid w:val="00C001E9"/>
    <w:rsid w:val="00C018AF"/>
    <w:rsid w:val="00C029A1"/>
    <w:rsid w:val="00C02D28"/>
    <w:rsid w:val="00C03146"/>
    <w:rsid w:val="00C03D19"/>
    <w:rsid w:val="00C067C3"/>
    <w:rsid w:val="00C06A67"/>
    <w:rsid w:val="00C11080"/>
    <w:rsid w:val="00C11CC8"/>
    <w:rsid w:val="00C12380"/>
    <w:rsid w:val="00C12E0E"/>
    <w:rsid w:val="00C15645"/>
    <w:rsid w:val="00C1680E"/>
    <w:rsid w:val="00C20451"/>
    <w:rsid w:val="00C207DC"/>
    <w:rsid w:val="00C20AAD"/>
    <w:rsid w:val="00C21E4E"/>
    <w:rsid w:val="00C229E9"/>
    <w:rsid w:val="00C22E7D"/>
    <w:rsid w:val="00C23F03"/>
    <w:rsid w:val="00C24220"/>
    <w:rsid w:val="00C2435E"/>
    <w:rsid w:val="00C26199"/>
    <w:rsid w:val="00C261E7"/>
    <w:rsid w:val="00C26FDE"/>
    <w:rsid w:val="00C27477"/>
    <w:rsid w:val="00C27DCB"/>
    <w:rsid w:val="00C33B00"/>
    <w:rsid w:val="00C3568F"/>
    <w:rsid w:val="00C35AE6"/>
    <w:rsid w:val="00C35B79"/>
    <w:rsid w:val="00C36D15"/>
    <w:rsid w:val="00C36F37"/>
    <w:rsid w:val="00C40591"/>
    <w:rsid w:val="00C412A5"/>
    <w:rsid w:val="00C42668"/>
    <w:rsid w:val="00C42936"/>
    <w:rsid w:val="00C434C5"/>
    <w:rsid w:val="00C438EA"/>
    <w:rsid w:val="00C441D6"/>
    <w:rsid w:val="00C4484A"/>
    <w:rsid w:val="00C45C6B"/>
    <w:rsid w:val="00C50A04"/>
    <w:rsid w:val="00C5227A"/>
    <w:rsid w:val="00C53DB2"/>
    <w:rsid w:val="00C54485"/>
    <w:rsid w:val="00C545B9"/>
    <w:rsid w:val="00C558BD"/>
    <w:rsid w:val="00C601CA"/>
    <w:rsid w:val="00C610CB"/>
    <w:rsid w:val="00C616F6"/>
    <w:rsid w:val="00C617B4"/>
    <w:rsid w:val="00C62EB1"/>
    <w:rsid w:val="00C62F35"/>
    <w:rsid w:val="00C654DE"/>
    <w:rsid w:val="00C66A55"/>
    <w:rsid w:val="00C67068"/>
    <w:rsid w:val="00C67356"/>
    <w:rsid w:val="00C7004C"/>
    <w:rsid w:val="00C70066"/>
    <w:rsid w:val="00C702D1"/>
    <w:rsid w:val="00C71262"/>
    <w:rsid w:val="00C772E7"/>
    <w:rsid w:val="00C809D9"/>
    <w:rsid w:val="00C80B12"/>
    <w:rsid w:val="00C82B2F"/>
    <w:rsid w:val="00C831D8"/>
    <w:rsid w:val="00C834E3"/>
    <w:rsid w:val="00C8445F"/>
    <w:rsid w:val="00C84FA9"/>
    <w:rsid w:val="00C87BAE"/>
    <w:rsid w:val="00C91B61"/>
    <w:rsid w:val="00C91C6F"/>
    <w:rsid w:val="00C936AD"/>
    <w:rsid w:val="00C9474E"/>
    <w:rsid w:val="00C96127"/>
    <w:rsid w:val="00C97439"/>
    <w:rsid w:val="00CA0B3D"/>
    <w:rsid w:val="00CA16FB"/>
    <w:rsid w:val="00CA473C"/>
    <w:rsid w:val="00CA5EFF"/>
    <w:rsid w:val="00CA70E7"/>
    <w:rsid w:val="00CA7326"/>
    <w:rsid w:val="00CA7D2D"/>
    <w:rsid w:val="00CB1118"/>
    <w:rsid w:val="00CB203C"/>
    <w:rsid w:val="00CB3557"/>
    <w:rsid w:val="00CB5F0F"/>
    <w:rsid w:val="00CB66BC"/>
    <w:rsid w:val="00CB69E3"/>
    <w:rsid w:val="00CB6A49"/>
    <w:rsid w:val="00CC0265"/>
    <w:rsid w:val="00CC04BA"/>
    <w:rsid w:val="00CC0B74"/>
    <w:rsid w:val="00CC3EE9"/>
    <w:rsid w:val="00CC4749"/>
    <w:rsid w:val="00CC4BD4"/>
    <w:rsid w:val="00CC6B48"/>
    <w:rsid w:val="00CC6DC2"/>
    <w:rsid w:val="00CC72C0"/>
    <w:rsid w:val="00CD1375"/>
    <w:rsid w:val="00CD35E5"/>
    <w:rsid w:val="00CD5BB6"/>
    <w:rsid w:val="00CD5FF3"/>
    <w:rsid w:val="00CD7616"/>
    <w:rsid w:val="00CE088F"/>
    <w:rsid w:val="00CE1B6A"/>
    <w:rsid w:val="00CE312E"/>
    <w:rsid w:val="00CE3BEC"/>
    <w:rsid w:val="00CE3D0C"/>
    <w:rsid w:val="00CE72EE"/>
    <w:rsid w:val="00CF2646"/>
    <w:rsid w:val="00CF27AF"/>
    <w:rsid w:val="00CF3100"/>
    <w:rsid w:val="00CF4794"/>
    <w:rsid w:val="00CF4920"/>
    <w:rsid w:val="00CF4E17"/>
    <w:rsid w:val="00D00FC4"/>
    <w:rsid w:val="00D01E90"/>
    <w:rsid w:val="00D046DC"/>
    <w:rsid w:val="00D11568"/>
    <w:rsid w:val="00D1262B"/>
    <w:rsid w:val="00D13353"/>
    <w:rsid w:val="00D1368D"/>
    <w:rsid w:val="00D14239"/>
    <w:rsid w:val="00D146AA"/>
    <w:rsid w:val="00D14D96"/>
    <w:rsid w:val="00D15B01"/>
    <w:rsid w:val="00D16799"/>
    <w:rsid w:val="00D20B1B"/>
    <w:rsid w:val="00D20CEA"/>
    <w:rsid w:val="00D21C0E"/>
    <w:rsid w:val="00D236D4"/>
    <w:rsid w:val="00D23DB3"/>
    <w:rsid w:val="00D246C6"/>
    <w:rsid w:val="00D25668"/>
    <w:rsid w:val="00D256D9"/>
    <w:rsid w:val="00D260EC"/>
    <w:rsid w:val="00D2788C"/>
    <w:rsid w:val="00D27ADB"/>
    <w:rsid w:val="00D322D1"/>
    <w:rsid w:val="00D33766"/>
    <w:rsid w:val="00D347DB"/>
    <w:rsid w:val="00D358E3"/>
    <w:rsid w:val="00D35DDD"/>
    <w:rsid w:val="00D40306"/>
    <w:rsid w:val="00D40AE5"/>
    <w:rsid w:val="00D41C30"/>
    <w:rsid w:val="00D4214F"/>
    <w:rsid w:val="00D42614"/>
    <w:rsid w:val="00D427F6"/>
    <w:rsid w:val="00D43CC8"/>
    <w:rsid w:val="00D45793"/>
    <w:rsid w:val="00D45959"/>
    <w:rsid w:val="00D47920"/>
    <w:rsid w:val="00D47B52"/>
    <w:rsid w:val="00D508ED"/>
    <w:rsid w:val="00D5142E"/>
    <w:rsid w:val="00D51E4F"/>
    <w:rsid w:val="00D545C3"/>
    <w:rsid w:val="00D54F64"/>
    <w:rsid w:val="00D55984"/>
    <w:rsid w:val="00D55AF5"/>
    <w:rsid w:val="00D56E79"/>
    <w:rsid w:val="00D57116"/>
    <w:rsid w:val="00D6119F"/>
    <w:rsid w:val="00D61AD3"/>
    <w:rsid w:val="00D61E15"/>
    <w:rsid w:val="00D62699"/>
    <w:rsid w:val="00D63202"/>
    <w:rsid w:val="00D65ABC"/>
    <w:rsid w:val="00D671A4"/>
    <w:rsid w:val="00D72868"/>
    <w:rsid w:val="00D74FC5"/>
    <w:rsid w:val="00D77183"/>
    <w:rsid w:val="00D77329"/>
    <w:rsid w:val="00D7776E"/>
    <w:rsid w:val="00D77EE2"/>
    <w:rsid w:val="00D83CE6"/>
    <w:rsid w:val="00D83E02"/>
    <w:rsid w:val="00D8418B"/>
    <w:rsid w:val="00D87454"/>
    <w:rsid w:val="00D90DEF"/>
    <w:rsid w:val="00D91F68"/>
    <w:rsid w:val="00D92BBD"/>
    <w:rsid w:val="00D937CE"/>
    <w:rsid w:val="00D93B6B"/>
    <w:rsid w:val="00D93C7D"/>
    <w:rsid w:val="00D93DEA"/>
    <w:rsid w:val="00D94653"/>
    <w:rsid w:val="00D964D0"/>
    <w:rsid w:val="00DA4133"/>
    <w:rsid w:val="00DA5268"/>
    <w:rsid w:val="00DA598E"/>
    <w:rsid w:val="00DA5AC2"/>
    <w:rsid w:val="00DA5CEC"/>
    <w:rsid w:val="00DA6469"/>
    <w:rsid w:val="00DA6B34"/>
    <w:rsid w:val="00DA7D3A"/>
    <w:rsid w:val="00DB2525"/>
    <w:rsid w:val="00DB273B"/>
    <w:rsid w:val="00DB2C43"/>
    <w:rsid w:val="00DB797B"/>
    <w:rsid w:val="00DB7ADA"/>
    <w:rsid w:val="00DB7E7D"/>
    <w:rsid w:val="00DC105E"/>
    <w:rsid w:val="00DC3B84"/>
    <w:rsid w:val="00DC3DDA"/>
    <w:rsid w:val="00DC41CF"/>
    <w:rsid w:val="00DC49BE"/>
    <w:rsid w:val="00DC4D23"/>
    <w:rsid w:val="00DC56DE"/>
    <w:rsid w:val="00DC6036"/>
    <w:rsid w:val="00DC762F"/>
    <w:rsid w:val="00DD1310"/>
    <w:rsid w:val="00DD262B"/>
    <w:rsid w:val="00DD2B36"/>
    <w:rsid w:val="00DD2B89"/>
    <w:rsid w:val="00DD34DD"/>
    <w:rsid w:val="00DD4A8C"/>
    <w:rsid w:val="00DD4B31"/>
    <w:rsid w:val="00DD5419"/>
    <w:rsid w:val="00DD5BC7"/>
    <w:rsid w:val="00DD602E"/>
    <w:rsid w:val="00DD60A2"/>
    <w:rsid w:val="00DD6EB7"/>
    <w:rsid w:val="00DE0587"/>
    <w:rsid w:val="00DE0913"/>
    <w:rsid w:val="00DE1408"/>
    <w:rsid w:val="00DE20D7"/>
    <w:rsid w:val="00DE2ADF"/>
    <w:rsid w:val="00DE3437"/>
    <w:rsid w:val="00DE3720"/>
    <w:rsid w:val="00DE5189"/>
    <w:rsid w:val="00DE51EE"/>
    <w:rsid w:val="00DE5B2E"/>
    <w:rsid w:val="00DE7109"/>
    <w:rsid w:val="00DF05D9"/>
    <w:rsid w:val="00DF15AD"/>
    <w:rsid w:val="00DF2213"/>
    <w:rsid w:val="00DF2775"/>
    <w:rsid w:val="00DF4499"/>
    <w:rsid w:val="00DF6CCC"/>
    <w:rsid w:val="00DF7ECE"/>
    <w:rsid w:val="00DF7F7B"/>
    <w:rsid w:val="00E00C9B"/>
    <w:rsid w:val="00E01363"/>
    <w:rsid w:val="00E02DE8"/>
    <w:rsid w:val="00E04367"/>
    <w:rsid w:val="00E048DD"/>
    <w:rsid w:val="00E0511D"/>
    <w:rsid w:val="00E05F9F"/>
    <w:rsid w:val="00E06374"/>
    <w:rsid w:val="00E07699"/>
    <w:rsid w:val="00E11343"/>
    <w:rsid w:val="00E127FE"/>
    <w:rsid w:val="00E12DE7"/>
    <w:rsid w:val="00E145A4"/>
    <w:rsid w:val="00E15933"/>
    <w:rsid w:val="00E159EF"/>
    <w:rsid w:val="00E15CB0"/>
    <w:rsid w:val="00E17428"/>
    <w:rsid w:val="00E176BC"/>
    <w:rsid w:val="00E17CFB"/>
    <w:rsid w:val="00E212F0"/>
    <w:rsid w:val="00E2159F"/>
    <w:rsid w:val="00E21EB0"/>
    <w:rsid w:val="00E22879"/>
    <w:rsid w:val="00E23AEB"/>
    <w:rsid w:val="00E25296"/>
    <w:rsid w:val="00E26318"/>
    <w:rsid w:val="00E26700"/>
    <w:rsid w:val="00E27368"/>
    <w:rsid w:val="00E357FF"/>
    <w:rsid w:val="00E359EF"/>
    <w:rsid w:val="00E363B0"/>
    <w:rsid w:val="00E3666D"/>
    <w:rsid w:val="00E36C0F"/>
    <w:rsid w:val="00E40E2D"/>
    <w:rsid w:val="00E42161"/>
    <w:rsid w:val="00E4223C"/>
    <w:rsid w:val="00E42F87"/>
    <w:rsid w:val="00E432F0"/>
    <w:rsid w:val="00E434EB"/>
    <w:rsid w:val="00E44633"/>
    <w:rsid w:val="00E46737"/>
    <w:rsid w:val="00E4686A"/>
    <w:rsid w:val="00E46F67"/>
    <w:rsid w:val="00E50849"/>
    <w:rsid w:val="00E50D26"/>
    <w:rsid w:val="00E5196C"/>
    <w:rsid w:val="00E51BC7"/>
    <w:rsid w:val="00E5381F"/>
    <w:rsid w:val="00E54C75"/>
    <w:rsid w:val="00E56B72"/>
    <w:rsid w:val="00E577AF"/>
    <w:rsid w:val="00E57B15"/>
    <w:rsid w:val="00E61CDA"/>
    <w:rsid w:val="00E639C2"/>
    <w:rsid w:val="00E63B75"/>
    <w:rsid w:val="00E643D8"/>
    <w:rsid w:val="00E65871"/>
    <w:rsid w:val="00E65A76"/>
    <w:rsid w:val="00E67505"/>
    <w:rsid w:val="00E67810"/>
    <w:rsid w:val="00E73C3A"/>
    <w:rsid w:val="00E73E11"/>
    <w:rsid w:val="00E73F1D"/>
    <w:rsid w:val="00E7659B"/>
    <w:rsid w:val="00E765AE"/>
    <w:rsid w:val="00E77769"/>
    <w:rsid w:val="00E8253E"/>
    <w:rsid w:val="00E84013"/>
    <w:rsid w:val="00E8551C"/>
    <w:rsid w:val="00E86159"/>
    <w:rsid w:val="00E86426"/>
    <w:rsid w:val="00E8698A"/>
    <w:rsid w:val="00E87ACC"/>
    <w:rsid w:val="00E913BC"/>
    <w:rsid w:val="00E916FA"/>
    <w:rsid w:val="00E91F1F"/>
    <w:rsid w:val="00E92C2E"/>
    <w:rsid w:val="00E93C60"/>
    <w:rsid w:val="00E94098"/>
    <w:rsid w:val="00E94ED7"/>
    <w:rsid w:val="00E952AC"/>
    <w:rsid w:val="00E95448"/>
    <w:rsid w:val="00E9595F"/>
    <w:rsid w:val="00E9621A"/>
    <w:rsid w:val="00E965ED"/>
    <w:rsid w:val="00E96740"/>
    <w:rsid w:val="00EA16CA"/>
    <w:rsid w:val="00EA1B3F"/>
    <w:rsid w:val="00EA344F"/>
    <w:rsid w:val="00EA350E"/>
    <w:rsid w:val="00EA400D"/>
    <w:rsid w:val="00EA408D"/>
    <w:rsid w:val="00EA4EEA"/>
    <w:rsid w:val="00EA526D"/>
    <w:rsid w:val="00EB11C5"/>
    <w:rsid w:val="00EB1AAE"/>
    <w:rsid w:val="00EB29BE"/>
    <w:rsid w:val="00EB40AC"/>
    <w:rsid w:val="00EB4AC7"/>
    <w:rsid w:val="00EC319F"/>
    <w:rsid w:val="00EC4135"/>
    <w:rsid w:val="00EC44F4"/>
    <w:rsid w:val="00EC6A79"/>
    <w:rsid w:val="00EC7BA7"/>
    <w:rsid w:val="00ED164D"/>
    <w:rsid w:val="00ED2025"/>
    <w:rsid w:val="00ED3D13"/>
    <w:rsid w:val="00ED45FF"/>
    <w:rsid w:val="00ED7B92"/>
    <w:rsid w:val="00EE05FF"/>
    <w:rsid w:val="00EE0EC9"/>
    <w:rsid w:val="00EE1780"/>
    <w:rsid w:val="00EE5DB2"/>
    <w:rsid w:val="00EE6CC5"/>
    <w:rsid w:val="00EE7738"/>
    <w:rsid w:val="00EE7F0D"/>
    <w:rsid w:val="00EF236D"/>
    <w:rsid w:val="00EF29C1"/>
    <w:rsid w:val="00EF3069"/>
    <w:rsid w:val="00F00298"/>
    <w:rsid w:val="00F0096A"/>
    <w:rsid w:val="00F02C72"/>
    <w:rsid w:val="00F04B11"/>
    <w:rsid w:val="00F05EB8"/>
    <w:rsid w:val="00F061E2"/>
    <w:rsid w:val="00F07D59"/>
    <w:rsid w:val="00F07D68"/>
    <w:rsid w:val="00F104D9"/>
    <w:rsid w:val="00F16FE1"/>
    <w:rsid w:val="00F17506"/>
    <w:rsid w:val="00F176C0"/>
    <w:rsid w:val="00F20401"/>
    <w:rsid w:val="00F20CCA"/>
    <w:rsid w:val="00F21D4F"/>
    <w:rsid w:val="00F220E7"/>
    <w:rsid w:val="00F23C3E"/>
    <w:rsid w:val="00F24683"/>
    <w:rsid w:val="00F247BB"/>
    <w:rsid w:val="00F24CC7"/>
    <w:rsid w:val="00F24F8B"/>
    <w:rsid w:val="00F26484"/>
    <w:rsid w:val="00F3021E"/>
    <w:rsid w:val="00F306B9"/>
    <w:rsid w:val="00F3078C"/>
    <w:rsid w:val="00F321F9"/>
    <w:rsid w:val="00F328FC"/>
    <w:rsid w:val="00F32C50"/>
    <w:rsid w:val="00F346C2"/>
    <w:rsid w:val="00F37AFF"/>
    <w:rsid w:val="00F427A1"/>
    <w:rsid w:val="00F4319C"/>
    <w:rsid w:val="00F43951"/>
    <w:rsid w:val="00F444E2"/>
    <w:rsid w:val="00F44CD0"/>
    <w:rsid w:val="00F45FBC"/>
    <w:rsid w:val="00F462A8"/>
    <w:rsid w:val="00F46BE9"/>
    <w:rsid w:val="00F50435"/>
    <w:rsid w:val="00F51EA3"/>
    <w:rsid w:val="00F5327D"/>
    <w:rsid w:val="00F53D82"/>
    <w:rsid w:val="00F54541"/>
    <w:rsid w:val="00F54E4D"/>
    <w:rsid w:val="00F55BAC"/>
    <w:rsid w:val="00F55F0A"/>
    <w:rsid w:val="00F56066"/>
    <w:rsid w:val="00F563DD"/>
    <w:rsid w:val="00F56BFA"/>
    <w:rsid w:val="00F57357"/>
    <w:rsid w:val="00F61F9B"/>
    <w:rsid w:val="00F62378"/>
    <w:rsid w:val="00F63169"/>
    <w:rsid w:val="00F64503"/>
    <w:rsid w:val="00F654C6"/>
    <w:rsid w:val="00F66F87"/>
    <w:rsid w:val="00F67AA7"/>
    <w:rsid w:val="00F67F44"/>
    <w:rsid w:val="00F7053F"/>
    <w:rsid w:val="00F71260"/>
    <w:rsid w:val="00F7159B"/>
    <w:rsid w:val="00F73065"/>
    <w:rsid w:val="00F74BC0"/>
    <w:rsid w:val="00F75DDE"/>
    <w:rsid w:val="00F805D9"/>
    <w:rsid w:val="00F8069E"/>
    <w:rsid w:val="00F8302A"/>
    <w:rsid w:val="00F8514E"/>
    <w:rsid w:val="00F85B72"/>
    <w:rsid w:val="00F87E39"/>
    <w:rsid w:val="00F903F2"/>
    <w:rsid w:val="00F91315"/>
    <w:rsid w:val="00F92006"/>
    <w:rsid w:val="00F925BC"/>
    <w:rsid w:val="00F9514E"/>
    <w:rsid w:val="00F95290"/>
    <w:rsid w:val="00F9655A"/>
    <w:rsid w:val="00F975DA"/>
    <w:rsid w:val="00FA155B"/>
    <w:rsid w:val="00FA1633"/>
    <w:rsid w:val="00FA24E4"/>
    <w:rsid w:val="00FA2C78"/>
    <w:rsid w:val="00FA314F"/>
    <w:rsid w:val="00FA3292"/>
    <w:rsid w:val="00FA4071"/>
    <w:rsid w:val="00FA46C9"/>
    <w:rsid w:val="00FA7183"/>
    <w:rsid w:val="00FB12BB"/>
    <w:rsid w:val="00FB12F4"/>
    <w:rsid w:val="00FB1554"/>
    <w:rsid w:val="00FB15F3"/>
    <w:rsid w:val="00FB2151"/>
    <w:rsid w:val="00FB34AC"/>
    <w:rsid w:val="00FB4DF1"/>
    <w:rsid w:val="00FB54F0"/>
    <w:rsid w:val="00FC0C6B"/>
    <w:rsid w:val="00FC0D8F"/>
    <w:rsid w:val="00FC379D"/>
    <w:rsid w:val="00FC392C"/>
    <w:rsid w:val="00FC5316"/>
    <w:rsid w:val="00FC601D"/>
    <w:rsid w:val="00FC62BA"/>
    <w:rsid w:val="00FC66B1"/>
    <w:rsid w:val="00FC692D"/>
    <w:rsid w:val="00FC6CA4"/>
    <w:rsid w:val="00FC7A86"/>
    <w:rsid w:val="00FD331A"/>
    <w:rsid w:val="00FD4501"/>
    <w:rsid w:val="00FD470D"/>
    <w:rsid w:val="00FD502B"/>
    <w:rsid w:val="00FD65DC"/>
    <w:rsid w:val="00FE04A9"/>
    <w:rsid w:val="00FE4AE6"/>
    <w:rsid w:val="00FE4E5A"/>
    <w:rsid w:val="00FE52CC"/>
    <w:rsid w:val="00FE5D2B"/>
    <w:rsid w:val="00FE66F3"/>
    <w:rsid w:val="00FE67AC"/>
    <w:rsid w:val="00FE6B16"/>
    <w:rsid w:val="00FE6B7D"/>
    <w:rsid w:val="00FE77D9"/>
    <w:rsid w:val="00FE7BC8"/>
    <w:rsid w:val="00FF0CB4"/>
    <w:rsid w:val="00FF1B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F7882"/>
  <w15:chartTrackingRefBased/>
  <w15:docId w15:val="{68D681BC-7732-4AE6-9E2B-332E198F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AC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987A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674F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4702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BC7"/>
  </w:style>
  <w:style w:type="paragraph" w:styleId="Footer">
    <w:name w:val="footer"/>
    <w:basedOn w:val="Normal"/>
    <w:link w:val="FooterChar"/>
    <w:uiPriority w:val="99"/>
    <w:unhideWhenUsed/>
    <w:rsid w:val="00DD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BC7"/>
  </w:style>
  <w:style w:type="character" w:styleId="CommentReference">
    <w:name w:val="annotation reference"/>
    <w:basedOn w:val="DefaultParagraphFont"/>
    <w:uiPriority w:val="99"/>
    <w:semiHidden/>
    <w:unhideWhenUsed/>
    <w:rsid w:val="00C610CB"/>
    <w:rPr>
      <w:sz w:val="16"/>
      <w:szCs w:val="16"/>
    </w:rPr>
  </w:style>
  <w:style w:type="paragraph" w:styleId="CommentText">
    <w:name w:val="annotation text"/>
    <w:basedOn w:val="Normal"/>
    <w:link w:val="CommentTextChar"/>
    <w:uiPriority w:val="99"/>
    <w:unhideWhenUsed/>
    <w:rsid w:val="00C610CB"/>
    <w:pPr>
      <w:spacing w:after="200" w:line="240" w:lineRule="auto"/>
    </w:pPr>
    <w:rPr>
      <w:sz w:val="20"/>
      <w:szCs w:val="20"/>
    </w:rPr>
  </w:style>
  <w:style w:type="character" w:customStyle="1" w:styleId="CommentTextChar">
    <w:name w:val="Comment Text Char"/>
    <w:basedOn w:val="DefaultParagraphFont"/>
    <w:link w:val="CommentText"/>
    <w:uiPriority w:val="99"/>
    <w:rsid w:val="00C610CB"/>
    <w:rPr>
      <w:sz w:val="20"/>
      <w:szCs w:val="20"/>
    </w:rPr>
  </w:style>
  <w:style w:type="paragraph" w:styleId="ListParagraph">
    <w:name w:val="List Paragraph"/>
    <w:basedOn w:val="Normal"/>
    <w:uiPriority w:val="34"/>
    <w:qFormat/>
    <w:rsid w:val="00C610CB"/>
    <w:pPr>
      <w:spacing w:after="200" w:line="276" w:lineRule="auto"/>
      <w:ind w:left="720"/>
      <w:contextualSpacing/>
    </w:pPr>
  </w:style>
  <w:style w:type="character" w:styleId="Hyperlink">
    <w:name w:val="Hyperlink"/>
    <w:basedOn w:val="DefaultParagraphFont"/>
    <w:uiPriority w:val="99"/>
    <w:unhideWhenUsed/>
    <w:rsid w:val="00C610C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C610CB"/>
    <w:pPr>
      <w:spacing w:after="160"/>
    </w:pPr>
    <w:rPr>
      <w:b/>
      <w:bCs/>
    </w:rPr>
  </w:style>
  <w:style w:type="character" w:customStyle="1" w:styleId="CommentSubjectChar">
    <w:name w:val="Comment Subject Char"/>
    <w:basedOn w:val="CommentTextChar"/>
    <w:link w:val="CommentSubject"/>
    <w:uiPriority w:val="99"/>
    <w:semiHidden/>
    <w:rsid w:val="00C610CB"/>
    <w:rPr>
      <w:b/>
      <w:bCs/>
      <w:sz w:val="20"/>
      <w:szCs w:val="20"/>
    </w:rPr>
  </w:style>
  <w:style w:type="character" w:customStyle="1" w:styleId="Heading3Char">
    <w:name w:val="Heading 3 Char"/>
    <w:basedOn w:val="DefaultParagraphFont"/>
    <w:link w:val="Heading3"/>
    <w:uiPriority w:val="9"/>
    <w:rsid w:val="009674F3"/>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9674F3"/>
    <w:rPr>
      <w:color w:val="954F72" w:themeColor="followedHyperlink"/>
      <w:u w:val="single"/>
    </w:rPr>
  </w:style>
  <w:style w:type="paragraph" w:styleId="NormalWeb">
    <w:name w:val="Normal (Web)"/>
    <w:basedOn w:val="Normal"/>
    <w:uiPriority w:val="99"/>
    <w:unhideWhenUsed/>
    <w:rsid w:val="009674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674F3"/>
    <w:rPr>
      <w:color w:val="605E5C"/>
      <w:shd w:val="clear" w:color="auto" w:fill="E1DFDD"/>
    </w:rPr>
  </w:style>
  <w:style w:type="paragraph" w:styleId="Caption">
    <w:name w:val="caption"/>
    <w:basedOn w:val="Normal"/>
    <w:next w:val="Normal"/>
    <w:uiPriority w:val="35"/>
    <w:unhideWhenUsed/>
    <w:qFormat/>
    <w:rsid w:val="009674F3"/>
    <w:pPr>
      <w:spacing w:after="200" w:line="240" w:lineRule="auto"/>
    </w:pPr>
    <w:rPr>
      <w:i/>
      <w:iCs/>
      <w:color w:val="44546A" w:themeColor="text2"/>
      <w:sz w:val="18"/>
      <w:szCs w:val="18"/>
    </w:rPr>
  </w:style>
  <w:style w:type="paragraph" w:customStyle="1" w:styleId="Normal0">
    <w:name w:val="[Normal]"/>
    <w:uiPriority w:val="99"/>
    <w:rsid w:val="009674F3"/>
    <w:pPr>
      <w:widowControl w:val="0"/>
      <w:autoSpaceDE w:val="0"/>
      <w:autoSpaceDN w:val="0"/>
      <w:adjustRightInd w:val="0"/>
      <w:spacing w:after="0" w:line="240" w:lineRule="auto"/>
    </w:pPr>
    <w:rPr>
      <w:rFonts w:ascii="Arial" w:hAnsi="Arial" w:cs="Arial"/>
      <w:sz w:val="24"/>
      <w:szCs w:val="24"/>
    </w:rPr>
  </w:style>
  <w:style w:type="table" w:styleId="TableGrid">
    <w:name w:val="Table Grid"/>
    <w:basedOn w:val="TableNormal"/>
    <w:uiPriority w:val="39"/>
    <w:rsid w:val="00967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7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4F3"/>
    <w:rPr>
      <w:rFonts w:ascii="Segoe UI" w:hAnsi="Segoe UI" w:cs="Segoe UI"/>
      <w:sz w:val="18"/>
      <w:szCs w:val="18"/>
    </w:rPr>
  </w:style>
  <w:style w:type="paragraph" w:styleId="Revision">
    <w:name w:val="Revision"/>
    <w:hidden/>
    <w:uiPriority w:val="99"/>
    <w:semiHidden/>
    <w:rsid w:val="009674F3"/>
    <w:pPr>
      <w:spacing w:after="0" w:line="240" w:lineRule="auto"/>
    </w:pPr>
  </w:style>
  <w:style w:type="character" w:styleId="Emphasis">
    <w:name w:val="Emphasis"/>
    <w:basedOn w:val="DefaultParagraphFont"/>
    <w:uiPriority w:val="20"/>
    <w:qFormat/>
    <w:rsid w:val="009674F3"/>
    <w:rPr>
      <w:i/>
      <w:iCs/>
    </w:rPr>
  </w:style>
  <w:style w:type="character" w:customStyle="1" w:styleId="hi-bolditalic">
    <w:name w:val="hi-bolditalic"/>
    <w:basedOn w:val="DefaultParagraphFont"/>
    <w:rsid w:val="00E639C2"/>
  </w:style>
  <w:style w:type="character" w:customStyle="1" w:styleId="hgkelc">
    <w:name w:val="hgkelc"/>
    <w:basedOn w:val="DefaultParagraphFont"/>
    <w:rsid w:val="00E639C2"/>
  </w:style>
  <w:style w:type="character" w:customStyle="1" w:styleId="Heading1Char">
    <w:name w:val="Heading 1 Char"/>
    <w:basedOn w:val="DefaultParagraphFont"/>
    <w:link w:val="Heading1"/>
    <w:rsid w:val="00987A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987AC8"/>
    <w:rPr>
      <w:rFonts w:ascii="Times New Roman" w:eastAsia="Times New Roman" w:hAnsi="Times New Roman" w:cs="Times New Roman"/>
      <w:b/>
      <w:bCs/>
      <w:sz w:val="36"/>
      <w:szCs w:val="36"/>
      <w:lang w:eastAsia="en-GB"/>
    </w:rPr>
  </w:style>
  <w:style w:type="table" w:customStyle="1" w:styleId="TableGrid1">
    <w:name w:val="Table Grid1"/>
    <w:basedOn w:val="TableNormal"/>
    <w:next w:val="TableGrid"/>
    <w:uiPriority w:val="39"/>
    <w:rsid w:val="0098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987AC8"/>
    <w:pPr>
      <w:tabs>
        <w:tab w:val="center" w:pos="4513"/>
        <w:tab w:val="right" w:pos="9026"/>
      </w:tabs>
      <w:spacing w:after="0" w:line="240" w:lineRule="auto"/>
    </w:pPr>
  </w:style>
  <w:style w:type="character" w:customStyle="1" w:styleId="FooterChar1">
    <w:name w:val="Footer Char1"/>
    <w:basedOn w:val="DefaultParagraphFont"/>
    <w:uiPriority w:val="99"/>
    <w:semiHidden/>
    <w:rsid w:val="00987AC8"/>
  </w:style>
  <w:style w:type="character" w:styleId="HTMLCite">
    <w:name w:val="HTML Cite"/>
    <w:basedOn w:val="DefaultParagraphFont"/>
    <w:uiPriority w:val="99"/>
    <w:semiHidden/>
    <w:unhideWhenUsed/>
    <w:rsid w:val="00987AC8"/>
    <w:rPr>
      <w:i/>
      <w:iCs/>
    </w:rPr>
  </w:style>
  <w:style w:type="paragraph" w:customStyle="1" w:styleId="ssp">
    <w:name w:val="ssp"/>
    <w:basedOn w:val="Normal"/>
    <w:rsid w:val="00987A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
    <w:name w:val="spell"/>
    <w:basedOn w:val="DefaultParagraphFont"/>
    <w:rsid w:val="00987AC8"/>
  </w:style>
  <w:style w:type="paragraph" w:customStyle="1" w:styleId="card-section">
    <w:name w:val="card-section"/>
    <w:basedOn w:val="Normal"/>
    <w:rsid w:val="00987A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1">
    <w:name w:val="st1"/>
    <w:basedOn w:val="DefaultParagraphFont"/>
    <w:rsid w:val="00987AC8"/>
  </w:style>
  <w:style w:type="table" w:customStyle="1" w:styleId="TableGrid2">
    <w:name w:val="Table Grid2"/>
    <w:basedOn w:val="TableNormal"/>
    <w:next w:val="TableGrid"/>
    <w:uiPriority w:val="39"/>
    <w:rsid w:val="0098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87AC8"/>
  </w:style>
  <w:style w:type="paragraph" w:styleId="TOCHeading">
    <w:name w:val="TOC Heading"/>
    <w:basedOn w:val="Heading1"/>
    <w:next w:val="Normal"/>
    <w:uiPriority w:val="39"/>
    <w:unhideWhenUsed/>
    <w:qFormat/>
    <w:rsid w:val="00B50CB6"/>
    <w:pPr>
      <w:spacing w:before="240" w:line="259" w:lineRule="auto"/>
      <w:outlineLvl w:val="9"/>
    </w:pPr>
    <w:rPr>
      <w:b w:val="0"/>
      <w:bCs w:val="0"/>
      <w:sz w:val="32"/>
      <w:szCs w:val="32"/>
      <w:lang w:val="en-US"/>
    </w:rPr>
  </w:style>
  <w:style w:type="paragraph" w:styleId="NoSpacing">
    <w:name w:val="No Spacing"/>
    <w:uiPriority w:val="1"/>
    <w:qFormat/>
    <w:rsid w:val="00E00C9B"/>
    <w:pPr>
      <w:spacing w:after="0" w:line="240" w:lineRule="auto"/>
    </w:pPr>
  </w:style>
  <w:style w:type="paragraph" w:styleId="TOC2">
    <w:name w:val="toc 2"/>
    <w:basedOn w:val="Normal"/>
    <w:next w:val="Normal"/>
    <w:autoRedefine/>
    <w:uiPriority w:val="39"/>
    <w:unhideWhenUsed/>
    <w:rsid w:val="00F63169"/>
    <w:pPr>
      <w:tabs>
        <w:tab w:val="right" w:leader="dot" w:pos="9016"/>
      </w:tabs>
      <w:spacing w:after="100"/>
      <w:ind w:left="220"/>
    </w:pPr>
  </w:style>
  <w:style w:type="paragraph" w:styleId="TOC1">
    <w:name w:val="toc 1"/>
    <w:basedOn w:val="Normal"/>
    <w:next w:val="Normal"/>
    <w:autoRedefine/>
    <w:uiPriority w:val="39"/>
    <w:unhideWhenUsed/>
    <w:rsid w:val="00EA350E"/>
    <w:pPr>
      <w:spacing w:after="100"/>
    </w:pPr>
    <w:rPr>
      <w:rFonts w:eastAsiaTheme="minorEastAsia" w:cs="Times New Roman"/>
      <w:lang w:val="en-US"/>
    </w:rPr>
  </w:style>
  <w:style w:type="paragraph" w:styleId="TOC3">
    <w:name w:val="toc 3"/>
    <w:basedOn w:val="Normal"/>
    <w:next w:val="Normal"/>
    <w:autoRedefine/>
    <w:uiPriority w:val="39"/>
    <w:unhideWhenUsed/>
    <w:rsid w:val="00EA350E"/>
    <w:pPr>
      <w:spacing w:after="100"/>
      <w:ind w:left="440"/>
    </w:pPr>
    <w:rPr>
      <w:rFonts w:eastAsiaTheme="minorEastAsia" w:cs="Times New Roman"/>
      <w:lang w:val="en-US"/>
    </w:rPr>
  </w:style>
  <w:style w:type="character" w:styleId="Strong">
    <w:name w:val="Strong"/>
    <w:basedOn w:val="DefaultParagraphFont"/>
    <w:uiPriority w:val="22"/>
    <w:qFormat/>
    <w:rsid w:val="00020065"/>
    <w:rPr>
      <w:b/>
      <w:bCs/>
    </w:rPr>
  </w:style>
  <w:style w:type="paragraph" w:customStyle="1" w:styleId="Style1apaheading1">
    <w:name w:val="Style1 apa heading 1"/>
    <w:link w:val="Style1apaheading1Char"/>
    <w:qFormat/>
    <w:rsid w:val="00340CA7"/>
    <w:rPr>
      <w:rFonts w:eastAsia="Calibri" w:cstheme="minorHAnsi"/>
      <w:b/>
      <w:bCs/>
      <w:lang w:eastAsia="en-GB"/>
    </w:rPr>
  </w:style>
  <w:style w:type="paragraph" w:customStyle="1" w:styleId="Style1apaheading2">
    <w:name w:val="Style1 apa heading 2"/>
    <w:basedOn w:val="Style1apaheading1"/>
    <w:link w:val="Style1apaheading2Char"/>
    <w:qFormat/>
    <w:rsid w:val="00340CA7"/>
    <w:rPr>
      <w:b w:val="0"/>
    </w:rPr>
  </w:style>
  <w:style w:type="character" w:customStyle="1" w:styleId="Style1apaheading1Char">
    <w:name w:val="Style1 apa heading 1 Char"/>
    <w:basedOn w:val="DefaultParagraphFont"/>
    <w:link w:val="Style1apaheading1"/>
    <w:rsid w:val="00340CA7"/>
    <w:rPr>
      <w:rFonts w:eastAsia="Calibri" w:cstheme="minorHAnsi"/>
      <w:b/>
      <w:bCs/>
      <w:lang w:eastAsia="en-GB"/>
    </w:rPr>
  </w:style>
  <w:style w:type="paragraph" w:customStyle="1" w:styleId="3-Style1apa3">
    <w:name w:val="3 - Style1 apa 3"/>
    <w:basedOn w:val="Style1apaheading2"/>
    <w:link w:val="3-Style1apa3Char"/>
    <w:qFormat/>
    <w:rsid w:val="00340CA7"/>
  </w:style>
  <w:style w:type="character" w:customStyle="1" w:styleId="Style1apaheading2Char">
    <w:name w:val="Style1 apa heading 2 Char"/>
    <w:basedOn w:val="Style1apaheading1Char"/>
    <w:link w:val="Style1apaheading2"/>
    <w:rsid w:val="00340CA7"/>
    <w:rPr>
      <w:rFonts w:eastAsia="Calibri" w:cstheme="minorHAnsi"/>
      <w:b w:val="0"/>
      <w:bCs/>
      <w:lang w:eastAsia="en-GB"/>
    </w:rPr>
  </w:style>
  <w:style w:type="paragraph" w:customStyle="1" w:styleId="APA">
    <w:name w:val="APA"/>
    <w:basedOn w:val="Heading1"/>
    <w:link w:val="APAChar"/>
    <w:qFormat/>
    <w:rsid w:val="001119A4"/>
    <w:pPr>
      <w:jc w:val="center"/>
    </w:pPr>
    <w:rPr>
      <w:rFonts w:asciiTheme="minorHAnsi" w:hAnsiTheme="minorHAnsi"/>
      <w:sz w:val="22"/>
    </w:rPr>
  </w:style>
  <w:style w:type="character" w:customStyle="1" w:styleId="3-Style1apa3Char">
    <w:name w:val="3 - Style1 apa 3 Char"/>
    <w:basedOn w:val="Style1apaheading2Char"/>
    <w:link w:val="3-Style1apa3"/>
    <w:rsid w:val="00340CA7"/>
    <w:rPr>
      <w:rFonts w:eastAsia="Calibri" w:cstheme="minorHAnsi"/>
      <w:b w:val="0"/>
      <w:bCs/>
      <w:lang w:eastAsia="en-GB"/>
    </w:rPr>
  </w:style>
  <w:style w:type="paragraph" w:customStyle="1" w:styleId="APA22">
    <w:name w:val="APA 22"/>
    <w:basedOn w:val="Heading2"/>
    <w:link w:val="APA22Char"/>
    <w:qFormat/>
    <w:rsid w:val="001119A4"/>
    <w:pPr>
      <w:jc w:val="center"/>
    </w:pPr>
    <w:rPr>
      <w:rFonts w:asciiTheme="minorHAnsi" w:hAnsiTheme="minorHAnsi"/>
      <w:b w:val="0"/>
      <w:sz w:val="22"/>
    </w:rPr>
  </w:style>
  <w:style w:type="character" w:customStyle="1" w:styleId="APAChar">
    <w:name w:val="APA Char"/>
    <w:basedOn w:val="Heading1Char"/>
    <w:link w:val="APA"/>
    <w:rsid w:val="001119A4"/>
    <w:rPr>
      <w:rFonts w:asciiTheme="majorHAnsi" w:eastAsiaTheme="majorEastAsia" w:hAnsiTheme="majorHAnsi" w:cstheme="majorBidi"/>
      <w:b/>
      <w:bCs/>
      <w:color w:val="2F5496" w:themeColor="accent1" w:themeShade="BF"/>
      <w:sz w:val="28"/>
      <w:szCs w:val="28"/>
    </w:rPr>
  </w:style>
  <w:style w:type="paragraph" w:customStyle="1" w:styleId="APA33">
    <w:name w:val="APA 33"/>
    <w:basedOn w:val="APA22"/>
    <w:next w:val="Heading3"/>
    <w:link w:val="APA33Char"/>
    <w:qFormat/>
    <w:rsid w:val="001119A4"/>
  </w:style>
  <w:style w:type="character" w:customStyle="1" w:styleId="APA22Char">
    <w:name w:val="APA 22 Char"/>
    <w:basedOn w:val="Heading2Char"/>
    <w:link w:val="APA22"/>
    <w:rsid w:val="001119A4"/>
    <w:rPr>
      <w:rFonts w:ascii="Times New Roman" w:eastAsia="Times New Roman" w:hAnsi="Times New Roman" w:cs="Times New Roman"/>
      <w:b w:val="0"/>
      <w:bCs/>
      <w:sz w:val="36"/>
      <w:szCs w:val="36"/>
      <w:lang w:eastAsia="en-GB"/>
    </w:rPr>
  </w:style>
  <w:style w:type="paragraph" w:customStyle="1" w:styleId="APAheading2">
    <w:name w:val="APA heading 2"/>
    <w:basedOn w:val="Heading2"/>
    <w:link w:val="APAheading2Char"/>
    <w:qFormat/>
    <w:rsid w:val="00067225"/>
    <w:rPr>
      <w:rFonts w:asciiTheme="minorHAnsi" w:hAnsiTheme="minorHAnsi"/>
      <w:sz w:val="22"/>
    </w:rPr>
  </w:style>
  <w:style w:type="character" w:customStyle="1" w:styleId="APA33Char">
    <w:name w:val="APA 33 Char"/>
    <w:basedOn w:val="APA22Char"/>
    <w:link w:val="APA33"/>
    <w:rsid w:val="001119A4"/>
    <w:rPr>
      <w:rFonts w:ascii="Times New Roman" w:eastAsia="Times New Roman" w:hAnsi="Times New Roman" w:cs="Times New Roman"/>
      <w:b w:val="0"/>
      <w:bCs/>
      <w:sz w:val="36"/>
      <w:szCs w:val="36"/>
      <w:lang w:eastAsia="en-GB"/>
    </w:rPr>
  </w:style>
  <w:style w:type="paragraph" w:customStyle="1" w:styleId="test3">
    <w:name w:val="test 3"/>
    <w:basedOn w:val="Heading3"/>
    <w:link w:val="test3Char"/>
    <w:qFormat/>
    <w:rsid w:val="00CB66BC"/>
    <w:rPr>
      <w:rFonts w:asciiTheme="minorHAnsi" w:hAnsiTheme="minorHAnsi"/>
      <w:b w:val="0"/>
      <w:sz w:val="22"/>
    </w:rPr>
  </w:style>
  <w:style w:type="character" w:customStyle="1" w:styleId="APAheading2Char">
    <w:name w:val="APA heading 2 Char"/>
    <w:basedOn w:val="Heading2Char"/>
    <w:link w:val="APAheading2"/>
    <w:rsid w:val="00067225"/>
    <w:rPr>
      <w:rFonts w:ascii="Times New Roman" w:eastAsia="Times New Roman" w:hAnsi="Times New Roman" w:cs="Times New Roman"/>
      <w:b/>
      <w:bCs/>
      <w:sz w:val="36"/>
      <w:szCs w:val="36"/>
      <w:lang w:eastAsia="en-GB"/>
    </w:rPr>
  </w:style>
  <w:style w:type="paragraph" w:customStyle="1" w:styleId="hd4">
    <w:name w:val="hd 4"/>
    <w:basedOn w:val="APA33"/>
    <w:next w:val="Heading4"/>
    <w:link w:val="hd4Char"/>
    <w:qFormat/>
    <w:rsid w:val="004702B8"/>
    <w:pPr>
      <w:jc w:val="left"/>
    </w:pPr>
  </w:style>
  <w:style w:type="character" w:customStyle="1" w:styleId="test3Char">
    <w:name w:val="test 3 Char"/>
    <w:basedOn w:val="Heading3Char"/>
    <w:link w:val="test3"/>
    <w:rsid w:val="00CB66BC"/>
    <w:rPr>
      <w:rFonts w:ascii="Times New Roman" w:eastAsia="Times New Roman" w:hAnsi="Times New Roman" w:cs="Times New Roman"/>
      <w:b w:val="0"/>
      <w:bCs/>
      <w:sz w:val="27"/>
      <w:szCs w:val="27"/>
      <w:lang w:eastAsia="en-GB"/>
    </w:rPr>
  </w:style>
  <w:style w:type="paragraph" w:customStyle="1" w:styleId="Chapterheadings">
    <w:name w:val="Chapter headings"/>
    <w:basedOn w:val="Normal"/>
    <w:next w:val="Heading1"/>
    <w:link w:val="ChapterheadingsChar"/>
    <w:qFormat/>
    <w:rsid w:val="00400355"/>
    <w:pPr>
      <w:pBdr>
        <w:top w:val="single" w:sz="24" w:space="8" w:color="auto"/>
        <w:bottom w:val="single" w:sz="24" w:space="8" w:color="auto"/>
      </w:pBdr>
      <w:spacing w:after="0"/>
      <w:jc w:val="center"/>
    </w:pPr>
    <w:rPr>
      <w:sz w:val="48"/>
      <w:szCs w:val="48"/>
    </w:rPr>
  </w:style>
  <w:style w:type="character" w:customStyle="1" w:styleId="Heading4Char">
    <w:name w:val="Heading 4 Char"/>
    <w:basedOn w:val="DefaultParagraphFont"/>
    <w:link w:val="Heading4"/>
    <w:uiPriority w:val="9"/>
    <w:rsid w:val="004702B8"/>
    <w:rPr>
      <w:rFonts w:asciiTheme="majorHAnsi" w:eastAsiaTheme="majorEastAsia" w:hAnsiTheme="majorHAnsi" w:cstheme="majorBidi"/>
      <w:i/>
      <w:iCs/>
      <w:color w:val="2F5496" w:themeColor="accent1" w:themeShade="BF"/>
    </w:rPr>
  </w:style>
  <w:style w:type="character" w:customStyle="1" w:styleId="hd4Char">
    <w:name w:val="hd 4 Char"/>
    <w:basedOn w:val="APA33Char"/>
    <w:link w:val="hd4"/>
    <w:rsid w:val="004702B8"/>
    <w:rPr>
      <w:rFonts w:ascii="Times New Roman" w:eastAsia="Times New Roman" w:hAnsi="Times New Roman" w:cs="Times New Roman"/>
      <w:b w:val="0"/>
      <w:bCs/>
      <w:sz w:val="36"/>
      <w:szCs w:val="36"/>
      <w:lang w:eastAsia="en-GB"/>
    </w:rPr>
  </w:style>
  <w:style w:type="paragraph" w:customStyle="1" w:styleId="Mainhead">
    <w:name w:val="Main head"/>
    <w:basedOn w:val="Heading1"/>
    <w:link w:val="MainheadChar"/>
    <w:qFormat/>
    <w:rsid w:val="00746F79"/>
    <w:rPr>
      <w:rFonts w:asciiTheme="minorHAnsi" w:hAnsiTheme="minorHAnsi"/>
      <w:color w:val="auto"/>
      <w:sz w:val="48"/>
    </w:rPr>
  </w:style>
  <w:style w:type="character" w:customStyle="1" w:styleId="ChapterheadingsChar">
    <w:name w:val="Chapter headings Char"/>
    <w:basedOn w:val="DefaultParagraphFont"/>
    <w:link w:val="Chapterheadings"/>
    <w:rsid w:val="00400355"/>
    <w:rPr>
      <w:sz w:val="48"/>
      <w:szCs w:val="48"/>
    </w:rPr>
  </w:style>
  <w:style w:type="paragraph" w:customStyle="1" w:styleId="mainhed">
    <w:name w:val="main hed"/>
    <w:basedOn w:val="Title"/>
    <w:link w:val="mainhedChar"/>
    <w:qFormat/>
    <w:rsid w:val="00746F79"/>
    <w:pPr>
      <w:jc w:val="center"/>
    </w:pPr>
    <w:rPr>
      <w:rFonts w:asciiTheme="minorHAnsi" w:hAnsiTheme="minorHAnsi"/>
      <w:b/>
      <w:sz w:val="48"/>
    </w:rPr>
  </w:style>
  <w:style w:type="character" w:customStyle="1" w:styleId="MainheadChar">
    <w:name w:val="Main head Char"/>
    <w:basedOn w:val="Heading1Char"/>
    <w:link w:val="Mainhead"/>
    <w:rsid w:val="00746F79"/>
    <w:rPr>
      <w:rFonts w:asciiTheme="majorHAnsi" w:eastAsiaTheme="majorEastAsia" w:hAnsiTheme="majorHAnsi" w:cstheme="majorBidi"/>
      <w:b/>
      <w:bCs/>
      <w:color w:val="2F5496" w:themeColor="accent1" w:themeShade="BF"/>
      <w:sz w:val="48"/>
      <w:szCs w:val="28"/>
    </w:rPr>
  </w:style>
  <w:style w:type="paragraph" w:styleId="Title">
    <w:name w:val="Title"/>
    <w:basedOn w:val="Normal"/>
    <w:next w:val="Normal"/>
    <w:link w:val="TitleChar"/>
    <w:uiPriority w:val="10"/>
    <w:qFormat/>
    <w:rsid w:val="00746F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F79"/>
    <w:rPr>
      <w:rFonts w:asciiTheme="majorHAnsi" w:eastAsiaTheme="majorEastAsia" w:hAnsiTheme="majorHAnsi" w:cstheme="majorBidi"/>
      <w:spacing w:val="-10"/>
      <w:kern w:val="28"/>
      <w:sz w:val="56"/>
      <w:szCs w:val="56"/>
    </w:rPr>
  </w:style>
  <w:style w:type="character" w:customStyle="1" w:styleId="mainhedChar">
    <w:name w:val="main hed Char"/>
    <w:basedOn w:val="TitleChar"/>
    <w:link w:val="mainhed"/>
    <w:rsid w:val="00746F79"/>
    <w:rPr>
      <w:rFonts w:asciiTheme="majorHAnsi" w:eastAsiaTheme="majorEastAsia" w:hAnsiTheme="majorHAnsi" w:cstheme="majorBidi"/>
      <w:b/>
      <w:spacing w:val="-10"/>
      <w:kern w:val="28"/>
      <w:sz w:val="48"/>
      <w:szCs w:val="56"/>
    </w:rPr>
  </w:style>
  <w:style w:type="character" w:customStyle="1" w:styleId="normaltextrun">
    <w:name w:val="normaltextrun"/>
    <w:basedOn w:val="DefaultParagraphFont"/>
    <w:rsid w:val="00730501"/>
  </w:style>
  <w:style w:type="character" w:customStyle="1" w:styleId="mn">
    <w:name w:val="mn"/>
    <w:basedOn w:val="DefaultParagraphFont"/>
    <w:rsid w:val="00730501"/>
  </w:style>
  <w:style w:type="character" w:customStyle="1" w:styleId="mjxassistivemathml">
    <w:name w:val="mjx_assistive_mathml"/>
    <w:basedOn w:val="DefaultParagraphFont"/>
    <w:rsid w:val="00730501"/>
  </w:style>
  <w:style w:type="character" w:customStyle="1" w:styleId="mi">
    <w:name w:val="mi"/>
    <w:basedOn w:val="DefaultParagraphFont"/>
    <w:rsid w:val="00730501"/>
  </w:style>
  <w:style w:type="character" w:styleId="PlaceholderText">
    <w:name w:val="Placeholder Text"/>
    <w:basedOn w:val="DefaultParagraphFont"/>
    <w:uiPriority w:val="99"/>
    <w:semiHidden/>
    <w:rsid w:val="00730501"/>
    <w:rPr>
      <w:color w:val="808080"/>
    </w:rPr>
  </w:style>
  <w:style w:type="character" w:customStyle="1" w:styleId="title-text">
    <w:name w:val="title-text"/>
    <w:basedOn w:val="DefaultParagraphFont"/>
    <w:rsid w:val="00730501"/>
  </w:style>
  <w:style w:type="character" w:customStyle="1" w:styleId="ref-lnk">
    <w:name w:val="ref-lnk"/>
    <w:basedOn w:val="DefaultParagraphFont"/>
    <w:rsid w:val="00730501"/>
  </w:style>
  <w:style w:type="character" w:customStyle="1" w:styleId="gl9hy">
    <w:name w:val="gl9hy"/>
    <w:basedOn w:val="DefaultParagraphFont"/>
    <w:rsid w:val="004642E1"/>
  </w:style>
  <w:style w:type="character" w:customStyle="1" w:styleId="hlfld-title">
    <w:name w:val="hlfld-title"/>
    <w:basedOn w:val="DefaultParagraphFont"/>
    <w:rsid w:val="004642E1"/>
  </w:style>
  <w:style w:type="character" w:customStyle="1" w:styleId="singlehighlightclass">
    <w:name w:val="single_highlight_class"/>
    <w:basedOn w:val="DefaultParagraphFont"/>
    <w:rsid w:val="004642E1"/>
  </w:style>
  <w:style w:type="character" w:customStyle="1" w:styleId="example">
    <w:name w:val="example"/>
    <w:basedOn w:val="DefaultParagraphFont"/>
    <w:rsid w:val="004642E1"/>
  </w:style>
  <w:style w:type="paragraph" w:styleId="TOC4">
    <w:name w:val="toc 4"/>
    <w:basedOn w:val="Normal"/>
    <w:next w:val="Normal"/>
    <w:autoRedefine/>
    <w:uiPriority w:val="39"/>
    <w:unhideWhenUsed/>
    <w:rsid w:val="00AB5B5A"/>
    <w:pPr>
      <w:spacing w:after="100"/>
      <w:ind w:left="660"/>
    </w:pPr>
    <w:rPr>
      <w:rFonts w:eastAsiaTheme="minorEastAsia"/>
      <w:lang w:eastAsia="en-GB"/>
    </w:rPr>
  </w:style>
  <w:style w:type="paragraph" w:styleId="TOC5">
    <w:name w:val="toc 5"/>
    <w:basedOn w:val="Normal"/>
    <w:next w:val="Normal"/>
    <w:autoRedefine/>
    <w:uiPriority w:val="39"/>
    <w:unhideWhenUsed/>
    <w:rsid w:val="00AB5B5A"/>
    <w:pPr>
      <w:spacing w:after="100"/>
      <w:ind w:left="880"/>
    </w:pPr>
    <w:rPr>
      <w:rFonts w:eastAsiaTheme="minorEastAsia"/>
      <w:lang w:eastAsia="en-GB"/>
    </w:rPr>
  </w:style>
  <w:style w:type="paragraph" w:styleId="TOC6">
    <w:name w:val="toc 6"/>
    <w:basedOn w:val="Normal"/>
    <w:next w:val="Normal"/>
    <w:autoRedefine/>
    <w:uiPriority w:val="39"/>
    <w:unhideWhenUsed/>
    <w:rsid w:val="00AB5B5A"/>
    <w:pPr>
      <w:spacing w:after="100"/>
      <w:ind w:left="1100"/>
    </w:pPr>
    <w:rPr>
      <w:rFonts w:eastAsiaTheme="minorEastAsia"/>
      <w:lang w:eastAsia="en-GB"/>
    </w:rPr>
  </w:style>
  <w:style w:type="paragraph" w:styleId="TOC7">
    <w:name w:val="toc 7"/>
    <w:basedOn w:val="Normal"/>
    <w:next w:val="Normal"/>
    <w:autoRedefine/>
    <w:uiPriority w:val="39"/>
    <w:unhideWhenUsed/>
    <w:rsid w:val="00AB5B5A"/>
    <w:pPr>
      <w:spacing w:after="100"/>
      <w:ind w:left="1320"/>
    </w:pPr>
    <w:rPr>
      <w:rFonts w:eastAsiaTheme="minorEastAsia"/>
      <w:lang w:eastAsia="en-GB"/>
    </w:rPr>
  </w:style>
  <w:style w:type="paragraph" w:styleId="TOC8">
    <w:name w:val="toc 8"/>
    <w:basedOn w:val="Normal"/>
    <w:next w:val="Normal"/>
    <w:autoRedefine/>
    <w:uiPriority w:val="39"/>
    <w:unhideWhenUsed/>
    <w:rsid w:val="00AB5B5A"/>
    <w:pPr>
      <w:spacing w:after="100"/>
      <w:ind w:left="1540"/>
    </w:pPr>
    <w:rPr>
      <w:rFonts w:eastAsiaTheme="minorEastAsia"/>
      <w:lang w:eastAsia="en-GB"/>
    </w:rPr>
  </w:style>
  <w:style w:type="paragraph" w:styleId="TOC9">
    <w:name w:val="toc 9"/>
    <w:basedOn w:val="Normal"/>
    <w:next w:val="Normal"/>
    <w:autoRedefine/>
    <w:uiPriority w:val="39"/>
    <w:unhideWhenUsed/>
    <w:rsid w:val="00AB5B5A"/>
    <w:pPr>
      <w:spacing w:after="100"/>
      <w:ind w:left="1760"/>
    </w:pPr>
    <w:rPr>
      <w:rFonts w:eastAsiaTheme="minorEastAsia"/>
      <w:lang w:eastAsia="en-GB"/>
    </w:rPr>
  </w:style>
  <w:style w:type="paragraph" w:customStyle="1" w:styleId="mb15">
    <w:name w:val="mb15"/>
    <w:basedOn w:val="Normal"/>
    <w:rsid w:val="00795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bel">
    <w:name w:val="label"/>
    <w:basedOn w:val="DefaultParagraphFont"/>
    <w:rsid w:val="00795693"/>
  </w:style>
  <w:style w:type="paragraph" w:styleId="PlainText">
    <w:name w:val="Plain Text"/>
    <w:basedOn w:val="Normal"/>
    <w:link w:val="PlainTextChar"/>
    <w:uiPriority w:val="99"/>
    <w:rsid w:val="00572E3D"/>
    <w:pPr>
      <w:spacing w:after="0" w:line="240" w:lineRule="auto"/>
    </w:pPr>
    <w:rPr>
      <w:rFonts w:ascii="Courier New" w:eastAsia="Times New Roman" w:hAnsi="Courier New" w:cs="Times New Roman"/>
      <w:sz w:val="20"/>
      <w:szCs w:val="20"/>
      <w:lang w:eastAsia="en-GB"/>
    </w:rPr>
  </w:style>
  <w:style w:type="character" w:customStyle="1" w:styleId="PlainTextChar">
    <w:name w:val="Plain Text Char"/>
    <w:basedOn w:val="DefaultParagraphFont"/>
    <w:link w:val="PlainText"/>
    <w:uiPriority w:val="99"/>
    <w:rsid w:val="00572E3D"/>
    <w:rPr>
      <w:rFonts w:ascii="Courier New" w:eastAsia="Times New Roman" w:hAnsi="Courier New" w:cs="Times New Roman"/>
      <w:sz w:val="20"/>
      <w:szCs w:val="20"/>
      <w:lang w:eastAsia="en-GB"/>
    </w:rPr>
  </w:style>
  <w:style w:type="table" w:customStyle="1" w:styleId="PlainTable12">
    <w:name w:val="Plain Table 12"/>
    <w:basedOn w:val="TableNormal"/>
    <w:uiPriority w:val="41"/>
    <w:rsid w:val="00572E3D"/>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572E3D"/>
    <w:rPr>
      <w:i/>
      <w:iCs/>
      <w:color w:val="404040" w:themeColor="text1" w:themeTint="BF"/>
    </w:rPr>
  </w:style>
  <w:style w:type="paragraph" w:customStyle="1" w:styleId="APPA">
    <w:name w:val="APPA"/>
    <w:basedOn w:val="Heading1"/>
    <w:link w:val="APPAChar"/>
    <w:qFormat/>
    <w:rsid w:val="00572E3D"/>
    <w:pPr>
      <w:spacing w:before="240" w:line="259" w:lineRule="auto"/>
    </w:pPr>
    <w:rPr>
      <w:bCs w:val="0"/>
      <w:szCs w:val="32"/>
    </w:rPr>
  </w:style>
  <w:style w:type="character" w:customStyle="1" w:styleId="APPAChar">
    <w:name w:val="APPA Char"/>
    <w:basedOn w:val="Heading1Char"/>
    <w:link w:val="APPA"/>
    <w:rsid w:val="00572E3D"/>
    <w:rPr>
      <w:rFonts w:asciiTheme="majorHAnsi" w:eastAsiaTheme="majorEastAsia" w:hAnsiTheme="majorHAnsi" w:cstheme="majorBidi"/>
      <w:b/>
      <w:bCs w:val="0"/>
      <w:color w:val="2F5496" w:themeColor="accent1" w:themeShade="BF"/>
      <w:sz w:val="28"/>
      <w:szCs w:val="32"/>
    </w:rPr>
  </w:style>
  <w:style w:type="paragraph" w:customStyle="1" w:styleId="appppppp">
    <w:name w:val="appppppp"/>
    <w:basedOn w:val="Heading2"/>
    <w:link w:val="apppppppChar"/>
    <w:qFormat/>
    <w:rsid w:val="00572E3D"/>
    <w:pPr>
      <w:keepNext/>
      <w:keepLines/>
      <w:tabs>
        <w:tab w:val="right" w:leader="dot" w:pos="4149"/>
      </w:tabs>
      <w:spacing w:before="40" w:beforeAutospacing="0" w:after="0" w:afterAutospacing="0" w:line="259" w:lineRule="auto"/>
    </w:pPr>
    <w:rPr>
      <w:rFonts w:eastAsiaTheme="majorEastAsia" w:cstheme="majorBidi"/>
      <w:bCs w:val="0"/>
      <w:noProof/>
      <w:szCs w:val="26"/>
    </w:rPr>
  </w:style>
  <w:style w:type="character" w:customStyle="1" w:styleId="apppppppChar">
    <w:name w:val="appppppp Char"/>
    <w:basedOn w:val="Heading2Char"/>
    <w:link w:val="appppppp"/>
    <w:rsid w:val="00572E3D"/>
    <w:rPr>
      <w:rFonts w:ascii="Times New Roman" w:eastAsiaTheme="majorEastAsia" w:hAnsi="Times New Roman" w:cstheme="majorBidi"/>
      <w:b/>
      <w:bCs w:val="0"/>
      <w:noProof/>
      <w:sz w:val="36"/>
      <w:szCs w:val="26"/>
      <w:lang w:eastAsia="en-GB"/>
    </w:rPr>
  </w:style>
  <w:style w:type="paragraph" w:customStyle="1" w:styleId="Style1">
    <w:name w:val="Style1"/>
    <w:basedOn w:val="appppppp"/>
    <w:next w:val="TOC2"/>
    <w:link w:val="Style1Char"/>
    <w:qFormat/>
    <w:rsid w:val="00572E3D"/>
  </w:style>
  <w:style w:type="paragraph" w:customStyle="1" w:styleId="Style2">
    <w:name w:val="Style2"/>
    <w:basedOn w:val="appppppp"/>
    <w:next w:val="TOC2"/>
    <w:link w:val="Style2Char"/>
    <w:qFormat/>
    <w:rsid w:val="00572E3D"/>
  </w:style>
  <w:style w:type="character" w:customStyle="1" w:styleId="Style1Char">
    <w:name w:val="Style1 Char"/>
    <w:basedOn w:val="apppppppChar"/>
    <w:link w:val="Style1"/>
    <w:rsid w:val="00572E3D"/>
    <w:rPr>
      <w:rFonts w:ascii="Times New Roman" w:eastAsiaTheme="majorEastAsia" w:hAnsi="Times New Roman" w:cstheme="majorBidi"/>
      <w:b/>
      <w:bCs w:val="0"/>
      <w:noProof/>
      <w:sz w:val="36"/>
      <w:szCs w:val="26"/>
      <w:lang w:eastAsia="en-GB"/>
    </w:rPr>
  </w:style>
  <w:style w:type="paragraph" w:customStyle="1" w:styleId="Style3">
    <w:name w:val="Style3"/>
    <w:basedOn w:val="appppppp"/>
    <w:next w:val="TOC2"/>
    <w:link w:val="Style3Char"/>
    <w:qFormat/>
    <w:rsid w:val="00572E3D"/>
  </w:style>
  <w:style w:type="character" w:customStyle="1" w:styleId="Style2Char">
    <w:name w:val="Style2 Char"/>
    <w:basedOn w:val="apppppppChar"/>
    <w:link w:val="Style2"/>
    <w:rsid w:val="00572E3D"/>
    <w:rPr>
      <w:rFonts w:ascii="Times New Roman" w:eastAsiaTheme="majorEastAsia" w:hAnsi="Times New Roman" w:cstheme="majorBidi"/>
      <w:b/>
      <w:bCs w:val="0"/>
      <w:noProof/>
      <w:sz w:val="36"/>
      <w:szCs w:val="26"/>
      <w:lang w:eastAsia="en-GB"/>
    </w:rPr>
  </w:style>
  <w:style w:type="paragraph" w:customStyle="1" w:styleId="Style4">
    <w:name w:val="Style4"/>
    <w:basedOn w:val="appppppp"/>
    <w:next w:val="TOC2"/>
    <w:link w:val="Style4Char"/>
    <w:qFormat/>
    <w:rsid w:val="00572E3D"/>
  </w:style>
  <w:style w:type="character" w:customStyle="1" w:styleId="Style3Char">
    <w:name w:val="Style3 Char"/>
    <w:basedOn w:val="apppppppChar"/>
    <w:link w:val="Style3"/>
    <w:rsid w:val="00572E3D"/>
    <w:rPr>
      <w:rFonts w:ascii="Times New Roman" w:eastAsiaTheme="majorEastAsia" w:hAnsi="Times New Roman" w:cstheme="majorBidi"/>
      <w:b/>
      <w:bCs w:val="0"/>
      <w:noProof/>
      <w:sz w:val="36"/>
      <w:szCs w:val="26"/>
      <w:lang w:eastAsia="en-GB"/>
    </w:rPr>
  </w:style>
  <w:style w:type="paragraph" w:customStyle="1" w:styleId="Style5">
    <w:name w:val="Style5"/>
    <w:basedOn w:val="appppppp"/>
    <w:next w:val="TOC2"/>
    <w:link w:val="Style5Char"/>
    <w:qFormat/>
    <w:rsid w:val="00572E3D"/>
  </w:style>
  <w:style w:type="character" w:customStyle="1" w:styleId="Style4Char">
    <w:name w:val="Style4 Char"/>
    <w:basedOn w:val="apppppppChar"/>
    <w:link w:val="Style4"/>
    <w:rsid w:val="00572E3D"/>
    <w:rPr>
      <w:rFonts w:ascii="Times New Roman" w:eastAsiaTheme="majorEastAsia" w:hAnsi="Times New Roman" w:cstheme="majorBidi"/>
      <w:b/>
      <w:bCs w:val="0"/>
      <w:noProof/>
      <w:sz w:val="36"/>
      <w:szCs w:val="26"/>
      <w:lang w:eastAsia="en-GB"/>
    </w:rPr>
  </w:style>
  <w:style w:type="paragraph" w:customStyle="1" w:styleId="Style6">
    <w:name w:val="Style6"/>
    <w:basedOn w:val="appppppp"/>
    <w:next w:val="TOC2"/>
    <w:link w:val="Style6Char"/>
    <w:qFormat/>
    <w:rsid w:val="00572E3D"/>
  </w:style>
  <w:style w:type="character" w:customStyle="1" w:styleId="Style5Char">
    <w:name w:val="Style5 Char"/>
    <w:basedOn w:val="apppppppChar"/>
    <w:link w:val="Style5"/>
    <w:rsid w:val="00572E3D"/>
    <w:rPr>
      <w:rFonts w:ascii="Times New Roman" w:eastAsiaTheme="majorEastAsia" w:hAnsi="Times New Roman" w:cstheme="majorBidi"/>
      <w:b/>
      <w:bCs w:val="0"/>
      <w:noProof/>
      <w:sz w:val="36"/>
      <w:szCs w:val="26"/>
      <w:lang w:eastAsia="en-GB"/>
    </w:rPr>
  </w:style>
  <w:style w:type="paragraph" w:customStyle="1" w:styleId="Style7">
    <w:name w:val="Style7"/>
    <w:basedOn w:val="appppppp"/>
    <w:next w:val="TOC2"/>
    <w:link w:val="Style7Char"/>
    <w:qFormat/>
    <w:rsid w:val="00572E3D"/>
  </w:style>
  <w:style w:type="character" w:customStyle="1" w:styleId="Style6Char">
    <w:name w:val="Style6 Char"/>
    <w:basedOn w:val="apppppppChar"/>
    <w:link w:val="Style6"/>
    <w:rsid w:val="00572E3D"/>
    <w:rPr>
      <w:rFonts w:ascii="Times New Roman" w:eastAsiaTheme="majorEastAsia" w:hAnsi="Times New Roman" w:cstheme="majorBidi"/>
      <w:b/>
      <w:bCs w:val="0"/>
      <w:noProof/>
      <w:sz w:val="36"/>
      <w:szCs w:val="26"/>
      <w:lang w:eastAsia="en-GB"/>
    </w:rPr>
  </w:style>
  <w:style w:type="paragraph" w:customStyle="1" w:styleId="Style8">
    <w:name w:val="Style8"/>
    <w:basedOn w:val="appppppp"/>
    <w:next w:val="TOC2"/>
    <w:link w:val="Style8Char"/>
    <w:qFormat/>
    <w:rsid w:val="00572E3D"/>
  </w:style>
  <w:style w:type="character" w:customStyle="1" w:styleId="Style7Char">
    <w:name w:val="Style7 Char"/>
    <w:basedOn w:val="apppppppChar"/>
    <w:link w:val="Style7"/>
    <w:rsid w:val="00572E3D"/>
    <w:rPr>
      <w:rFonts w:ascii="Times New Roman" w:eastAsiaTheme="majorEastAsia" w:hAnsi="Times New Roman" w:cstheme="majorBidi"/>
      <w:b/>
      <w:bCs w:val="0"/>
      <w:noProof/>
      <w:sz w:val="36"/>
      <w:szCs w:val="26"/>
      <w:lang w:eastAsia="en-GB"/>
    </w:rPr>
  </w:style>
  <w:style w:type="paragraph" w:customStyle="1" w:styleId="Style9">
    <w:name w:val="Style9"/>
    <w:basedOn w:val="appppppp"/>
    <w:next w:val="TOC2"/>
    <w:link w:val="Style9Char"/>
    <w:qFormat/>
    <w:rsid w:val="00572E3D"/>
  </w:style>
  <w:style w:type="character" w:customStyle="1" w:styleId="Style8Char">
    <w:name w:val="Style8 Char"/>
    <w:basedOn w:val="apppppppChar"/>
    <w:link w:val="Style8"/>
    <w:rsid w:val="00572E3D"/>
    <w:rPr>
      <w:rFonts w:ascii="Times New Roman" w:eastAsiaTheme="majorEastAsia" w:hAnsi="Times New Roman" w:cstheme="majorBidi"/>
      <w:b/>
      <w:bCs w:val="0"/>
      <w:noProof/>
      <w:sz w:val="36"/>
      <w:szCs w:val="26"/>
      <w:lang w:eastAsia="en-GB"/>
    </w:rPr>
  </w:style>
  <w:style w:type="paragraph" w:customStyle="1" w:styleId="Style10">
    <w:name w:val="Style10"/>
    <w:basedOn w:val="Style9"/>
    <w:next w:val="TOC2"/>
    <w:link w:val="Style10Char"/>
    <w:qFormat/>
    <w:rsid w:val="00572E3D"/>
  </w:style>
  <w:style w:type="character" w:customStyle="1" w:styleId="Style9Char">
    <w:name w:val="Style9 Char"/>
    <w:basedOn w:val="apppppppChar"/>
    <w:link w:val="Style9"/>
    <w:rsid w:val="00572E3D"/>
    <w:rPr>
      <w:rFonts w:ascii="Times New Roman" w:eastAsiaTheme="majorEastAsia" w:hAnsi="Times New Roman" w:cstheme="majorBidi"/>
      <w:b/>
      <w:bCs w:val="0"/>
      <w:noProof/>
      <w:sz w:val="36"/>
      <w:szCs w:val="26"/>
      <w:lang w:eastAsia="en-GB"/>
    </w:rPr>
  </w:style>
  <w:style w:type="paragraph" w:customStyle="1" w:styleId="Style11">
    <w:name w:val="Style11"/>
    <w:basedOn w:val="appppppp"/>
    <w:next w:val="TOC2"/>
    <w:link w:val="Style11Char"/>
    <w:qFormat/>
    <w:rsid w:val="00572E3D"/>
  </w:style>
  <w:style w:type="character" w:customStyle="1" w:styleId="Style10Char">
    <w:name w:val="Style10 Char"/>
    <w:basedOn w:val="Style9Char"/>
    <w:link w:val="Style10"/>
    <w:rsid w:val="00572E3D"/>
    <w:rPr>
      <w:rFonts w:ascii="Times New Roman" w:eastAsiaTheme="majorEastAsia" w:hAnsi="Times New Roman" w:cstheme="majorBidi"/>
      <w:b/>
      <w:bCs w:val="0"/>
      <w:noProof/>
      <w:sz w:val="36"/>
      <w:szCs w:val="26"/>
      <w:lang w:eastAsia="en-GB"/>
    </w:rPr>
  </w:style>
  <w:style w:type="paragraph" w:customStyle="1" w:styleId="Style12">
    <w:name w:val="Style12"/>
    <w:basedOn w:val="appppppp"/>
    <w:next w:val="TOC2"/>
    <w:link w:val="Style12Char"/>
    <w:qFormat/>
    <w:rsid w:val="00572E3D"/>
  </w:style>
  <w:style w:type="character" w:customStyle="1" w:styleId="Style11Char">
    <w:name w:val="Style11 Char"/>
    <w:basedOn w:val="apppppppChar"/>
    <w:link w:val="Style11"/>
    <w:rsid w:val="00572E3D"/>
    <w:rPr>
      <w:rFonts w:ascii="Times New Roman" w:eastAsiaTheme="majorEastAsia" w:hAnsi="Times New Roman" w:cstheme="majorBidi"/>
      <w:b/>
      <w:bCs w:val="0"/>
      <w:noProof/>
      <w:sz w:val="36"/>
      <w:szCs w:val="26"/>
      <w:lang w:eastAsia="en-GB"/>
    </w:rPr>
  </w:style>
  <w:style w:type="paragraph" w:customStyle="1" w:styleId="Style13">
    <w:name w:val="Style13"/>
    <w:basedOn w:val="appppppp"/>
    <w:next w:val="TOC2"/>
    <w:link w:val="Style13Char"/>
    <w:qFormat/>
    <w:rsid w:val="00572E3D"/>
  </w:style>
  <w:style w:type="character" w:customStyle="1" w:styleId="Style12Char">
    <w:name w:val="Style12 Char"/>
    <w:basedOn w:val="apppppppChar"/>
    <w:link w:val="Style12"/>
    <w:rsid w:val="00572E3D"/>
    <w:rPr>
      <w:rFonts w:ascii="Times New Roman" w:eastAsiaTheme="majorEastAsia" w:hAnsi="Times New Roman" w:cstheme="majorBidi"/>
      <w:b/>
      <w:bCs w:val="0"/>
      <w:noProof/>
      <w:sz w:val="36"/>
      <w:szCs w:val="26"/>
      <w:lang w:eastAsia="en-GB"/>
    </w:rPr>
  </w:style>
  <w:style w:type="paragraph" w:customStyle="1" w:styleId="Style14">
    <w:name w:val="Style14"/>
    <w:basedOn w:val="appppppp"/>
    <w:next w:val="TOC2"/>
    <w:link w:val="Style14Char"/>
    <w:qFormat/>
    <w:rsid w:val="00572E3D"/>
  </w:style>
  <w:style w:type="character" w:customStyle="1" w:styleId="Style13Char">
    <w:name w:val="Style13 Char"/>
    <w:basedOn w:val="apppppppChar"/>
    <w:link w:val="Style13"/>
    <w:rsid w:val="00572E3D"/>
    <w:rPr>
      <w:rFonts w:ascii="Times New Roman" w:eastAsiaTheme="majorEastAsia" w:hAnsi="Times New Roman" w:cstheme="majorBidi"/>
      <w:b/>
      <w:bCs w:val="0"/>
      <w:noProof/>
      <w:sz w:val="36"/>
      <w:szCs w:val="26"/>
      <w:lang w:eastAsia="en-GB"/>
    </w:rPr>
  </w:style>
  <w:style w:type="paragraph" w:customStyle="1" w:styleId="Style15">
    <w:name w:val="Style15"/>
    <w:basedOn w:val="appppppp"/>
    <w:next w:val="TOC2"/>
    <w:link w:val="Style15Char"/>
    <w:qFormat/>
    <w:rsid w:val="00572E3D"/>
  </w:style>
  <w:style w:type="character" w:customStyle="1" w:styleId="Style14Char">
    <w:name w:val="Style14 Char"/>
    <w:basedOn w:val="apppppppChar"/>
    <w:link w:val="Style14"/>
    <w:rsid w:val="00572E3D"/>
    <w:rPr>
      <w:rFonts w:ascii="Times New Roman" w:eastAsiaTheme="majorEastAsia" w:hAnsi="Times New Roman" w:cstheme="majorBidi"/>
      <w:b/>
      <w:bCs w:val="0"/>
      <w:noProof/>
      <w:sz w:val="36"/>
      <w:szCs w:val="26"/>
      <w:lang w:eastAsia="en-GB"/>
    </w:rPr>
  </w:style>
  <w:style w:type="paragraph" w:customStyle="1" w:styleId="Style16">
    <w:name w:val="Style16"/>
    <w:basedOn w:val="appppppp"/>
    <w:next w:val="TOC2"/>
    <w:link w:val="Style16Char"/>
    <w:qFormat/>
    <w:rsid w:val="00572E3D"/>
  </w:style>
  <w:style w:type="character" w:customStyle="1" w:styleId="Style15Char">
    <w:name w:val="Style15 Char"/>
    <w:basedOn w:val="apppppppChar"/>
    <w:link w:val="Style15"/>
    <w:rsid w:val="00572E3D"/>
    <w:rPr>
      <w:rFonts w:ascii="Times New Roman" w:eastAsiaTheme="majorEastAsia" w:hAnsi="Times New Roman" w:cstheme="majorBidi"/>
      <w:b/>
      <w:bCs w:val="0"/>
      <w:noProof/>
      <w:sz w:val="36"/>
      <w:szCs w:val="26"/>
      <w:lang w:eastAsia="en-GB"/>
    </w:rPr>
  </w:style>
  <w:style w:type="paragraph" w:customStyle="1" w:styleId="Style17">
    <w:name w:val="Style17"/>
    <w:basedOn w:val="appppppp"/>
    <w:next w:val="TOC2"/>
    <w:link w:val="Style17Char"/>
    <w:qFormat/>
    <w:rsid w:val="00572E3D"/>
  </w:style>
  <w:style w:type="character" w:customStyle="1" w:styleId="Style16Char">
    <w:name w:val="Style16 Char"/>
    <w:basedOn w:val="apppppppChar"/>
    <w:link w:val="Style16"/>
    <w:rsid w:val="00572E3D"/>
    <w:rPr>
      <w:rFonts w:ascii="Times New Roman" w:eastAsiaTheme="majorEastAsia" w:hAnsi="Times New Roman" w:cstheme="majorBidi"/>
      <w:b/>
      <w:bCs w:val="0"/>
      <w:noProof/>
      <w:sz w:val="36"/>
      <w:szCs w:val="26"/>
      <w:lang w:eastAsia="en-GB"/>
    </w:rPr>
  </w:style>
  <w:style w:type="paragraph" w:customStyle="1" w:styleId="Style18">
    <w:name w:val="Style18"/>
    <w:basedOn w:val="appppppp"/>
    <w:next w:val="TOC2"/>
    <w:link w:val="Style18Char"/>
    <w:qFormat/>
    <w:rsid w:val="00572E3D"/>
  </w:style>
  <w:style w:type="character" w:customStyle="1" w:styleId="Style17Char">
    <w:name w:val="Style17 Char"/>
    <w:basedOn w:val="apppppppChar"/>
    <w:link w:val="Style17"/>
    <w:rsid w:val="00572E3D"/>
    <w:rPr>
      <w:rFonts w:ascii="Times New Roman" w:eastAsiaTheme="majorEastAsia" w:hAnsi="Times New Roman" w:cstheme="majorBidi"/>
      <w:b/>
      <w:bCs w:val="0"/>
      <w:noProof/>
      <w:sz w:val="36"/>
      <w:szCs w:val="26"/>
      <w:lang w:eastAsia="en-GB"/>
    </w:rPr>
  </w:style>
  <w:style w:type="paragraph" w:customStyle="1" w:styleId="Style19">
    <w:name w:val="Style19"/>
    <w:basedOn w:val="appppppp"/>
    <w:next w:val="TOC2"/>
    <w:link w:val="Style19Char"/>
    <w:qFormat/>
    <w:rsid w:val="00572E3D"/>
  </w:style>
  <w:style w:type="character" w:customStyle="1" w:styleId="Style18Char">
    <w:name w:val="Style18 Char"/>
    <w:basedOn w:val="apppppppChar"/>
    <w:link w:val="Style18"/>
    <w:rsid w:val="00572E3D"/>
    <w:rPr>
      <w:rFonts w:ascii="Times New Roman" w:eastAsiaTheme="majorEastAsia" w:hAnsi="Times New Roman" w:cstheme="majorBidi"/>
      <w:b/>
      <w:bCs w:val="0"/>
      <w:noProof/>
      <w:sz w:val="36"/>
      <w:szCs w:val="26"/>
      <w:lang w:eastAsia="en-GB"/>
    </w:rPr>
  </w:style>
  <w:style w:type="paragraph" w:customStyle="1" w:styleId="Style20">
    <w:name w:val="Style20"/>
    <w:basedOn w:val="appppppp"/>
    <w:next w:val="TOC2"/>
    <w:link w:val="Style20Char"/>
    <w:qFormat/>
    <w:rsid w:val="00572E3D"/>
  </w:style>
  <w:style w:type="character" w:customStyle="1" w:styleId="Style19Char">
    <w:name w:val="Style19 Char"/>
    <w:basedOn w:val="apppppppChar"/>
    <w:link w:val="Style19"/>
    <w:rsid w:val="00572E3D"/>
    <w:rPr>
      <w:rFonts w:ascii="Times New Roman" w:eastAsiaTheme="majorEastAsia" w:hAnsi="Times New Roman" w:cstheme="majorBidi"/>
      <w:b/>
      <w:bCs w:val="0"/>
      <w:noProof/>
      <w:sz w:val="36"/>
      <w:szCs w:val="26"/>
      <w:lang w:eastAsia="en-GB"/>
    </w:rPr>
  </w:style>
  <w:style w:type="paragraph" w:customStyle="1" w:styleId="Style21">
    <w:name w:val="Style21"/>
    <w:basedOn w:val="appppppp"/>
    <w:next w:val="TOC2"/>
    <w:link w:val="Style21Char"/>
    <w:qFormat/>
    <w:rsid w:val="00572E3D"/>
  </w:style>
  <w:style w:type="character" w:customStyle="1" w:styleId="Style20Char">
    <w:name w:val="Style20 Char"/>
    <w:basedOn w:val="apppppppChar"/>
    <w:link w:val="Style20"/>
    <w:rsid w:val="00572E3D"/>
    <w:rPr>
      <w:rFonts w:ascii="Times New Roman" w:eastAsiaTheme="majorEastAsia" w:hAnsi="Times New Roman" w:cstheme="majorBidi"/>
      <w:b/>
      <w:bCs w:val="0"/>
      <w:noProof/>
      <w:sz w:val="36"/>
      <w:szCs w:val="26"/>
      <w:lang w:eastAsia="en-GB"/>
    </w:rPr>
  </w:style>
  <w:style w:type="paragraph" w:customStyle="1" w:styleId="Style22">
    <w:name w:val="Style22"/>
    <w:basedOn w:val="appppppp"/>
    <w:next w:val="TOC2"/>
    <w:link w:val="Style22Char"/>
    <w:qFormat/>
    <w:rsid w:val="00572E3D"/>
  </w:style>
  <w:style w:type="character" w:customStyle="1" w:styleId="Style21Char">
    <w:name w:val="Style21 Char"/>
    <w:basedOn w:val="apppppppChar"/>
    <w:link w:val="Style21"/>
    <w:rsid w:val="00572E3D"/>
    <w:rPr>
      <w:rFonts w:ascii="Times New Roman" w:eastAsiaTheme="majorEastAsia" w:hAnsi="Times New Roman" w:cstheme="majorBidi"/>
      <w:b/>
      <w:bCs w:val="0"/>
      <w:noProof/>
      <w:sz w:val="36"/>
      <w:szCs w:val="26"/>
      <w:lang w:eastAsia="en-GB"/>
    </w:rPr>
  </w:style>
  <w:style w:type="paragraph" w:customStyle="1" w:styleId="Style23">
    <w:name w:val="Style23"/>
    <w:basedOn w:val="appppppp"/>
    <w:next w:val="TOC3"/>
    <w:link w:val="Style23Char"/>
    <w:qFormat/>
    <w:rsid w:val="00572E3D"/>
  </w:style>
  <w:style w:type="character" w:customStyle="1" w:styleId="Style22Char">
    <w:name w:val="Style22 Char"/>
    <w:basedOn w:val="apppppppChar"/>
    <w:link w:val="Style22"/>
    <w:rsid w:val="00572E3D"/>
    <w:rPr>
      <w:rFonts w:ascii="Times New Roman" w:eastAsiaTheme="majorEastAsia" w:hAnsi="Times New Roman" w:cstheme="majorBidi"/>
      <w:b/>
      <w:bCs w:val="0"/>
      <w:noProof/>
      <w:sz w:val="36"/>
      <w:szCs w:val="26"/>
      <w:lang w:eastAsia="en-GB"/>
    </w:rPr>
  </w:style>
  <w:style w:type="paragraph" w:customStyle="1" w:styleId="Style24">
    <w:name w:val="Style24"/>
    <w:basedOn w:val="appppppp"/>
    <w:next w:val="TOC2"/>
    <w:link w:val="Style24Char"/>
    <w:qFormat/>
    <w:rsid w:val="00572E3D"/>
  </w:style>
  <w:style w:type="character" w:customStyle="1" w:styleId="Style23Char">
    <w:name w:val="Style23 Char"/>
    <w:basedOn w:val="apppppppChar"/>
    <w:link w:val="Style23"/>
    <w:rsid w:val="00572E3D"/>
    <w:rPr>
      <w:rFonts w:ascii="Times New Roman" w:eastAsiaTheme="majorEastAsia" w:hAnsi="Times New Roman" w:cstheme="majorBidi"/>
      <w:b/>
      <w:bCs w:val="0"/>
      <w:noProof/>
      <w:sz w:val="36"/>
      <w:szCs w:val="26"/>
      <w:lang w:eastAsia="en-GB"/>
    </w:rPr>
  </w:style>
  <w:style w:type="paragraph" w:customStyle="1" w:styleId="Style25">
    <w:name w:val="Style25"/>
    <w:basedOn w:val="appppppp"/>
    <w:next w:val="TOC2"/>
    <w:link w:val="Style25Char"/>
    <w:qFormat/>
    <w:rsid w:val="00572E3D"/>
  </w:style>
  <w:style w:type="character" w:customStyle="1" w:styleId="Style24Char">
    <w:name w:val="Style24 Char"/>
    <w:basedOn w:val="apppppppChar"/>
    <w:link w:val="Style24"/>
    <w:rsid w:val="00572E3D"/>
    <w:rPr>
      <w:rFonts w:ascii="Times New Roman" w:eastAsiaTheme="majorEastAsia" w:hAnsi="Times New Roman" w:cstheme="majorBidi"/>
      <w:b/>
      <w:bCs w:val="0"/>
      <w:noProof/>
      <w:sz w:val="36"/>
      <w:szCs w:val="26"/>
      <w:lang w:eastAsia="en-GB"/>
    </w:rPr>
  </w:style>
  <w:style w:type="paragraph" w:customStyle="1" w:styleId="Style26">
    <w:name w:val="Style26"/>
    <w:basedOn w:val="appppppp"/>
    <w:next w:val="TOC2"/>
    <w:link w:val="Style26Char"/>
    <w:qFormat/>
    <w:rsid w:val="00572E3D"/>
  </w:style>
  <w:style w:type="character" w:customStyle="1" w:styleId="Style25Char">
    <w:name w:val="Style25 Char"/>
    <w:basedOn w:val="apppppppChar"/>
    <w:link w:val="Style25"/>
    <w:rsid w:val="00572E3D"/>
    <w:rPr>
      <w:rFonts w:ascii="Times New Roman" w:eastAsiaTheme="majorEastAsia" w:hAnsi="Times New Roman" w:cstheme="majorBidi"/>
      <w:b/>
      <w:bCs w:val="0"/>
      <w:noProof/>
      <w:sz w:val="36"/>
      <w:szCs w:val="26"/>
      <w:lang w:eastAsia="en-GB"/>
    </w:rPr>
  </w:style>
  <w:style w:type="paragraph" w:customStyle="1" w:styleId="Style27">
    <w:name w:val="Style27"/>
    <w:basedOn w:val="appppppp"/>
    <w:next w:val="TOC2"/>
    <w:link w:val="Style27Char"/>
    <w:qFormat/>
    <w:rsid w:val="00572E3D"/>
  </w:style>
  <w:style w:type="character" w:customStyle="1" w:styleId="Style26Char">
    <w:name w:val="Style26 Char"/>
    <w:basedOn w:val="apppppppChar"/>
    <w:link w:val="Style26"/>
    <w:rsid w:val="00572E3D"/>
    <w:rPr>
      <w:rFonts w:ascii="Times New Roman" w:eastAsiaTheme="majorEastAsia" w:hAnsi="Times New Roman" w:cstheme="majorBidi"/>
      <w:b/>
      <w:bCs w:val="0"/>
      <w:noProof/>
      <w:sz w:val="36"/>
      <w:szCs w:val="26"/>
      <w:lang w:eastAsia="en-GB"/>
    </w:rPr>
  </w:style>
  <w:style w:type="paragraph" w:customStyle="1" w:styleId="Style28">
    <w:name w:val="Style28"/>
    <w:basedOn w:val="appppppp"/>
    <w:next w:val="TOC2"/>
    <w:link w:val="Style28Char"/>
    <w:qFormat/>
    <w:rsid w:val="00572E3D"/>
  </w:style>
  <w:style w:type="character" w:customStyle="1" w:styleId="Style27Char">
    <w:name w:val="Style27 Char"/>
    <w:basedOn w:val="apppppppChar"/>
    <w:link w:val="Style27"/>
    <w:rsid w:val="00572E3D"/>
    <w:rPr>
      <w:rFonts w:ascii="Times New Roman" w:eastAsiaTheme="majorEastAsia" w:hAnsi="Times New Roman" w:cstheme="majorBidi"/>
      <w:b/>
      <w:bCs w:val="0"/>
      <w:noProof/>
      <w:sz w:val="36"/>
      <w:szCs w:val="26"/>
      <w:lang w:eastAsia="en-GB"/>
    </w:rPr>
  </w:style>
  <w:style w:type="character" w:customStyle="1" w:styleId="Style28Char">
    <w:name w:val="Style28 Char"/>
    <w:basedOn w:val="apppppppChar"/>
    <w:link w:val="Style28"/>
    <w:rsid w:val="00572E3D"/>
    <w:rPr>
      <w:rFonts w:ascii="Times New Roman" w:eastAsiaTheme="majorEastAsia" w:hAnsi="Times New Roman" w:cstheme="majorBidi"/>
      <w:b/>
      <w:bCs w:val="0"/>
      <w:noProof/>
      <w:sz w:val="36"/>
      <w:szCs w:val="26"/>
      <w:lang w:eastAsia="en-GB"/>
    </w:rPr>
  </w:style>
  <w:style w:type="paragraph" w:styleId="EndnoteText">
    <w:name w:val="endnote text"/>
    <w:basedOn w:val="Normal"/>
    <w:link w:val="EndnoteTextChar"/>
    <w:uiPriority w:val="99"/>
    <w:semiHidden/>
    <w:unhideWhenUsed/>
    <w:rsid w:val="000920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2097"/>
    <w:rPr>
      <w:sz w:val="20"/>
      <w:szCs w:val="20"/>
    </w:rPr>
  </w:style>
  <w:style w:type="character" w:styleId="EndnoteReference">
    <w:name w:val="endnote reference"/>
    <w:basedOn w:val="DefaultParagraphFont"/>
    <w:uiPriority w:val="99"/>
    <w:semiHidden/>
    <w:unhideWhenUsed/>
    <w:rsid w:val="00092097"/>
    <w:rPr>
      <w:vertAlign w:val="superscript"/>
    </w:rPr>
  </w:style>
  <w:style w:type="paragraph" w:styleId="FootnoteText">
    <w:name w:val="footnote text"/>
    <w:basedOn w:val="Normal"/>
    <w:link w:val="FootnoteTextChar"/>
    <w:uiPriority w:val="99"/>
    <w:semiHidden/>
    <w:unhideWhenUsed/>
    <w:rsid w:val="00FD47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70D"/>
    <w:rPr>
      <w:sz w:val="20"/>
      <w:szCs w:val="20"/>
    </w:rPr>
  </w:style>
  <w:style w:type="character" w:styleId="FootnoteReference">
    <w:name w:val="footnote reference"/>
    <w:basedOn w:val="DefaultParagraphFont"/>
    <w:uiPriority w:val="99"/>
    <w:semiHidden/>
    <w:unhideWhenUsed/>
    <w:rsid w:val="00FD470D"/>
    <w:rPr>
      <w:vertAlign w:val="superscript"/>
    </w:rPr>
  </w:style>
  <w:style w:type="table" w:customStyle="1" w:styleId="TableGrid0">
    <w:name w:val="TableGrid"/>
    <w:rsid w:val="001B380C"/>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NoList1">
    <w:name w:val="No List1"/>
    <w:next w:val="NoList"/>
    <w:uiPriority w:val="99"/>
    <w:semiHidden/>
    <w:unhideWhenUsed/>
    <w:rsid w:val="00AA7E6A"/>
  </w:style>
  <w:style w:type="paragraph" w:styleId="BodyText">
    <w:name w:val="Body Text"/>
    <w:basedOn w:val="Normal"/>
    <w:link w:val="BodyTextChar"/>
    <w:uiPriority w:val="1"/>
    <w:qFormat/>
    <w:rsid w:val="00AA7E6A"/>
    <w:pPr>
      <w:widowControl w:val="0"/>
      <w:autoSpaceDE w:val="0"/>
      <w:autoSpaceDN w:val="0"/>
      <w:spacing w:after="0" w:line="240" w:lineRule="auto"/>
    </w:pPr>
    <w:rPr>
      <w:rFonts w:ascii="Times New Roman" w:eastAsia="Times New Roman" w:hAnsi="Times New Roman" w:cs="Times New Roman"/>
      <w:sz w:val="19"/>
      <w:szCs w:val="19"/>
      <w:lang w:val="en-US"/>
    </w:rPr>
  </w:style>
  <w:style w:type="character" w:customStyle="1" w:styleId="BodyTextChar">
    <w:name w:val="Body Text Char"/>
    <w:basedOn w:val="DefaultParagraphFont"/>
    <w:link w:val="BodyText"/>
    <w:uiPriority w:val="1"/>
    <w:rsid w:val="00AA7E6A"/>
    <w:rPr>
      <w:rFonts w:ascii="Times New Roman" w:eastAsia="Times New Roman" w:hAnsi="Times New Roman" w:cs="Times New Roman"/>
      <w:sz w:val="19"/>
      <w:szCs w:val="19"/>
      <w:lang w:val="en-US"/>
    </w:rPr>
  </w:style>
  <w:style w:type="paragraph" w:customStyle="1" w:styleId="TableParagraph">
    <w:name w:val="Table Paragraph"/>
    <w:basedOn w:val="Normal"/>
    <w:uiPriority w:val="1"/>
    <w:qFormat/>
    <w:rsid w:val="00AA7E6A"/>
    <w:pPr>
      <w:widowControl w:val="0"/>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F9514E"/>
  </w:style>
  <w:style w:type="table" w:styleId="GridTable1Light">
    <w:name w:val="Grid Table 1 Light"/>
    <w:basedOn w:val="TableNormal"/>
    <w:uiPriority w:val="46"/>
    <w:rsid w:val="00347DE9"/>
    <w:pPr>
      <w:spacing w:after="0" w:line="240" w:lineRule="auto"/>
    </w:pPr>
    <w:rPr>
      <w:rFonts w:eastAsiaTheme="minorEastAsia"/>
      <w:sz w:val="21"/>
      <w:szCs w:val="2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mmentcontentpara">
    <w:name w:val="commentcontentpara"/>
    <w:basedOn w:val="Normal"/>
    <w:rsid w:val="00A26B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C42FA"/>
  </w:style>
  <w:style w:type="table" w:customStyle="1" w:styleId="TableGrid11">
    <w:name w:val="Table Grid11"/>
    <w:basedOn w:val="TableNormal"/>
    <w:next w:val="TableGrid"/>
    <w:uiPriority w:val="39"/>
    <w:rsid w:val="00AE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26544">
      <w:bodyDiv w:val="1"/>
      <w:marLeft w:val="0"/>
      <w:marRight w:val="0"/>
      <w:marTop w:val="0"/>
      <w:marBottom w:val="0"/>
      <w:divBdr>
        <w:top w:val="none" w:sz="0" w:space="0" w:color="auto"/>
        <w:left w:val="none" w:sz="0" w:space="0" w:color="auto"/>
        <w:bottom w:val="none" w:sz="0" w:space="0" w:color="auto"/>
        <w:right w:val="none" w:sz="0" w:space="0" w:color="auto"/>
      </w:divBdr>
      <w:divsChild>
        <w:div w:id="738290750">
          <w:marLeft w:val="547"/>
          <w:marRight w:val="0"/>
          <w:marTop w:val="0"/>
          <w:marBottom w:val="0"/>
          <w:divBdr>
            <w:top w:val="none" w:sz="0" w:space="0" w:color="auto"/>
            <w:left w:val="none" w:sz="0" w:space="0" w:color="auto"/>
            <w:bottom w:val="none" w:sz="0" w:space="0" w:color="auto"/>
            <w:right w:val="none" w:sz="0" w:space="0" w:color="auto"/>
          </w:divBdr>
        </w:div>
      </w:divsChild>
    </w:div>
    <w:div w:id="76376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tmp"/><Relationship Id="rId21"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42" Type="http://schemas.openxmlformats.org/officeDocument/2006/relationships/hyperlink" Target="https://www.sciencedirect.com/topics/medicine-and-dentistry/accelerometer" TargetMode="External"/><Relationship Id="rId63" Type="http://schemas.openxmlformats.org/officeDocument/2006/relationships/image" Target="media/image13.tmp"/><Relationship Id="rId84" Type="http://schemas.openxmlformats.org/officeDocument/2006/relationships/footer" Target="footer7.xml"/><Relationship Id="rId138" Type="http://schemas.openxmlformats.org/officeDocument/2006/relationships/hyperlink" Target="mailto:r.povey@staffs.ac.uk" TargetMode="External"/><Relationship Id="rId107" Type="http://schemas.openxmlformats.org/officeDocument/2006/relationships/image" Target="media/image38.jpeg"/><Relationship Id="rId11" Type="http://schemas.openxmlformats.org/officeDocument/2006/relationships/footer" Target="footer1.xml"/><Relationship Id="rId32" Type="http://schemas.openxmlformats.org/officeDocument/2006/relationships/diagramColors" Target="diagrams/colors1.xml"/><Relationship Id="rId37" Type="http://schemas.openxmlformats.org/officeDocument/2006/relationships/diagramData" Target="diagrams/data2.xml"/><Relationship Id="rId53" Type="http://schemas.openxmlformats.org/officeDocument/2006/relationships/hyperlink" Target="mailto:robert.dempsey@staffs.ac.uk" TargetMode="External"/><Relationship Id="rId58" Type="http://schemas.openxmlformats.org/officeDocument/2006/relationships/hyperlink" Target="mailto:robert.dempsey@staffs.ac.uk" TargetMode="External"/><Relationship Id="rId74" Type="http://schemas.openxmlformats.org/officeDocument/2006/relationships/image" Target="media/image18.png"/><Relationship Id="rId79" Type="http://schemas.openxmlformats.org/officeDocument/2006/relationships/hyperlink" Target="mailto:Sian.calvert@research.staffs.ac.uk" TargetMode="External"/><Relationship Id="rId102" Type="http://schemas.openxmlformats.org/officeDocument/2006/relationships/hyperlink" Target="mailto:Sian.calvert@research.staffs.ac.uk" TargetMode="External"/><Relationship Id="rId123" Type="http://schemas.openxmlformats.org/officeDocument/2006/relationships/hyperlink" Target="mailto:r.povey@staffs.ac.uk" TargetMode="External"/><Relationship Id="rId128"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image" Target="media/image25.emf"/><Relationship Id="rId95" Type="http://schemas.openxmlformats.org/officeDocument/2006/relationships/image" Target="media/image30.jpeg"/><Relationship Id="rId22"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27" Type="http://schemas.openxmlformats.org/officeDocument/2006/relationships/header" Target="header1.xml"/><Relationship Id="rId43" Type="http://schemas.openxmlformats.org/officeDocument/2006/relationships/hyperlink" Target="https://www.sciencedirect.com/topics/social-sciences/self-determination-theory" TargetMode="External"/><Relationship Id="rId48" Type="http://schemas.openxmlformats.org/officeDocument/2006/relationships/image" Target="media/image8.jpeg"/><Relationship Id="rId64" Type="http://schemas.openxmlformats.org/officeDocument/2006/relationships/image" Target="media/image14.jpeg"/><Relationship Id="rId69" Type="http://schemas.openxmlformats.org/officeDocument/2006/relationships/hyperlink" Target="mailto:sian.calvert@research.staffs.ac.uk" TargetMode="External"/><Relationship Id="rId113" Type="http://schemas.openxmlformats.org/officeDocument/2006/relationships/image" Target="media/image44.tmp"/><Relationship Id="rId118" Type="http://schemas.openxmlformats.org/officeDocument/2006/relationships/image" Target="media/image49.jpeg"/><Relationship Id="rId134" Type="http://schemas.openxmlformats.org/officeDocument/2006/relationships/hyperlink" Target="mailto:robert.dempsey@staffs.ac.uk" TargetMode="External"/><Relationship Id="rId139" Type="http://schemas.openxmlformats.org/officeDocument/2006/relationships/image" Target="media/image53.png"/><Relationship Id="rId80" Type="http://schemas.openxmlformats.org/officeDocument/2006/relationships/image" Target="media/image23.jpeg"/><Relationship Id="rId85" Type="http://schemas.openxmlformats.org/officeDocument/2006/relationships/hyperlink" Target="mailto:Sian.calvert@research.staffs.ac.uk" TargetMode="External"/><Relationship Id="rId12"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17"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33" Type="http://schemas.microsoft.com/office/2007/relationships/diagramDrawing" Target="diagrams/drawing1.xml"/><Relationship Id="rId38" Type="http://schemas.openxmlformats.org/officeDocument/2006/relationships/diagramLayout" Target="diagrams/layout2.xml"/><Relationship Id="rId59" Type="http://schemas.openxmlformats.org/officeDocument/2006/relationships/hyperlink" Target="mailto:r.povey@staffs.ac.uk" TargetMode="External"/><Relationship Id="rId103" Type="http://schemas.openxmlformats.org/officeDocument/2006/relationships/hyperlink" Target="mailto:robert.dempsey@staffs.ac.uk" TargetMode="External"/><Relationship Id="rId108" Type="http://schemas.openxmlformats.org/officeDocument/2006/relationships/image" Target="media/image39.jpeg"/><Relationship Id="rId124" Type="http://schemas.openxmlformats.org/officeDocument/2006/relationships/hyperlink" Target="mailto:sian.calvert@research.staffs.ac.uk" TargetMode="External"/><Relationship Id="rId129" Type="http://schemas.openxmlformats.org/officeDocument/2006/relationships/image" Target="media/image52.png"/><Relationship Id="rId54" Type="http://schemas.openxmlformats.org/officeDocument/2006/relationships/hyperlink" Target="mailto:r.povey@staffs.ac.uk" TargetMode="External"/><Relationship Id="rId70" Type="http://schemas.openxmlformats.org/officeDocument/2006/relationships/hyperlink" Target="mailto:Sian.calvert@research.staffs.ac.uk" TargetMode="External"/><Relationship Id="rId75" Type="http://schemas.openxmlformats.org/officeDocument/2006/relationships/image" Target="media/image19.png"/><Relationship Id="rId91" Type="http://schemas.openxmlformats.org/officeDocument/2006/relationships/image" Target="media/image26.jpeg"/><Relationship Id="rId96" Type="http://schemas.openxmlformats.org/officeDocument/2006/relationships/image" Target="media/image31.png"/><Relationship Id="rId14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28" Type="http://schemas.openxmlformats.org/officeDocument/2006/relationships/image" Target="media/image3.tmp"/><Relationship Id="rId49" Type="http://schemas.openxmlformats.org/officeDocument/2006/relationships/hyperlink" Target="mailto:Sian.calvert@research.staffs.ac.uk" TargetMode="External"/><Relationship Id="rId114" Type="http://schemas.openxmlformats.org/officeDocument/2006/relationships/image" Target="media/image45.tmp"/><Relationship Id="rId119" Type="http://schemas.openxmlformats.org/officeDocument/2006/relationships/hyperlink" Target="mailto:Sian.calvert@research.staffs.ac.uk" TargetMode="External"/><Relationship Id="rId44" Type="http://schemas.openxmlformats.org/officeDocument/2006/relationships/image" Target="media/image5.tmp"/><Relationship Id="rId60" Type="http://schemas.openxmlformats.org/officeDocument/2006/relationships/hyperlink" Target="mailto:Sian.calvert@research.staffs.ac.uk" TargetMode="External"/><Relationship Id="rId65" Type="http://schemas.openxmlformats.org/officeDocument/2006/relationships/image" Target="media/image15.png"/><Relationship Id="rId81" Type="http://schemas.openxmlformats.org/officeDocument/2006/relationships/footer" Target="footer6.xml"/><Relationship Id="rId86" Type="http://schemas.openxmlformats.org/officeDocument/2006/relationships/footer" Target="footer8.xml"/><Relationship Id="rId130" Type="http://schemas.openxmlformats.org/officeDocument/2006/relationships/hyperlink" Target="mailto:Sian.calvert@research.staffs.ac.uk" TargetMode="External"/><Relationship Id="rId135" Type="http://schemas.openxmlformats.org/officeDocument/2006/relationships/hyperlink" Target="mailto:r.povey@staffs.ac.uk" TargetMode="External"/><Relationship Id="rId13"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18"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39" Type="http://schemas.openxmlformats.org/officeDocument/2006/relationships/diagramQuickStyle" Target="diagrams/quickStyle2.xml"/><Relationship Id="rId109" Type="http://schemas.openxmlformats.org/officeDocument/2006/relationships/image" Target="media/image40.jpeg"/><Relationship Id="rId34" Type="http://schemas.openxmlformats.org/officeDocument/2006/relationships/image" Target="media/image4.tmp"/><Relationship Id="rId50" Type="http://schemas.openxmlformats.org/officeDocument/2006/relationships/image" Target="media/image9.png"/><Relationship Id="rId55" Type="http://schemas.openxmlformats.org/officeDocument/2006/relationships/image" Target="media/image11.png"/><Relationship Id="rId76" Type="http://schemas.openxmlformats.org/officeDocument/2006/relationships/image" Target="media/image20.png"/><Relationship Id="rId97" Type="http://schemas.openxmlformats.org/officeDocument/2006/relationships/image" Target="media/image32.jpeg"/><Relationship Id="rId104" Type="http://schemas.openxmlformats.org/officeDocument/2006/relationships/hyperlink" Target="mailto:r.povey@staffs.ac.uk" TargetMode="External"/><Relationship Id="rId120" Type="http://schemas.openxmlformats.org/officeDocument/2006/relationships/image" Target="media/image50.jpeg"/><Relationship Id="rId125" Type="http://schemas.openxmlformats.org/officeDocument/2006/relationships/hyperlink" Target="mailto:Sian.calvert@research.staffs.ac.uk" TargetMode="External"/><Relationship Id="rId141"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mailto:robert.dempsey@staffs.ac.uk"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footer" Target="footer2.xml"/><Relationship Id="rId40" Type="http://schemas.openxmlformats.org/officeDocument/2006/relationships/diagramColors" Target="diagrams/colors2.xml"/><Relationship Id="rId45" Type="http://schemas.openxmlformats.org/officeDocument/2006/relationships/header" Target="header2.xml"/><Relationship Id="rId66" Type="http://schemas.openxmlformats.org/officeDocument/2006/relationships/hyperlink" Target="mailto:Sian.calvert@research.staffs.ac.uk" TargetMode="External"/><Relationship Id="rId87" Type="http://schemas.openxmlformats.org/officeDocument/2006/relationships/footer" Target="footer9.xml"/><Relationship Id="rId110" Type="http://schemas.openxmlformats.org/officeDocument/2006/relationships/image" Target="media/image41.tmp"/><Relationship Id="rId115" Type="http://schemas.openxmlformats.org/officeDocument/2006/relationships/image" Target="media/image46.tmp"/><Relationship Id="rId131" Type="http://schemas.openxmlformats.org/officeDocument/2006/relationships/hyperlink" Target="mailto:robert.dempsey@staffs.ac.uk" TargetMode="External"/><Relationship Id="rId136" Type="http://schemas.openxmlformats.org/officeDocument/2006/relationships/hyperlink" Target="mailto:Sian.calvert@research.staffs.ac.uk" TargetMode="External"/><Relationship Id="rId61" Type="http://schemas.openxmlformats.org/officeDocument/2006/relationships/hyperlink" Target="mailto:robert.dempsey@staffs.ac.uk" TargetMode="External"/><Relationship Id="rId82" Type="http://schemas.openxmlformats.org/officeDocument/2006/relationships/hyperlink" Target="mailto:Sian.calvert@research.staffs.ac.uk" TargetMode="External"/><Relationship Id="rId19"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14"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30" Type="http://schemas.openxmlformats.org/officeDocument/2006/relationships/diagramLayout" Target="diagrams/layout1.xml"/><Relationship Id="rId35" Type="http://schemas.openxmlformats.org/officeDocument/2006/relationships/footer" Target="footer4.xml"/><Relationship Id="rId56" Type="http://schemas.openxmlformats.org/officeDocument/2006/relationships/image" Target="media/image12.png"/><Relationship Id="rId77" Type="http://schemas.openxmlformats.org/officeDocument/2006/relationships/image" Target="media/image21.jpeg"/><Relationship Id="rId100" Type="http://schemas.openxmlformats.org/officeDocument/2006/relationships/hyperlink" Target="mailto:Sian.calvert@research.staffs.ac.uk" TargetMode="External"/><Relationship Id="rId105" Type="http://schemas.openxmlformats.org/officeDocument/2006/relationships/image" Target="media/image36.tmp"/><Relationship Id="rId126" Type="http://schemas.openxmlformats.org/officeDocument/2006/relationships/hyperlink" Target="mailto:robert.dempsey@staffs.ac.uk" TargetMode="Externa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mailto:r.povey@staffs.ac.uk" TargetMode="External"/><Relationship Id="rId93" Type="http://schemas.openxmlformats.org/officeDocument/2006/relationships/image" Target="media/image28.gif"/><Relationship Id="rId98" Type="http://schemas.openxmlformats.org/officeDocument/2006/relationships/image" Target="media/image33.jpeg"/><Relationship Id="rId121" Type="http://schemas.openxmlformats.org/officeDocument/2006/relationships/hyperlink" Target="mailto:Sian.calvert@research.staffs.ac.uk"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6.jpeg"/><Relationship Id="rId67" Type="http://schemas.openxmlformats.org/officeDocument/2006/relationships/image" Target="media/image16.png"/><Relationship Id="rId116" Type="http://schemas.openxmlformats.org/officeDocument/2006/relationships/image" Target="media/image47.tmp"/><Relationship Id="rId137" Type="http://schemas.openxmlformats.org/officeDocument/2006/relationships/hyperlink" Target="mailto:robert.dempsey@staffs.ac.uk" TargetMode="External"/><Relationship Id="rId20"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41" Type="http://schemas.microsoft.com/office/2007/relationships/diagramDrawing" Target="diagrams/drawing2.xml"/><Relationship Id="rId62" Type="http://schemas.openxmlformats.org/officeDocument/2006/relationships/hyperlink" Target="mailto:r.povey@staffs.ac.uk" TargetMode="External"/><Relationship Id="rId83" Type="http://schemas.openxmlformats.org/officeDocument/2006/relationships/hyperlink" Target="mailto:Sian.calvert@research.staffs.ac.uk" TargetMode="External"/><Relationship Id="rId88" Type="http://schemas.openxmlformats.org/officeDocument/2006/relationships/hyperlink" Target="mailto:sian.calvert@research.staffs.ac.uk" TargetMode="External"/><Relationship Id="rId111" Type="http://schemas.openxmlformats.org/officeDocument/2006/relationships/image" Target="media/image42.tmp"/><Relationship Id="rId132" Type="http://schemas.openxmlformats.org/officeDocument/2006/relationships/hyperlink" Target="mailto:r.povey@staffs.ac.uk" TargetMode="External"/><Relationship Id="rId15"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 Id="rId36" Type="http://schemas.openxmlformats.org/officeDocument/2006/relationships/footer" Target="footer5.xml"/><Relationship Id="rId57" Type="http://schemas.openxmlformats.org/officeDocument/2006/relationships/hyperlink" Target="mailto:sian.calvert@research.staffs.ac.uk" TargetMode="External"/><Relationship Id="rId106" Type="http://schemas.openxmlformats.org/officeDocument/2006/relationships/image" Target="media/image37.jpeg"/><Relationship Id="rId127" Type="http://schemas.openxmlformats.org/officeDocument/2006/relationships/hyperlink" Target="mailto:r.povey@staffs.ac.uk" TargetMode="External"/><Relationship Id="rId10" Type="http://schemas.openxmlformats.org/officeDocument/2006/relationships/endnotes" Target="endnotes.xml"/><Relationship Id="rId31" Type="http://schemas.openxmlformats.org/officeDocument/2006/relationships/diagramQuickStyle" Target="diagrams/quickStyle1.xml"/><Relationship Id="rId52" Type="http://schemas.openxmlformats.org/officeDocument/2006/relationships/hyperlink" Target="mailto:Sian.calvert@research.staffs.ac.uk" TargetMode="External"/><Relationship Id="rId73" Type="http://schemas.openxmlformats.org/officeDocument/2006/relationships/image" Target="media/image17.png"/><Relationship Id="rId78" Type="http://schemas.openxmlformats.org/officeDocument/2006/relationships/image" Target="media/image22.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hyperlink" Target="mailto:robert.dempsey@staffs.ac.uk"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tmp"/><Relationship Id="rId47" Type="http://schemas.openxmlformats.org/officeDocument/2006/relationships/image" Target="media/image7.png"/><Relationship Id="rId68" Type="http://schemas.openxmlformats.org/officeDocument/2006/relationships/hyperlink" Target="mailto:Sian.calvert@research.staffs.ac.uk" TargetMode="External"/><Relationship Id="rId89" Type="http://schemas.openxmlformats.org/officeDocument/2006/relationships/image" Target="media/image24.png"/><Relationship Id="rId112" Type="http://schemas.openxmlformats.org/officeDocument/2006/relationships/image" Target="media/image43.tmp"/><Relationship Id="rId133" Type="http://schemas.openxmlformats.org/officeDocument/2006/relationships/footer" Target="footer10.xml"/><Relationship Id="rId16" Type="http://schemas.openxmlformats.org/officeDocument/2006/relationships/hyperlink" Target="https://staffsuniversity-my.sharepoint.com/personal/c031443f_student_staffs_ac_uk/Documents/Back%20up%20Octo%202020/PHD/Thesis%20file/Amendments%20following%20Viva/Thesis%20-%20Applying%20the%20Social%20Norms%20Approach%20to%20reduce%20unhealthy%20dietary%20behaviours%20amongst%20secondary%20school%20students.%20%20Feb%202022%20with%20amendments%201.0.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B6660D-E2D6-40C6-878A-E284D8EAAB70}" type="doc">
      <dgm:prSet loTypeId="urn:microsoft.com/office/officeart/2005/8/layout/bProcess3" loCatId="process" qsTypeId="urn:microsoft.com/office/officeart/2005/8/quickstyle/simple2" qsCatId="simple" csTypeId="urn:microsoft.com/office/officeart/2005/8/colors/accent0_1" csCatId="mainScheme" phldr="1"/>
      <dgm:spPr/>
      <dgm:t>
        <a:bodyPr/>
        <a:lstStyle/>
        <a:p>
          <a:endParaRPr lang="en-GB"/>
        </a:p>
      </dgm:t>
    </dgm:pt>
    <dgm:pt modelId="{33D85A50-66F3-45FB-ADF6-09519B548112}">
      <dgm:prSet phldrT="[Text]" custT="1"/>
      <dgm:spPr/>
      <dgm:t>
        <a:bodyPr/>
        <a:lstStyle/>
        <a:p>
          <a:r>
            <a:rPr lang="en-GB" sz="1100" b="1"/>
            <a:t>Chapter 5 (Study One)</a:t>
          </a:r>
        </a:p>
        <a:p>
          <a:r>
            <a:rPr lang="en-GB" sz="1100"/>
            <a:t>To understand the perceived influences and barriers associated with healthy and unhealthy food choices amongst secondary school students.</a:t>
          </a:r>
        </a:p>
      </dgm:t>
    </dgm:pt>
    <dgm:pt modelId="{E2CE288D-7952-4FFF-AEEB-2F6A80300A0C}" type="parTrans" cxnId="{DA093940-8F4B-4BF9-A36D-5F4AF475A0C5}">
      <dgm:prSet/>
      <dgm:spPr/>
      <dgm:t>
        <a:bodyPr/>
        <a:lstStyle/>
        <a:p>
          <a:endParaRPr lang="en-GB"/>
        </a:p>
      </dgm:t>
    </dgm:pt>
    <dgm:pt modelId="{94F821F5-F2B0-4FC9-BC3C-233E024B2A03}" type="sibTrans" cxnId="{DA093940-8F4B-4BF9-A36D-5F4AF475A0C5}">
      <dgm:prSet/>
      <dgm:spPr>
        <a:ln w="38100"/>
      </dgm:spPr>
      <dgm:t>
        <a:bodyPr/>
        <a:lstStyle/>
        <a:p>
          <a:endParaRPr lang="en-GB"/>
        </a:p>
      </dgm:t>
    </dgm:pt>
    <dgm:pt modelId="{DCD504BD-7E54-4F75-8564-CC4BAB81EF2F}">
      <dgm:prSet phldrT="[Text]" custT="1"/>
      <dgm:spPr/>
      <dgm:t>
        <a:bodyPr/>
        <a:lstStyle/>
        <a:p>
          <a:r>
            <a:rPr lang="en-GB" sz="1100" b="1"/>
            <a:t>Chapter 7 (Study Two)</a:t>
          </a:r>
        </a:p>
        <a:p>
          <a:r>
            <a:rPr lang="en-GB" sz="1100"/>
            <a:t>To test for the existence of dietary-related misperceptions amongst students and whether these misperceptions are associated with personal behaviour.</a:t>
          </a:r>
        </a:p>
      </dgm:t>
    </dgm:pt>
    <dgm:pt modelId="{C4E43BD5-74CE-40B4-AFD7-1592494912DF}" type="parTrans" cxnId="{E50B128B-9B4C-4686-962E-6F09F3A23D5A}">
      <dgm:prSet/>
      <dgm:spPr/>
      <dgm:t>
        <a:bodyPr/>
        <a:lstStyle/>
        <a:p>
          <a:endParaRPr lang="en-GB"/>
        </a:p>
      </dgm:t>
    </dgm:pt>
    <dgm:pt modelId="{B58E9777-047D-4AC8-A3C8-84D43A22EA8A}" type="sibTrans" cxnId="{E50B128B-9B4C-4686-962E-6F09F3A23D5A}">
      <dgm:prSet/>
      <dgm:spPr>
        <a:ln w="38100"/>
      </dgm:spPr>
      <dgm:t>
        <a:bodyPr/>
        <a:lstStyle/>
        <a:p>
          <a:endParaRPr lang="en-GB"/>
        </a:p>
      </dgm:t>
    </dgm:pt>
    <dgm:pt modelId="{F30E638C-B625-4C11-8341-DBF8EBF32336}">
      <dgm:prSet phldrT="[Text]" custT="1"/>
      <dgm:spPr/>
      <dgm:t>
        <a:bodyPr/>
        <a:lstStyle/>
        <a:p>
          <a:endParaRPr lang="en-GB" sz="1100" b="1"/>
        </a:p>
        <a:p>
          <a:r>
            <a:rPr lang="en-GB" sz="1100" b="1"/>
            <a:t>Chapter 8 (Study Three)</a:t>
          </a:r>
        </a:p>
        <a:p>
          <a:r>
            <a:rPr lang="en-GB" sz="1100"/>
            <a:t>To test the feasibility of the in-school SNA intervention to reduce unhealthy dietary behaviours of students.</a:t>
          </a:r>
        </a:p>
        <a:p>
          <a:endParaRPr lang="en-GB" sz="1000"/>
        </a:p>
        <a:p>
          <a:endParaRPr lang="en-GB" sz="1000"/>
        </a:p>
      </dgm:t>
    </dgm:pt>
    <dgm:pt modelId="{4FA29C7A-C597-4490-8F70-F3772412B456}" type="parTrans" cxnId="{D5011D1F-4645-455C-A7D1-CFE54EB527A2}">
      <dgm:prSet/>
      <dgm:spPr/>
      <dgm:t>
        <a:bodyPr/>
        <a:lstStyle/>
        <a:p>
          <a:endParaRPr lang="en-GB"/>
        </a:p>
      </dgm:t>
    </dgm:pt>
    <dgm:pt modelId="{62504C0A-91F1-4EDE-A048-87AB6889C51D}" type="sibTrans" cxnId="{D5011D1F-4645-455C-A7D1-CFE54EB527A2}">
      <dgm:prSet/>
      <dgm:spPr>
        <a:ln w="38100"/>
      </dgm:spPr>
      <dgm:t>
        <a:bodyPr/>
        <a:lstStyle/>
        <a:p>
          <a:endParaRPr lang="en-GB"/>
        </a:p>
      </dgm:t>
    </dgm:pt>
    <dgm:pt modelId="{EE7E8120-AA0B-4A27-823C-22BD1BB95532}">
      <dgm:prSet phldrT="[Text]" custT="1"/>
      <dgm:spPr/>
      <dgm:t>
        <a:bodyPr/>
        <a:lstStyle/>
        <a:p>
          <a:pPr algn="ctr"/>
          <a:r>
            <a:rPr lang="en-GB" sz="1100" b="1"/>
            <a:t>Chapter 9 (Study Four)</a:t>
          </a:r>
        </a:p>
        <a:p>
          <a:pPr algn="ctr"/>
          <a:r>
            <a:rPr lang="en-GB" sz="1100"/>
            <a:t>To evaluate the intervention by exploring participants' experiences and perceptions of the in-school SNA intervention. </a:t>
          </a:r>
        </a:p>
      </dgm:t>
    </dgm:pt>
    <dgm:pt modelId="{C4EC35D8-A9DC-40BE-9FB4-B8EDC995672B}" type="parTrans" cxnId="{B14D691C-E198-428B-B1E0-AFD3E7B1AD2E}">
      <dgm:prSet/>
      <dgm:spPr/>
      <dgm:t>
        <a:bodyPr/>
        <a:lstStyle/>
        <a:p>
          <a:endParaRPr lang="en-GB"/>
        </a:p>
      </dgm:t>
    </dgm:pt>
    <dgm:pt modelId="{76D9D7CA-E008-4C64-B1A6-23BF0CCC2BF2}" type="sibTrans" cxnId="{B14D691C-E198-428B-B1E0-AFD3E7B1AD2E}">
      <dgm:prSet/>
      <dgm:spPr/>
      <dgm:t>
        <a:bodyPr/>
        <a:lstStyle/>
        <a:p>
          <a:endParaRPr lang="en-GB"/>
        </a:p>
      </dgm:t>
    </dgm:pt>
    <dgm:pt modelId="{DE68BF60-051C-4FB4-A798-1025A78A36AE}">
      <dgm:prSet phldrT="[Text]" custT="1"/>
      <dgm:spPr/>
      <dgm:t>
        <a:bodyPr/>
        <a:lstStyle/>
        <a:p>
          <a:endParaRPr lang="en-GB" sz="1100" b="1"/>
        </a:p>
        <a:p>
          <a:r>
            <a:rPr lang="en-GB" sz="1100" b="1"/>
            <a:t>Chapter 6</a:t>
          </a:r>
          <a:endParaRPr lang="en-GB" sz="1100"/>
        </a:p>
        <a:p>
          <a:pPr>
            <a:buFont typeface="Times New Roman" panose="02020603050405020304" pitchFamily="18" charset="0"/>
            <a:buChar char="•"/>
          </a:pPr>
          <a:r>
            <a:rPr lang="en-GB" sz="1100"/>
            <a:t>To develop an in-school SNA intervention which targets unhealthy dietary behaviours of students.</a:t>
          </a:r>
        </a:p>
        <a:p>
          <a:pPr>
            <a:buFont typeface="Times New Roman" panose="02020603050405020304" pitchFamily="18" charset="0"/>
            <a:buChar char="•"/>
          </a:pPr>
          <a:endParaRPr lang="en-GB" sz="1000"/>
        </a:p>
        <a:p>
          <a:pPr>
            <a:buFont typeface="Times New Roman" panose="02020603050405020304" pitchFamily="18" charset="0"/>
            <a:buChar char="•"/>
          </a:pPr>
          <a:endParaRPr lang="en-GB" sz="1000"/>
        </a:p>
      </dgm:t>
    </dgm:pt>
    <dgm:pt modelId="{7F51EA77-FE3C-49A6-928E-525B8C721551}" type="sibTrans" cxnId="{757887A7-F7DB-4351-BEA7-03BFB07FF1DE}">
      <dgm:prSet/>
      <dgm:spPr>
        <a:ln w="38100"/>
      </dgm:spPr>
      <dgm:t>
        <a:bodyPr/>
        <a:lstStyle/>
        <a:p>
          <a:endParaRPr lang="en-GB"/>
        </a:p>
      </dgm:t>
    </dgm:pt>
    <dgm:pt modelId="{6FBA0F38-5658-43AF-80C8-B264B10874E5}" type="parTrans" cxnId="{757887A7-F7DB-4351-BEA7-03BFB07FF1DE}">
      <dgm:prSet/>
      <dgm:spPr/>
      <dgm:t>
        <a:bodyPr/>
        <a:lstStyle/>
        <a:p>
          <a:endParaRPr lang="en-GB"/>
        </a:p>
      </dgm:t>
    </dgm:pt>
    <dgm:pt modelId="{53C92B9C-BCA2-4975-831C-DEB51110A3D8}" type="pres">
      <dgm:prSet presAssocID="{50B6660D-E2D6-40C6-878A-E284D8EAAB70}" presName="Name0" presStyleCnt="0">
        <dgm:presLayoutVars>
          <dgm:dir/>
          <dgm:resizeHandles val="exact"/>
        </dgm:presLayoutVars>
      </dgm:prSet>
      <dgm:spPr/>
    </dgm:pt>
    <dgm:pt modelId="{25E63A63-8908-493D-A788-1531094DE050}" type="pres">
      <dgm:prSet presAssocID="{33D85A50-66F3-45FB-ADF6-09519B548112}" presName="node" presStyleLbl="node1" presStyleIdx="0" presStyleCnt="5">
        <dgm:presLayoutVars>
          <dgm:bulletEnabled val="1"/>
        </dgm:presLayoutVars>
      </dgm:prSet>
      <dgm:spPr/>
    </dgm:pt>
    <dgm:pt modelId="{CE78BA50-CBB6-4A95-9D2C-6D67A24CB6AE}" type="pres">
      <dgm:prSet presAssocID="{94F821F5-F2B0-4FC9-BC3C-233E024B2A03}" presName="sibTrans" presStyleLbl="sibTrans1D1" presStyleIdx="0" presStyleCnt="4"/>
      <dgm:spPr/>
    </dgm:pt>
    <dgm:pt modelId="{5140EE26-C843-4E7A-9D1B-AE51AD2322BC}" type="pres">
      <dgm:prSet presAssocID="{94F821F5-F2B0-4FC9-BC3C-233E024B2A03}" presName="connectorText" presStyleLbl="sibTrans1D1" presStyleIdx="0" presStyleCnt="4"/>
      <dgm:spPr/>
    </dgm:pt>
    <dgm:pt modelId="{1218417E-6C3B-4140-AA2D-5B6D4B739ED2}" type="pres">
      <dgm:prSet presAssocID="{DE68BF60-051C-4FB4-A798-1025A78A36AE}" presName="node" presStyleLbl="node1" presStyleIdx="1" presStyleCnt="5">
        <dgm:presLayoutVars>
          <dgm:bulletEnabled val="1"/>
        </dgm:presLayoutVars>
      </dgm:prSet>
      <dgm:spPr/>
    </dgm:pt>
    <dgm:pt modelId="{A5A7BD26-DB37-4D3F-B8E5-44B7B9E1DB35}" type="pres">
      <dgm:prSet presAssocID="{7F51EA77-FE3C-49A6-928E-525B8C721551}" presName="sibTrans" presStyleLbl="sibTrans1D1" presStyleIdx="1" presStyleCnt="4"/>
      <dgm:spPr/>
    </dgm:pt>
    <dgm:pt modelId="{7EA6DBCF-466E-42B8-97F7-269408C64753}" type="pres">
      <dgm:prSet presAssocID="{7F51EA77-FE3C-49A6-928E-525B8C721551}" presName="connectorText" presStyleLbl="sibTrans1D1" presStyleIdx="1" presStyleCnt="4"/>
      <dgm:spPr/>
    </dgm:pt>
    <dgm:pt modelId="{9ABC7D80-DABF-4C27-AB15-7620E7F6C070}" type="pres">
      <dgm:prSet presAssocID="{DCD504BD-7E54-4F75-8564-CC4BAB81EF2F}" presName="node" presStyleLbl="node1" presStyleIdx="2" presStyleCnt="5">
        <dgm:presLayoutVars>
          <dgm:bulletEnabled val="1"/>
        </dgm:presLayoutVars>
      </dgm:prSet>
      <dgm:spPr/>
    </dgm:pt>
    <dgm:pt modelId="{1DA66884-2C6F-4880-9B12-8D532B0B5126}" type="pres">
      <dgm:prSet presAssocID="{B58E9777-047D-4AC8-A3C8-84D43A22EA8A}" presName="sibTrans" presStyleLbl="sibTrans1D1" presStyleIdx="2" presStyleCnt="4"/>
      <dgm:spPr/>
    </dgm:pt>
    <dgm:pt modelId="{A8E23E90-F9FB-4204-816E-9D8B185BE0E4}" type="pres">
      <dgm:prSet presAssocID="{B58E9777-047D-4AC8-A3C8-84D43A22EA8A}" presName="connectorText" presStyleLbl="sibTrans1D1" presStyleIdx="2" presStyleCnt="4"/>
      <dgm:spPr/>
    </dgm:pt>
    <dgm:pt modelId="{81D71D7A-EDE7-4330-B7F3-CDBC8C0CA674}" type="pres">
      <dgm:prSet presAssocID="{F30E638C-B625-4C11-8341-DBF8EBF32336}" presName="node" presStyleLbl="node1" presStyleIdx="3" presStyleCnt="5">
        <dgm:presLayoutVars>
          <dgm:bulletEnabled val="1"/>
        </dgm:presLayoutVars>
      </dgm:prSet>
      <dgm:spPr/>
    </dgm:pt>
    <dgm:pt modelId="{C0970E8C-7746-48BF-BA32-9EAA463FD06A}" type="pres">
      <dgm:prSet presAssocID="{62504C0A-91F1-4EDE-A048-87AB6889C51D}" presName="sibTrans" presStyleLbl="sibTrans1D1" presStyleIdx="3" presStyleCnt="4"/>
      <dgm:spPr/>
    </dgm:pt>
    <dgm:pt modelId="{D597EA1C-D480-451A-A9F4-1B673D378BC1}" type="pres">
      <dgm:prSet presAssocID="{62504C0A-91F1-4EDE-A048-87AB6889C51D}" presName="connectorText" presStyleLbl="sibTrans1D1" presStyleIdx="3" presStyleCnt="4"/>
      <dgm:spPr/>
    </dgm:pt>
    <dgm:pt modelId="{C0190CE7-F0BB-4400-9C63-55F847C49D3C}" type="pres">
      <dgm:prSet presAssocID="{EE7E8120-AA0B-4A27-823C-22BD1BB95532}" presName="node" presStyleLbl="node1" presStyleIdx="4" presStyleCnt="5" custLinFactNeighborY="46">
        <dgm:presLayoutVars>
          <dgm:bulletEnabled val="1"/>
        </dgm:presLayoutVars>
      </dgm:prSet>
      <dgm:spPr/>
    </dgm:pt>
  </dgm:ptLst>
  <dgm:cxnLst>
    <dgm:cxn modelId="{6F005602-B3C6-44D2-A366-6D19AD04B8BD}" type="presOf" srcId="{94F821F5-F2B0-4FC9-BC3C-233E024B2A03}" destId="{CE78BA50-CBB6-4A95-9D2C-6D67A24CB6AE}" srcOrd="0" destOrd="0" presId="urn:microsoft.com/office/officeart/2005/8/layout/bProcess3"/>
    <dgm:cxn modelId="{A3F7D004-48CD-4704-8FE8-20BA92DEB6E3}" type="presOf" srcId="{33D85A50-66F3-45FB-ADF6-09519B548112}" destId="{25E63A63-8908-493D-A788-1531094DE050}" srcOrd="0" destOrd="0" presId="urn:microsoft.com/office/officeart/2005/8/layout/bProcess3"/>
    <dgm:cxn modelId="{F078E10A-6115-4DF2-8AB3-9E0D223B0814}" type="presOf" srcId="{7F51EA77-FE3C-49A6-928E-525B8C721551}" destId="{A5A7BD26-DB37-4D3F-B8E5-44B7B9E1DB35}" srcOrd="0" destOrd="0" presId="urn:microsoft.com/office/officeart/2005/8/layout/bProcess3"/>
    <dgm:cxn modelId="{743AA614-9B73-47B9-87DD-1E51D7B3B4D2}" type="presOf" srcId="{62504C0A-91F1-4EDE-A048-87AB6889C51D}" destId="{D597EA1C-D480-451A-A9F4-1B673D378BC1}" srcOrd="1" destOrd="0" presId="urn:microsoft.com/office/officeart/2005/8/layout/bProcess3"/>
    <dgm:cxn modelId="{B14D691C-E198-428B-B1E0-AFD3E7B1AD2E}" srcId="{50B6660D-E2D6-40C6-878A-E284D8EAAB70}" destId="{EE7E8120-AA0B-4A27-823C-22BD1BB95532}" srcOrd="4" destOrd="0" parTransId="{C4EC35D8-A9DC-40BE-9FB4-B8EDC995672B}" sibTransId="{76D9D7CA-E008-4C64-B1A6-23BF0CCC2BF2}"/>
    <dgm:cxn modelId="{D5011D1F-4645-455C-A7D1-CFE54EB527A2}" srcId="{50B6660D-E2D6-40C6-878A-E284D8EAAB70}" destId="{F30E638C-B625-4C11-8341-DBF8EBF32336}" srcOrd="3" destOrd="0" parTransId="{4FA29C7A-C597-4490-8F70-F3772412B456}" sibTransId="{62504C0A-91F1-4EDE-A048-87AB6889C51D}"/>
    <dgm:cxn modelId="{004DEF25-15A6-4D8B-A127-36483EE7F66B}" type="presOf" srcId="{B58E9777-047D-4AC8-A3C8-84D43A22EA8A}" destId="{A8E23E90-F9FB-4204-816E-9D8B185BE0E4}" srcOrd="1" destOrd="0" presId="urn:microsoft.com/office/officeart/2005/8/layout/bProcess3"/>
    <dgm:cxn modelId="{DA093940-8F4B-4BF9-A36D-5F4AF475A0C5}" srcId="{50B6660D-E2D6-40C6-878A-E284D8EAAB70}" destId="{33D85A50-66F3-45FB-ADF6-09519B548112}" srcOrd="0" destOrd="0" parTransId="{E2CE288D-7952-4FFF-AEEB-2F6A80300A0C}" sibTransId="{94F821F5-F2B0-4FC9-BC3C-233E024B2A03}"/>
    <dgm:cxn modelId="{F1EBB344-D8DF-4AC8-B96F-2A1737FAC816}" type="presOf" srcId="{DE68BF60-051C-4FB4-A798-1025A78A36AE}" destId="{1218417E-6C3B-4140-AA2D-5B6D4B739ED2}" srcOrd="0" destOrd="0" presId="urn:microsoft.com/office/officeart/2005/8/layout/bProcess3"/>
    <dgm:cxn modelId="{F954FE6F-008D-4D39-BEEB-3E86E7BA7AFB}" type="presOf" srcId="{EE7E8120-AA0B-4A27-823C-22BD1BB95532}" destId="{C0190CE7-F0BB-4400-9C63-55F847C49D3C}" srcOrd="0" destOrd="0" presId="urn:microsoft.com/office/officeart/2005/8/layout/bProcess3"/>
    <dgm:cxn modelId="{5403D854-F960-4DB1-A808-86EB5E2EEA5D}" type="presOf" srcId="{50B6660D-E2D6-40C6-878A-E284D8EAAB70}" destId="{53C92B9C-BCA2-4975-831C-DEB51110A3D8}" srcOrd="0" destOrd="0" presId="urn:microsoft.com/office/officeart/2005/8/layout/bProcess3"/>
    <dgm:cxn modelId="{92F9B477-4C98-4C40-8E60-35946D4D554D}" type="presOf" srcId="{F30E638C-B625-4C11-8341-DBF8EBF32336}" destId="{81D71D7A-EDE7-4330-B7F3-CDBC8C0CA674}" srcOrd="0" destOrd="0" presId="urn:microsoft.com/office/officeart/2005/8/layout/bProcess3"/>
    <dgm:cxn modelId="{2A93A48A-87F5-496B-B3F1-6CEC3BD592C4}" type="presOf" srcId="{7F51EA77-FE3C-49A6-928E-525B8C721551}" destId="{7EA6DBCF-466E-42B8-97F7-269408C64753}" srcOrd="1" destOrd="0" presId="urn:microsoft.com/office/officeart/2005/8/layout/bProcess3"/>
    <dgm:cxn modelId="{E50B128B-9B4C-4686-962E-6F09F3A23D5A}" srcId="{50B6660D-E2D6-40C6-878A-E284D8EAAB70}" destId="{DCD504BD-7E54-4F75-8564-CC4BAB81EF2F}" srcOrd="2" destOrd="0" parTransId="{C4E43BD5-74CE-40B4-AFD7-1592494912DF}" sibTransId="{B58E9777-047D-4AC8-A3C8-84D43A22EA8A}"/>
    <dgm:cxn modelId="{63B881A4-C27A-490C-9DCC-655BBDAA5AB1}" type="presOf" srcId="{94F821F5-F2B0-4FC9-BC3C-233E024B2A03}" destId="{5140EE26-C843-4E7A-9D1B-AE51AD2322BC}" srcOrd="1" destOrd="0" presId="urn:microsoft.com/office/officeart/2005/8/layout/bProcess3"/>
    <dgm:cxn modelId="{5ECAD5A5-79C4-4808-8C8B-8FCA7171E6E6}" type="presOf" srcId="{B58E9777-047D-4AC8-A3C8-84D43A22EA8A}" destId="{1DA66884-2C6F-4880-9B12-8D532B0B5126}" srcOrd="0" destOrd="0" presId="urn:microsoft.com/office/officeart/2005/8/layout/bProcess3"/>
    <dgm:cxn modelId="{757887A7-F7DB-4351-BEA7-03BFB07FF1DE}" srcId="{50B6660D-E2D6-40C6-878A-E284D8EAAB70}" destId="{DE68BF60-051C-4FB4-A798-1025A78A36AE}" srcOrd="1" destOrd="0" parTransId="{6FBA0F38-5658-43AF-80C8-B264B10874E5}" sibTransId="{7F51EA77-FE3C-49A6-928E-525B8C721551}"/>
    <dgm:cxn modelId="{66EF60B7-E2EE-474E-988C-FACEF47E169D}" type="presOf" srcId="{DCD504BD-7E54-4F75-8564-CC4BAB81EF2F}" destId="{9ABC7D80-DABF-4C27-AB15-7620E7F6C070}" srcOrd="0" destOrd="0" presId="urn:microsoft.com/office/officeart/2005/8/layout/bProcess3"/>
    <dgm:cxn modelId="{D45AE7E7-52B6-4D5F-8DF1-C32E50203719}" type="presOf" srcId="{62504C0A-91F1-4EDE-A048-87AB6889C51D}" destId="{C0970E8C-7746-48BF-BA32-9EAA463FD06A}" srcOrd="0" destOrd="0" presId="urn:microsoft.com/office/officeart/2005/8/layout/bProcess3"/>
    <dgm:cxn modelId="{42DEF763-191D-40BA-9334-3B72982FAF94}" type="presParOf" srcId="{53C92B9C-BCA2-4975-831C-DEB51110A3D8}" destId="{25E63A63-8908-493D-A788-1531094DE050}" srcOrd="0" destOrd="0" presId="urn:microsoft.com/office/officeart/2005/8/layout/bProcess3"/>
    <dgm:cxn modelId="{9F531D8E-007B-43D3-906A-1759EF18F8BD}" type="presParOf" srcId="{53C92B9C-BCA2-4975-831C-DEB51110A3D8}" destId="{CE78BA50-CBB6-4A95-9D2C-6D67A24CB6AE}" srcOrd="1" destOrd="0" presId="urn:microsoft.com/office/officeart/2005/8/layout/bProcess3"/>
    <dgm:cxn modelId="{72F71EB8-0EC3-4EB1-A8BA-7AD7A7798EBB}" type="presParOf" srcId="{CE78BA50-CBB6-4A95-9D2C-6D67A24CB6AE}" destId="{5140EE26-C843-4E7A-9D1B-AE51AD2322BC}" srcOrd="0" destOrd="0" presId="urn:microsoft.com/office/officeart/2005/8/layout/bProcess3"/>
    <dgm:cxn modelId="{E376C18D-52A5-4CDB-941F-90E73EA39853}" type="presParOf" srcId="{53C92B9C-BCA2-4975-831C-DEB51110A3D8}" destId="{1218417E-6C3B-4140-AA2D-5B6D4B739ED2}" srcOrd="2" destOrd="0" presId="urn:microsoft.com/office/officeart/2005/8/layout/bProcess3"/>
    <dgm:cxn modelId="{80F661BC-AA86-44FC-B793-530969024537}" type="presParOf" srcId="{53C92B9C-BCA2-4975-831C-DEB51110A3D8}" destId="{A5A7BD26-DB37-4D3F-B8E5-44B7B9E1DB35}" srcOrd="3" destOrd="0" presId="urn:microsoft.com/office/officeart/2005/8/layout/bProcess3"/>
    <dgm:cxn modelId="{6FB4BEC6-2509-4065-90F1-D40B51AC218E}" type="presParOf" srcId="{A5A7BD26-DB37-4D3F-B8E5-44B7B9E1DB35}" destId="{7EA6DBCF-466E-42B8-97F7-269408C64753}" srcOrd="0" destOrd="0" presId="urn:microsoft.com/office/officeart/2005/8/layout/bProcess3"/>
    <dgm:cxn modelId="{B066FD54-797C-457F-8F71-CF2890C441FE}" type="presParOf" srcId="{53C92B9C-BCA2-4975-831C-DEB51110A3D8}" destId="{9ABC7D80-DABF-4C27-AB15-7620E7F6C070}" srcOrd="4" destOrd="0" presId="urn:microsoft.com/office/officeart/2005/8/layout/bProcess3"/>
    <dgm:cxn modelId="{C6CC7430-12D9-4CF3-8BF7-FC33FFCB1372}" type="presParOf" srcId="{53C92B9C-BCA2-4975-831C-DEB51110A3D8}" destId="{1DA66884-2C6F-4880-9B12-8D532B0B5126}" srcOrd="5" destOrd="0" presId="urn:microsoft.com/office/officeart/2005/8/layout/bProcess3"/>
    <dgm:cxn modelId="{1D90EE09-00D8-437B-A1D1-43A234C16732}" type="presParOf" srcId="{1DA66884-2C6F-4880-9B12-8D532B0B5126}" destId="{A8E23E90-F9FB-4204-816E-9D8B185BE0E4}" srcOrd="0" destOrd="0" presId="urn:microsoft.com/office/officeart/2005/8/layout/bProcess3"/>
    <dgm:cxn modelId="{4E315F61-6CE1-4C3E-B8D8-828B70B25AF3}" type="presParOf" srcId="{53C92B9C-BCA2-4975-831C-DEB51110A3D8}" destId="{81D71D7A-EDE7-4330-B7F3-CDBC8C0CA674}" srcOrd="6" destOrd="0" presId="urn:microsoft.com/office/officeart/2005/8/layout/bProcess3"/>
    <dgm:cxn modelId="{BB8A2B60-9245-4B46-B5AF-6D83747F7819}" type="presParOf" srcId="{53C92B9C-BCA2-4975-831C-DEB51110A3D8}" destId="{C0970E8C-7746-48BF-BA32-9EAA463FD06A}" srcOrd="7" destOrd="0" presId="urn:microsoft.com/office/officeart/2005/8/layout/bProcess3"/>
    <dgm:cxn modelId="{6036D07D-6134-4053-BEC2-EDCBB507E6B6}" type="presParOf" srcId="{C0970E8C-7746-48BF-BA32-9EAA463FD06A}" destId="{D597EA1C-D480-451A-A9F4-1B673D378BC1}" srcOrd="0" destOrd="0" presId="urn:microsoft.com/office/officeart/2005/8/layout/bProcess3"/>
    <dgm:cxn modelId="{5749EF46-0915-48F9-89E9-976A5A8D60BF}" type="presParOf" srcId="{53C92B9C-BCA2-4975-831C-DEB51110A3D8}" destId="{C0190CE7-F0BB-4400-9C63-55F847C49D3C}" srcOrd="8" destOrd="0" presId="urn:microsoft.com/office/officeart/2005/8/layout/bProcess3"/>
  </dgm:cxnLst>
  <dgm:bg/>
  <dgm:whole>
    <a:ln w="57150"/>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92E713-FCB0-407F-92DB-C4BA6051A6AE}" type="doc">
      <dgm:prSet loTypeId="urn:microsoft.com/office/officeart/2008/layout/RadialCluster" loCatId="cycle" qsTypeId="urn:microsoft.com/office/officeart/2005/8/quickstyle/simple1" qsCatId="simple" csTypeId="urn:microsoft.com/office/officeart/2005/8/colors/accent0_2" csCatId="mainScheme" phldr="1"/>
      <dgm:spPr/>
      <dgm:t>
        <a:bodyPr/>
        <a:lstStyle/>
        <a:p>
          <a:endParaRPr lang="en-GB"/>
        </a:p>
      </dgm:t>
    </dgm:pt>
    <dgm:pt modelId="{108B025F-CEEC-4CD5-8179-BD8E13A8950C}">
      <dgm:prSet phldrT="[Text]" custT="1"/>
      <dgm:spPr/>
      <dgm:t>
        <a:bodyPr/>
        <a:lstStyle/>
        <a:p>
          <a:r>
            <a:rPr lang="en-GB" sz="1400" b="0">
              <a:solidFill>
                <a:sysClr val="windowText" lastClr="000000"/>
              </a:solidFill>
            </a:rPr>
            <a:t>Student engagement</a:t>
          </a:r>
          <a:endParaRPr lang="en-GB" sz="2300">
            <a:solidFill>
              <a:sysClr val="windowText" lastClr="000000"/>
            </a:solidFill>
          </a:endParaRPr>
        </a:p>
      </dgm:t>
    </dgm:pt>
    <dgm:pt modelId="{2C16EA30-EA03-45B6-A959-47370966044D}" type="parTrans" cxnId="{55E9696F-AB75-4248-92F3-65A066853A16}">
      <dgm:prSet/>
      <dgm:spPr/>
      <dgm:t>
        <a:bodyPr/>
        <a:lstStyle/>
        <a:p>
          <a:endParaRPr lang="en-GB"/>
        </a:p>
      </dgm:t>
    </dgm:pt>
    <dgm:pt modelId="{458CED6B-E5E5-4BAE-A1E8-064FB70F9BA6}" type="sibTrans" cxnId="{55E9696F-AB75-4248-92F3-65A066853A16}">
      <dgm:prSet/>
      <dgm:spPr/>
      <dgm:t>
        <a:bodyPr/>
        <a:lstStyle/>
        <a:p>
          <a:endParaRPr lang="en-GB"/>
        </a:p>
      </dgm:t>
    </dgm:pt>
    <dgm:pt modelId="{2424EE50-AD79-4682-ADB2-B51A13EFE638}">
      <dgm:prSet phldrT="[Text]" custT="1"/>
      <dgm:spPr/>
      <dgm:t>
        <a:bodyPr/>
        <a:lstStyle/>
        <a:p>
          <a:r>
            <a:rPr lang="en-GB" sz="1400">
              <a:solidFill>
                <a:sysClr val="windowText" lastClr="000000"/>
              </a:solidFill>
            </a:rPr>
            <a:t>Organization</a:t>
          </a:r>
          <a:r>
            <a:rPr lang="en-GB" sz="1700">
              <a:solidFill>
                <a:sysClr val="windowText" lastClr="000000"/>
              </a:solidFill>
            </a:rPr>
            <a:t> </a:t>
          </a:r>
        </a:p>
      </dgm:t>
    </dgm:pt>
    <dgm:pt modelId="{32713B8C-0C6C-4F74-A404-A78A742BA5C4}" type="parTrans" cxnId="{C531270A-DED5-4951-AC10-A6FC045E0B41}">
      <dgm:prSet/>
      <dgm:spPr/>
      <dgm:t>
        <a:bodyPr/>
        <a:lstStyle/>
        <a:p>
          <a:endParaRPr lang="en-GB"/>
        </a:p>
      </dgm:t>
    </dgm:pt>
    <dgm:pt modelId="{2C45694E-C2B4-43B4-B91D-B84AABF7A6DB}" type="sibTrans" cxnId="{C531270A-DED5-4951-AC10-A6FC045E0B41}">
      <dgm:prSet/>
      <dgm:spPr/>
      <dgm:t>
        <a:bodyPr/>
        <a:lstStyle/>
        <a:p>
          <a:endParaRPr lang="en-GB"/>
        </a:p>
      </dgm:t>
    </dgm:pt>
    <dgm:pt modelId="{CFBA55D1-2E52-4A09-91DC-468C6EE31BEA}">
      <dgm:prSet phldrT="[Text]" custT="1"/>
      <dgm:spPr/>
      <dgm:t>
        <a:bodyPr/>
        <a:lstStyle/>
        <a:p>
          <a:r>
            <a:rPr lang="en-GB" sz="1400">
              <a:solidFill>
                <a:sysClr val="windowText" lastClr="000000"/>
              </a:solidFill>
            </a:rPr>
            <a:t>Understanding</a:t>
          </a:r>
        </a:p>
      </dgm:t>
    </dgm:pt>
    <dgm:pt modelId="{96B831DA-C184-46EA-8DEE-949B2F973CEE}" type="parTrans" cxnId="{2F597BE6-2B2C-401C-A7D7-D43BA9F0120B}">
      <dgm:prSet/>
      <dgm:spPr/>
      <dgm:t>
        <a:bodyPr/>
        <a:lstStyle/>
        <a:p>
          <a:endParaRPr lang="en-GB"/>
        </a:p>
      </dgm:t>
    </dgm:pt>
    <dgm:pt modelId="{3609DC43-AED6-4584-848B-BD03FCF12089}" type="sibTrans" cxnId="{2F597BE6-2B2C-401C-A7D7-D43BA9F0120B}">
      <dgm:prSet/>
      <dgm:spPr/>
      <dgm:t>
        <a:bodyPr/>
        <a:lstStyle/>
        <a:p>
          <a:endParaRPr lang="en-GB"/>
        </a:p>
      </dgm:t>
    </dgm:pt>
    <dgm:pt modelId="{54E630D4-3EE8-46C3-83D4-DEF2EB485D4E}">
      <dgm:prSet phldrT="[Text]" custT="1"/>
      <dgm:spPr/>
      <dgm:t>
        <a:bodyPr/>
        <a:lstStyle/>
        <a:p>
          <a:r>
            <a:rPr lang="en-GB" sz="1400">
              <a:solidFill>
                <a:sysClr val="windowText" lastClr="000000"/>
              </a:solidFill>
            </a:rPr>
            <a:t>Enjoyment </a:t>
          </a:r>
          <a:r>
            <a:rPr lang="en-GB" sz="1400"/>
            <a:t> </a:t>
          </a:r>
        </a:p>
      </dgm:t>
    </dgm:pt>
    <dgm:pt modelId="{56E6ABFF-89BE-4106-8EBA-14E1525EC4B1}" type="parTrans" cxnId="{2B4875A2-9B87-4584-8A0E-69A04D0CBA20}">
      <dgm:prSet/>
      <dgm:spPr/>
      <dgm:t>
        <a:bodyPr/>
        <a:lstStyle/>
        <a:p>
          <a:endParaRPr lang="en-GB"/>
        </a:p>
      </dgm:t>
    </dgm:pt>
    <dgm:pt modelId="{B3E554B7-E6E8-437F-9A64-666DAE45C614}" type="sibTrans" cxnId="{2B4875A2-9B87-4584-8A0E-69A04D0CBA20}">
      <dgm:prSet/>
      <dgm:spPr/>
      <dgm:t>
        <a:bodyPr/>
        <a:lstStyle/>
        <a:p>
          <a:endParaRPr lang="en-GB"/>
        </a:p>
      </dgm:t>
    </dgm:pt>
    <dgm:pt modelId="{B6524BEB-C6CD-45E6-B107-4A670A5B612D}" type="pres">
      <dgm:prSet presAssocID="{2B92E713-FCB0-407F-92DB-C4BA6051A6AE}" presName="Name0" presStyleCnt="0">
        <dgm:presLayoutVars>
          <dgm:chMax val="1"/>
          <dgm:chPref val="1"/>
          <dgm:dir/>
          <dgm:animOne val="branch"/>
          <dgm:animLvl val="lvl"/>
        </dgm:presLayoutVars>
      </dgm:prSet>
      <dgm:spPr/>
    </dgm:pt>
    <dgm:pt modelId="{1B8EB034-AFF7-4868-B25D-C4920F022DC1}" type="pres">
      <dgm:prSet presAssocID="{108B025F-CEEC-4CD5-8179-BD8E13A8950C}" presName="singleCycle" presStyleCnt="0"/>
      <dgm:spPr/>
    </dgm:pt>
    <dgm:pt modelId="{80E04C74-1A42-4D1E-9D9D-1BBD60F4C802}" type="pres">
      <dgm:prSet presAssocID="{108B025F-CEEC-4CD5-8179-BD8E13A8950C}" presName="singleCenter" presStyleLbl="node1" presStyleIdx="0" presStyleCnt="4" custScaleX="178222" custLinFactNeighborX="-2980" custLinFactNeighborY="894">
        <dgm:presLayoutVars>
          <dgm:chMax val="7"/>
          <dgm:chPref val="7"/>
        </dgm:presLayoutVars>
      </dgm:prSet>
      <dgm:spPr/>
    </dgm:pt>
    <dgm:pt modelId="{A9957A62-18E6-428E-856C-CE092D5006B5}" type="pres">
      <dgm:prSet presAssocID="{32713B8C-0C6C-4F74-A404-A78A742BA5C4}" presName="Name56" presStyleLbl="parChTrans1D2" presStyleIdx="0" presStyleCnt="3"/>
      <dgm:spPr/>
    </dgm:pt>
    <dgm:pt modelId="{E1314A2A-EC25-4216-BBFC-30108FD6A2E1}" type="pres">
      <dgm:prSet presAssocID="{2424EE50-AD79-4682-ADB2-B51A13EFE638}" presName="text0" presStyleLbl="node1" presStyleIdx="1" presStyleCnt="4" custScaleX="192995" custRadScaleRad="100956" custRadScaleInc="-1343">
        <dgm:presLayoutVars>
          <dgm:bulletEnabled val="1"/>
        </dgm:presLayoutVars>
      </dgm:prSet>
      <dgm:spPr/>
    </dgm:pt>
    <dgm:pt modelId="{4895DD75-9250-4BDE-8D59-247A59C525C3}" type="pres">
      <dgm:prSet presAssocID="{96B831DA-C184-46EA-8DEE-949B2F973CEE}" presName="Name56" presStyleLbl="parChTrans1D2" presStyleIdx="1" presStyleCnt="3"/>
      <dgm:spPr/>
    </dgm:pt>
    <dgm:pt modelId="{A496E1E6-5617-4BB6-AFE4-D81A1A213D10}" type="pres">
      <dgm:prSet presAssocID="{CFBA55D1-2E52-4A09-91DC-468C6EE31BEA}" presName="text0" presStyleLbl="node1" presStyleIdx="2" presStyleCnt="4" custScaleX="229365" custRadScaleRad="144606" custRadScaleInc="-124025">
        <dgm:presLayoutVars>
          <dgm:bulletEnabled val="1"/>
        </dgm:presLayoutVars>
      </dgm:prSet>
      <dgm:spPr/>
    </dgm:pt>
    <dgm:pt modelId="{0B8838FC-5031-402F-992D-F517527BDDD7}" type="pres">
      <dgm:prSet presAssocID="{56E6ABFF-89BE-4106-8EBA-14E1525EC4B1}" presName="Name56" presStyleLbl="parChTrans1D2" presStyleIdx="2" presStyleCnt="3"/>
      <dgm:spPr/>
    </dgm:pt>
    <dgm:pt modelId="{1FFAFEC4-C633-48F9-A3B9-2CC7014701DC}" type="pres">
      <dgm:prSet presAssocID="{54E630D4-3EE8-46C3-83D4-DEF2EB485D4E}" presName="text0" presStyleLbl="node1" presStyleIdx="3" presStyleCnt="4" custScaleX="209092" custRadScaleRad="143045" custRadScaleInc="124664">
        <dgm:presLayoutVars>
          <dgm:bulletEnabled val="1"/>
        </dgm:presLayoutVars>
      </dgm:prSet>
      <dgm:spPr/>
    </dgm:pt>
  </dgm:ptLst>
  <dgm:cxnLst>
    <dgm:cxn modelId="{C531270A-DED5-4951-AC10-A6FC045E0B41}" srcId="{108B025F-CEEC-4CD5-8179-BD8E13A8950C}" destId="{2424EE50-AD79-4682-ADB2-B51A13EFE638}" srcOrd="0" destOrd="0" parTransId="{32713B8C-0C6C-4F74-A404-A78A742BA5C4}" sibTransId="{2C45694E-C2B4-43B4-B91D-B84AABF7A6DB}"/>
    <dgm:cxn modelId="{94B6CE2C-3718-4376-9A06-6E48566F1AF2}" type="presOf" srcId="{2424EE50-AD79-4682-ADB2-B51A13EFE638}" destId="{E1314A2A-EC25-4216-BBFC-30108FD6A2E1}" srcOrd="0" destOrd="0" presId="urn:microsoft.com/office/officeart/2008/layout/RadialCluster"/>
    <dgm:cxn modelId="{B6F45731-468B-44A0-8FE3-BCBA0AB08E68}" type="presOf" srcId="{54E630D4-3EE8-46C3-83D4-DEF2EB485D4E}" destId="{1FFAFEC4-C633-48F9-A3B9-2CC7014701DC}" srcOrd="0" destOrd="0" presId="urn:microsoft.com/office/officeart/2008/layout/RadialCluster"/>
    <dgm:cxn modelId="{26F75A43-408B-4DA3-AC51-B8D30290DB30}" type="presOf" srcId="{CFBA55D1-2E52-4A09-91DC-468C6EE31BEA}" destId="{A496E1E6-5617-4BB6-AFE4-D81A1A213D10}" srcOrd="0" destOrd="0" presId="urn:microsoft.com/office/officeart/2008/layout/RadialCluster"/>
    <dgm:cxn modelId="{42273D6E-A4A6-466B-8908-40CB5B563F5D}" type="presOf" srcId="{32713B8C-0C6C-4F74-A404-A78A742BA5C4}" destId="{A9957A62-18E6-428E-856C-CE092D5006B5}" srcOrd="0" destOrd="0" presId="urn:microsoft.com/office/officeart/2008/layout/RadialCluster"/>
    <dgm:cxn modelId="{55E9696F-AB75-4248-92F3-65A066853A16}" srcId="{2B92E713-FCB0-407F-92DB-C4BA6051A6AE}" destId="{108B025F-CEEC-4CD5-8179-BD8E13A8950C}" srcOrd="0" destOrd="0" parTransId="{2C16EA30-EA03-45B6-A959-47370966044D}" sibTransId="{458CED6B-E5E5-4BAE-A1E8-064FB70F9BA6}"/>
    <dgm:cxn modelId="{2E80FA87-5511-4CF6-9333-4BFF0786868D}" type="presOf" srcId="{56E6ABFF-89BE-4106-8EBA-14E1525EC4B1}" destId="{0B8838FC-5031-402F-992D-F517527BDDD7}" srcOrd="0" destOrd="0" presId="urn:microsoft.com/office/officeart/2008/layout/RadialCluster"/>
    <dgm:cxn modelId="{2B4875A2-9B87-4584-8A0E-69A04D0CBA20}" srcId="{108B025F-CEEC-4CD5-8179-BD8E13A8950C}" destId="{54E630D4-3EE8-46C3-83D4-DEF2EB485D4E}" srcOrd="2" destOrd="0" parTransId="{56E6ABFF-89BE-4106-8EBA-14E1525EC4B1}" sibTransId="{B3E554B7-E6E8-437F-9A64-666DAE45C614}"/>
    <dgm:cxn modelId="{BEAE0AB2-39FA-4371-B22A-37FECFAFF0E3}" type="presOf" srcId="{108B025F-CEEC-4CD5-8179-BD8E13A8950C}" destId="{80E04C74-1A42-4D1E-9D9D-1BBD60F4C802}" srcOrd="0" destOrd="0" presId="urn:microsoft.com/office/officeart/2008/layout/RadialCluster"/>
    <dgm:cxn modelId="{BB9FD4D1-0CE8-4739-B010-ED8A0291042D}" type="presOf" srcId="{2B92E713-FCB0-407F-92DB-C4BA6051A6AE}" destId="{B6524BEB-C6CD-45E6-B107-4A670A5B612D}" srcOrd="0" destOrd="0" presId="urn:microsoft.com/office/officeart/2008/layout/RadialCluster"/>
    <dgm:cxn modelId="{786B51D6-F057-4E89-A6FA-87343E5B4518}" type="presOf" srcId="{96B831DA-C184-46EA-8DEE-949B2F973CEE}" destId="{4895DD75-9250-4BDE-8D59-247A59C525C3}" srcOrd="0" destOrd="0" presId="urn:microsoft.com/office/officeart/2008/layout/RadialCluster"/>
    <dgm:cxn modelId="{2F597BE6-2B2C-401C-A7D7-D43BA9F0120B}" srcId="{108B025F-CEEC-4CD5-8179-BD8E13A8950C}" destId="{CFBA55D1-2E52-4A09-91DC-468C6EE31BEA}" srcOrd="1" destOrd="0" parTransId="{96B831DA-C184-46EA-8DEE-949B2F973CEE}" sibTransId="{3609DC43-AED6-4584-848B-BD03FCF12089}"/>
    <dgm:cxn modelId="{95419B69-8AC0-49BA-8199-E2C301B90E8F}" type="presParOf" srcId="{B6524BEB-C6CD-45E6-B107-4A670A5B612D}" destId="{1B8EB034-AFF7-4868-B25D-C4920F022DC1}" srcOrd="0" destOrd="0" presId="urn:microsoft.com/office/officeart/2008/layout/RadialCluster"/>
    <dgm:cxn modelId="{5191D047-E04B-483E-BAEE-2BA7E8B0A32B}" type="presParOf" srcId="{1B8EB034-AFF7-4868-B25D-C4920F022DC1}" destId="{80E04C74-1A42-4D1E-9D9D-1BBD60F4C802}" srcOrd="0" destOrd="0" presId="urn:microsoft.com/office/officeart/2008/layout/RadialCluster"/>
    <dgm:cxn modelId="{54D87029-C5A1-4702-AAA0-2BA0F072BFEF}" type="presParOf" srcId="{1B8EB034-AFF7-4868-B25D-C4920F022DC1}" destId="{A9957A62-18E6-428E-856C-CE092D5006B5}" srcOrd="1" destOrd="0" presId="urn:microsoft.com/office/officeart/2008/layout/RadialCluster"/>
    <dgm:cxn modelId="{52ABBCE1-C256-474A-9416-2CC77CCE67CF}" type="presParOf" srcId="{1B8EB034-AFF7-4868-B25D-C4920F022DC1}" destId="{E1314A2A-EC25-4216-BBFC-30108FD6A2E1}" srcOrd="2" destOrd="0" presId="urn:microsoft.com/office/officeart/2008/layout/RadialCluster"/>
    <dgm:cxn modelId="{7D503CC2-1A3F-45A3-9737-D5ACC3665A48}" type="presParOf" srcId="{1B8EB034-AFF7-4868-B25D-C4920F022DC1}" destId="{4895DD75-9250-4BDE-8D59-247A59C525C3}" srcOrd="3" destOrd="0" presId="urn:microsoft.com/office/officeart/2008/layout/RadialCluster"/>
    <dgm:cxn modelId="{AC587A87-AA28-4D47-ABC9-75BA420DBA77}" type="presParOf" srcId="{1B8EB034-AFF7-4868-B25D-C4920F022DC1}" destId="{A496E1E6-5617-4BB6-AFE4-D81A1A213D10}" srcOrd="4" destOrd="0" presId="urn:microsoft.com/office/officeart/2008/layout/RadialCluster"/>
    <dgm:cxn modelId="{866C83F6-6C70-4E3F-A2C5-3E49A71DC80D}" type="presParOf" srcId="{1B8EB034-AFF7-4868-B25D-C4920F022DC1}" destId="{0B8838FC-5031-402F-992D-F517527BDDD7}" srcOrd="5" destOrd="0" presId="urn:microsoft.com/office/officeart/2008/layout/RadialCluster"/>
    <dgm:cxn modelId="{998B27B6-9E8A-496A-8890-C7A58FC0DE4C}" type="presParOf" srcId="{1B8EB034-AFF7-4868-B25D-C4920F022DC1}" destId="{1FFAFEC4-C633-48F9-A3B9-2CC7014701DC}" srcOrd="6" destOrd="0" presId="urn:microsoft.com/office/officeart/2008/layout/RadialCluster"/>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8BA50-CBB6-4A95-9D2C-6D67A24CB6AE}">
      <dsp:nvSpPr>
        <dsp:cNvPr id="0" name=""/>
        <dsp:cNvSpPr/>
      </dsp:nvSpPr>
      <dsp:spPr>
        <a:xfrm>
          <a:off x="2466010" y="623250"/>
          <a:ext cx="478903" cy="91440"/>
        </a:xfrm>
        <a:custGeom>
          <a:avLst/>
          <a:gdLst/>
          <a:ahLst/>
          <a:cxnLst/>
          <a:rect l="0" t="0" r="0" b="0"/>
          <a:pathLst>
            <a:path>
              <a:moveTo>
                <a:pt x="0" y="45720"/>
              </a:moveTo>
              <a:lnTo>
                <a:pt x="478903" y="45720"/>
              </a:lnTo>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92724" y="666420"/>
        <a:ext cx="25475" cy="5100"/>
      </dsp:txXfrm>
    </dsp:sp>
    <dsp:sp modelId="{25E63A63-8908-493D-A788-1531094DE050}">
      <dsp:nvSpPr>
        <dsp:cNvPr id="0" name=""/>
        <dsp:cNvSpPr/>
      </dsp:nvSpPr>
      <dsp:spPr>
        <a:xfrm>
          <a:off x="252576" y="4400"/>
          <a:ext cx="2215234" cy="13291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Chapter 5 (Study One)</a:t>
          </a:r>
        </a:p>
        <a:p>
          <a:pPr marL="0" lvl="0" indent="0" algn="ctr" defTabSz="488950">
            <a:lnSpc>
              <a:spcPct val="90000"/>
            </a:lnSpc>
            <a:spcBef>
              <a:spcPct val="0"/>
            </a:spcBef>
            <a:spcAft>
              <a:spcPct val="35000"/>
            </a:spcAft>
            <a:buNone/>
          </a:pPr>
          <a:r>
            <a:rPr lang="en-GB" sz="1100" kern="1200"/>
            <a:t>To understand the perceived influences and barriers associated with healthy and unhealthy food choices amongst secondary school students.</a:t>
          </a:r>
        </a:p>
      </dsp:txBody>
      <dsp:txXfrm>
        <a:off x="252576" y="4400"/>
        <a:ext cx="2215234" cy="1329140"/>
      </dsp:txXfrm>
    </dsp:sp>
    <dsp:sp modelId="{A5A7BD26-DB37-4D3F-B8E5-44B7B9E1DB35}">
      <dsp:nvSpPr>
        <dsp:cNvPr id="0" name=""/>
        <dsp:cNvSpPr/>
      </dsp:nvSpPr>
      <dsp:spPr>
        <a:xfrm>
          <a:off x="1360193" y="1331740"/>
          <a:ext cx="2724737" cy="478903"/>
        </a:xfrm>
        <a:custGeom>
          <a:avLst/>
          <a:gdLst/>
          <a:ahLst/>
          <a:cxnLst/>
          <a:rect l="0" t="0" r="0" b="0"/>
          <a:pathLst>
            <a:path>
              <a:moveTo>
                <a:pt x="2724737" y="0"/>
              </a:moveTo>
              <a:lnTo>
                <a:pt x="2724737" y="256551"/>
              </a:lnTo>
              <a:lnTo>
                <a:pt x="0" y="256551"/>
              </a:lnTo>
              <a:lnTo>
                <a:pt x="0" y="478903"/>
              </a:lnTo>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53263" y="1568642"/>
        <a:ext cx="138598" cy="5100"/>
      </dsp:txXfrm>
    </dsp:sp>
    <dsp:sp modelId="{1218417E-6C3B-4140-AA2D-5B6D4B739ED2}">
      <dsp:nvSpPr>
        <dsp:cNvPr id="0" name=""/>
        <dsp:cNvSpPr/>
      </dsp:nvSpPr>
      <dsp:spPr>
        <a:xfrm>
          <a:off x="2977314" y="4400"/>
          <a:ext cx="2215234" cy="13291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en-GB" sz="1100" b="1" kern="1200"/>
        </a:p>
        <a:p>
          <a:pPr marL="0" lvl="0" indent="0" algn="ctr" defTabSz="488950">
            <a:lnSpc>
              <a:spcPct val="90000"/>
            </a:lnSpc>
            <a:spcBef>
              <a:spcPct val="0"/>
            </a:spcBef>
            <a:spcAft>
              <a:spcPct val="35000"/>
            </a:spcAft>
            <a:buNone/>
          </a:pPr>
          <a:r>
            <a:rPr lang="en-GB" sz="1100" b="1" kern="1200"/>
            <a:t>Chapter 6</a:t>
          </a:r>
          <a:endParaRPr lang="en-GB" sz="1100" kern="1200"/>
        </a:p>
        <a:p>
          <a:pPr marL="0" lvl="0" indent="0" algn="ctr" defTabSz="488950">
            <a:lnSpc>
              <a:spcPct val="90000"/>
            </a:lnSpc>
            <a:spcBef>
              <a:spcPct val="0"/>
            </a:spcBef>
            <a:spcAft>
              <a:spcPct val="35000"/>
            </a:spcAft>
            <a:buFont typeface="Times New Roman" panose="02020603050405020304" pitchFamily="18" charset="0"/>
            <a:buNone/>
          </a:pPr>
          <a:r>
            <a:rPr lang="en-GB" sz="1100" kern="1200"/>
            <a:t>To develop an in-school SNA intervention which targets unhealthy dietary behaviours of students.</a:t>
          </a:r>
        </a:p>
        <a:p>
          <a:pPr marL="0" lvl="0" indent="0" algn="ctr" defTabSz="488950">
            <a:lnSpc>
              <a:spcPct val="90000"/>
            </a:lnSpc>
            <a:spcBef>
              <a:spcPct val="0"/>
            </a:spcBef>
            <a:spcAft>
              <a:spcPct val="35000"/>
            </a:spcAft>
            <a:buFont typeface="Times New Roman" panose="02020603050405020304" pitchFamily="18" charset="0"/>
            <a:buNone/>
          </a:pPr>
          <a:endParaRPr lang="en-GB" sz="1000" kern="1200"/>
        </a:p>
        <a:p>
          <a:pPr marL="0" lvl="0" indent="0" algn="ctr" defTabSz="488950">
            <a:lnSpc>
              <a:spcPct val="90000"/>
            </a:lnSpc>
            <a:spcBef>
              <a:spcPct val="0"/>
            </a:spcBef>
            <a:spcAft>
              <a:spcPct val="35000"/>
            </a:spcAft>
            <a:buFont typeface="Times New Roman" panose="02020603050405020304" pitchFamily="18" charset="0"/>
            <a:buNone/>
          </a:pPr>
          <a:endParaRPr lang="en-GB" sz="1000" kern="1200"/>
        </a:p>
      </dsp:txBody>
      <dsp:txXfrm>
        <a:off x="2977314" y="4400"/>
        <a:ext cx="2215234" cy="1329140"/>
      </dsp:txXfrm>
    </dsp:sp>
    <dsp:sp modelId="{1DA66884-2C6F-4880-9B12-8D532B0B5126}">
      <dsp:nvSpPr>
        <dsp:cNvPr id="0" name=""/>
        <dsp:cNvSpPr/>
      </dsp:nvSpPr>
      <dsp:spPr>
        <a:xfrm>
          <a:off x="2466010" y="2461895"/>
          <a:ext cx="478903" cy="91440"/>
        </a:xfrm>
        <a:custGeom>
          <a:avLst/>
          <a:gdLst/>
          <a:ahLst/>
          <a:cxnLst/>
          <a:rect l="0" t="0" r="0" b="0"/>
          <a:pathLst>
            <a:path>
              <a:moveTo>
                <a:pt x="0" y="45720"/>
              </a:moveTo>
              <a:lnTo>
                <a:pt x="478903" y="45720"/>
              </a:lnTo>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92724" y="2505064"/>
        <a:ext cx="25475" cy="5100"/>
      </dsp:txXfrm>
    </dsp:sp>
    <dsp:sp modelId="{9ABC7D80-DABF-4C27-AB15-7620E7F6C070}">
      <dsp:nvSpPr>
        <dsp:cNvPr id="0" name=""/>
        <dsp:cNvSpPr/>
      </dsp:nvSpPr>
      <dsp:spPr>
        <a:xfrm>
          <a:off x="252576" y="1843044"/>
          <a:ext cx="2215234" cy="13291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Chapter 7 (Study Two)</a:t>
          </a:r>
        </a:p>
        <a:p>
          <a:pPr marL="0" lvl="0" indent="0" algn="ctr" defTabSz="488950">
            <a:lnSpc>
              <a:spcPct val="90000"/>
            </a:lnSpc>
            <a:spcBef>
              <a:spcPct val="0"/>
            </a:spcBef>
            <a:spcAft>
              <a:spcPct val="35000"/>
            </a:spcAft>
            <a:buNone/>
          </a:pPr>
          <a:r>
            <a:rPr lang="en-GB" sz="1100" kern="1200"/>
            <a:t>To test for the existence of dietary-related misperceptions amongst students and whether these misperceptions are associated with personal behaviour.</a:t>
          </a:r>
        </a:p>
      </dsp:txBody>
      <dsp:txXfrm>
        <a:off x="252576" y="1843044"/>
        <a:ext cx="2215234" cy="1329140"/>
      </dsp:txXfrm>
    </dsp:sp>
    <dsp:sp modelId="{C0970E8C-7746-48BF-BA32-9EAA463FD06A}">
      <dsp:nvSpPr>
        <dsp:cNvPr id="0" name=""/>
        <dsp:cNvSpPr/>
      </dsp:nvSpPr>
      <dsp:spPr>
        <a:xfrm>
          <a:off x="1360193" y="3170385"/>
          <a:ext cx="2724737" cy="479515"/>
        </a:xfrm>
        <a:custGeom>
          <a:avLst/>
          <a:gdLst/>
          <a:ahLst/>
          <a:cxnLst/>
          <a:rect l="0" t="0" r="0" b="0"/>
          <a:pathLst>
            <a:path>
              <a:moveTo>
                <a:pt x="2724737" y="0"/>
              </a:moveTo>
              <a:lnTo>
                <a:pt x="2724737" y="256857"/>
              </a:lnTo>
              <a:lnTo>
                <a:pt x="0" y="256857"/>
              </a:lnTo>
              <a:lnTo>
                <a:pt x="0" y="479515"/>
              </a:lnTo>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53260" y="3407592"/>
        <a:ext cx="138603" cy="5100"/>
      </dsp:txXfrm>
    </dsp:sp>
    <dsp:sp modelId="{81D71D7A-EDE7-4330-B7F3-CDBC8C0CA674}">
      <dsp:nvSpPr>
        <dsp:cNvPr id="0" name=""/>
        <dsp:cNvSpPr/>
      </dsp:nvSpPr>
      <dsp:spPr>
        <a:xfrm>
          <a:off x="2977314" y="1843044"/>
          <a:ext cx="2215234" cy="13291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en-GB" sz="1100" b="1" kern="1200"/>
        </a:p>
        <a:p>
          <a:pPr marL="0" lvl="0" indent="0" algn="ctr" defTabSz="488950">
            <a:lnSpc>
              <a:spcPct val="90000"/>
            </a:lnSpc>
            <a:spcBef>
              <a:spcPct val="0"/>
            </a:spcBef>
            <a:spcAft>
              <a:spcPct val="35000"/>
            </a:spcAft>
            <a:buNone/>
          </a:pPr>
          <a:r>
            <a:rPr lang="en-GB" sz="1100" b="1" kern="1200"/>
            <a:t>Chapter 8 (Study Three)</a:t>
          </a:r>
        </a:p>
        <a:p>
          <a:pPr marL="0" lvl="0" indent="0" algn="ctr" defTabSz="488950">
            <a:lnSpc>
              <a:spcPct val="90000"/>
            </a:lnSpc>
            <a:spcBef>
              <a:spcPct val="0"/>
            </a:spcBef>
            <a:spcAft>
              <a:spcPct val="35000"/>
            </a:spcAft>
            <a:buNone/>
          </a:pPr>
          <a:r>
            <a:rPr lang="en-GB" sz="1100" kern="1200"/>
            <a:t>To test the feasibility of the in-school SNA intervention to reduce unhealthy dietary behaviours of students.</a:t>
          </a:r>
        </a:p>
        <a:p>
          <a:pPr marL="0" lvl="0" indent="0" algn="ctr" defTabSz="488950">
            <a:lnSpc>
              <a:spcPct val="90000"/>
            </a:lnSpc>
            <a:spcBef>
              <a:spcPct val="0"/>
            </a:spcBef>
            <a:spcAft>
              <a:spcPct val="35000"/>
            </a:spcAft>
            <a:buNone/>
          </a:pPr>
          <a:endParaRPr lang="en-GB" sz="1000" kern="1200"/>
        </a:p>
        <a:p>
          <a:pPr marL="0" lvl="0" indent="0" algn="ctr" defTabSz="488950">
            <a:lnSpc>
              <a:spcPct val="90000"/>
            </a:lnSpc>
            <a:spcBef>
              <a:spcPct val="0"/>
            </a:spcBef>
            <a:spcAft>
              <a:spcPct val="35000"/>
            </a:spcAft>
            <a:buNone/>
          </a:pPr>
          <a:endParaRPr lang="en-GB" sz="1000" kern="1200"/>
        </a:p>
      </dsp:txBody>
      <dsp:txXfrm>
        <a:off x="2977314" y="1843044"/>
        <a:ext cx="2215234" cy="1329140"/>
      </dsp:txXfrm>
    </dsp:sp>
    <dsp:sp modelId="{C0190CE7-F0BB-4400-9C63-55F847C49D3C}">
      <dsp:nvSpPr>
        <dsp:cNvPr id="0" name=""/>
        <dsp:cNvSpPr/>
      </dsp:nvSpPr>
      <dsp:spPr>
        <a:xfrm>
          <a:off x="252576" y="3682300"/>
          <a:ext cx="2215234" cy="13291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Chapter 9 (Study Four)</a:t>
          </a:r>
        </a:p>
        <a:p>
          <a:pPr marL="0" lvl="0" indent="0" algn="ctr" defTabSz="488950">
            <a:lnSpc>
              <a:spcPct val="90000"/>
            </a:lnSpc>
            <a:spcBef>
              <a:spcPct val="0"/>
            </a:spcBef>
            <a:spcAft>
              <a:spcPct val="35000"/>
            </a:spcAft>
            <a:buNone/>
          </a:pPr>
          <a:r>
            <a:rPr lang="en-GB" sz="1100" kern="1200"/>
            <a:t>To evaluate the intervention by exploring participants' experiences and perceptions of the in-school SNA intervention. </a:t>
          </a:r>
        </a:p>
      </dsp:txBody>
      <dsp:txXfrm>
        <a:off x="252576" y="3682300"/>
        <a:ext cx="2215234" cy="1329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04C74-1A42-4D1E-9D9D-1BBD60F4C802}">
      <dsp:nvSpPr>
        <dsp:cNvPr id="0" name=""/>
        <dsp:cNvSpPr/>
      </dsp:nvSpPr>
      <dsp:spPr>
        <a:xfrm>
          <a:off x="1707018" y="1608589"/>
          <a:ext cx="1816476" cy="10192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b="0" kern="1200">
              <a:solidFill>
                <a:sysClr val="windowText" lastClr="000000"/>
              </a:solidFill>
            </a:rPr>
            <a:t>Student engagement</a:t>
          </a:r>
          <a:endParaRPr lang="en-GB" sz="2300" kern="1200">
            <a:solidFill>
              <a:sysClr val="windowText" lastClr="000000"/>
            </a:solidFill>
          </a:endParaRPr>
        </a:p>
      </dsp:txBody>
      <dsp:txXfrm>
        <a:off x="1756772" y="1658343"/>
        <a:ext cx="1716968" cy="919713"/>
      </dsp:txXfrm>
    </dsp:sp>
    <dsp:sp modelId="{A9957A62-18E6-428E-856C-CE092D5006B5}">
      <dsp:nvSpPr>
        <dsp:cNvPr id="0" name=""/>
        <dsp:cNvSpPr/>
      </dsp:nvSpPr>
      <dsp:spPr>
        <a:xfrm rot="16351829">
          <a:off x="2275274" y="1229711"/>
          <a:ext cx="758495" cy="0"/>
        </a:xfrm>
        <a:custGeom>
          <a:avLst/>
          <a:gdLst/>
          <a:ahLst/>
          <a:cxnLst/>
          <a:rect l="0" t="0" r="0" b="0"/>
          <a:pathLst>
            <a:path>
              <a:moveTo>
                <a:pt x="0" y="0"/>
              </a:moveTo>
              <a:lnTo>
                <a:pt x="75849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314A2A-EC25-4216-BBFC-30108FD6A2E1}">
      <dsp:nvSpPr>
        <dsp:cNvPr id="0" name=""/>
        <dsp:cNvSpPr/>
      </dsp:nvSpPr>
      <dsp:spPr>
        <a:xfrm>
          <a:off x="2027395" y="167955"/>
          <a:ext cx="1317921" cy="68287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Organization</a:t>
          </a:r>
          <a:r>
            <a:rPr lang="en-GB" sz="1700" kern="1200">
              <a:solidFill>
                <a:sysClr val="windowText" lastClr="000000"/>
              </a:solidFill>
            </a:rPr>
            <a:t> </a:t>
          </a:r>
        </a:p>
      </dsp:txBody>
      <dsp:txXfrm>
        <a:off x="2060730" y="201290"/>
        <a:ext cx="1251251" cy="616208"/>
      </dsp:txXfrm>
    </dsp:sp>
    <dsp:sp modelId="{4895DD75-9250-4BDE-8D59-247A59C525C3}">
      <dsp:nvSpPr>
        <dsp:cNvPr id="0" name=""/>
        <dsp:cNvSpPr/>
      </dsp:nvSpPr>
      <dsp:spPr>
        <a:xfrm rot="19001366">
          <a:off x="3004613" y="1227702"/>
          <a:ext cx="1110533" cy="0"/>
        </a:xfrm>
        <a:custGeom>
          <a:avLst/>
          <a:gdLst/>
          <a:ahLst/>
          <a:cxnLst/>
          <a:rect l="0" t="0" r="0" b="0"/>
          <a:pathLst>
            <a:path>
              <a:moveTo>
                <a:pt x="0" y="0"/>
              </a:moveTo>
              <a:lnTo>
                <a:pt x="1110533"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6E1E6-5617-4BB6-AFE4-D81A1A213D10}">
      <dsp:nvSpPr>
        <dsp:cNvPr id="0" name=""/>
        <dsp:cNvSpPr/>
      </dsp:nvSpPr>
      <dsp:spPr>
        <a:xfrm>
          <a:off x="3542969" y="163937"/>
          <a:ext cx="1566284" cy="68287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Understanding</a:t>
          </a:r>
        </a:p>
      </dsp:txBody>
      <dsp:txXfrm>
        <a:off x="3576304" y="197272"/>
        <a:ext cx="1499614" cy="616208"/>
      </dsp:txXfrm>
    </dsp:sp>
    <dsp:sp modelId="{0B8838FC-5031-402F-992D-F517527BDDD7}">
      <dsp:nvSpPr>
        <dsp:cNvPr id="0" name=""/>
        <dsp:cNvSpPr/>
      </dsp:nvSpPr>
      <dsp:spPr>
        <a:xfrm rot="13622038">
          <a:off x="1272727" y="1230920"/>
          <a:ext cx="1032222" cy="0"/>
        </a:xfrm>
        <a:custGeom>
          <a:avLst/>
          <a:gdLst/>
          <a:ahLst/>
          <a:cxnLst/>
          <a:rect l="0" t="0" r="0" b="0"/>
          <a:pathLst>
            <a:path>
              <a:moveTo>
                <a:pt x="0" y="0"/>
              </a:moveTo>
              <a:lnTo>
                <a:pt x="103222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AFEC4-C633-48F9-A3B9-2CC7014701DC}">
      <dsp:nvSpPr>
        <dsp:cNvPr id="0" name=""/>
        <dsp:cNvSpPr/>
      </dsp:nvSpPr>
      <dsp:spPr>
        <a:xfrm>
          <a:off x="405134" y="170373"/>
          <a:ext cx="1427844" cy="68287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Enjoyment </a:t>
          </a:r>
          <a:r>
            <a:rPr lang="en-GB" sz="1400" kern="1200"/>
            <a:t> </a:t>
          </a:r>
        </a:p>
      </dsp:txBody>
      <dsp:txXfrm>
        <a:off x="438469" y="203708"/>
        <a:ext cx="1361174" cy="61620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34C856-84C0-4245-9C11-577658586234}">
  <we:reference id="d0d7ad62-a133-4e69-907b-72fafbc5aa40" version="1.2.0.0" store="EXCatalog" storeType="EXCatalog"/>
  <we:alternateReferences>
    <we:reference id="WA200002125"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2AF93C8B59364D8162B8FEE645EA4D" ma:contentTypeVersion="12" ma:contentTypeDescription="Create a new document." ma:contentTypeScope="" ma:versionID="36550fe40ed99358db0118ade3eb2f7a">
  <xsd:schema xmlns:xsd="http://www.w3.org/2001/XMLSchema" xmlns:xs="http://www.w3.org/2001/XMLSchema" xmlns:p="http://schemas.microsoft.com/office/2006/metadata/properties" xmlns:ns3="758da805-949f-489a-94b5-4ed590fb108a" xmlns:ns4="1fb8970d-5251-4436-8b82-704d42f5cc90" targetNamespace="http://schemas.microsoft.com/office/2006/metadata/properties" ma:root="true" ma:fieldsID="af82e1ef65f87f7d56fe2518944c67a2" ns3:_="" ns4:_="">
    <xsd:import namespace="758da805-949f-489a-94b5-4ed590fb108a"/>
    <xsd:import namespace="1fb8970d-5251-4436-8b82-704d42f5cc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da805-949f-489a-94b5-4ed590fb10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8970d-5251-4436-8b82-704d42f5cc9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6DD53F-18FE-43B6-8CB7-C9B3135E6DCB}">
  <ds:schemaRefs>
    <ds:schemaRef ds:uri="http://schemas.openxmlformats.org/officeDocument/2006/bibliography"/>
  </ds:schemaRefs>
</ds:datastoreItem>
</file>

<file path=customXml/itemProps2.xml><?xml version="1.0" encoding="utf-8"?>
<ds:datastoreItem xmlns:ds="http://schemas.openxmlformats.org/officeDocument/2006/customXml" ds:itemID="{33E71C15-5117-44AD-B534-B5E3FAAB2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da805-949f-489a-94b5-4ed590fb108a"/>
    <ds:schemaRef ds:uri="1fb8970d-5251-4436-8b82-704d42f5c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473C6-CD0E-4A97-90E7-B8FF323F1F7A}">
  <ds:schemaRefs>
    <ds:schemaRef ds:uri="http://schemas.microsoft.com/sharepoint/v3/contenttype/forms"/>
  </ds:schemaRefs>
</ds:datastoreItem>
</file>

<file path=customXml/itemProps4.xml><?xml version="1.0" encoding="utf-8"?>
<ds:datastoreItem xmlns:ds="http://schemas.openxmlformats.org/officeDocument/2006/customXml" ds:itemID="{BCE8F026-470F-47B1-888F-3EF03A09B3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308</Pages>
  <Words>595749</Words>
  <Characters>3395775</Characters>
  <Application>Microsoft Office Word</Application>
  <DocSecurity>0</DocSecurity>
  <Lines>28298</Lines>
  <Paragraphs>7967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Calvert</dc:creator>
  <cp:keywords/>
  <dc:description/>
  <cp:lastModifiedBy>CALVERT Sian</cp:lastModifiedBy>
  <cp:revision>6</cp:revision>
  <dcterms:created xsi:type="dcterms:W3CDTF">2022-04-05T14:03:00Z</dcterms:created>
  <dcterms:modified xsi:type="dcterms:W3CDTF">2022-04-05T14:17:00Z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7c5916cf-06ae-3759-999a-08d969ce5996</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http://www.zotero.org/styles/british-journal-of-health-psychology</vt:lpwstr>
  </property>
  <property fmtid="{D5CDD505-2E9C-101B-9397-08002B2CF9AE}" pid="12" name="Mendeley Recent Style Name 3_1">
    <vt:lpwstr>British Journal of Health Psychology</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http://www.zotero.org/styles/emerald-harvard</vt:lpwstr>
  </property>
  <property fmtid="{D5CDD505-2E9C-101B-9397-08002B2CF9AE}" pid="18" name="Mendeley Recent Style Name 6_1">
    <vt:lpwstr>Emerald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0x010100172AF93C8B59364D8162B8FEE645EA4D</vt:lpwstr>
  </property>
</Properties>
</file>