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82CF" w14:textId="47EE74F2" w:rsidR="008A013F" w:rsidRPr="005B2C28" w:rsidRDefault="00783D3B">
      <w:pPr>
        <w:rPr>
          <w:b/>
          <w:bCs/>
        </w:rPr>
      </w:pPr>
      <w:r>
        <w:rPr>
          <w:b/>
          <w:bCs/>
        </w:rPr>
        <w:t>EDITORIAL</w:t>
      </w:r>
    </w:p>
    <w:p w14:paraId="2708F38C" w14:textId="0835E25C" w:rsidR="005B2C28" w:rsidRDefault="005B2C28" w:rsidP="005B2C28">
      <w:pPr>
        <w:spacing w:line="360" w:lineRule="auto"/>
        <w:jc w:val="both"/>
      </w:pPr>
    </w:p>
    <w:p w14:paraId="1639A523" w14:textId="4F9BC389" w:rsidR="00F52C03" w:rsidRPr="00783D3B" w:rsidRDefault="00C50AB5" w:rsidP="005B2C28">
      <w:pPr>
        <w:spacing w:line="360" w:lineRule="auto"/>
        <w:jc w:val="both"/>
        <w:rPr>
          <w:b/>
          <w:bCs/>
        </w:rPr>
      </w:pPr>
      <w:r w:rsidRPr="00C50AB5">
        <w:rPr>
          <w:b/>
          <w:bCs/>
        </w:rPr>
        <w:t>10</w:t>
      </w:r>
      <w:r w:rsidRPr="00C50AB5">
        <w:rPr>
          <w:b/>
          <w:bCs/>
          <w:vertAlign w:val="superscript"/>
        </w:rPr>
        <w:t>th</w:t>
      </w:r>
      <w:r w:rsidRPr="00C50AB5">
        <w:rPr>
          <w:b/>
          <w:bCs/>
        </w:rPr>
        <w:t xml:space="preserve"> anniversary of</w:t>
      </w:r>
      <w:r>
        <w:rPr>
          <w:b/>
          <w:bCs/>
          <w:i/>
          <w:iCs/>
        </w:rPr>
        <w:t xml:space="preserve"> </w:t>
      </w:r>
      <w:r w:rsidR="00F52C03" w:rsidRPr="00783D3B">
        <w:rPr>
          <w:b/>
          <w:bCs/>
          <w:i/>
          <w:iCs/>
        </w:rPr>
        <w:t>Territory</w:t>
      </w:r>
      <w:r w:rsidR="008B3754" w:rsidRPr="00783D3B">
        <w:rPr>
          <w:b/>
          <w:bCs/>
          <w:i/>
          <w:iCs/>
        </w:rPr>
        <w:t>,</w:t>
      </w:r>
      <w:r w:rsidR="00F52C03" w:rsidRPr="00783D3B">
        <w:rPr>
          <w:b/>
          <w:bCs/>
          <w:i/>
          <w:iCs/>
        </w:rPr>
        <w:t xml:space="preserve"> Politics</w:t>
      </w:r>
      <w:r w:rsidR="008B3754" w:rsidRPr="00783D3B">
        <w:rPr>
          <w:b/>
          <w:bCs/>
          <w:i/>
          <w:iCs/>
        </w:rPr>
        <w:t>,</w:t>
      </w:r>
      <w:r w:rsidR="00F52C03" w:rsidRPr="00783D3B">
        <w:rPr>
          <w:b/>
          <w:bCs/>
          <w:i/>
          <w:iCs/>
        </w:rPr>
        <w:t xml:space="preserve"> Governance</w:t>
      </w:r>
      <w:r w:rsidR="00F52C03" w:rsidRPr="00783D3B">
        <w:rPr>
          <w:b/>
          <w:bCs/>
        </w:rPr>
        <w:t>:</w:t>
      </w:r>
      <w:r w:rsidR="00F52C03" w:rsidRPr="00783D3B">
        <w:rPr>
          <w:b/>
          <w:bCs/>
          <w:i/>
          <w:iCs/>
        </w:rPr>
        <w:t xml:space="preserve"> </w:t>
      </w:r>
      <w:r w:rsidR="00F52C03" w:rsidRPr="00783D3B">
        <w:rPr>
          <w:b/>
          <w:bCs/>
        </w:rPr>
        <w:t xml:space="preserve">Achievements and Prospects </w:t>
      </w:r>
    </w:p>
    <w:p w14:paraId="7230C4EB" w14:textId="26A92263" w:rsidR="00F52C03" w:rsidRDefault="00F52C03" w:rsidP="005B2C28">
      <w:pPr>
        <w:spacing w:line="360" w:lineRule="auto"/>
        <w:jc w:val="both"/>
      </w:pPr>
    </w:p>
    <w:p w14:paraId="7C8A0609" w14:textId="0800A03D" w:rsidR="00D61DB2" w:rsidRDefault="00D61DB2" w:rsidP="005B2C28">
      <w:pPr>
        <w:spacing w:line="360" w:lineRule="auto"/>
        <w:jc w:val="both"/>
      </w:pPr>
      <w:r>
        <w:t xml:space="preserve">Klaus Dodds, </w:t>
      </w:r>
      <w:r w:rsidRPr="00D61DB2">
        <w:t>Vanesa Castan Broto, Klaus Detterbeck, Martin Jones, Virginie Mamadouh, Maano Ramutsindela, Monica Varsanyi, David Wachsmuth &amp; Chih Yuan Woon</w:t>
      </w:r>
    </w:p>
    <w:p w14:paraId="6C761094" w14:textId="77777777" w:rsidR="00D61DB2" w:rsidRDefault="00D61DB2" w:rsidP="005B2C28">
      <w:pPr>
        <w:spacing w:line="360" w:lineRule="auto"/>
        <w:jc w:val="both"/>
      </w:pPr>
    </w:p>
    <w:p w14:paraId="242E80D3" w14:textId="4DF2917E" w:rsidR="00FD4B1E" w:rsidRDefault="00FD4B1E" w:rsidP="005B2C28">
      <w:pPr>
        <w:spacing w:line="360" w:lineRule="auto"/>
        <w:jc w:val="both"/>
      </w:pPr>
      <w:r>
        <w:t xml:space="preserve">Ten years ago, the founding editor in chief of </w:t>
      </w:r>
      <w:r w:rsidRPr="00FD4B1E">
        <w:rPr>
          <w:i/>
          <w:iCs/>
        </w:rPr>
        <w:t>Territory</w:t>
      </w:r>
      <w:r w:rsidR="00920630">
        <w:rPr>
          <w:i/>
          <w:iCs/>
        </w:rPr>
        <w:t>,</w:t>
      </w:r>
      <w:r w:rsidRPr="00FD4B1E">
        <w:rPr>
          <w:i/>
          <w:iCs/>
        </w:rPr>
        <w:t xml:space="preserve"> Politics</w:t>
      </w:r>
      <w:r w:rsidR="00920630">
        <w:rPr>
          <w:i/>
          <w:iCs/>
        </w:rPr>
        <w:t>,</w:t>
      </w:r>
      <w:r w:rsidRPr="00FD4B1E">
        <w:rPr>
          <w:i/>
          <w:iCs/>
        </w:rPr>
        <w:t xml:space="preserve"> Governance</w:t>
      </w:r>
      <w:r>
        <w:t xml:space="preserve">, Professor John Agnew, published an editorial </w:t>
      </w:r>
      <w:r w:rsidR="00F20DB3">
        <w:t xml:space="preserve">the inaugural issue of </w:t>
      </w:r>
      <w:r>
        <w:t>this journal. Launched by the Regional Studies Association, and enabled and supported by fellow editors and publishing team, the vision of the journal was set out clearly and concisely:</w:t>
      </w:r>
    </w:p>
    <w:p w14:paraId="0E2DD974" w14:textId="6448B437" w:rsidR="00FD4B1E" w:rsidRDefault="00FD4B1E" w:rsidP="005B2C28">
      <w:pPr>
        <w:spacing w:line="360" w:lineRule="auto"/>
        <w:jc w:val="both"/>
      </w:pPr>
    </w:p>
    <w:p w14:paraId="2FDDC2CB" w14:textId="77777777" w:rsidR="00FD4B1E" w:rsidRPr="00FD4B1E" w:rsidRDefault="00FD4B1E" w:rsidP="00FD4B1E">
      <w:pPr>
        <w:spacing w:line="360" w:lineRule="auto"/>
        <w:ind w:left="720"/>
        <w:jc w:val="both"/>
      </w:pPr>
      <w:r w:rsidRPr="00FD4B1E">
        <w:t>The intersection between the three words in the journal’s name defines the central</w:t>
      </w:r>
    </w:p>
    <w:p w14:paraId="20E29DD1" w14:textId="468819EC" w:rsidR="00FD4B1E" w:rsidRDefault="00FD4B1E" w:rsidP="00FD4B1E">
      <w:pPr>
        <w:spacing w:line="360" w:lineRule="auto"/>
        <w:ind w:left="720"/>
        <w:jc w:val="both"/>
      </w:pPr>
      <w:r w:rsidRPr="00FD4B1E">
        <w:t>purpose of the</w:t>
      </w:r>
      <w:r>
        <w:t xml:space="preserve"> j</w:t>
      </w:r>
      <w:r w:rsidRPr="00FD4B1E">
        <w:t>ournal: to publish and encourage research on territorial politics, spaces</w:t>
      </w:r>
      <w:r>
        <w:t xml:space="preserve"> </w:t>
      </w:r>
      <w:r w:rsidRPr="00FD4B1E">
        <w:t>of governance, and the political organization of space</w:t>
      </w:r>
      <w:r>
        <w:t xml:space="preserve"> (Agnew 2013: 1)</w:t>
      </w:r>
      <w:r w:rsidRPr="00FD4B1E">
        <w:t>.</w:t>
      </w:r>
    </w:p>
    <w:p w14:paraId="50E32DE7" w14:textId="6E573B43" w:rsidR="00FD4B1E" w:rsidRDefault="00FD4B1E" w:rsidP="005B2C28">
      <w:pPr>
        <w:spacing w:line="360" w:lineRule="auto"/>
        <w:jc w:val="both"/>
      </w:pPr>
    </w:p>
    <w:p w14:paraId="238972F3" w14:textId="593F66A7" w:rsidR="00FD4B1E" w:rsidRDefault="00FD4B1E" w:rsidP="005B2C28">
      <w:pPr>
        <w:spacing w:line="360" w:lineRule="auto"/>
        <w:jc w:val="both"/>
      </w:pPr>
      <w:r>
        <w:t>What followed was an overview of the scholarly landscape outlining areas of established and emerging interest across the social sciences. It built on Agnew’s scholarly portfolio, which has been dedicated to dismantl</w:t>
      </w:r>
      <w:r w:rsidR="00F20DB3">
        <w:t>ing</w:t>
      </w:r>
      <w:r>
        <w:t xml:space="preserve"> the unstated geographical assumptions underpinning strands of International Relations, political-economy, globalization, and classical geopolitics (for example, Agnew 1994</w:t>
      </w:r>
      <w:r w:rsidR="008C3287">
        <w:t>, 2019</w:t>
      </w:r>
      <w:r>
        <w:t xml:space="preserve">). </w:t>
      </w:r>
      <w:r w:rsidR="00AB1E04">
        <w:t>Like</w:t>
      </w:r>
      <w:r>
        <w:t xml:space="preserve"> other critical human geographers such as Doreen Massey, </w:t>
      </w:r>
      <w:r w:rsidR="00AB1E04">
        <w:t xml:space="preserve">Agnew argued that </w:t>
      </w:r>
      <w:r>
        <w:t>territory is poorly understood if thought of as a</w:t>
      </w:r>
      <w:r w:rsidR="00565434">
        <w:t>n absolute</w:t>
      </w:r>
      <w:r>
        <w:t xml:space="preserve"> container-like structure with a sharply defined sense of the domestic and the external. While such a </w:t>
      </w:r>
      <w:r w:rsidR="00162741">
        <w:t>worldview</w:t>
      </w:r>
      <w:r>
        <w:t xml:space="preserve"> may</w:t>
      </w:r>
      <w:r w:rsidR="00AB1E04">
        <w:t xml:space="preserve"> </w:t>
      </w:r>
      <w:r>
        <w:t>be</w:t>
      </w:r>
      <w:r w:rsidR="00F52C03">
        <w:t xml:space="preserve"> de rigueur</w:t>
      </w:r>
      <w:r>
        <w:t xml:space="preserve"> to populists and nationalists the world over, contemporary crises such as the COVID-19 pandemic and the </w:t>
      </w:r>
      <w:r w:rsidRPr="00115424">
        <w:t>climate emergency</w:t>
      </w:r>
      <w:r>
        <w:t xml:space="preserve"> </w:t>
      </w:r>
      <w:r w:rsidR="00162741">
        <w:t>puncture such ‘conventional nostrums’ that Agnew’s editorial referred to</w:t>
      </w:r>
      <w:r w:rsidR="00F52C03">
        <w:t xml:space="preserve"> (Agnew 2013: 1)</w:t>
      </w:r>
      <w:r w:rsidR="00162741">
        <w:t xml:space="preserve">. </w:t>
      </w:r>
      <w:r w:rsidR="008C3287">
        <w:t xml:space="preserve">Much of the work the journal has done in </w:t>
      </w:r>
      <w:r w:rsidR="00F20DB3">
        <w:t xml:space="preserve">its </w:t>
      </w:r>
      <w:r w:rsidR="008C3287">
        <w:t xml:space="preserve">first decade has </w:t>
      </w:r>
      <w:r w:rsidR="00AB1E04">
        <w:t xml:space="preserve">been </w:t>
      </w:r>
      <w:r w:rsidR="008C3287">
        <w:t xml:space="preserve">to inculcate and support a richer spatial vocabulary and </w:t>
      </w:r>
      <w:r w:rsidR="00783D3B">
        <w:t xml:space="preserve">conceptualization </w:t>
      </w:r>
      <w:r w:rsidR="008C3287">
        <w:t xml:space="preserve">of territory. </w:t>
      </w:r>
    </w:p>
    <w:p w14:paraId="3E601CA0" w14:textId="40CE17D6" w:rsidR="00576C58" w:rsidRDefault="00AB1E04" w:rsidP="00E7153C">
      <w:pPr>
        <w:spacing w:line="360" w:lineRule="auto"/>
        <w:ind w:firstLine="720"/>
        <w:jc w:val="both"/>
      </w:pPr>
      <w:r>
        <w:t xml:space="preserve">Read </w:t>
      </w:r>
      <w:r w:rsidR="00162741">
        <w:t>in the year the journal celebrates its 10</w:t>
      </w:r>
      <w:r w:rsidR="00162741" w:rsidRPr="00162741">
        <w:rPr>
          <w:vertAlign w:val="superscript"/>
        </w:rPr>
        <w:t>th</w:t>
      </w:r>
      <w:r w:rsidR="00162741">
        <w:t xml:space="preserve"> anniversary, Agnew’s editorial reveals a world that seems radically different to the one we find ourselves in now</w:t>
      </w:r>
      <w:r w:rsidR="008C3287">
        <w:t xml:space="preserve"> (as noted in Agnew 2021)</w:t>
      </w:r>
      <w:r w:rsidR="00162741">
        <w:t xml:space="preserve">. There is little to no reference to the climate emergency nor infectious disease. Much of the focus is on how </w:t>
      </w:r>
      <w:r w:rsidR="00E71D5E">
        <w:t>this intersectional</w:t>
      </w:r>
      <w:r w:rsidR="00162741">
        <w:t xml:space="preserve"> focus on territory, politics and governance </w:t>
      </w:r>
      <w:r w:rsidR="00E71D5E">
        <w:t>allows scholars to excavate, recover and scrutinise a world</w:t>
      </w:r>
      <w:r w:rsidR="00565434">
        <w:t>,</w:t>
      </w:r>
      <w:r w:rsidR="00E71D5E">
        <w:t xml:space="preserve"> which is </w:t>
      </w:r>
      <w:r w:rsidR="00F20DB3">
        <w:t xml:space="preserve">but </w:t>
      </w:r>
      <w:r w:rsidR="00E71D5E">
        <w:t xml:space="preserve">should not be defined by the nation-state as the exclusive unit of politics and governance. </w:t>
      </w:r>
      <w:r w:rsidR="00565434">
        <w:t xml:space="preserve">We have moved beyond the </w:t>
      </w:r>
      <w:r w:rsidR="00565434">
        <w:lastRenderedPageBreak/>
        <w:t xml:space="preserve">‘territorial trap’ as Agnew (1994) previously put it. </w:t>
      </w:r>
      <w:r w:rsidR="00E71D5E">
        <w:t xml:space="preserve">This ethos </w:t>
      </w:r>
      <w:r w:rsidR="0030163B">
        <w:t xml:space="preserve">continued </w:t>
      </w:r>
      <w:r w:rsidR="00E71D5E">
        <w:t xml:space="preserve">through the journal’s </w:t>
      </w:r>
      <w:r w:rsidR="0030163B">
        <w:t xml:space="preserve">first volume </w:t>
      </w:r>
      <w:r w:rsidR="00E71D5E">
        <w:t xml:space="preserve">with two issues debating the historical and contemporary significance of territory alongside forensic interrogations of regional and national governance in Europe, Russia, and Asia. </w:t>
      </w:r>
      <w:r w:rsidR="00576C58">
        <w:t>While Agnew’s editorial did not explicitly mention non-western and indigenous epistemologies and ontologies pertaining to the remit of the journal, t</w:t>
      </w:r>
      <w:r w:rsidR="00E71D5E">
        <w:t>he second editorial by Professor Ananya Roy ma</w:t>
      </w:r>
      <w:r w:rsidR="00576C58">
        <w:t>de</w:t>
      </w:r>
      <w:r w:rsidR="00E71D5E">
        <w:t xml:space="preserve"> the compelling claim that the journal had to engage with more than ‘one place on the map’ (Roy 2013: 113). The subsequent volumes and issues </w:t>
      </w:r>
      <w:r w:rsidR="0030163B">
        <w:t xml:space="preserve">of the journal </w:t>
      </w:r>
      <w:r w:rsidR="00E71D5E">
        <w:t xml:space="preserve">have borne out </w:t>
      </w:r>
      <w:r w:rsidR="0030163B">
        <w:t xml:space="preserve">the </w:t>
      </w:r>
      <w:r w:rsidR="00E71D5E">
        <w:t xml:space="preserve">fundamental point that there is an absolute necessity to attract, support and publish work that challenges </w:t>
      </w:r>
      <w:r w:rsidR="00576C58">
        <w:t xml:space="preserve">and de-normalises </w:t>
      </w:r>
      <w:r w:rsidR="00E71D5E">
        <w:t xml:space="preserve">Euro-Western norms and experiences of territory, politics, and governance. </w:t>
      </w:r>
      <w:r w:rsidR="00576C58">
        <w:t xml:space="preserve">We would expect, furthermore, a new generation of scholarship </w:t>
      </w:r>
      <w:r w:rsidR="00F52C03">
        <w:t xml:space="preserve">to be more prominently </w:t>
      </w:r>
      <w:r w:rsidR="00576C58">
        <w:t xml:space="preserve">represented in the journal that explicitly </w:t>
      </w:r>
      <w:r w:rsidR="0030163B">
        <w:t xml:space="preserve">decolonizes </w:t>
      </w:r>
      <w:r w:rsidR="00576C58">
        <w:t>those norms and experiences</w:t>
      </w:r>
      <w:r w:rsidR="00F52C03">
        <w:t xml:space="preserve"> as opposed to important work that has considered decolonization alongside the politics of sovereignty and recognition (for example, Griffiths 2017)</w:t>
      </w:r>
      <w:r w:rsidR="00576C58">
        <w:t xml:space="preserve">. </w:t>
      </w:r>
    </w:p>
    <w:p w14:paraId="026EBD90" w14:textId="662720B2" w:rsidR="005B5D32" w:rsidRDefault="00E71D5E" w:rsidP="00E7153C">
      <w:pPr>
        <w:spacing w:line="360" w:lineRule="auto"/>
        <w:ind w:firstLine="720"/>
        <w:jc w:val="both"/>
      </w:pPr>
      <w:r>
        <w:t xml:space="preserve">As </w:t>
      </w:r>
      <w:r w:rsidR="0030163B">
        <w:t xml:space="preserve">the journal </w:t>
      </w:r>
      <w:r w:rsidR="002B2EA2">
        <w:t>enter</w:t>
      </w:r>
      <w:r w:rsidR="0030163B">
        <w:t>s</w:t>
      </w:r>
      <w:r>
        <w:t xml:space="preserve"> </w:t>
      </w:r>
      <w:r w:rsidR="0030163B">
        <w:t xml:space="preserve">its </w:t>
      </w:r>
      <w:r>
        <w:t xml:space="preserve">second decade, the journal now publishes six issues per year (as opposed to </w:t>
      </w:r>
      <w:r w:rsidR="002B2EA2">
        <w:t xml:space="preserve">the </w:t>
      </w:r>
      <w:r>
        <w:t xml:space="preserve">inaugural two) and attracts </w:t>
      </w:r>
      <w:r w:rsidR="0030163B">
        <w:t xml:space="preserve">increasingly interdisciplinary </w:t>
      </w:r>
      <w:r>
        <w:t>submissions from around the world</w:t>
      </w:r>
      <w:r w:rsidR="00565434">
        <w:t xml:space="preserve">. </w:t>
      </w:r>
      <w:r>
        <w:t xml:space="preserve"> </w:t>
      </w:r>
      <w:r w:rsidR="00576C58">
        <w:t xml:space="preserve">Armed with our expanded </w:t>
      </w:r>
      <w:r>
        <w:t>editorial team and new editorial board</w:t>
      </w:r>
      <w:r w:rsidR="00576C58">
        <w:t xml:space="preserve"> members, we are excited about developing the </w:t>
      </w:r>
      <w:r w:rsidR="0030163B">
        <w:t xml:space="preserve">journal’s </w:t>
      </w:r>
      <w:r w:rsidR="00576C58">
        <w:t xml:space="preserve">agenda. </w:t>
      </w:r>
      <w:r w:rsidR="005B5D32">
        <w:t xml:space="preserve">We welcome to the team our new digital </w:t>
      </w:r>
      <w:r w:rsidR="0030163B">
        <w:t xml:space="preserve">media </w:t>
      </w:r>
      <w:r w:rsidR="005B5D32">
        <w:t xml:space="preserve">editor, Dr </w:t>
      </w:r>
      <w:r w:rsidR="005B5D32" w:rsidRPr="005B5D32">
        <w:t>Azadeh Akbar</w:t>
      </w:r>
      <w:r w:rsidR="005B5D32">
        <w:t xml:space="preserve"> from the University of Munster, and early career editor Dr Carlo Inverardi-Ferri from Queen Mary University of London. </w:t>
      </w:r>
      <w:r w:rsidR="0030163B">
        <w:t>C</w:t>
      </w:r>
      <w:r w:rsidR="00576C58">
        <w:t xml:space="preserve">hanges </w:t>
      </w:r>
      <w:r w:rsidR="0030163B">
        <w:t xml:space="preserve">is also being drive by </w:t>
      </w:r>
      <w:r w:rsidR="005B5D32">
        <w:t xml:space="preserve">social and technical changes that have affected the operating environment of learned societies and journals. </w:t>
      </w:r>
      <w:r w:rsidR="00E6306C">
        <w:t>Agnew’s original editorial devotes relatively little attention to digital media environments and now it would be hard to imagine not reflecting on the work that the digital does in shaping the intersection of territory, politics</w:t>
      </w:r>
      <w:r w:rsidR="00E7153C">
        <w:t>,</w:t>
      </w:r>
      <w:r w:rsidR="00E6306C">
        <w:t xml:space="preserve"> and governance. One only has to think of the spectacular rise in usage of social media in cultural and political life, the unsettling role of ‘fake news’ in manipulating political cultures, and the way </w:t>
      </w:r>
      <w:r w:rsidR="0024505A">
        <w:t xml:space="preserve">big data </w:t>
      </w:r>
      <w:r w:rsidR="00E6306C">
        <w:t xml:space="preserve">has revolutionised practices of territorial control (the smart border for example) and digital surveillance. </w:t>
      </w:r>
      <w:r w:rsidR="005B5D32">
        <w:t>Since the pandemic unleashed a new world of digital working, we have embraced the opportunity to organise online editorial meetings and unveil</w:t>
      </w:r>
      <w:r w:rsidR="00291178">
        <w:t>ed</w:t>
      </w:r>
      <w:r w:rsidR="005B5D32">
        <w:t xml:space="preserve"> a series of virtual seminars with leading scholars such as Julian Agyeman</w:t>
      </w:r>
      <w:r w:rsidR="00291178">
        <w:t xml:space="preserve"> and </w:t>
      </w:r>
      <w:r w:rsidR="005B5D32">
        <w:t xml:space="preserve">Simon Dalby. In 2022, Franck Bille and Caroline Humphrey, authors of </w:t>
      </w:r>
      <w:r w:rsidR="005B5D32" w:rsidRPr="005B5D32">
        <w:rPr>
          <w:i/>
          <w:iCs/>
        </w:rPr>
        <w:t>On the Edge</w:t>
      </w:r>
      <w:r w:rsidR="005B5D32">
        <w:t xml:space="preserve">, </w:t>
      </w:r>
      <w:r w:rsidR="00737B81">
        <w:t xml:space="preserve">will </w:t>
      </w:r>
      <w:r w:rsidR="005B5D32">
        <w:t xml:space="preserve">deliver the </w:t>
      </w:r>
      <w:r w:rsidR="00737B81">
        <w:t xml:space="preserve">virtual </w:t>
      </w:r>
      <w:r w:rsidR="005B5D32">
        <w:t>annual lecture</w:t>
      </w:r>
      <w:r w:rsidR="00737B81">
        <w:t xml:space="preserve">, </w:t>
      </w:r>
      <w:r w:rsidR="005B5D32">
        <w:t>reflect</w:t>
      </w:r>
      <w:r w:rsidR="00737B81">
        <w:t>ing</w:t>
      </w:r>
      <w:r w:rsidR="005B5D32">
        <w:t xml:space="preserve"> on the lived experiences of the vast Chinese-Russian borderlands (Bille and Humphrey 2021)</w:t>
      </w:r>
      <w:r w:rsidR="00737B81">
        <w:t>,</w:t>
      </w:r>
      <w:r w:rsidR="00291178">
        <w:t xml:space="preserve"> and </w:t>
      </w:r>
      <w:r w:rsidR="00737B81">
        <w:t xml:space="preserve">the journal will also host </w:t>
      </w:r>
      <w:r w:rsidR="00291178">
        <w:t>feminist climate change scholar Farhana Sultana</w:t>
      </w:r>
      <w:r w:rsidR="00737B81">
        <w:t xml:space="preserve"> in conversation</w:t>
      </w:r>
      <w:r w:rsidR="005B5D32">
        <w:t xml:space="preserve">. </w:t>
      </w:r>
    </w:p>
    <w:p w14:paraId="44B66267" w14:textId="6A5E31CF" w:rsidR="009B006A" w:rsidRDefault="009B006A" w:rsidP="009B006A">
      <w:pPr>
        <w:spacing w:line="360" w:lineRule="auto"/>
        <w:ind w:firstLine="720"/>
        <w:jc w:val="both"/>
      </w:pPr>
      <w:r>
        <w:t xml:space="preserve">We outline below some thoughts about where our journal’s agenda is likely to take us. It reflects on four key themes for the future of the journal: climate emergency, migration state, </w:t>
      </w:r>
      <w:r>
        <w:lastRenderedPageBreak/>
        <w:t>digital</w:t>
      </w:r>
      <w:r w:rsidR="008B3754">
        <w:t>ization</w:t>
      </w:r>
      <w:r>
        <w:t xml:space="preserve"> and conceptual</w:t>
      </w:r>
      <w:r w:rsidR="00783D3B">
        <w:t>ization</w:t>
      </w:r>
      <w:r>
        <w:t>. These are by no means exhaustive</w:t>
      </w:r>
      <w:r w:rsidR="0032624C">
        <w:t>.</w:t>
      </w:r>
      <w:r>
        <w:t xml:space="preserve"> Mindful of the perils of futurology, we offer these thoughts and reflections as contributing to a shared conversation. Just as we when we collaborated on a COVID-19 editorial in 2020, the spirit and sense of purpose that underpins our work on the journal will continue to be collegial and curious as to where we will travel</w:t>
      </w:r>
      <w:r w:rsidRPr="00737B81">
        <w:t xml:space="preserve"> </w:t>
      </w:r>
      <w:r>
        <w:t xml:space="preserve">together, intellectually speaking (Dodds et al 2020).  </w:t>
      </w:r>
    </w:p>
    <w:p w14:paraId="7A612F0C" w14:textId="77777777" w:rsidR="00737B81" w:rsidRPr="005B5D32" w:rsidRDefault="00737B81" w:rsidP="00783D3B">
      <w:pPr>
        <w:spacing w:line="360" w:lineRule="auto"/>
        <w:jc w:val="both"/>
      </w:pPr>
    </w:p>
    <w:p w14:paraId="428CFABC" w14:textId="563AB169" w:rsidR="0020448A" w:rsidRPr="00783D3B" w:rsidRDefault="00737B81" w:rsidP="005B2C28">
      <w:pPr>
        <w:spacing w:line="360" w:lineRule="auto"/>
        <w:jc w:val="both"/>
        <w:rPr>
          <w:b/>
          <w:bCs/>
        </w:rPr>
      </w:pPr>
      <w:r w:rsidRPr="00783D3B">
        <w:rPr>
          <w:b/>
          <w:bCs/>
        </w:rPr>
        <w:t>The climate emergency</w:t>
      </w:r>
    </w:p>
    <w:p w14:paraId="2A08D97C" w14:textId="6E42167E" w:rsidR="004D2D0D" w:rsidRDefault="00716B3D" w:rsidP="005B2C28">
      <w:pPr>
        <w:spacing w:line="360" w:lineRule="auto"/>
        <w:jc w:val="both"/>
      </w:pPr>
      <w:r>
        <w:t xml:space="preserve">The COP26 </w:t>
      </w:r>
      <w:r w:rsidR="005B2C28">
        <w:t>meeting in Glasgow, 31 October and 12</w:t>
      </w:r>
      <w:r w:rsidR="005B2C28" w:rsidRPr="005B2C28">
        <w:rPr>
          <w:vertAlign w:val="superscript"/>
        </w:rPr>
        <w:t>th</w:t>
      </w:r>
      <w:r w:rsidR="005B2C28">
        <w:t xml:space="preserve"> November 2021, provided plenty of opportunity to reflect on the intersection between territory, politics, and governance. The host city brought with it potential for the Scottish and UK governments to compete with one another in terms of leadership and public engagement. The conference site was found to be wanting by many delegates as localised security </w:t>
      </w:r>
      <w:r w:rsidR="00737B81">
        <w:t xml:space="preserve">checks </w:t>
      </w:r>
      <w:r w:rsidR="005B2C28">
        <w:t>exposed delegates to lengthy waits, while others complained that the site itself was exclusionary to those who ha</w:t>
      </w:r>
      <w:r w:rsidR="008B3754">
        <w:t xml:space="preserve">ve </w:t>
      </w:r>
      <w:r w:rsidR="0024505A">
        <w:t xml:space="preserve">more complex accessibility needs </w:t>
      </w:r>
      <w:r w:rsidR="005B2C28">
        <w:t xml:space="preserve">. As previous studies have </w:t>
      </w:r>
      <w:r w:rsidR="00E24154">
        <w:t>discovered</w:t>
      </w:r>
      <w:r w:rsidR="005B2C28">
        <w:t xml:space="preserve">, the organization and choreography of summits </w:t>
      </w:r>
      <w:r w:rsidR="0024505A">
        <w:t>(‘summitry theatre</w:t>
      </w:r>
      <w:r w:rsidR="008B3754">
        <w:t>’</w:t>
      </w:r>
      <w:r w:rsidR="0024505A">
        <w:t xml:space="preserve">) </w:t>
      </w:r>
      <w:r w:rsidR="005B2C28">
        <w:t>always reveal power-knowledge dynamics that mean that some voices and perspectives appear to enjoy greater prominence than others</w:t>
      </w:r>
      <w:r w:rsidR="0024505A">
        <w:t xml:space="preserve"> (for example, Death 2011)</w:t>
      </w:r>
      <w:r w:rsidR="005B2C28">
        <w:t>. By the close of the conference, much of the attention had shifted back to the inter-state bargaining of</w:t>
      </w:r>
      <w:r w:rsidR="0024505A">
        <w:t xml:space="preserve"> powerful</w:t>
      </w:r>
      <w:r w:rsidR="005B2C28">
        <w:t xml:space="preserve"> states and their national energy and security agendas. </w:t>
      </w:r>
    </w:p>
    <w:p w14:paraId="1395F3C7" w14:textId="626EE670" w:rsidR="0020448A" w:rsidRPr="0020448A" w:rsidRDefault="0020448A" w:rsidP="00FB3CBD">
      <w:pPr>
        <w:spacing w:line="360" w:lineRule="auto"/>
        <w:ind w:firstLine="720"/>
        <w:jc w:val="both"/>
      </w:pPr>
      <w:r w:rsidRPr="0020448A">
        <w:t>The UNFCCC recorded the registration of 39,509 participants, well above th</w:t>
      </w:r>
      <w:r w:rsidR="00C8503B">
        <w:t>os</w:t>
      </w:r>
      <w:r w:rsidRPr="0020448A">
        <w:t>e</w:t>
      </w:r>
      <w:r w:rsidR="00C8503B">
        <w:t xml:space="preserve"> </w:t>
      </w:r>
      <w:r w:rsidR="0024505A">
        <w:t xml:space="preserve">recorded </w:t>
      </w:r>
      <w:r w:rsidR="00C8503B">
        <w:t>at</w:t>
      </w:r>
      <w:r w:rsidRPr="0020448A">
        <w:t xml:space="preserve"> COP21 </w:t>
      </w:r>
      <w:r w:rsidR="00C8503B">
        <w:t xml:space="preserve">in </w:t>
      </w:r>
      <w:r w:rsidRPr="0020448A">
        <w:t xml:space="preserve">Paris, </w:t>
      </w:r>
      <w:r w:rsidR="00C8503B">
        <w:t xml:space="preserve">which </w:t>
      </w:r>
      <w:r w:rsidR="0024505A">
        <w:t xml:space="preserve">numbered just </w:t>
      </w:r>
      <w:r w:rsidRPr="0020448A">
        <w:t xml:space="preserve">over 30,000 participants </w:t>
      </w:r>
      <w:r w:rsidRPr="0020448A">
        <w:fldChar w:fldCharType="begin"/>
      </w:r>
      <w:r w:rsidRPr="0020448A">
        <w:instrText xml:space="preserve"> ADDIN EN.CITE &lt;EndNote&gt;&lt;Cite&gt;&lt;Author&gt;McSweeney&lt;/Author&gt;&lt;Year&gt;2021&lt;/Year&gt;&lt;RecNum&gt;439&lt;/RecNum&gt;&lt;DisplayText&gt;(McSweeney, 2021)&lt;/DisplayText&gt;&lt;record&gt;&lt;rec-number&gt;439&lt;/rec-number&gt;&lt;foreign-keys&gt;&lt;key app="EN" db-id="pawzdsa0c2s2ptev0x0px9wup22w0x90asf5" timestamp="1637227268"&gt;439&lt;/key&gt;&lt;/foreign-keys&gt;&lt;ref-type name="Newspaper Article"&gt;23&lt;/ref-type&gt;&lt;contributors&gt;&lt;authors&gt;&lt;author&gt;Robert McSweeney&lt;/author&gt;&lt;/authors&gt;&lt;/contributors&gt;&lt;titles&gt;&lt;title&gt;Analysis: Which countries have sent the most delegates to COP26?&lt;/title&gt;&lt;secondary-title&gt;CarbonBrief&lt;/secondary-title&gt;&lt;/titles&gt;&lt;dates&gt;&lt;year&gt;2021&lt;/year&gt;&lt;/dates&gt;&lt;urls&gt;&lt;/urls&gt;&lt;/record&gt;&lt;/Cite&gt;&lt;/EndNote&gt;</w:instrText>
      </w:r>
      <w:r w:rsidRPr="0020448A">
        <w:fldChar w:fldCharType="separate"/>
      </w:r>
      <w:r w:rsidRPr="0020448A">
        <w:t>(McSweeney, 2021)</w:t>
      </w:r>
      <w:r w:rsidRPr="0020448A">
        <w:fldChar w:fldCharType="end"/>
      </w:r>
      <w:r w:rsidRPr="0020448A">
        <w:t xml:space="preserve">. The media attention to COP26 has been unprecedented. How can we explain this level of engagement? Paris was a landmark moment with the adoption of the Paris Agreement, which is now the legally binding international </w:t>
      </w:r>
      <w:r w:rsidR="00C8503B">
        <w:t>a</w:t>
      </w:r>
      <w:r w:rsidR="00C8503B" w:rsidRPr="0020448A">
        <w:t xml:space="preserve">greement </w:t>
      </w:r>
      <w:r w:rsidRPr="0020448A">
        <w:t xml:space="preserve">in climate change. Many people expected the Paris </w:t>
      </w:r>
      <w:r w:rsidR="00C8503B">
        <w:t>c</w:t>
      </w:r>
      <w:r w:rsidR="00C8503B" w:rsidRPr="0020448A">
        <w:t xml:space="preserve">onference </w:t>
      </w:r>
      <w:r w:rsidRPr="0020448A">
        <w:t>to deliver a big outcome.</w:t>
      </w:r>
      <w:r>
        <w:t xml:space="preserve"> </w:t>
      </w:r>
      <w:r w:rsidRPr="0020448A">
        <w:t xml:space="preserve">In contrast, Glasgow was scheduled to facilitate the completion of the Paris Rulebook, the set of guidelines to execute the Agreement. The level of attention at Glasgow is motivated by something </w:t>
      </w:r>
      <w:r w:rsidR="00C8503B">
        <w:t xml:space="preserve">other </w:t>
      </w:r>
      <w:r w:rsidRPr="0020448A">
        <w:t>than an expectation of a history-making event. The engagement has not deepened – i.e., getting those working on climate change politics and science more interested in the event</w:t>
      </w:r>
      <w:r w:rsidR="00C8503B">
        <w:t xml:space="preserve"> –</w:t>
      </w:r>
      <w:r w:rsidRPr="0020448A">
        <w:t xml:space="preserve"> but has widened, attracting a wider range of people to the global stage set in Glasgow. For example, while the number of delegates in attendance is </w:t>
      </w:r>
      <w:r w:rsidR="00C8503B">
        <w:t>like</w:t>
      </w:r>
      <w:r w:rsidR="00C8503B" w:rsidRPr="0020448A">
        <w:t xml:space="preserve"> </w:t>
      </w:r>
      <w:r w:rsidRPr="0020448A">
        <w:t>th</w:t>
      </w:r>
      <w:r w:rsidR="00C8503B">
        <w:t>os</w:t>
      </w:r>
      <w:r w:rsidRPr="0020448A">
        <w:t xml:space="preserve">e in Paris, NGO observers and media representatives almost doubled. COP26 may </w:t>
      </w:r>
      <w:r w:rsidR="00C8503B">
        <w:t xml:space="preserve">therefore represent </w:t>
      </w:r>
      <w:r w:rsidRPr="0020448A">
        <w:t xml:space="preserve">the crystallization of the tide of public opinion into a new stage </w:t>
      </w:r>
      <w:r w:rsidR="00C8503B">
        <w:t>for</w:t>
      </w:r>
      <w:r w:rsidR="00C8503B" w:rsidRPr="0020448A">
        <w:t xml:space="preserve"> </w:t>
      </w:r>
      <w:r w:rsidRPr="0020448A">
        <w:t xml:space="preserve">international climate policy. The Working Group I report </w:t>
      </w:r>
      <w:r w:rsidR="00C8503B">
        <w:t xml:space="preserve">for </w:t>
      </w:r>
      <w:r w:rsidRPr="0020448A">
        <w:t xml:space="preserve">the Sixth Assessment Report of the Intergovernmental Panel on Climate Change states climate change as a fact and tracks the tangible impacts that climate change is having on so many lives and ecosystems around the </w:t>
      </w:r>
      <w:r w:rsidRPr="0020448A">
        <w:lastRenderedPageBreak/>
        <w:t xml:space="preserve">world </w:t>
      </w:r>
      <w:r w:rsidRPr="0020448A">
        <w:fldChar w:fldCharType="begin"/>
      </w:r>
      <w:r w:rsidRPr="0020448A">
        <w:instrText xml:space="preserve"> ADDIN EN.CITE &lt;EndNote&gt;&lt;Cite&gt;&lt;Author&gt;IPCC&lt;/Author&gt;&lt;Year&gt;2021&lt;/Year&gt;&lt;RecNum&gt;311&lt;/RecNum&gt;&lt;DisplayText&gt;(IPCC, 2021)&lt;/DisplayText&gt;&lt;record&gt;&lt;rec-number&gt;311&lt;/rec-number&gt;&lt;foreign-keys&gt;&lt;key app="EN" db-id="pawzdsa0c2s2ptev0x0px9wup22w0x90asf5" timestamp="1630663137"&gt;311&lt;/key&gt;&lt;/foreign-keys&gt;&lt;ref-type name="Book Section"&gt;5&lt;/ref-type&gt;&lt;contributors&gt;&lt;authors&gt;&lt;author&gt;IPCC&lt;/author&gt;&lt;/authors&gt;&lt;secondary-authors&gt;&lt;author&gt;Masson-Delmotte, V., P. Zhai, A. Pirani, S. L. Connors, C. Péan, S. Berger, N. Caud, Y. Chen, L. Goldfarb, M. I. Gomis, M. Huang, K. Leitzell, E. Lonnoy, J. B. R. Matthews, T. K. Maycock, T. Waterfield, O. Yelekçi, R. Yu and B. Zhou&lt;/author&gt;&lt;/secondary-authors&gt;&lt;/contributors&gt;&lt;titles&gt;&lt;title&gt; Summary for Policymakers&lt;/title&gt;&lt;secondary-title&gt;Climate Change 2021: The Physical Science Basis. Contribution of Working Group I to the Sixth Assessment Report of the Intergovernmental Panel on Climate Change&lt;/secondary-title&gt;&lt;/titles&gt;&lt;dates&gt;&lt;year&gt;2021&lt;/year&gt;&lt;/dates&gt;&lt;publisher&gt;Cambridge University Press&lt;/publisher&gt;&lt;urls&gt;&lt;/urls&gt;&lt;/record&gt;&lt;/Cite&gt;&lt;/EndNote&gt;</w:instrText>
      </w:r>
      <w:r w:rsidRPr="0020448A">
        <w:fldChar w:fldCharType="separate"/>
      </w:r>
      <w:r w:rsidRPr="0020448A">
        <w:t>(IPCC, 2021)</w:t>
      </w:r>
      <w:r w:rsidRPr="0020448A">
        <w:fldChar w:fldCharType="end"/>
      </w:r>
      <w:r w:rsidRPr="0020448A">
        <w:t xml:space="preserve">. The report </w:t>
      </w:r>
      <w:r w:rsidR="00CA26D6">
        <w:t xml:space="preserve">reflects </w:t>
      </w:r>
      <w:r w:rsidRPr="0020448A">
        <w:t xml:space="preserve">the enormous change in attitudes towards climate change since the adoption of the Paris Agreement, </w:t>
      </w:r>
      <w:r w:rsidR="00CA26D6">
        <w:t>demonstrated by</w:t>
      </w:r>
      <w:r w:rsidRPr="0020448A">
        <w:t xml:space="preserve"> the growing interest in climate change in contemporary cultural production, the evolution of attitudes towards climate denialists (who have become outsiders in climate change debates), and the enormous interest garnered around events such as COP26 in Glasgow. Polls in different countries show widespread concern about the climate emergency.</w:t>
      </w:r>
      <w:r w:rsidRPr="0020448A">
        <w:rPr>
          <w:vertAlign w:val="superscript"/>
        </w:rPr>
        <w:footnoteReference w:id="1"/>
      </w:r>
    </w:p>
    <w:p w14:paraId="7AB5C3ED" w14:textId="74E11CC1" w:rsidR="0020448A" w:rsidRPr="0020448A" w:rsidRDefault="0020448A" w:rsidP="006337F5">
      <w:pPr>
        <w:spacing w:line="360" w:lineRule="auto"/>
        <w:ind w:firstLine="720"/>
        <w:jc w:val="both"/>
      </w:pPr>
      <w:r w:rsidRPr="0020448A">
        <w:t xml:space="preserve">On this occasion, social movements and civil society have shaped the news narrative, and major outrages followed, </w:t>
      </w:r>
      <w:r w:rsidR="00CA26D6">
        <w:t>including</w:t>
      </w:r>
      <w:r w:rsidRPr="0020448A">
        <w:t xml:space="preserve"> the exclusion of many people from the ‘</w:t>
      </w:r>
      <w:r w:rsidR="00CA26D6">
        <w:t>B</w:t>
      </w:r>
      <w:r w:rsidR="00CA26D6" w:rsidRPr="0020448A">
        <w:t xml:space="preserve">lue </w:t>
      </w:r>
      <w:r w:rsidR="00CA26D6">
        <w:t>P</w:t>
      </w:r>
      <w:r w:rsidR="00CA26D6" w:rsidRPr="0020448A">
        <w:t>avilion</w:t>
      </w:r>
      <w:r w:rsidRPr="0020448A">
        <w:t xml:space="preserve">,’ the main stage of COP26 where negotiations took place. The politics of climate change in Glasgow were also conducted in the streets of the city. The new politics of climate change is opening new spaces of involvement where climate change is repurposed as an issue that can be discussed at scales </w:t>
      </w:r>
      <w:r w:rsidR="00CA26D6">
        <w:t xml:space="preserve">other </w:t>
      </w:r>
      <w:r w:rsidRPr="0020448A">
        <w:t xml:space="preserve">than </w:t>
      </w:r>
      <w:r w:rsidR="00CA26D6">
        <w:t xml:space="preserve">the </w:t>
      </w:r>
      <w:r w:rsidRPr="0020448A">
        <w:t xml:space="preserve">nation-state </w:t>
      </w:r>
      <w:r w:rsidRPr="0020448A">
        <w:fldChar w:fldCharType="begin"/>
      </w:r>
      <w:r w:rsidRPr="0020448A">
        <w:instrText xml:space="preserve"> ADDIN EN.CITE &lt;EndNote&gt;&lt;Cite&gt;&lt;Author&gt;Davies&lt;/Author&gt;&lt;Year&gt;2021&lt;/Year&gt;&lt;RecNum&gt;438&lt;/RecNum&gt;&lt;DisplayText&gt;(Davies et al., 2021)&lt;/DisplayText&gt;&lt;record&gt;&lt;rec-number&gt;438&lt;/rec-number&gt;&lt;foreign-keys&gt;&lt;key app="EN" db-id="pawzdsa0c2s2ptev0x0px9wup22w0x90asf5" timestamp="1637166672"&gt;438&lt;/key&gt;&lt;/foreign-keys&gt;&lt;ref-type name="Journal Article"&gt;17&lt;/ref-type&gt;&lt;contributors&gt;&lt;authors&gt;&lt;author&gt;Anna Davies&lt;/author&gt;&lt;author&gt;Vanesa Castán Broto&lt;/author&gt;&lt;author&gt;Stephan Hügel&lt;/author&gt;&lt;/authors&gt;&lt;/contributors&gt;&lt;titles&gt;&lt;title&gt;Editorial: Is There a New Climate Politics?&lt;/title&gt;&lt;secondary-title&gt;Politics and Governance&lt;/secondary-title&gt;&lt;/titles&gt;&lt;periodical&gt;&lt;full-title&gt;Politics and Governance&lt;/full-title&gt;&lt;/periodical&gt;&lt;volume&gt;9(2)&lt;/volume&gt;&lt;dates&gt;&lt;year&gt;2021&lt;/year&gt;&lt;/dates&gt;&lt;urls&gt;&lt;/urls&gt;&lt;/record&gt;&lt;/Cite&gt;&lt;/EndNote&gt;</w:instrText>
      </w:r>
      <w:r w:rsidRPr="0020448A">
        <w:fldChar w:fldCharType="separate"/>
      </w:r>
      <w:r w:rsidRPr="0020448A">
        <w:t>(Davies et al., 2021)</w:t>
      </w:r>
      <w:r w:rsidRPr="0020448A">
        <w:fldChar w:fldCharType="end"/>
      </w:r>
      <w:r w:rsidRPr="0020448A">
        <w:t>. Exhibitions, impromptu cultural events,</w:t>
      </w:r>
      <w:r w:rsidR="00CA26D6">
        <w:t xml:space="preserve"> and</w:t>
      </w:r>
      <w:r w:rsidRPr="0020448A">
        <w:t xml:space="preserve"> alternative technologies were all showcased in Glasgow, far away from the Blue and Green Pavilions where the official conference was conducted (and where corporate discourses of climate action dominated the exhibition spaces). For example, the City of Glasgow organized the Girls@COP26 event at Glasgow Caledonian University, bringing </w:t>
      </w:r>
      <w:r w:rsidR="00CA26D6">
        <w:t xml:space="preserve">together </w:t>
      </w:r>
      <w:r w:rsidRPr="0020448A">
        <w:t xml:space="preserve">2500 secondary school </w:t>
      </w:r>
      <w:r w:rsidRPr="006769D0">
        <w:t>pupils</w:t>
      </w:r>
      <w:r w:rsidRPr="0020448A">
        <w:t xml:space="preserve"> over the two weeks of COP26 to discuss what climate change meant for them. Here, participants discussed anything from how the climate crisis affected them to what kind of individual and collective responses were possible. </w:t>
      </w:r>
      <w:r w:rsidR="00CA26D6">
        <w:t>Many</w:t>
      </w:r>
      <w:r w:rsidR="00CA26D6" w:rsidRPr="0020448A">
        <w:t xml:space="preserve"> </w:t>
      </w:r>
      <w:r w:rsidRPr="0020448A">
        <w:t xml:space="preserve">of these dialogues mention the need to keep global average temperature changes under </w:t>
      </w:r>
      <w:r w:rsidRPr="006769D0">
        <w:t>1.5 degrees</w:t>
      </w:r>
      <w:r w:rsidR="00CA26D6">
        <w:t>,</w:t>
      </w:r>
      <w:r w:rsidR="00CA26D6" w:rsidRPr="0020448A">
        <w:t xml:space="preserve"> </w:t>
      </w:r>
      <w:r w:rsidRPr="0020448A">
        <w:t xml:space="preserve">making it clear how </w:t>
      </w:r>
      <w:r w:rsidR="00CA26D6">
        <w:t xml:space="preserve">recent </w:t>
      </w:r>
      <w:r w:rsidRPr="0020448A">
        <w:t>events have brought this somewhat technical concern to the public imagination</w:t>
      </w:r>
      <w:r w:rsidR="00CA26D6">
        <w:t xml:space="preserve"> –</w:t>
      </w:r>
      <w:r w:rsidRPr="0020448A">
        <w:t xml:space="preserve"> first through the IPCC reports, then through the climate emergency declarations. Current collective action strategies may signal a shift in social movements for climate change. Expanding the basis of climate activism entails creating new strategies of change and action that recognize a diversity of positions. The diversity in social movements for climate change is more an aspiration than reality but there is a shift towards finding the cracks in the system that enable these social movements to enact a broader transformation of cultural attitudes towards what kind of change is needed. Activists in the streets of Glasgow appear to claim spaces for political action that, for now, demonstrate the collective anger against what is perceived as a lack of commitment by the main </w:t>
      </w:r>
      <w:r w:rsidR="00CA26D6">
        <w:t>p</w:t>
      </w:r>
      <w:r w:rsidR="00CA26D6" w:rsidRPr="0020448A">
        <w:t xml:space="preserve">arties </w:t>
      </w:r>
      <w:r w:rsidRPr="0020448A">
        <w:t xml:space="preserve">(national governments). Is claiming these spaces of political action a strategy to deliver place-based action and facilitate social </w:t>
      </w:r>
      <w:r w:rsidRPr="0020448A">
        <w:lastRenderedPageBreak/>
        <w:t xml:space="preserve">innovation? Is it a means to call for accountability and bring climate change to the forefront of public debates? Or is it a distraction from the main business of diplomatic and legal negotiations? Whatever its role, it has demonstrated a decisive shift in the public attitudes towards climate change. </w:t>
      </w:r>
    </w:p>
    <w:p w14:paraId="3245F574" w14:textId="79D86F22" w:rsidR="0020448A" w:rsidRPr="0020448A" w:rsidRDefault="0020448A" w:rsidP="006337F5">
      <w:pPr>
        <w:spacing w:line="360" w:lineRule="auto"/>
        <w:ind w:firstLine="720"/>
        <w:jc w:val="both"/>
      </w:pPr>
      <w:r w:rsidRPr="0020448A">
        <w:t>Climate change politics have a profound territorial dimension, whether this relates to resource extraction, the environment, settlement patterns or the spatial distribution of climate risk</w:t>
      </w:r>
      <w:r w:rsidR="00FF569A">
        <w:t xml:space="preserve"> (see Latour, 2021)</w:t>
      </w:r>
      <w:r w:rsidRPr="0020448A">
        <w:t>. Coal received much attention in COP26 with increasing incomprehension about recycled arguments that give coal a lifeline. Lamenting the lack of progress in achieving the Paris Objectives, UN Secretary-General António Guterres highlighted the phasing out of coal as one of the conference's priorities. Having the UK at the presidency of COP26 meant that it could not have been complete without a significant amount of sloganeering</w:t>
      </w:r>
      <w:r w:rsidR="003B6600">
        <w:t xml:space="preserve"> –</w:t>
      </w:r>
      <w:r w:rsidR="003B6600" w:rsidRPr="0020448A">
        <w:t xml:space="preserve"> </w:t>
      </w:r>
      <w:r w:rsidRPr="0020448A">
        <w:t xml:space="preserve">in this case, </w:t>
      </w:r>
      <w:r w:rsidR="0055797B">
        <w:t xml:space="preserve">UK Prime Minister </w:t>
      </w:r>
      <w:r w:rsidRPr="0020448A">
        <w:t xml:space="preserve">Boris Johnson’s oft-repeated “coal, cars, cash and trees.” Unexpectedly, the recommendation of phasing out coal became </w:t>
      </w:r>
      <w:r w:rsidR="003B6600">
        <w:t>a</w:t>
      </w:r>
      <w:r w:rsidR="003B6600" w:rsidRPr="0020448A">
        <w:t xml:space="preserve"> </w:t>
      </w:r>
      <w:r w:rsidRPr="0020448A">
        <w:t xml:space="preserve">last-minute issue of contentious debate, despite the </w:t>
      </w:r>
      <w:r w:rsidR="003B6600" w:rsidRPr="0020448A">
        <w:t>imp</w:t>
      </w:r>
      <w:r w:rsidR="003B6600">
        <w:t>etus</w:t>
      </w:r>
      <w:r w:rsidR="003B6600" w:rsidRPr="0020448A">
        <w:t xml:space="preserve"> </w:t>
      </w:r>
      <w:r w:rsidRPr="0020448A">
        <w:t>that several</w:t>
      </w:r>
      <w:r w:rsidR="003B6600">
        <w:t>,</w:t>
      </w:r>
      <w:r w:rsidRPr="0020448A">
        <w:t xml:space="preserve"> overlapping statements gave to the slogan of ‘making coal history’.</w:t>
      </w:r>
      <w:r w:rsidRPr="0020448A">
        <w:rPr>
          <w:vertAlign w:val="superscript"/>
        </w:rPr>
        <w:footnoteReference w:id="2"/>
      </w:r>
      <w:r w:rsidRPr="0020448A">
        <w:t xml:space="preserve"> </w:t>
      </w:r>
    </w:p>
    <w:p w14:paraId="30DA3465" w14:textId="2D275A79" w:rsidR="003B6600" w:rsidRDefault="0020448A" w:rsidP="006337F5">
      <w:pPr>
        <w:spacing w:line="360" w:lineRule="auto"/>
        <w:ind w:firstLine="720"/>
        <w:jc w:val="both"/>
      </w:pPr>
      <w:r w:rsidRPr="0020448A">
        <w:t>The final amendment called upon parties</w:t>
      </w:r>
      <w:r w:rsidR="003B6600">
        <w:t>,</w:t>
      </w:r>
      <w:r w:rsidRPr="0020448A">
        <w:t xml:space="preserve"> </w:t>
      </w:r>
    </w:p>
    <w:p w14:paraId="78B669DE" w14:textId="59C6A9F9" w:rsidR="003B6600" w:rsidRPr="00783D3B" w:rsidRDefault="0020448A" w:rsidP="003B6600">
      <w:pPr>
        <w:spacing w:line="360" w:lineRule="auto"/>
        <w:ind w:left="720"/>
        <w:jc w:val="both"/>
        <w:rPr>
          <w:sz w:val="22"/>
          <w:szCs w:val="22"/>
        </w:rPr>
      </w:pPr>
      <w:r w:rsidRPr="00783D3B">
        <w:rPr>
          <w:sz w:val="22"/>
          <w:szCs w:val="22"/>
        </w:rPr>
        <w:t>to escalate the development, deployment, and dissemination of technologies and adoption of policies to transition towards low-emissions energy systems including by rapidly scaling up development of clean power generation and energy efficiency measures including escalating efforts to phase down unabated coal power and phase out inefficient fossil fuel subsidies including providing support to the poorest and most vulnerable in line with national circumstances and recognizing the need for support to a just transition</w:t>
      </w:r>
      <w:r w:rsidR="003B6600" w:rsidRPr="00783D3B">
        <w:rPr>
          <w:sz w:val="22"/>
          <w:szCs w:val="22"/>
        </w:rPr>
        <w:t>.</w:t>
      </w:r>
      <w:r w:rsidR="00C338C1">
        <w:rPr>
          <w:rStyle w:val="FootnoteReference"/>
          <w:sz w:val="22"/>
          <w:szCs w:val="22"/>
        </w:rPr>
        <w:footnoteReference w:id="3"/>
      </w:r>
    </w:p>
    <w:p w14:paraId="40E62B86" w14:textId="283D5C92" w:rsidR="0020448A" w:rsidRPr="0020448A" w:rsidRDefault="00D01B8D" w:rsidP="003B6600">
      <w:pPr>
        <w:spacing w:line="360" w:lineRule="auto"/>
        <w:ind w:firstLine="720"/>
        <w:jc w:val="both"/>
      </w:pPr>
      <w:r>
        <w:t xml:space="preserve">While </w:t>
      </w:r>
      <w:r w:rsidR="0020448A" w:rsidRPr="0020448A">
        <w:t xml:space="preserve">India </w:t>
      </w:r>
      <w:r>
        <w:t xml:space="preserve">and others were blamed </w:t>
      </w:r>
      <w:r w:rsidR="0020448A" w:rsidRPr="0020448A">
        <w:t xml:space="preserve">for the </w:t>
      </w:r>
      <w:r>
        <w:t>shift from “</w:t>
      </w:r>
      <w:r w:rsidR="0020448A" w:rsidRPr="0020448A">
        <w:t>phasing out</w:t>
      </w:r>
      <w:r>
        <w:t>”</w:t>
      </w:r>
      <w:r w:rsidR="0020448A" w:rsidRPr="0020448A">
        <w:t xml:space="preserve"> </w:t>
      </w:r>
      <w:r>
        <w:t xml:space="preserve">to </w:t>
      </w:r>
      <w:r w:rsidR="0020448A" w:rsidRPr="0020448A">
        <w:t xml:space="preserve"> </w:t>
      </w:r>
      <w:r>
        <w:t>“</w:t>
      </w:r>
      <w:r w:rsidR="0020448A" w:rsidRPr="0020448A">
        <w:t>phasing down</w:t>
      </w:r>
      <w:r>
        <w:t>”</w:t>
      </w:r>
      <w:r w:rsidR="0020448A" w:rsidRPr="0020448A">
        <w:t xml:space="preserve"> coal</w:t>
      </w:r>
      <w:r w:rsidR="00FF569A">
        <w:t>,</w:t>
      </w:r>
      <w:r w:rsidR="0020448A" w:rsidRPr="0020448A">
        <w:t xml:space="preserve"> </w:t>
      </w:r>
      <w:r>
        <w:t xml:space="preserve">it is difficult to </w:t>
      </w:r>
      <w:r w:rsidR="0020448A" w:rsidRPr="0020448A">
        <w:t xml:space="preserve">imagine a phasing out of coal </w:t>
      </w:r>
      <w:r>
        <w:t xml:space="preserve">when </w:t>
      </w:r>
      <w:r w:rsidR="0020448A" w:rsidRPr="0020448A">
        <w:t xml:space="preserve">the share of coal in the global energy mix </w:t>
      </w:r>
      <w:r>
        <w:t xml:space="preserve">has been as high as </w:t>
      </w:r>
      <w:r w:rsidR="0020448A" w:rsidRPr="0020448A">
        <w:t xml:space="preserve"> 36.7% </w:t>
      </w:r>
      <w:r>
        <w:t xml:space="preserve">in </w:t>
      </w:r>
      <w:r w:rsidR="0020448A" w:rsidRPr="0020448A">
        <w:t>2019.</w:t>
      </w:r>
      <w:r w:rsidR="0020448A" w:rsidRPr="0020448A">
        <w:rPr>
          <w:vertAlign w:val="superscript"/>
        </w:rPr>
        <w:footnoteReference w:id="4"/>
      </w:r>
      <w:r w:rsidR="0020448A" w:rsidRPr="0020448A">
        <w:t xml:space="preserve"> However, this struggle also included other countries such as the US, China, and South Africa that were keen to qualify undesirable coal power as ‘unabated’ and undesirable fossil fuel subsidies as ‘inefficient,’ as if carbon capture and storage technologies were unproblematic and efficient fossil fuel subsidies achievable. Without a date, the </w:t>
      </w:r>
      <w:r w:rsidR="007C6196">
        <w:t xml:space="preserve">phasing out of coal recommendation </w:t>
      </w:r>
      <w:r w:rsidR="0020448A" w:rsidRPr="0020448A">
        <w:t xml:space="preserve">does not guarantee action. Most observers still took the first mention of coal in a COP resolution as a win. A COP declaration is not a legal guarantee to move away from coal. Still, it is increasingly clear that a transition away from </w:t>
      </w:r>
      <w:r w:rsidR="0020448A" w:rsidRPr="0020448A">
        <w:lastRenderedPageBreak/>
        <w:t xml:space="preserve">coal is underway with the end of international finance for coal, large commitments not </w:t>
      </w:r>
      <w:r w:rsidR="003B6600">
        <w:t xml:space="preserve">to </w:t>
      </w:r>
      <w:r w:rsidR="0020448A" w:rsidRPr="0020448A">
        <w:t>build new coal-fired plants and the increasing pressure on ‘laggards’ who depend on what now looks like obsolete technology. While the capacity to respond to climate change is intimately linked to the extent to which coal can be left in the</w:t>
      </w:r>
      <w:r w:rsidR="007C6196">
        <w:t xml:space="preserve">cold </w:t>
      </w:r>
      <w:r w:rsidR="0020448A" w:rsidRPr="0020448A">
        <w:t xml:space="preserve">, </w:t>
      </w:r>
      <w:r w:rsidR="003B6600">
        <w:t>it</w:t>
      </w:r>
      <w:r w:rsidR="003B6600" w:rsidRPr="0020448A">
        <w:t xml:space="preserve"> </w:t>
      </w:r>
      <w:r w:rsidR="0020448A" w:rsidRPr="0020448A">
        <w:t xml:space="preserve">is still closely linked to </w:t>
      </w:r>
      <w:r w:rsidR="005F17E7">
        <w:t>the</w:t>
      </w:r>
      <w:r w:rsidR="005F17E7" w:rsidRPr="0020448A">
        <w:t xml:space="preserve"> </w:t>
      </w:r>
      <w:r w:rsidR="0020448A" w:rsidRPr="0020448A">
        <w:t xml:space="preserve">aspirations </w:t>
      </w:r>
      <w:r w:rsidR="005F17E7">
        <w:t>of</w:t>
      </w:r>
      <w:r w:rsidR="005F17E7" w:rsidRPr="0020448A">
        <w:t xml:space="preserve"> </w:t>
      </w:r>
      <w:r w:rsidR="0020448A" w:rsidRPr="0020448A">
        <w:t>many countries and to complex justice issues</w:t>
      </w:r>
      <w:r w:rsidR="003B6600">
        <w:t>,</w:t>
      </w:r>
      <w:r w:rsidR="0020448A" w:rsidRPr="0020448A">
        <w:t xml:space="preserve"> whether they are played </w:t>
      </w:r>
      <w:r w:rsidR="003B6600">
        <w:t>out o</w:t>
      </w:r>
      <w:r w:rsidR="003B6600" w:rsidRPr="0020448A">
        <w:t xml:space="preserve">n </w:t>
      </w:r>
      <w:r w:rsidR="0020448A" w:rsidRPr="0020448A">
        <w:t xml:space="preserve">the global stage (coal-dependent countries) or at smaller scales (workers </w:t>
      </w:r>
      <w:r w:rsidR="003B6600" w:rsidRPr="0020448A">
        <w:t>dependen</w:t>
      </w:r>
      <w:r w:rsidR="003B6600">
        <w:t>t</w:t>
      </w:r>
      <w:r w:rsidR="003B6600" w:rsidRPr="0020448A">
        <w:t xml:space="preserve"> </w:t>
      </w:r>
      <w:r w:rsidR="0020448A" w:rsidRPr="0020448A">
        <w:t xml:space="preserve">on coal). </w:t>
      </w:r>
    </w:p>
    <w:p w14:paraId="7E68CD48" w14:textId="4F564AAC" w:rsidR="00186A56" w:rsidRDefault="0020448A" w:rsidP="00FF569A">
      <w:pPr>
        <w:spacing w:line="360" w:lineRule="auto"/>
        <w:ind w:firstLine="720"/>
        <w:jc w:val="both"/>
      </w:pPr>
      <w:r w:rsidRPr="0020448A">
        <w:t>The impacts of climate change are already noticeable, and the theme of survival is</w:t>
      </w:r>
      <w:r w:rsidR="00FF569A">
        <w:t xml:space="preserve"> now </w:t>
      </w:r>
      <w:r w:rsidRPr="0020448A">
        <w:t>central to climate politics. Against the promises for collective survival that COP26 presupposes, the realities of climate change mean that some populations stand a better chance than others in what some climate scientists, reading Achille Mbembe, have called climate necro</w:t>
      </w:r>
      <w:r w:rsidR="006337F5">
        <w:t>-</w:t>
      </w:r>
      <w:r w:rsidRPr="0020448A">
        <w:t xml:space="preserve">politics </w:t>
      </w:r>
      <w:r w:rsidRPr="0020448A">
        <w:fldChar w:fldCharType="begin"/>
      </w:r>
      <w:r w:rsidRPr="0020448A">
        <w:instrText xml:space="preserve"> ADDIN EN.CITE &lt;EndNote&gt;&lt;Cite&gt;&lt;Author&gt;Schipper&lt;/Author&gt;&lt;Year&gt;2021&lt;/Year&gt;&lt;RecNum&gt;370&lt;/RecNum&gt;&lt;DisplayText&gt;(Schipper et al., 2021)&lt;/DisplayText&gt;&lt;record&gt;&lt;rec-number&gt;370&lt;/rec-number&gt;&lt;foreign-keys&gt;&lt;key app="EN" db-id="pawzdsa0c2s2ptev0x0px9wup22w0x90asf5" timestamp="1634386627"&gt;370&lt;/key&gt;&lt;/foreign-keys&gt;&lt;ref-type name="Journal Article"&gt;17&lt;/ref-type&gt;&lt;contributors&gt;&lt;authors&gt;&lt;author&gt;Schipper, ELF&lt;/author&gt;&lt;author&gt;Eriksen, SE&lt;/author&gt;&lt;author&gt;Fernandez Carril, LR&lt;/author&gt;&lt;author&gt;Glavovic, BC&lt;/author&gt;&lt;author&gt;Shawoo, Z&lt;/author&gt;&lt;/authors&gt;&lt;/contributors&gt;&lt;titles&gt;&lt;title&gt;Turbulent transformation: abrupt societal disruption and climate resilient development&lt;/title&gt;&lt;secondary-title&gt;Climate and Development&lt;/secondary-title&gt;&lt;/titles&gt;&lt;periodical&gt;&lt;full-title&gt;Climate and Development&lt;/full-title&gt;&lt;/periodical&gt;&lt;pages&gt;467-474&lt;/pages&gt;&lt;volume&gt;13&lt;/volume&gt;&lt;number&gt;6&lt;/number&gt;&lt;dates&gt;&lt;year&gt;2021&lt;/year&gt;&lt;/dates&gt;&lt;isbn&gt;1756-5529&lt;/isbn&gt;&lt;urls&gt;&lt;/urls&gt;&lt;/record&gt;&lt;/Cite&gt;&lt;/EndNote&gt;</w:instrText>
      </w:r>
      <w:r w:rsidRPr="0020448A">
        <w:fldChar w:fldCharType="separate"/>
      </w:r>
      <w:r w:rsidRPr="0020448A">
        <w:t>(Schipper et al., 2021)</w:t>
      </w:r>
      <w:r w:rsidRPr="0020448A">
        <w:fldChar w:fldCharType="end"/>
      </w:r>
      <w:r w:rsidRPr="0020448A">
        <w:t>. COP26 noted “the gap in relation to the fulfilment of the goal of developed country parties to mobilize jointly USD 100 billion per year by 2020.”</w:t>
      </w:r>
      <w:r w:rsidR="00C338C1">
        <w:rPr>
          <w:rStyle w:val="FootnoteReference"/>
        </w:rPr>
        <w:footnoteReference w:id="5"/>
      </w:r>
      <w:r w:rsidR="00C338C1">
        <w:t xml:space="preserve"> </w:t>
      </w:r>
      <w:r w:rsidRPr="0020448A">
        <w:t xml:space="preserve">A video of the Prime Minister of Barbados, Mia Mottley, denouncing mitigation and adaptation finance gaps as immoral and unjust went viral. The gap is particularly acute for adaptation, and countries agreed at Glasgow to </w:t>
      </w:r>
      <w:r w:rsidR="004B5176">
        <w:t>re</w:t>
      </w:r>
      <w:r w:rsidRPr="0020448A">
        <w:t xml:space="preserve">double efforts. However, Glasgow also witnessed some adaptation ‘success.’ For example, the steps to achieve the global goal on adaptation attempt to deal with an important challenge in making adaptation progress calculable. Mitigation goals have long been tied to clear metrics that reduce actions to carbon emissions. Parallel metrics for adaptation do not exist. The need to measure progress is closely tied to climate politics and their presentation on the global stage. COP26 adopted the ‘Glasgow–Sharm el-Sheikh work program on the global goal on adaptation’, which intends to develop guidance to measure adaptation, that is, </w:t>
      </w:r>
      <w:r w:rsidR="004B5176">
        <w:t xml:space="preserve">to </w:t>
      </w:r>
      <w:r w:rsidR="004B5176" w:rsidRPr="0020448A">
        <w:t>mak</w:t>
      </w:r>
      <w:r w:rsidR="004B5176">
        <w:t>e</w:t>
      </w:r>
      <w:r w:rsidR="004B5176" w:rsidRPr="0020448A">
        <w:t xml:space="preserve"> </w:t>
      </w:r>
      <w:r w:rsidRPr="0020448A">
        <w:t xml:space="preserve">it calculable. However, the work program </w:t>
      </w:r>
      <w:r w:rsidR="004B5176" w:rsidRPr="0020448A">
        <w:t>call</w:t>
      </w:r>
      <w:r w:rsidR="004B5176">
        <w:t>s</w:t>
      </w:r>
      <w:r w:rsidR="004B5176" w:rsidRPr="0020448A">
        <w:t xml:space="preserve"> </w:t>
      </w:r>
      <w:r w:rsidRPr="0020448A">
        <w:t>for “a more holistic picture of adaptation progress and help to balance the strengths and weaknesses of the different approaches,” laying down the limits of what is calculable.</w:t>
      </w:r>
      <w:r w:rsidR="00C338C1">
        <w:rPr>
          <w:rStyle w:val="FootnoteReference"/>
        </w:rPr>
        <w:footnoteReference w:id="6"/>
      </w:r>
      <w:r w:rsidRPr="0020448A">
        <w:t xml:space="preserve"> Problem framing and definition have long been a concern for those seeking to facilitate global governance of adaptation </w:t>
      </w:r>
      <w:r w:rsidRPr="0020448A">
        <w:fldChar w:fldCharType="begin"/>
      </w:r>
      <w:r w:rsidRPr="0020448A">
        <w:instrText xml:space="preserve"> ADDIN EN.CITE &lt;EndNote&gt;&lt;Cite&gt;&lt;Author&gt;Persson&lt;/Author&gt;&lt;Year&gt;2019&lt;/Year&gt;&lt;RecNum&gt;441&lt;/RecNum&gt;&lt;DisplayText&gt;(Persson, 2019)&lt;/DisplayText&gt;&lt;record&gt;&lt;rec-number&gt;441&lt;/rec-number&gt;&lt;foreign-keys&gt;&lt;key app="EN" db-id="pawzdsa0c2s2ptev0x0px9wup22w0x90asf5" timestamp="1637238917"&gt;441&lt;/key&gt;&lt;/foreign-keys&gt;&lt;ref-type name="Journal Article"&gt;17&lt;/ref-type&gt;&lt;contributors&gt;&lt;authors&gt;&lt;author&gt;Persson, Åsa&lt;/author&gt;&lt;/authors&gt;&lt;/contributors&gt;&lt;titles&gt;&lt;title&gt;Global adaptation governance: An emerging but contested domain&lt;/title&gt;&lt;secondary-title&gt;Wiley Interdisciplinary Reviews: Climate Change&lt;/secondary-title&gt;&lt;/titles&gt;&lt;periodical&gt;&lt;full-title&gt;Wiley Interdisciplinary Reviews: Climate Change&lt;/full-title&gt;&lt;/periodical&gt;&lt;pages&gt;e618&lt;/pages&gt;&lt;volume&gt;10&lt;/volume&gt;&lt;number&gt;6&lt;/number&gt;&lt;dates&gt;&lt;year&gt;2019&lt;/year&gt;&lt;/dates&gt;&lt;isbn&gt;1757-7780&lt;/isbn&gt;&lt;urls&gt;&lt;/urls&gt;&lt;/record&gt;&lt;/Cite&gt;&lt;/EndNote&gt;</w:instrText>
      </w:r>
      <w:r w:rsidRPr="0020448A">
        <w:fldChar w:fldCharType="separate"/>
      </w:r>
      <w:r w:rsidRPr="0020448A">
        <w:t>(Persson, 2019)</w:t>
      </w:r>
      <w:r w:rsidRPr="0020448A">
        <w:fldChar w:fldCharType="end"/>
      </w:r>
      <w:r w:rsidRPr="0020448A">
        <w:t xml:space="preserve">. </w:t>
      </w:r>
    </w:p>
    <w:p w14:paraId="2BE568E6" w14:textId="677BCA86" w:rsidR="00C338C1" w:rsidRDefault="0020448A" w:rsidP="00B876C5">
      <w:pPr>
        <w:spacing w:line="360" w:lineRule="auto"/>
        <w:ind w:firstLine="720"/>
        <w:jc w:val="both"/>
      </w:pPr>
      <w:r w:rsidRPr="0020448A">
        <w:t xml:space="preserve">Every deliberate attempt to build and justify rationalities for adaptation governance encounters ontological difficulties despite the wide range of attempts to develop </w:t>
      </w:r>
      <w:r w:rsidR="00186A56">
        <w:t xml:space="preserve">suitable </w:t>
      </w:r>
      <w:r w:rsidRPr="0020448A">
        <w:t xml:space="preserve">metrics (Berrang-Ford et al., 2019) and mainstream adaptation beyond its local confines into international organizations </w:t>
      </w:r>
      <w:r w:rsidRPr="0020448A">
        <w:fldChar w:fldCharType="begin"/>
      </w:r>
      <w:r w:rsidRPr="0020448A">
        <w:instrText xml:space="preserve"> ADDIN EN.CITE &lt;EndNote&gt;&lt;Cite&gt;&lt;Author&gt;Dellmuth&lt;/Author&gt;&lt;Year&gt;2021&lt;/Year&gt;&lt;RecNum&gt;440&lt;/RecNum&gt;&lt;DisplayText&gt;(Dellmuth &amp;amp; Gustafsson, 2021)&lt;/DisplayText&gt;&lt;record&gt;&lt;rec-number&gt;440&lt;/rec-number&gt;&lt;foreign-keys&gt;&lt;key app="EN" db-id="pawzdsa0c2s2ptev0x0px9wup22w0x90asf5" timestamp="1637238692"&gt;440&lt;/key&gt;&lt;/foreign-keys&gt;&lt;ref-type name="Journal Article"&gt;17&lt;/ref-type&gt;&lt;contributors&gt;&lt;authors&gt;&lt;author&gt;Dellmuth, Lisa Maria&lt;/author&gt;&lt;author&gt;Gustafsson, Maria-Therese&lt;/author&gt;&lt;/authors&gt;&lt;/contributors&gt;&lt;titles&gt;&lt;title&gt;Global adaptation governance: how intergovernmental organizations mainstream climate change adaptation&lt;/title&gt;&lt;secondary-title&gt;Climate Policy&lt;/secondary-title&gt;&lt;/titles&gt;&lt;periodical&gt;&lt;full-title&gt;Climate Policy&lt;/full-title&gt;&lt;/periodical&gt;&lt;pages&gt;1-16&lt;/pages&gt;&lt;dates&gt;&lt;year&gt;2021&lt;/year&gt;&lt;/dates&gt;&lt;isbn&gt;1469-3062&lt;/isbn&gt;&lt;urls&gt;&lt;/urls&gt;&lt;/record&gt;&lt;/Cite&gt;&lt;/EndNote&gt;</w:instrText>
      </w:r>
      <w:r w:rsidRPr="0020448A">
        <w:fldChar w:fldCharType="separate"/>
      </w:r>
      <w:r w:rsidRPr="0020448A">
        <w:t>(Dellmuth &amp; Gustafsson, 2021)</w:t>
      </w:r>
      <w:r w:rsidRPr="0020448A">
        <w:fldChar w:fldCharType="end"/>
      </w:r>
      <w:r w:rsidRPr="0020448A">
        <w:t xml:space="preserve">.Yet, </w:t>
      </w:r>
      <w:r w:rsidR="004B5176">
        <w:t>p</w:t>
      </w:r>
      <w:r w:rsidR="004B5176" w:rsidRPr="0020448A">
        <w:t xml:space="preserve">arties </w:t>
      </w:r>
      <w:r w:rsidRPr="0020448A">
        <w:t>ended up delaying a much-needed debate on loss and damage</w:t>
      </w:r>
      <w:r w:rsidR="004B5176">
        <w:t>;</w:t>
      </w:r>
      <w:r w:rsidR="004B5176" w:rsidRPr="0020448A">
        <w:t xml:space="preserve"> </w:t>
      </w:r>
      <w:r w:rsidRPr="0020448A">
        <w:t xml:space="preserve">that is, on the need to facilitate reparations for the </w:t>
      </w:r>
      <w:r w:rsidRPr="0020448A">
        <w:lastRenderedPageBreak/>
        <w:t xml:space="preserve">unavoidable impacts of climate change in some of the most vulnerable countries of the world. As Michael Jacobs, a seasoned COP commentator, explained </w:t>
      </w:r>
      <w:r>
        <w:t>via</w:t>
      </w:r>
      <w:r w:rsidRPr="0020448A">
        <w:t xml:space="preserve"> </w:t>
      </w:r>
      <w:r w:rsidR="00274F84">
        <w:t>T</w:t>
      </w:r>
      <w:r w:rsidRPr="0020448A">
        <w:t>witter</w:t>
      </w:r>
      <w:r w:rsidR="00274F84">
        <w:t>,</w:t>
      </w:r>
      <w:r w:rsidRPr="0020448A">
        <w:t xml:space="preserve"> countries </w:t>
      </w:r>
      <w:r w:rsidR="0095511D">
        <w:t xml:space="preserve">in the Global South </w:t>
      </w:r>
      <w:r w:rsidRPr="0020448A">
        <w:t xml:space="preserve">could not hide their anger as their request for a financial facility was met with a </w:t>
      </w:r>
      <w:r w:rsidR="00274F84" w:rsidRPr="0020448A">
        <w:t>pr</w:t>
      </w:r>
      <w:r w:rsidR="00274F84">
        <w:t>o</w:t>
      </w:r>
      <w:r w:rsidR="00274F84" w:rsidRPr="0020448A">
        <w:t xml:space="preserve">mise </w:t>
      </w:r>
      <w:r w:rsidRPr="0020448A">
        <w:t>for continuing dialogue.</w:t>
      </w:r>
      <w:r w:rsidR="00B876C5">
        <w:rPr>
          <w:rStyle w:val="FootnoteReference"/>
        </w:rPr>
        <w:footnoteReference w:id="7"/>
      </w:r>
      <w:r w:rsidRPr="0020448A">
        <w:t xml:space="preserve"> Rethinking loss and damage requires, above all, careful consideration of the political, legal</w:t>
      </w:r>
      <w:r>
        <w:t>,</w:t>
      </w:r>
      <w:r w:rsidRPr="0020448A">
        <w:t xml:space="preserve"> and territorial aspects of such mechanism</w:t>
      </w:r>
      <w:r w:rsidR="00316A72">
        <w:t>s</w:t>
      </w:r>
      <w:r w:rsidRPr="0020448A">
        <w:t xml:space="preserve">. </w:t>
      </w:r>
    </w:p>
    <w:p w14:paraId="47557F87" w14:textId="7C8BB4A7" w:rsidR="00857FA8" w:rsidRDefault="00A620FE" w:rsidP="0020448A">
      <w:pPr>
        <w:spacing w:line="360" w:lineRule="auto"/>
        <w:jc w:val="both"/>
        <w:rPr>
          <w:rFonts w:cstheme="minorHAnsi"/>
        </w:rPr>
      </w:pPr>
      <w:r>
        <w:tab/>
      </w:r>
      <w:r w:rsidR="003C612C">
        <w:t>Climate emergency is a subset of a much broader planetary emergency</w:t>
      </w:r>
      <w:r w:rsidR="00FF569A">
        <w:t>,</w:t>
      </w:r>
      <w:r w:rsidR="003C612C">
        <w:t xml:space="preserve"> </w:t>
      </w:r>
      <w:r>
        <w:t xml:space="preserve">which </w:t>
      </w:r>
      <w:r w:rsidR="003C612C">
        <w:t>focuses on three gigantic systems operating at the planetary scale</w:t>
      </w:r>
      <w:r w:rsidR="004B5176">
        <w:t xml:space="preserve">: </w:t>
      </w:r>
      <w:r w:rsidR="003C612C">
        <w:t xml:space="preserve">the climate system, the ozone layer, and the ocean. Planetary emergency encompasses rapid change of earth’s life support system and the need to take swift decisions and actions to positively influence </w:t>
      </w:r>
      <w:r w:rsidR="006769D0">
        <w:t>E</w:t>
      </w:r>
      <w:r w:rsidR="003C612C">
        <w:t>arth’s life support systems for millennia to come. The</w:t>
      </w:r>
      <w:r>
        <w:t xml:space="preserve"> debates about Earth as a common territory </w:t>
      </w:r>
      <w:r w:rsidR="008148AD">
        <w:t xml:space="preserve">for all living things </w:t>
      </w:r>
      <w:r w:rsidR="003C612C">
        <w:t>revolve around</w:t>
      </w:r>
      <w:r w:rsidR="008148AD">
        <w:t xml:space="preserve"> planetary boundaries as safety barriers that protect us from breaking down Earth’s life support systems. These boundaries ‘define scientifically, a safe operating space on Earth for us humans to have a good chance of a thriving future’ (Rockstr</w:t>
      </w:r>
      <w:r w:rsidR="008148AD">
        <w:rPr>
          <w:rFonts w:cstheme="minorHAnsi"/>
        </w:rPr>
        <w:t>öm and Gaffney, 2021</w:t>
      </w:r>
      <w:r w:rsidR="0039601F">
        <w:rPr>
          <w:rFonts w:cstheme="minorHAnsi"/>
        </w:rPr>
        <w:t>: 81</w:t>
      </w:r>
      <w:r w:rsidR="008148AD">
        <w:rPr>
          <w:rFonts w:cstheme="minorHAnsi"/>
        </w:rPr>
        <w:t xml:space="preserve">). </w:t>
      </w:r>
      <w:r w:rsidR="00F21E06">
        <w:rPr>
          <w:rFonts w:cstheme="minorHAnsi"/>
        </w:rPr>
        <w:t>Here</w:t>
      </w:r>
      <w:r w:rsidR="00D8242A">
        <w:rPr>
          <w:rFonts w:cstheme="minorHAnsi"/>
        </w:rPr>
        <w:t>,</w:t>
      </w:r>
      <w:r w:rsidR="00F21E06">
        <w:rPr>
          <w:rFonts w:cstheme="minorHAnsi"/>
        </w:rPr>
        <w:t xml:space="preserve"> the term boundary takes a different meaning from those often used in social science in the context of identity and territorial demarcation, for example. The land planetary boundary is defined as ‘the percentage of forested land compared with original forest cover’ (</w:t>
      </w:r>
      <w:r w:rsidR="00F21E06">
        <w:t>Rockstr</w:t>
      </w:r>
      <w:r w:rsidR="00F21E06">
        <w:rPr>
          <w:rFonts w:cstheme="minorHAnsi"/>
        </w:rPr>
        <w:t xml:space="preserve">öm and Gaffney, 2021: 82). It is worth noting that planetary boundaries are </w:t>
      </w:r>
      <w:r w:rsidR="008148AD">
        <w:rPr>
          <w:rFonts w:cstheme="minorHAnsi"/>
        </w:rPr>
        <w:t xml:space="preserve">not only critical for Earth’s stable </w:t>
      </w:r>
      <w:r w:rsidR="00060230">
        <w:rPr>
          <w:rFonts w:cstheme="minorHAnsi"/>
        </w:rPr>
        <w:t>state,</w:t>
      </w:r>
      <w:r w:rsidR="008148AD">
        <w:rPr>
          <w:rFonts w:cstheme="minorHAnsi"/>
        </w:rPr>
        <w:t xml:space="preserve"> but they are used for mapping how Earth as a space should be governed and utilized to avoid </w:t>
      </w:r>
      <w:r w:rsidR="00F21E06">
        <w:rPr>
          <w:rFonts w:cstheme="minorHAnsi"/>
        </w:rPr>
        <w:t>breaking our life support systems</w:t>
      </w:r>
      <w:r w:rsidR="008148AD">
        <w:rPr>
          <w:rFonts w:cstheme="minorHAnsi"/>
        </w:rPr>
        <w:t xml:space="preserve">. </w:t>
      </w:r>
      <w:r w:rsidR="00060230">
        <w:rPr>
          <w:rFonts w:cstheme="minorHAnsi"/>
        </w:rPr>
        <w:t xml:space="preserve">One radical proposal for achieving this </w:t>
      </w:r>
      <w:r w:rsidR="00F21E06">
        <w:rPr>
          <w:rFonts w:cstheme="minorHAnsi"/>
        </w:rPr>
        <w:t xml:space="preserve">goal </w:t>
      </w:r>
      <w:r w:rsidR="00060230">
        <w:rPr>
          <w:rFonts w:cstheme="minorHAnsi"/>
        </w:rPr>
        <w:t>is to put aside half the earth</w:t>
      </w:r>
      <w:r w:rsidR="00180D0A">
        <w:rPr>
          <w:rFonts w:cstheme="minorHAnsi"/>
        </w:rPr>
        <w:t xml:space="preserve"> </w:t>
      </w:r>
      <w:r w:rsidR="00060230">
        <w:rPr>
          <w:rFonts w:cstheme="minorHAnsi"/>
        </w:rPr>
        <w:t>for biodiversity protection</w:t>
      </w:r>
      <w:r w:rsidR="00180D0A" w:rsidRPr="003A4DE2">
        <w:rPr>
          <w:rFonts w:cs="Calibri"/>
          <w:color w:val="000000"/>
          <w:highlight w:val="white"/>
        </w:rPr>
        <w:t xml:space="preserve"> (</w:t>
      </w:r>
      <w:r w:rsidR="00180D0A">
        <w:rPr>
          <w:rFonts w:cs="Calibri"/>
          <w:color w:val="000000"/>
          <w:highlight w:val="white"/>
        </w:rPr>
        <w:t xml:space="preserve">Wilson, 2016; </w:t>
      </w:r>
      <w:r w:rsidR="00180D0A" w:rsidRPr="003A4DE2">
        <w:rPr>
          <w:rFonts w:cs="Calibri"/>
          <w:color w:val="000000"/>
          <w:highlight w:val="white"/>
        </w:rPr>
        <w:t>Half Earth</w:t>
      </w:r>
      <w:r w:rsidR="00D8242A">
        <w:rPr>
          <w:rFonts w:cs="Calibri"/>
          <w:color w:val="000000"/>
          <w:highlight w:val="white"/>
        </w:rPr>
        <w:t>,</w:t>
      </w:r>
      <w:r w:rsidR="00180D0A" w:rsidRPr="003A4DE2">
        <w:rPr>
          <w:rFonts w:cs="Calibri"/>
          <w:color w:val="000000"/>
          <w:highlight w:val="white"/>
        </w:rPr>
        <w:t xml:space="preserve"> 2021)</w:t>
      </w:r>
      <w:r w:rsidR="003C612C">
        <w:rPr>
          <w:rFonts w:cs="Calibri"/>
          <w:color w:val="000000"/>
        </w:rPr>
        <w:t xml:space="preserve">. </w:t>
      </w:r>
      <w:r w:rsidR="00857FA8">
        <w:rPr>
          <w:rFonts w:cs="Calibri"/>
          <w:color w:val="000000"/>
        </w:rPr>
        <w:t xml:space="preserve">The proposal supports similar initiatives for the protection of biodiversity that require the state to implement global conservation </w:t>
      </w:r>
      <w:r w:rsidR="00A64DCC">
        <w:rPr>
          <w:rFonts w:cs="Calibri"/>
          <w:color w:val="000000"/>
        </w:rPr>
        <w:t>projects</w:t>
      </w:r>
      <w:r w:rsidR="00857FA8">
        <w:rPr>
          <w:rFonts w:cs="Calibri"/>
          <w:color w:val="000000"/>
        </w:rPr>
        <w:t xml:space="preserve"> that often pit </w:t>
      </w:r>
      <w:r w:rsidR="00A64DCC">
        <w:rPr>
          <w:rFonts w:cs="Calibri"/>
          <w:color w:val="000000"/>
        </w:rPr>
        <w:t xml:space="preserve">citizens </w:t>
      </w:r>
      <w:r w:rsidR="00857FA8">
        <w:rPr>
          <w:rFonts w:cs="Calibri"/>
          <w:color w:val="000000"/>
        </w:rPr>
        <w:t xml:space="preserve">against their </w:t>
      </w:r>
      <w:r w:rsidR="00A64DCC">
        <w:rPr>
          <w:rFonts w:cs="Calibri"/>
          <w:color w:val="000000"/>
        </w:rPr>
        <w:t>governments</w:t>
      </w:r>
      <w:r w:rsidR="00857FA8">
        <w:rPr>
          <w:rFonts w:cs="Calibri"/>
          <w:color w:val="000000"/>
        </w:rPr>
        <w:t>. This has resulted in</w:t>
      </w:r>
      <w:r w:rsidR="006769D0">
        <w:rPr>
          <w:rFonts w:cs="Calibri"/>
          <w:color w:val="000000"/>
        </w:rPr>
        <w:t xml:space="preserve"> a</w:t>
      </w:r>
      <w:r w:rsidR="00857FA8">
        <w:rPr>
          <w:rFonts w:cs="Calibri"/>
          <w:color w:val="000000"/>
        </w:rPr>
        <w:t xml:space="preserve"> bifurcated state in </w:t>
      </w:r>
      <w:r w:rsidR="006769D0">
        <w:rPr>
          <w:rFonts w:cs="Calibri"/>
          <w:color w:val="000000"/>
        </w:rPr>
        <w:t xml:space="preserve">the </w:t>
      </w:r>
      <w:r w:rsidR="005F17E7">
        <w:rPr>
          <w:rFonts w:cs="Calibri"/>
          <w:color w:val="000000"/>
        </w:rPr>
        <w:t>so-called ‘</w:t>
      </w:r>
      <w:r w:rsidR="00857FA8">
        <w:rPr>
          <w:rFonts w:cs="Calibri"/>
          <w:color w:val="000000"/>
        </w:rPr>
        <w:t>Global South</w:t>
      </w:r>
      <w:r w:rsidR="005F17E7">
        <w:rPr>
          <w:rFonts w:cs="Calibri"/>
          <w:color w:val="000000"/>
        </w:rPr>
        <w:t>’</w:t>
      </w:r>
      <w:r w:rsidR="00857FA8">
        <w:rPr>
          <w:rFonts w:cs="Calibri"/>
          <w:color w:val="000000"/>
        </w:rPr>
        <w:t xml:space="preserve">.  </w:t>
      </w:r>
      <w:r w:rsidR="00060230">
        <w:rPr>
          <w:rFonts w:cstheme="minorHAnsi"/>
        </w:rPr>
        <w:t xml:space="preserve"> </w:t>
      </w:r>
      <w:r w:rsidR="008148AD">
        <w:rPr>
          <w:rFonts w:cstheme="minorHAnsi"/>
        </w:rPr>
        <w:t xml:space="preserve"> </w:t>
      </w:r>
    </w:p>
    <w:p w14:paraId="3D37DC85" w14:textId="42613950" w:rsidR="00A620FE" w:rsidRPr="0020448A" w:rsidRDefault="00857FA8" w:rsidP="0020448A">
      <w:pPr>
        <w:spacing w:line="360" w:lineRule="auto"/>
        <w:jc w:val="both"/>
      </w:pPr>
      <w:r>
        <w:rPr>
          <w:rFonts w:cstheme="minorHAnsi"/>
        </w:rPr>
        <w:tab/>
        <w:t>The Half Earth pro</w:t>
      </w:r>
      <w:r w:rsidR="00D042FF">
        <w:rPr>
          <w:rFonts w:cstheme="minorHAnsi"/>
        </w:rPr>
        <w:t>posal</w:t>
      </w:r>
      <w:r>
        <w:rPr>
          <w:rFonts w:cstheme="minorHAnsi"/>
        </w:rPr>
        <w:t xml:space="preserve"> raises important questions about where the half would come from, </w:t>
      </w:r>
      <w:r w:rsidR="00A64DCC">
        <w:rPr>
          <w:rFonts w:cstheme="minorHAnsi"/>
        </w:rPr>
        <w:t xml:space="preserve">and </w:t>
      </w:r>
      <w:r>
        <w:rPr>
          <w:rFonts w:cstheme="minorHAnsi"/>
        </w:rPr>
        <w:t xml:space="preserve">what would happen to human populations (the other half) in the affected regions. </w:t>
      </w:r>
      <w:r w:rsidR="00D042FF">
        <w:rPr>
          <w:rFonts w:cstheme="minorHAnsi"/>
        </w:rPr>
        <w:t xml:space="preserve">There are concerns that </w:t>
      </w:r>
      <w:r w:rsidR="00A64DCC">
        <w:rPr>
          <w:rFonts w:cstheme="minorHAnsi"/>
        </w:rPr>
        <w:t xml:space="preserve">the </w:t>
      </w:r>
      <w:r w:rsidR="00D042FF">
        <w:rPr>
          <w:rFonts w:cstheme="minorHAnsi"/>
        </w:rPr>
        <w:t xml:space="preserve">Global South will bear much of the human cost for this proposal, where agricultural land would be turned into conservation areas, and people </w:t>
      </w:r>
      <w:r w:rsidR="00A64DCC">
        <w:rPr>
          <w:rFonts w:cstheme="minorHAnsi"/>
        </w:rPr>
        <w:t xml:space="preserve">would lose </w:t>
      </w:r>
      <w:r w:rsidR="00D042FF">
        <w:rPr>
          <w:rFonts w:cstheme="minorHAnsi"/>
        </w:rPr>
        <w:t>ownership and control over the natural resources on which they depend</w:t>
      </w:r>
      <w:r w:rsidR="006460EC">
        <w:rPr>
          <w:rFonts w:cstheme="minorHAnsi"/>
        </w:rPr>
        <w:t xml:space="preserve"> (Büscher et al.</w:t>
      </w:r>
      <w:r w:rsidR="00D8242A">
        <w:rPr>
          <w:rFonts w:cstheme="minorHAnsi"/>
        </w:rPr>
        <w:t>,</w:t>
      </w:r>
      <w:r w:rsidR="006460EC">
        <w:rPr>
          <w:rFonts w:cstheme="minorHAnsi"/>
        </w:rPr>
        <w:t xml:space="preserve"> 2017)</w:t>
      </w:r>
      <w:r w:rsidR="00D042FF">
        <w:rPr>
          <w:rFonts w:cstheme="minorHAnsi"/>
        </w:rPr>
        <w:t xml:space="preserve">. </w:t>
      </w:r>
      <w:r>
        <w:rPr>
          <w:rFonts w:cstheme="minorHAnsi"/>
        </w:rPr>
        <w:t>The three main remaining rainforests of Amazonia, Indonesia and the Congo</w:t>
      </w:r>
      <w:r w:rsidR="00D042FF">
        <w:rPr>
          <w:rFonts w:cstheme="minorHAnsi"/>
        </w:rPr>
        <w:t xml:space="preserve"> have long been the target for global conservation. The Half Earth proposal has the potential to entrench the global division of the human population and its implementation is most likely to unleash a new wave of </w:t>
      </w:r>
      <w:r w:rsidR="00A64DCC">
        <w:rPr>
          <w:rFonts w:cstheme="minorHAnsi"/>
        </w:rPr>
        <w:t xml:space="preserve">green </w:t>
      </w:r>
      <w:r w:rsidR="00D042FF">
        <w:rPr>
          <w:rFonts w:cstheme="minorHAnsi"/>
        </w:rPr>
        <w:t xml:space="preserve">violence that has characterized biodiversity protection in most countries of the </w:t>
      </w:r>
      <w:r w:rsidR="00D042FF">
        <w:rPr>
          <w:rFonts w:cstheme="minorHAnsi"/>
        </w:rPr>
        <w:lastRenderedPageBreak/>
        <w:t xml:space="preserve">Global South. </w:t>
      </w:r>
      <w:r w:rsidR="006769D0">
        <w:rPr>
          <w:rFonts w:cstheme="minorHAnsi"/>
        </w:rPr>
        <w:t xml:space="preserve">Such violence is made possible by creating protected areas as spaces of exception, in which human rights are </w:t>
      </w:r>
      <w:r w:rsidR="00E541F7">
        <w:rPr>
          <w:rFonts w:cstheme="minorHAnsi"/>
        </w:rPr>
        <w:t>suspended (tempora</w:t>
      </w:r>
      <w:r w:rsidR="007C6196">
        <w:rPr>
          <w:rFonts w:cstheme="minorHAnsi"/>
        </w:rPr>
        <w:t>ri</w:t>
      </w:r>
      <w:r w:rsidR="00E541F7">
        <w:rPr>
          <w:rFonts w:cstheme="minorHAnsi"/>
        </w:rPr>
        <w:t>ly at least)</w:t>
      </w:r>
      <w:r w:rsidR="006769D0">
        <w:rPr>
          <w:rFonts w:cstheme="minorHAnsi"/>
        </w:rPr>
        <w:t xml:space="preserve">. </w:t>
      </w:r>
      <w:r w:rsidR="00914682">
        <w:rPr>
          <w:rFonts w:cstheme="minorHAnsi"/>
        </w:rPr>
        <w:t xml:space="preserve">We anticipate that themes emerging from the planetary emergency </w:t>
      </w:r>
      <w:r w:rsidR="004B5176">
        <w:rPr>
          <w:rFonts w:cstheme="minorHAnsi"/>
        </w:rPr>
        <w:t xml:space="preserve">will </w:t>
      </w:r>
      <w:r w:rsidR="005A41C8">
        <w:rPr>
          <w:rFonts w:cstheme="minorHAnsi"/>
        </w:rPr>
        <w:t xml:space="preserve">continue to </w:t>
      </w:r>
      <w:r w:rsidR="00914682">
        <w:rPr>
          <w:rFonts w:cstheme="minorHAnsi"/>
        </w:rPr>
        <w:t xml:space="preserve">enhance debates </w:t>
      </w:r>
      <w:r w:rsidR="00A64DCC">
        <w:rPr>
          <w:rFonts w:cstheme="minorHAnsi"/>
        </w:rPr>
        <w:t xml:space="preserve">such as </w:t>
      </w:r>
      <w:r w:rsidR="00914682">
        <w:rPr>
          <w:rFonts w:cstheme="minorHAnsi"/>
        </w:rPr>
        <w:t xml:space="preserve">the green state, resource governance, state-citizenship </w:t>
      </w:r>
      <w:r w:rsidR="005A41C8">
        <w:rPr>
          <w:rFonts w:cstheme="minorHAnsi"/>
        </w:rPr>
        <w:t>r</w:t>
      </w:r>
      <w:r w:rsidR="00914682">
        <w:rPr>
          <w:rFonts w:cstheme="minorHAnsi"/>
        </w:rPr>
        <w:t>elations</w:t>
      </w:r>
      <w:r w:rsidR="00A64DCC">
        <w:rPr>
          <w:rFonts w:cstheme="minorHAnsi"/>
        </w:rPr>
        <w:t xml:space="preserve"> </w:t>
      </w:r>
      <w:r w:rsidR="005A41C8">
        <w:rPr>
          <w:rFonts w:cstheme="minorHAnsi"/>
        </w:rPr>
        <w:t xml:space="preserve">in </w:t>
      </w:r>
      <w:r w:rsidR="005A41C8" w:rsidRPr="005A41C8">
        <w:rPr>
          <w:rFonts w:cstheme="minorHAnsi"/>
          <w:i/>
          <w:iCs/>
        </w:rPr>
        <w:t>Territory, Politics</w:t>
      </w:r>
      <w:r w:rsidR="005A41C8">
        <w:rPr>
          <w:rFonts w:cstheme="minorHAnsi"/>
          <w:i/>
          <w:iCs/>
        </w:rPr>
        <w:t xml:space="preserve">, </w:t>
      </w:r>
      <w:r w:rsidR="005A41C8" w:rsidRPr="005A41C8">
        <w:rPr>
          <w:rFonts w:cstheme="minorHAnsi"/>
          <w:i/>
          <w:iCs/>
        </w:rPr>
        <w:t>Governance</w:t>
      </w:r>
      <w:r w:rsidR="0039601F">
        <w:rPr>
          <w:rFonts w:cstheme="minorHAnsi"/>
          <w:i/>
          <w:iCs/>
        </w:rPr>
        <w:t xml:space="preserve"> </w:t>
      </w:r>
      <w:r w:rsidR="0039601F" w:rsidRPr="00783D3B">
        <w:rPr>
          <w:rFonts w:cstheme="minorHAnsi"/>
        </w:rPr>
        <w:t>(Luger 2020)</w:t>
      </w:r>
      <w:r w:rsidR="00914682" w:rsidRPr="0039601F">
        <w:rPr>
          <w:rFonts w:cstheme="minorHAnsi"/>
        </w:rPr>
        <w:t>.</w:t>
      </w:r>
      <w:r w:rsidR="0039601F">
        <w:rPr>
          <w:rFonts w:cstheme="minorHAnsi"/>
        </w:rPr>
        <w:t xml:space="preserve"> </w:t>
      </w:r>
      <w:r w:rsidR="00914682">
        <w:rPr>
          <w:rFonts w:cstheme="minorHAnsi"/>
        </w:rPr>
        <w:t xml:space="preserve"> </w:t>
      </w:r>
      <w:r w:rsidR="00D042FF">
        <w:rPr>
          <w:rFonts w:cstheme="minorHAnsi"/>
        </w:rPr>
        <w:t xml:space="preserve"> </w:t>
      </w:r>
      <w:r>
        <w:rPr>
          <w:rFonts w:cstheme="minorHAnsi"/>
        </w:rPr>
        <w:t xml:space="preserve"> </w:t>
      </w:r>
      <w:r w:rsidR="008148AD">
        <w:rPr>
          <w:rFonts w:cstheme="minorHAnsi"/>
        </w:rPr>
        <w:t xml:space="preserve"> </w:t>
      </w:r>
      <w:r w:rsidR="00A620FE">
        <w:t xml:space="preserve">  </w:t>
      </w:r>
    </w:p>
    <w:p w14:paraId="7874033A" w14:textId="2AA20719" w:rsidR="004B5176" w:rsidRDefault="004B5176" w:rsidP="004B5176">
      <w:pPr>
        <w:spacing w:line="360" w:lineRule="auto"/>
        <w:jc w:val="both"/>
      </w:pPr>
    </w:p>
    <w:p w14:paraId="24F71C94" w14:textId="5069B6E1" w:rsidR="004B5176" w:rsidRPr="00783D3B" w:rsidRDefault="004B5176" w:rsidP="00783D3B">
      <w:pPr>
        <w:spacing w:line="360" w:lineRule="auto"/>
        <w:jc w:val="both"/>
        <w:rPr>
          <w:b/>
          <w:bCs/>
        </w:rPr>
      </w:pPr>
      <w:r w:rsidRPr="00783D3B">
        <w:rPr>
          <w:b/>
          <w:bCs/>
        </w:rPr>
        <w:t xml:space="preserve">The </w:t>
      </w:r>
      <w:r w:rsidR="007C6196">
        <w:rPr>
          <w:b/>
          <w:bCs/>
        </w:rPr>
        <w:t>“</w:t>
      </w:r>
      <w:r w:rsidRPr="00783D3B">
        <w:rPr>
          <w:b/>
          <w:bCs/>
        </w:rPr>
        <w:t>migration state</w:t>
      </w:r>
      <w:r w:rsidR="007C6196">
        <w:rPr>
          <w:b/>
          <w:bCs/>
        </w:rPr>
        <w:t>”</w:t>
      </w:r>
    </w:p>
    <w:p w14:paraId="3305FF97" w14:textId="1D61AD1F" w:rsidR="00186A56" w:rsidRPr="00186A56" w:rsidRDefault="00186A56" w:rsidP="00783D3B">
      <w:pPr>
        <w:spacing w:line="360" w:lineRule="auto"/>
        <w:jc w:val="both"/>
      </w:pPr>
      <w:r>
        <w:t xml:space="preserve">The second theme we expect further engagement and reflection with is the figure of the migrant and what we would term the </w:t>
      </w:r>
      <w:r w:rsidRPr="00186A56">
        <w:rPr>
          <w:i/>
          <w:iCs/>
        </w:rPr>
        <w:t>migration state</w:t>
      </w:r>
      <w:r>
        <w:t xml:space="preserve">. </w:t>
      </w:r>
      <w:r w:rsidR="0046197D">
        <w:t xml:space="preserve">In 2021, it was estimated that there were around 280 million migrants </w:t>
      </w:r>
      <w:r w:rsidR="004B5176">
        <w:t>globally</w:t>
      </w:r>
      <w:r w:rsidR="0046197D">
        <w:t xml:space="preserve">, </w:t>
      </w:r>
      <w:r w:rsidR="004B5176">
        <w:t xml:space="preserve">approximately </w:t>
      </w:r>
      <w:r w:rsidR="0046197D">
        <w:t xml:space="preserve">3-4% of the world’s population (UN 2021). The drivers of migration are complex </w:t>
      </w:r>
      <w:r w:rsidR="004B5176">
        <w:t xml:space="preserve">and include </w:t>
      </w:r>
      <w:r w:rsidR="0046197D">
        <w:t>conflict, civil wars, climate change, persecution, and poverty.</w:t>
      </w:r>
      <w:r w:rsidR="00F35533">
        <w:t xml:space="preserve"> </w:t>
      </w:r>
      <w:r>
        <w:t>Indeed, we would argue that the</w:t>
      </w:r>
      <w:r w:rsidRPr="00186A56">
        <w:rPr>
          <w:lang w:val="en-US"/>
        </w:rPr>
        <w:t xml:space="preserve"> spatiality and territoriality of the migration state have been central concerns of </w:t>
      </w:r>
      <w:r w:rsidRPr="00186A56">
        <w:rPr>
          <w:i/>
          <w:iCs/>
          <w:lang w:val="en-US"/>
        </w:rPr>
        <w:t>Territory, Politics, Governance</w:t>
      </w:r>
      <w:r w:rsidRPr="00186A56">
        <w:rPr>
          <w:lang w:val="en-US"/>
        </w:rPr>
        <w:t xml:space="preserve">. </w:t>
      </w:r>
      <w:r w:rsidR="00D8242A">
        <w:rPr>
          <w:lang w:val="en-US"/>
        </w:rPr>
        <w:t>V</w:t>
      </w:r>
      <w:r w:rsidRPr="00186A56">
        <w:rPr>
          <w:lang w:val="en-US"/>
        </w:rPr>
        <w:t>arying geographies to the governance of migration is evidenced by the placement of Christopher Strunk and Helga Leitner’s article in the inaugural issue of the journal.  Their article, “Resisting federal-local immigration enforcement partnerships: Redefining ‘Secure Communities’ and public safety” (2013</w:t>
      </w:r>
      <w:r w:rsidR="00BC675D">
        <w:rPr>
          <w:lang w:val="en-US"/>
        </w:rPr>
        <w:t>: 66</w:t>
      </w:r>
      <w:r w:rsidRPr="00186A56">
        <w:rPr>
          <w:lang w:val="en-US"/>
        </w:rPr>
        <w:t>)</w:t>
      </w:r>
      <w:r w:rsidR="00BC675D">
        <w:rPr>
          <w:lang w:val="en-US"/>
        </w:rPr>
        <w:t>,</w:t>
      </w:r>
      <w:r w:rsidRPr="00186A56">
        <w:rPr>
          <w:lang w:val="en-US"/>
        </w:rPr>
        <w:t xml:space="preserve"> discusses both the way in which the federal government of the United States is devolving the spaces of border enforcement to the interior of the United States</w:t>
      </w:r>
      <w:r w:rsidR="00BC675D">
        <w:rPr>
          <w:lang w:val="en-US"/>
        </w:rPr>
        <w:t xml:space="preserve"> – </w:t>
      </w:r>
      <w:r w:rsidRPr="00186A56">
        <w:rPr>
          <w:lang w:val="en-US"/>
        </w:rPr>
        <w:t>with immigration policing powers increasingly placed in the hands of states, cities, counties, police, and sheriffs</w:t>
      </w:r>
      <w:r w:rsidR="00BC675D">
        <w:rPr>
          <w:lang w:val="en-US"/>
        </w:rPr>
        <w:t xml:space="preserve"> – </w:t>
      </w:r>
      <w:r w:rsidRPr="00186A56">
        <w:rPr>
          <w:lang w:val="en-US"/>
        </w:rPr>
        <w:t xml:space="preserve">as well as the “contestations that challenge and go beyond repressive state power” with a fine-grained recounting and analysis of the coalitions that formed in the Washington DC area to push back against state power. </w:t>
      </w:r>
      <w:r w:rsidR="00BC675D">
        <w:rPr>
          <w:lang w:val="en-US"/>
        </w:rPr>
        <w:t xml:space="preserve">With </w:t>
      </w:r>
      <w:r w:rsidR="00BC675D" w:rsidRPr="00186A56">
        <w:rPr>
          <w:lang w:val="en-US"/>
        </w:rPr>
        <w:t>its important theoretical and richly detailed empirical contributions</w:t>
      </w:r>
      <w:r w:rsidRPr="00186A56">
        <w:rPr>
          <w:lang w:val="en-US"/>
        </w:rPr>
        <w:t xml:space="preserve">, their fine article exemplifies and portends the migration scholarship published in the journal’s first decade.  </w:t>
      </w:r>
    </w:p>
    <w:p w14:paraId="79726395" w14:textId="236B48FD" w:rsidR="00186A56" w:rsidRPr="00186A56" w:rsidRDefault="00186A56" w:rsidP="00FF3C9E">
      <w:pPr>
        <w:spacing w:line="360" w:lineRule="auto"/>
        <w:ind w:firstLine="720"/>
        <w:jc w:val="both"/>
        <w:rPr>
          <w:lang w:val="en-US"/>
        </w:rPr>
      </w:pPr>
      <w:r w:rsidRPr="00186A56">
        <w:rPr>
          <w:lang w:val="en-US"/>
        </w:rPr>
        <w:t xml:space="preserve">Echoing this inaugural offering, the migration scholarship published in </w:t>
      </w:r>
      <w:r w:rsidR="00BC675D">
        <w:rPr>
          <w:lang w:val="en-US"/>
        </w:rPr>
        <w:t>the journal</w:t>
      </w:r>
      <w:r w:rsidR="00BC675D" w:rsidRPr="00186A56">
        <w:rPr>
          <w:lang w:val="en-US"/>
        </w:rPr>
        <w:t xml:space="preserve"> </w:t>
      </w:r>
      <w:r w:rsidRPr="00186A56">
        <w:rPr>
          <w:lang w:val="en-US"/>
        </w:rPr>
        <w:t>has contributed significantly to developing a “richer spatial vocabulary of [migration] politics and governance” (Agnew</w:t>
      </w:r>
      <w:r w:rsidR="00D8242A">
        <w:rPr>
          <w:lang w:val="en-US"/>
        </w:rPr>
        <w:t>,</w:t>
      </w:r>
      <w:r w:rsidRPr="00186A56">
        <w:rPr>
          <w:lang w:val="en-US"/>
        </w:rPr>
        <w:t xml:space="preserve"> 2011).  </w:t>
      </w:r>
      <w:r w:rsidR="00BC675D" w:rsidRPr="00186A56">
        <w:rPr>
          <w:lang w:val="en-US"/>
        </w:rPr>
        <w:t>Th</w:t>
      </w:r>
      <w:r w:rsidR="00BC675D">
        <w:rPr>
          <w:lang w:val="en-US"/>
        </w:rPr>
        <w:t>is</w:t>
      </w:r>
      <w:r w:rsidR="00BC675D" w:rsidRPr="00186A56">
        <w:rPr>
          <w:lang w:val="en-US"/>
        </w:rPr>
        <w:t xml:space="preserve"> </w:t>
      </w:r>
      <w:r w:rsidRPr="00186A56">
        <w:rPr>
          <w:lang w:val="en-US"/>
        </w:rPr>
        <w:t xml:space="preserve">scholarship falls directly in the camp which sees the state not as diminished by globalization but </w:t>
      </w:r>
      <w:r w:rsidR="00BC675D">
        <w:rPr>
          <w:lang w:val="en-US"/>
        </w:rPr>
        <w:t xml:space="preserve">as </w:t>
      </w:r>
      <w:r w:rsidR="0046197D" w:rsidRPr="00186A56">
        <w:rPr>
          <w:lang w:val="en-US"/>
        </w:rPr>
        <w:t>evolv</w:t>
      </w:r>
      <w:r w:rsidR="00BC675D">
        <w:rPr>
          <w:lang w:val="en-US"/>
        </w:rPr>
        <w:t>ing</w:t>
      </w:r>
      <w:r w:rsidRPr="00186A56">
        <w:rPr>
          <w:lang w:val="en-US"/>
        </w:rPr>
        <w:t xml:space="preserve"> and shift</w:t>
      </w:r>
      <w:r w:rsidR="00BC675D">
        <w:rPr>
          <w:lang w:val="en-US"/>
        </w:rPr>
        <w:t>ing</w:t>
      </w:r>
      <w:r w:rsidRPr="00186A56">
        <w:rPr>
          <w:lang w:val="en-US"/>
        </w:rPr>
        <w:t xml:space="preserve"> as a result of neoliberal economic processes.  This is readily exemplified by explorations of the </w:t>
      </w:r>
      <w:r w:rsidRPr="00186A56">
        <w:rPr>
          <w:i/>
          <w:iCs/>
          <w:lang w:val="en-US"/>
        </w:rPr>
        <w:t>migration</w:t>
      </w:r>
      <w:r w:rsidRPr="00186A56">
        <w:rPr>
          <w:lang w:val="en-US"/>
        </w:rPr>
        <w:t xml:space="preserve"> </w:t>
      </w:r>
      <w:r w:rsidRPr="00186A56">
        <w:rPr>
          <w:i/>
          <w:iCs/>
          <w:lang w:val="en-US"/>
        </w:rPr>
        <w:t>state</w:t>
      </w:r>
      <w:r w:rsidRPr="00186A56">
        <w:rPr>
          <w:lang w:val="en-US"/>
        </w:rPr>
        <w:t xml:space="preserve"> (Hollifield</w:t>
      </w:r>
      <w:r w:rsidR="00D8242A">
        <w:rPr>
          <w:lang w:val="en-US"/>
        </w:rPr>
        <w:t>,</w:t>
      </w:r>
      <w:r w:rsidRPr="00186A56">
        <w:rPr>
          <w:lang w:val="en-US"/>
        </w:rPr>
        <w:t xml:space="preserve"> 2004), whose sovereignty</w:t>
      </w:r>
      <w:r w:rsidR="00BC675D">
        <w:rPr>
          <w:lang w:val="en-US"/>
        </w:rPr>
        <w:t xml:space="preserve"> – </w:t>
      </w:r>
      <w:r w:rsidRPr="00186A56">
        <w:rPr>
          <w:lang w:val="en-US"/>
        </w:rPr>
        <w:t>challenged by liberalizing cross-border economic flows</w:t>
      </w:r>
      <w:r w:rsidR="00BC675D">
        <w:rPr>
          <w:lang w:val="en-US"/>
        </w:rPr>
        <w:t xml:space="preserve"> – </w:t>
      </w:r>
      <w:r w:rsidRPr="00186A56">
        <w:rPr>
          <w:lang w:val="en-US"/>
        </w:rPr>
        <w:t xml:space="preserve">is </w:t>
      </w:r>
      <w:r w:rsidRPr="00186A56">
        <w:rPr>
          <w:i/>
          <w:iCs/>
          <w:lang w:val="en-US"/>
        </w:rPr>
        <w:t>enacted</w:t>
      </w:r>
      <w:r w:rsidRPr="00186A56">
        <w:rPr>
          <w:lang w:val="en-US"/>
        </w:rPr>
        <w:t xml:space="preserve"> via (restrictive) migration management and enforcement to staunch the flow of people.  A recent article in </w:t>
      </w:r>
      <w:r w:rsidR="00BC675D" w:rsidRPr="00783D3B">
        <w:rPr>
          <w:lang w:val="en-US"/>
        </w:rPr>
        <w:t>this journal</w:t>
      </w:r>
      <w:r w:rsidR="00BC675D">
        <w:rPr>
          <w:lang w:val="en-US"/>
        </w:rPr>
        <w:t xml:space="preserve"> </w:t>
      </w:r>
      <w:r w:rsidRPr="00186A56">
        <w:rPr>
          <w:lang w:val="en-US"/>
        </w:rPr>
        <w:t>by Harald Bauder (2020</w:t>
      </w:r>
      <w:r w:rsidR="007E196D">
        <w:rPr>
          <w:lang w:val="en-US"/>
        </w:rPr>
        <w:t>: 675</w:t>
      </w:r>
      <w:r w:rsidRPr="00186A56">
        <w:rPr>
          <w:lang w:val="en-US"/>
        </w:rPr>
        <w:t xml:space="preserve">) offers a contemporary meditation on this paradox, framed within an Agambian theoretical tradition and arguing that </w:t>
      </w:r>
      <w:r w:rsidRPr="00186A56">
        <w:rPr>
          <w:lang w:val="en-US"/>
        </w:rPr>
        <w:lastRenderedPageBreak/>
        <w:t>“control over migration has always been important to enact [the United States’] settler society as a sovereign state”.</w:t>
      </w:r>
    </w:p>
    <w:p w14:paraId="297F7840" w14:textId="74513334" w:rsidR="00F35533" w:rsidRDefault="00186A56" w:rsidP="007E196D">
      <w:pPr>
        <w:spacing w:line="360" w:lineRule="auto"/>
        <w:ind w:firstLine="720"/>
        <w:jc w:val="both"/>
        <w:rPr>
          <w:lang w:val="en-US"/>
        </w:rPr>
      </w:pPr>
      <w:r w:rsidRPr="00186A56">
        <w:rPr>
          <w:lang w:val="en-US"/>
        </w:rPr>
        <w:t>Reflecting Agnew’s inaugural call for richer understandings of territoriality and spatial politics of the state, then, one could do no better than look at the shifting territorialities of state power over migration.  Trump’s “big, beautiful border wall” reflected a popular, nationalist, and outdated understanding of border enforcement: that immigration enforcement is still mostly contiguous with the territorial borders of the nation-state</w:t>
      </w:r>
      <w:r w:rsidR="0039601F">
        <w:rPr>
          <w:lang w:val="en-US"/>
        </w:rPr>
        <w:t xml:space="preserve"> </w:t>
      </w:r>
      <w:r w:rsidR="009C0F18">
        <w:rPr>
          <w:lang w:val="en-US"/>
        </w:rPr>
        <w:t>(Bauer 2020)</w:t>
      </w:r>
      <w:r w:rsidRPr="00186A56">
        <w:rPr>
          <w:lang w:val="en-US"/>
        </w:rPr>
        <w:t xml:space="preserve">.  This is still undoubtedly true in some </w:t>
      </w:r>
      <w:r w:rsidR="00F35533">
        <w:rPr>
          <w:lang w:val="en-US"/>
        </w:rPr>
        <w:t>cases</w:t>
      </w:r>
      <w:r w:rsidRPr="00186A56">
        <w:rPr>
          <w:lang w:val="en-US"/>
        </w:rPr>
        <w:t xml:space="preserve">, as highlighted by Madsen in his 2013 contribution to the journal, “The alignment of local borders”.  </w:t>
      </w:r>
      <w:r w:rsidR="0046197D" w:rsidRPr="00186A56">
        <w:rPr>
          <w:lang w:val="en-US"/>
        </w:rPr>
        <w:t>However, as</w:t>
      </w:r>
      <w:r w:rsidRPr="00186A56">
        <w:rPr>
          <w:lang w:val="en-US"/>
        </w:rPr>
        <w:t xml:space="preserve"> scholarship in </w:t>
      </w:r>
      <w:r w:rsidR="007E196D">
        <w:rPr>
          <w:lang w:val="en-US"/>
        </w:rPr>
        <w:t>this journal</w:t>
      </w:r>
      <w:r w:rsidR="007E196D" w:rsidRPr="00186A56">
        <w:rPr>
          <w:lang w:val="en-US"/>
        </w:rPr>
        <w:t xml:space="preserve"> </w:t>
      </w:r>
      <w:r w:rsidRPr="00186A56">
        <w:rPr>
          <w:lang w:val="en-US"/>
        </w:rPr>
        <w:t>demonstrates, state sovereignty is increasingly enacted deep within and far beyond the territorial borders of the nation-state, as the nation-state’s “border” is increasingly replaced by globalizing “bordering practices”</w:t>
      </w:r>
      <w:r w:rsidR="00F35533">
        <w:rPr>
          <w:lang w:val="en-US"/>
        </w:rPr>
        <w:t xml:space="preserve">, some of which will involve physical enforcement of borders and some of which </w:t>
      </w:r>
      <w:r w:rsidR="007E196D">
        <w:rPr>
          <w:lang w:val="en-US"/>
        </w:rPr>
        <w:t xml:space="preserve">are </w:t>
      </w:r>
      <w:r w:rsidR="00F35533">
        <w:rPr>
          <w:lang w:val="en-US"/>
        </w:rPr>
        <w:t>informed by digital surveillance</w:t>
      </w:r>
      <w:r w:rsidRPr="00186A56">
        <w:rPr>
          <w:lang w:val="en-US"/>
        </w:rPr>
        <w:t xml:space="preserve">.  For example, Johnson and Jones (2018) explore the biopolitics and geopolitics of border enforcement in Melilla, a territorial outpost of Spain on the North African coast.  </w:t>
      </w:r>
      <w:r w:rsidR="007E196D">
        <w:rPr>
          <w:lang w:val="en-US"/>
        </w:rPr>
        <w:t>T</w:t>
      </w:r>
      <w:r w:rsidRPr="00186A56">
        <w:rPr>
          <w:lang w:val="en-US"/>
        </w:rPr>
        <w:t xml:space="preserve">hree special issues of the journal have </w:t>
      </w:r>
      <w:r w:rsidR="007E196D">
        <w:rPr>
          <w:lang w:val="en-US"/>
        </w:rPr>
        <w:t xml:space="preserve">further </w:t>
      </w:r>
      <w:r w:rsidRPr="00186A56">
        <w:rPr>
          <w:lang w:val="en-US"/>
        </w:rPr>
        <w:t>expanded understandings of the internalization of migration enforcement (</w:t>
      </w:r>
      <w:r w:rsidR="007E196D">
        <w:rPr>
          <w:lang w:val="en-US"/>
        </w:rPr>
        <w:t>‘</w:t>
      </w:r>
      <w:r w:rsidRPr="00783D3B">
        <w:rPr>
          <w:lang w:val="en-US"/>
        </w:rPr>
        <w:t>Mayors, Migration, and Multi-Level Political Dynamics</w:t>
      </w:r>
      <w:r w:rsidR="007E196D">
        <w:rPr>
          <w:lang w:val="en-US"/>
        </w:rPr>
        <w:t xml:space="preserve">’ – </w:t>
      </w:r>
      <w:r w:rsidR="007E196D" w:rsidRPr="00783D3B">
        <w:rPr>
          <w:highlight w:val="yellow"/>
          <w:lang w:val="en-US"/>
        </w:rPr>
        <w:t xml:space="preserve">see </w:t>
      </w:r>
      <w:r w:rsidR="007E196D" w:rsidRPr="00783D3B">
        <w:rPr>
          <w:rFonts w:asciiTheme="minorHAnsi" w:eastAsiaTheme="minorHAnsi" w:hAnsiTheme="minorHAnsi" w:cstheme="minorBidi"/>
          <w:highlight w:val="yellow"/>
          <w:lang w:eastAsia="en-US"/>
        </w:rPr>
        <w:t>Bazurli et al., in press</w:t>
      </w:r>
      <w:r w:rsidRPr="00186A56">
        <w:rPr>
          <w:lang w:val="en-US"/>
        </w:rPr>
        <w:t>), the extra</w:t>
      </w:r>
      <w:r w:rsidR="0046197D">
        <w:rPr>
          <w:lang w:val="en-US"/>
        </w:rPr>
        <w:t>-</w:t>
      </w:r>
      <w:r w:rsidRPr="00186A56">
        <w:rPr>
          <w:lang w:val="en-US"/>
        </w:rPr>
        <w:t>territorialization of the state’s bordering practices (</w:t>
      </w:r>
      <w:r w:rsidR="007E196D">
        <w:rPr>
          <w:lang w:val="en-US"/>
        </w:rPr>
        <w:t>‘</w:t>
      </w:r>
      <w:r w:rsidRPr="00783D3B">
        <w:rPr>
          <w:lang w:val="en-US"/>
        </w:rPr>
        <w:t>Polymorphic Borders</w:t>
      </w:r>
      <w:r w:rsidR="007E196D">
        <w:rPr>
          <w:lang w:val="en-US"/>
        </w:rPr>
        <w:t>’ – see Burridge et al., 20</w:t>
      </w:r>
      <w:r w:rsidR="00F3675A">
        <w:rPr>
          <w:lang w:val="en-US"/>
        </w:rPr>
        <w:t>17</w:t>
      </w:r>
      <w:r w:rsidRPr="00186A56">
        <w:rPr>
          <w:lang w:val="en-US"/>
        </w:rPr>
        <w:t xml:space="preserve">), and how states of the Global South are increasingly participating and </w:t>
      </w:r>
      <w:r w:rsidR="00F35533">
        <w:rPr>
          <w:lang w:val="en-US"/>
        </w:rPr>
        <w:t xml:space="preserve">made </w:t>
      </w:r>
      <w:r w:rsidRPr="00186A56">
        <w:rPr>
          <w:lang w:val="en-US"/>
        </w:rPr>
        <w:t xml:space="preserve">complicit in the governance of migration by states of the </w:t>
      </w:r>
      <w:r w:rsidR="005F17E7">
        <w:rPr>
          <w:lang w:val="en-US"/>
        </w:rPr>
        <w:t>‘</w:t>
      </w:r>
      <w:r w:rsidRPr="00186A56">
        <w:rPr>
          <w:lang w:val="en-US"/>
        </w:rPr>
        <w:t>Global North</w:t>
      </w:r>
      <w:r w:rsidR="005F17E7">
        <w:rPr>
          <w:lang w:val="en-US"/>
        </w:rPr>
        <w:t>’</w:t>
      </w:r>
      <w:r w:rsidRPr="00186A56">
        <w:rPr>
          <w:lang w:val="en-US"/>
        </w:rPr>
        <w:t xml:space="preserve"> (</w:t>
      </w:r>
      <w:r w:rsidR="007E196D">
        <w:rPr>
          <w:lang w:val="en-US"/>
        </w:rPr>
        <w:t xml:space="preserve">‘– see </w:t>
      </w:r>
      <w:r w:rsidR="00137E47">
        <w:rPr>
          <w:lang w:val="en-US"/>
        </w:rPr>
        <w:t xml:space="preserve">for instance </w:t>
      </w:r>
      <w:r w:rsidR="007E196D" w:rsidRPr="00783D3B">
        <w:rPr>
          <w:highlight w:val="yellow"/>
          <w:lang w:val="en-US"/>
        </w:rPr>
        <w:t>Natter</w:t>
      </w:r>
      <w:r w:rsidR="00137E47">
        <w:rPr>
          <w:highlight w:val="yellow"/>
          <w:lang w:val="en-US"/>
        </w:rPr>
        <w:t xml:space="preserve">2021 </w:t>
      </w:r>
      <w:r w:rsidRPr="00186A56">
        <w:rPr>
          <w:lang w:val="en-US"/>
        </w:rPr>
        <w:t xml:space="preserve">).  </w:t>
      </w:r>
    </w:p>
    <w:p w14:paraId="4C3B9AAA" w14:textId="61FD7703" w:rsidR="00F3675A" w:rsidRDefault="00F3675A" w:rsidP="00F3675A">
      <w:pPr>
        <w:spacing w:line="360" w:lineRule="auto"/>
        <w:jc w:val="both"/>
        <w:rPr>
          <w:lang w:val="en-US"/>
        </w:rPr>
      </w:pPr>
    </w:p>
    <w:p w14:paraId="53CB9723" w14:textId="065CBBDA" w:rsidR="00F3675A" w:rsidRPr="00783D3B" w:rsidRDefault="009C0F18" w:rsidP="00783D3B">
      <w:pPr>
        <w:spacing w:line="360" w:lineRule="auto"/>
        <w:jc w:val="both"/>
        <w:rPr>
          <w:rFonts w:asciiTheme="minorHAnsi" w:eastAsiaTheme="minorHAnsi" w:hAnsiTheme="minorHAnsi" w:cstheme="minorBidi"/>
          <w:b/>
          <w:bCs/>
          <w:lang w:eastAsia="en-US"/>
        </w:rPr>
      </w:pPr>
      <w:r w:rsidRPr="009C0F18">
        <w:rPr>
          <w:b/>
          <w:bCs/>
          <w:lang w:val="en-US"/>
        </w:rPr>
        <w:t>Digit</w:t>
      </w:r>
      <w:r w:rsidR="008B3754">
        <w:rPr>
          <w:b/>
          <w:bCs/>
          <w:lang w:val="en-US"/>
        </w:rPr>
        <w:t>al</w:t>
      </w:r>
      <w:r>
        <w:rPr>
          <w:b/>
          <w:bCs/>
          <w:lang w:val="en-US"/>
        </w:rPr>
        <w:t xml:space="preserve">ization </w:t>
      </w:r>
    </w:p>
    <w:p w14:paraId="31B784E9" w14:textId="3314B3AC" w:rsidR="00026B7B" w:rsidRDefault="004F5F80" w:rsidP="00783D3B">
      <w:pPr>
        <w:spacing w:line="360" w:lineRule="auto"/>
        <w:jc w:val="both"/>
      </w:pPr>
      <w:r>
        <w:t>Our third theme is the digital</w:t>
      </w:r>
      <w:r w:rsidR="008B3754">
        <w:t xml:space="preserve"> and </w:t>
      </w:r>
      <w:r w:rsidR="009C0F18">
        <w:t>digit</w:t>
      </w:r>
      <w:r w:rsidR="008B3754">
        <w:t>al</w:t>
      </w:r>
      <w:r w:rsidR="009C0F18">
        <w:t>ization</w:t>
      </w:r>
      <w:r>
        <w:t xml:space="preserve"> in all its diversity. </w:t>
      </w:r>
      <w:r w:rsidR="00FC4D27" w:rsidRPr="00FC4D27">
        <w:t>The Covid-19 pandemic continues to take its toll across the world, resulting not only in significant human casualties but also severely disrupting the ‘normal’ functioning of economic trade and exchanges. In responding to the challenges brought about by the pandemic, many governments around the world have turned to digital tools and technologies to trace, monitor</w:t>
      </w:r>
      <w:r w:rsidR="001B46B8">
        <w:t>,</w:t>
      </w:r>
      <w:r w:rsidR="00FC4D27" w:rsidRPr="00FC4D27">
        <w:t xml:space="preserve"> and contain the spread of the coronavirus. There is </w:t>
      </w:r>
      <w:r w:rsidR="00F3675A">
        <w:t>a</w:t>
      </w:r>
      <w:r w:rsidR="00F3675A" w:rsidRPr="00FC4D27">
        <w:t xml:space="preserve"> </w:t>
      </w:r>
      <w:r w:rsidR="00FC4D27" w:rsidRPr="00FC4D27">
        <w:t xml:space="preserve">simultaneous emphasis in various national contexts on the importance for economies to ‘go digital’, so that businesses and global trade can carry on with their operations in </w:t>
      </w:r>
      <w:r w:rsidR="00F3675A">
        <w:t>the context</w:t>
      </w:r>
      <w:r w:rsidR="00F3675A" w:rsidRPr="00FC4D27">
        <w:t xml:space="preserve"> </w:t>
      </w:r>
      <w:r w:rsidR="00FC4D27" w:rsidRPr="00FC4D27">
        <w:t xml:space="preserve">of mandated shutdowns and restricted activity. </w:t>
      </w:r>
      <w:r w:rsidR="0032581E">
        <w:t xml:space="preserve">In this respect the pandemic has arguably accelerated the emergence of </w:t>
      </w:r>
      <w:r w:rsidR="00DA5FF3">
        <w:t>a globalizing</w:t>
      </w:r>
      <w:r w:rsidR="0032581E">
        <w:t xml:space="preserve"> platform economy or even “platform capitalism” (Srnicek</w:t>
      </w:r>
      <w:r w:rsidR="00D8242A">
        <w:t>,</w:t>
      </w:r>
      <w:r w:rsidR="0032581E">
        <w:t xml:space="preserve"> 2017), while simultaneously </w:t>
      </w:r>
      <w:r w:rsidR="003A1130">
        <w:t>exposing</w:t>
      </w:r>
      <w:r w:rsidR="0032581E">
        <w:t xml:space="preserve"> the </w:t>
      </w:r>
      <w:r w:rsidR="00DA5FF3">
        <w:t xml:space="preserve">territorial and political </w:t>
      </w:r>
      <w:r w:rsidR="0032581E">
        <w:t>tension</w:t>
      </w:r>
      <w:r w:rsidR="00DA5FF3">
        <w:t>s</w:t>
      </w:r>
      <w:r w:rsidR="0032581E">
        <w:t xml:space="preserve"> which lie at the heart of this development.</w:t>
      </w:r>
    </w:p>
    <w:p w14:paraId="1FB08E78" w14:textId="14A56A08" w:rsidR="0032581E" w:rsidRDefault="005517DE" w:rsidP="00FF3C9E">
      <w:pPr>
        <w:spacing w:line="360" w:lineRule="auto"/>
        <w:ind w:firstLine="720"/>
        <w:jc w:val="both"/>
      </w:pPr>
      <w:r>
        <w:lastRenderedPageBreak/>
        <w:t>Even before the pandemic, t</w:t>
      </w:r>
      <w:r w:rsidR="00DA5FF3">
        <w:t>he rapid growth of digital platforms ha</w:t>
      </w:r>
      <w:r>
        <w:t>d</w:t>
      </w:r>
      <w:r w:rsidR="00DA5FF3">
        <w:t xml:space="preserve"> transformed the retail (Amazon), transportation (Uber) and accommodation (Airbnb) sectors, among many others</w:t>
      </w:r>
      <w:r>
        <w:t xml:space="preserve">. </w:t>
      </w:r>
      <w:r w:rsidR="00F3675A">
        <w:t xml:space="preserve">This extended to </w:t>
      </w:r>
      <w:r>
        <w:t xml:space="preserve">delivery </w:t>
      </w:r>
      <w:r w:rsidR="00026B7B">
        <w:t xml:space="preserve">platforms </w:t>
      </w:r>
      <w:r>
        <w:t>in particular</w:t>
      </w:r>
      <w:r w:rsidR="00026B7B">
        <w:t>—including DoorDash and Uber Eats—</w:t>
      </w:r>
      <w:r w:rsidR="00F3675A">
        <w:t xml:space="preserve">which </w:t>
      </w:r>
      <w:r w:rsidR="00026B7B">
        <w:t>experienced rapid growth through 2020 as urban residents shifted their consumption habits into their homes.</w:t>
      </w:r>
      <w:r w:rsidR="00E71BEA">
        <w:t xml:space="preserve"> </w:t>
      </w:r>
      <w:r w:rsidR="00F3675A">
        <w:t>J</w:t>
      </w:r>
      <w:r w:rsidR="003A1130">
        <w:t>uxtapos</w:t>
      </w:r>
      <w:r w:rsidR="00F3675A">
        <w:t>ed</w:t>
      </w:r>
      <w:r w:rsidR="003A1130">
        <w:t xml:space="preserve"> with the en-masse shift to working from home among the professional and middle class</w:t>
      </w:r>
      <w:r w:rsidR="00F3675A">
        <w:t>es</w:t>
      </w:r>
      <w:r w:rsidR="003A1130">
        <w:t xml:space="preserve">, the result has been two dramatically different impacts of technology on the pandemic workforce. Privileged workers </w:t>
      </w:r>
      <w:r w:rsidR="00613CAF">
        <w:t xml:space="preserve">collectively </w:t>
      </w:r>
      <w:r w:rsidR="003A1130">
        <w:t>used Zoom</w:t>
      </w:r>
      <w:r w:rsidR="004F5F80">
        <w:t xml:space="preserve"> and other platforms</w:t>
      </w:r>
      <w:r w:rsidR="003A1130">
        <w:t xml:space="preserve"> to avoid being exposed to Covid in the workplace, while precarious “just-in-place” (Wells et al.</w:t>
      </w:r>
      <w:r w:rsidR="00D8242A">
        <w:t>,</w:t>
      </w:r>
      <w:r w:rsidR="003A1130">
        <w:t xml:space="preserve"> 2021) Uber drivers </w:t>
      </w:r>
      <w:r w:rsidR="00DE151E">
        <w:t xml:space="preserve">and Amazon delivery workers </w:t>
      </w:r>
      <w:r w:rsidR="00613CAF">
        <w:t>had to individually navigate new landscapes of risk and uncertainty (Mojumder et al.</w:t>
      </w:r>
      <w:r w:rsidR="00D8242A">
        <w:t>,</w:t>
      </w:r>
      <w:r w:rsidR="00613CAF">
        <w:t xml:space="preserve"> 2021).</w:t>
      </w:r>
      <w:r w:rsidR="004F5F80">
        <w:t xml:space="preserve"> Somewhere in between a whole army of ‘frontline workers’ were moving back and forth, providing essential services including health, social care, and food retail. </w:t>
      </w:r>
    </w:p>
    <w:p w14:paraId="291D96C4" w14:textId="7A56E2A5" w:rsidR="0032581E" w:rsidRDefault="00DB17EF" w:rsidP="003A1130">
      <w:pPr>
        <w:spacing w:line="360" w:lineRule="auto"/>
        <w:ind w:firstLine="720"/>
        <w:jc w:val="both"/>
      </w:pPr>
      <w:r>
        <w:t>The pandemic has thus sharpened key political questions involving the platform economy, while the territorial governance of platform firms seems likely to be increasingly fraught. R</w:t>
      </w:r>
      <w:r w:rsidR="00831B04">
        <w:t>egulators across a range of spatial scales—from the European Union (Busch et al. 2016)</w:t>
      </w:r>
      <w:r w:rsidR="00EE335C">
        <w:t xml:space="preserve"> down</w:t>
      </w:r>
      <w:r w:rsidR="00831B04">
        <w:t xml:space="preserve"> to municipal governments (Geobey</w:t>
      </w:r>
      <w:r w:rsidR="00D8242A">
        <w:t>,</w:t>
      </w:r>
      <w:r w:rsidR="00831B04">
        <w:t xml:space="preserve"> 2017)—have struggled to develop and enforce laws which are able to effectively hold digital platforms accountable</w:t>
      </w:r>
      <w:r w:rsidR="005904AB">
        <w:t xml:space="preserve"> for the activities</w:t>
      </w:r>
      <w:r w:rsidR="00EE335C">
        <w:t xml:space="preserve"> they enable.</w:t>
      </w:r>
      <w:r w:rsidR="00DE151E">
        <w:t xml:space="preserve"> The arrival of cryptocurrencies and other blockchain-based transactions will only increase the porousness of national boundaries in the face of digitally mediated economic flows (Allen</w:t>
      </w:r>
      <w:r w:rsidR="00D8242A">
        <w:t>,</w:t>
      </w:r>
      <w:r w:rsidR="00DE151E">
        <w:t xml:space="preserve"> 2017).</w:t>
      </w:r>
    </w:p>
    <w:p w14:paraId="17F21D02" w14:textId="72B7C075" w:rsidR="00FC4D27" w:rsidRPr="00FC4D27" w:rsidRDefault="00026B7B" w:rsidP="00FF3C9E">
      <w:pPr>
        <w:spacing w:line="360" w:lineRule="auto"/>
        <w:ind w:firstLine="720"/>
        <w:jc w:val="both"/>
      </w:pPr>
      <w:r>
        <w:t>The growth of the platform economy—and digitalization more broadly—</w:t>
      </w:r>
      <w:r w:rsidR="009D77A3" w:rsidRPr="00FC4D27">
        <w:t>ha</w:t>
      </w:r>
      <w:r w:rsidR="009D77A3">
        <w:t>s</w:t>
      </w:r>
      <w:r w:rsidR="009D77A3" w:rsidRPr="00FC4D27">
        <w:t xml:space="preserve"> </w:t>
      </w:r>
      <w:r w:rsidR="00FC4D27" w:rsidRPr="00FC4D27">
        <w:t>accentuated the issue of the ‘digital divide’, whereby certain (</w:t>
      </w:r>
      <w:r w:rsidR="005F17E7">
        <w:t>Global South</w:t>
      </w:r>
      <w:r w:rsidR="00FC4D27" w:rsidRPr="00FC4D27">
        <w:t xml:space="preserve">) countries, territories and peoples are still unable to gain access to even the most basic of digital services. This has led to UN </w:t>
      </w:r>
      <w:r w:rsidR="009D77A3" w:rsidRPr="00FC4D27">
        <w:t>Secretary</w:t>
      </w:r>
      <w:r w:rsidR="009D77A3">
        <w:t>-</w:t>
      </w:r>
      <w:r w:rsidR="00FC4D27" w:rsidRPr="00FC4D27">
        <w:t>General António Guterres (2020) to proclaim that “the digital divide is now a matter of life and death”, with “global vision and leadership [urgently needed] for our digitally interconnected world.”</w:t>
      </w:r>
      <w:r w:rsidR="009C0F18">
        <w:t xml:space="preserve"> </w:t>
      </w:r>
      <w:r w:rsidR="009C0F18">
        <w:rPr>
          <w:rStyle w:val="FootnoteReference"/>
        </w:rPr>
        <w:footnoteReference w:id="8"/>
      </w:r>
    </w:p>
    <w:p w14:paraId="3E4F981D" w14:textId="31D226CC" w:rsidR="00FC4D27" w:rsidRPr="00FC4D27" w:rsidRDefault="00FC4D27" w:rsidP="00FC4D27">
      <w:pPr>
        <w:spacing w:line="360" w:lineRule="auto"/>
        <w:jc w:val="both"/>
      </w:pPr>
      <w:r w:rsidRPr="00FC4D27">
        <w:rPr>
          <w:b/>
        </w:rPr>
        <w:tab/>
      </w:r>
      <w:r w:rsidR="009D77A3">
        <w:rPr>
          <w:bCs/>
        </w:rPr>
        <w:t>T</w:t>
      </w:r>
      <w:r w:rsidR="004F5F80" w:rsidRPr="004F5F80">
        <w:rPr>
          <w:bCs/>
        </w:rPr>
        <w:t>he digital is also caught up in global geopolitical ca</w:t>
      </w:r>
      <w:r w:rsidR="004F5F80">
        <w:rPr>
          <w:bCs/>
        </w:rPr>
        <w:t>l</w:t>
      </w:r>
      <w:r w:rsidR="004F5F80" w:rsidRPr="004F5F80">
        <w:rPr>
          <w:bCs/>
        </w:rPr>
        <w:t>culations.</w:t>
      </w:r>
      <w:r w:rsidR="004F5F80">
        <w:rPr>
          <w:b/>
        </w:rPr>
        <w:t xml:space="preserve"> </w:t>
      </w:r>
      <w:r w:rsidRPr="00FC4D27">
        <w:rPr>
          <w:rFonts w:hint="eastAsia"/>
        </w:rPr>
        <w:t xml:space="preserve">Interestingly, digital vision and leadership are exactly what China is proposing to offer through its </w:t>
      </w:r>
      <w:r w:rsidRPr="00FC4D27">
        <w:t>‘</w:t>
      </w:r>
      <w:r w:rsidRPr="00FC4D27">
        <w:rPr>
          <w:rFonts w:hint="eastAsia"/>
        </w:rPr>
        <w:t>Digital Silk Road</w:t>
      </w:r>
      <w:r w:rsidRPr="00FC4D27">
        <w:t xml:space="preserve">’ </w:t>
      </w:r>
      <w:r w:rsidRPr="00FC4D27">
        <w:rPr>
          <w:rFonts w:hint="eastAsia"/>
        </w:rPr>
        <w:t>(DSR) (</w:t>
      </w:r>
      <w:r w:rsidRPr="00FC4D27">
        <w:rPr>
          <w:rFonts w:ascii="MS Gothic" w:eastAsia="MS Gothic" w:hAnsi="MS Gothic" w:cs="MS Gothic" w:hint="eastAsia"/>
        </w:rPr>
        <w:t>数据</w:t>
      </w:r>
      <w:r w:rsidRPr="00FC4D27">
        <w:rPr>
          <w:rFonts w:ascii="Microsoft JhengHei" w:eastAsia="Microsoft JhengHei" w:hAnsi="Microsoft JhengHei" w:cs="Microsoft JhengHei" w:hint="eastAsia"/>
        </w:rPr>
        <w:t>丝绸</w:t>
      </w:r>
      <w:r w:rsidRPr="00FC4D27">
        <w:rPr>
          <w:rFonts w:ascii="MS Gothic" w:eastAsia="MS Gothic" w:hAnsi="MS Gothic" w:cs="MS Gothic" w:hint="eastAsia"/>
        </w:rPr>
        <w:t>之路</w:t>
      </w:r>
      <w:r w:rsidRPr="00FC4D27">
        <w:rPr>
          <w:rFonts w:hint="eastAsia"/>
        </w:rPr>
        <w:t>) program</w:t>
      </w:r>
      <w:r w:rsidRPr="00FC4D27">
        <w:t xml:space="preserve">. China has been keen to present itself as a global power that can help countries, particularly in the Global South, fulfil their unmet needs of digital connectivity (Arcesati, 2020). Since its inception, the DSR initiative has captured widespread </w:t>
      </w:r>
      <w:r w:rsidRPr="00FC4D27">
        <w:lastRenderedPageBreak/>
        <w:t xml:space="preserve">attention, being framed as a “game changer” given its </w:t>
      </w:r>
      <w:r w:rsidR="005F17E7">
        <w:t xml:space="preserve">widespread </w:t>
      </w:r>
      <w:r w:rsidRPr="00FC4D27">
        <w:t>implications</w:t>
      </w:r>
      <w:r w:rsidR="005F17E7">
        <w:t xml:space="preserve"> and </w:t>
      </w:r>
      <w:r w:rsidRPr="00FC4D27">
        <w:t>impacts (not least those associated with territory, politics and governance) (Chan, 2019; see also Blanchette and Hillman, 2020). Indeed, the potential of the DSR has been acknowledged by the Chinese state, with the internet (</w:t>
      </w:r>
      <w:r w:rsidRPr="00FC4D27">
        <w:rPr>
          <w:rFonts w:ascii="MS Gothic" w:eastAsia="MS Gothic" w:hAnsi="MS Gothic" w:cs="MS Gothic" w:hint="eastAsia"/>
        </w:rPr>
        <w:t>网</w:t>
      </w:r>
      <w:r w:rsidRPr="00FC4D27">
        <w:rPr>
          <w:rFonts w:ascii="Microsoft JhengHei" w:eastAsia="Microsoft JhengHei" w:hAnsi="Microsoft JhengHei" w:cs="Microsoft JhengHei" w:hint="eastAsia"/>
        </w:rPr>
        <w:t>络</w:t>
      </w:r>
      <w:r w:rsidRPr="00FC4D27">
        <w:t>)</w:t>
      </w:r>
      <w:r w:rsidRPr="00FC4D27">
        <w:rPr>
          <w:rFonts w:hint="eastAsia"/>
        </w:rPr>
        <w:t xml:space="preserve">, deep oceans </w:t>
      </w:r>
      <w:r w:rsidRPr="00FC4D27">
        <w:t>(</w:t>
      </w:r>
      <w:r w:rsidRPr="00FC4D27">
        <w:rPr>
          <w:rFonts w:ascii="MS Gothic" w:eastAsia="MS Gothic" w:hAnsi="MS Gothic" w:cs="MS Gothic" w:hint="eastAsia"/>
        </w:rPr>
        <w:t>深海</w:t>
      </w:r>
      <w:r w:rsidRPr="00FC4D27">
        <w:t xml:space="preserve">) </w:t>
      </w:r>
      <w:r w:rsidRPr="00FC4D27">
        <w:rPr>
          <w:rFonts w:hint="eastAsia"/>
        </w:rPr>
        <w:t>and outer spac</w:t>
      </w:r>
      <w:r w:rsidRPr="00FC4D27">
        <w:t>e (</w:t>
      </w:r>
      <w:r w:rsidRPr="00FC4D27">
        <w:rPr>
          <w:rFonts w:ascii="MS Gothic" w:eastAsia="MS Gothic" w:hAnsi="MS Gothic" w:cs="MS Gothic" w:hint="eastAsia"/>
        </w:rPr>
        <w:t>外太空</w:t>
      </w:r>
      <w:r w:rsidRPr="00FC4D27">
        <w:t xml:space="preserve">) </w:t>
      </w:r>
      <w:r w:rsidRPr="00FC4D27">
        <w:rPr>
          <w:rFonts w:hint="eastAsia"/>
        </w:rPr>
        <w:t xml:space="preserve">being </w:t>
      </w:r>
      <w:r w:rsidRPr="00FC4D27">
        <w:t>characterised</w:t>
      </w:r>
      <w:r w:rsidRPr="00FC4D27">
        <w:rPr>
          <w:rFonts w:hint="eastAsia"/>
        </w:rPr>
        <w:t xml:space="preserve"> as </w:t>
      </w:r>
      <w:r w:rsidRPr="00FC4D27">
        <w:t>“</w:t>
      </w:r>
      <w:r w:rsidRPr="00FC4D27">
        <w:rPr>
          <w:rFonts w:hint="eastAsia"/>
        </w:rPr>
        <w:t>new territories</w:t>
      </w:r>
      <w:r w:rsidRPr="00FC4D27">
        <w:t>”</w:t>
      </w:r>
      <w:r w:rsidRPr="00FC4D27">
        <w:rPr>
          <w:rFonts w:hint="eastAsia"/>
        </w:rPr>
        <w:t xml:space="preserve"> </w:t>
      </w:r>
      <w:r w:rsidR="00C50AB5">
        <w:t>(</w:t>
      </w:r>
      <w:r w:rsidR="00C50AB5" w:rsidRPr="00C50AB5">
        <w:rPr>
          <w:rFonts w:ascii="MS Mincho" w:eastAsia="MS Mincho" w:hAnsi="MS Mincho" w:cs="MS Mincho" w:hint="eastAsia"/>
        </w:rPr>
        <w:t>新疆域</w:t>
      </w:r>
      <w:r w:rsidR="00C50AB5" w:rsidRPr="00C50AB5">
        <w:t> </w:t>
      </w:r>
      <w:r w:rsidRPr="00FC4D27">
        <w:rPr>
          <w:rFonts w:hint="eastAsia"/>
        </w:rPr>
        <w:t>)</w:t>
      </w:r>
      <w:r w:rsidRPr="00FC4D27">
        <w:t xml:space="preserve"> for critical interventions (Yang, 2017). This </w:t>
      </w:r>
      <w:r w:rsidRPr="00FC4D27">
        <w:rPr>
          <w:rFonts w:hint="eastAsia"/>
        </w:rPr>
        <w:t>led to the Chinese government</w:t>
      </w:r>
      <w:r w:rsidRPr="00FC4D27">
        <w:t xml:space="preserve"> and firms</w:t>
      </w:r>
      <w:r w:rsidRPr="00FC4D27">
        <w:rPr>
          <w:rFonts w:hint="eastAsia"/>
        </w:rPr>
        <w:t xml:space="preserve"> developing</w:t>
      </w:r>
      <w:r w:rsidRPr="00FC4D27">
        <w:t xml:space="preserve"> a multi-pronged digital strategy from constructing fi</w:t>
      </w:r>
      <w:r w:rsidRPr="00FC4D27">
        <w:rPr>
          <w:rFonts w:hint="eastAsia"/>
        </w:rPr>
        <w:t>bre-optic cables to being involved</w:t>
      </w:r>
      <w:r w:rsidRPr="00FC4D27">
        <w:t xml:space="preserve"> in cloud computing and smart city projects primarily in the </w:t>
      </w:r>
      <w:r w:rsidR="005F17E7">
        <w:t>Global South</w:t>
      </w:r>
      <w:r w:rsidRPr="00FC4D27">
        <w:t>. DSR partners have also been granted access to the Chinese Beidou satellite system to elevate their global monitoring</w:t>
      </w:r>
      <w:r w:rsidR="005F17E7">
        <w:t xml:space="preserve"> and </w:t>
      </w:r>
      <w:r w:rsidRPr="00FC4D27">
        <w:t xml:space="preserve">positioning capabilities. Although territory has increasingly been </w:t>
      </w:r>
      <w:r w:rsidR="00783D3B" w:rsidRPr="00FC4D27">
        <w:t>conceptuali</w:t>
      </w:r>
      <w:r w:rsidR="00783D3B">
        <w:t>z</w:t>
      </w:r>
      <w:r w:rsidR="00783D3B" w:rsidRPr="00FC4D27">
        <w:t xml:space="preserve">ed </w:t>
      </w:r>
      <w:r w:rsidRPr="00FC4D27">
        <w:t>in vertical</w:t>
      </w:r>
      <w:r w:rsidR="005F17E7">
        <w:t xml:space="preserve"> and </w:t>
      </w:r>
      <w:r w:rsidRPr="00FC4D27">
        <w:t>volumetric terms (Elden, 2013), the DSR underscores the ways in which digital infrastructures (like satellites and underwater sea cables) are complicit and bounded up with (volumetric) territorial struggles and controls. Yet they simultaneously produce extra-territorial effects in enabling the forging of digital diplomacy</w:t>
      </w:r>
      <w:r w:rsidR="005F17E7">
        <w:t xml:space="preserve"> and </w:t>
      </w:r>
      <w:r w:rsidRPr="00FC4D27">
        <w:t>cooperation</w:t>
      </w:r>
      <w:r w:rsidR="005F17E7">
        <w:t>,</w:t>
      </w:r>
      <w:r w:rsidRPr="00FC4D27">
        <w:t xml:space="preserve"> and the shaping of cross-border digital access.  </w:t>
      </w:r>
    </w:p>
    <w:p w14:paraId="0E8B67D4" w14:textId="66B112B8" w:rsidR="00FC4D27" w:rsidRPr="00FC4D27" w:rsidRDefault="00FC4D27" w:rsidP="00FC4D27">
      <w:pPr>
        <w:spacing w:line="360" w:lineRule="auto"/>
        <w:jc w:val="both"/>
      </w:pPr>
      <w:r w:rsidRPr="00FC4D27">
        <w:tab/>
        <w:t xml:space="preserve">Mobilising the language of ‘territory’ to describe DSR interventions raises broader questions about the ‘who’ and ‘how’ of governance related to these ‘new’ sites and developments. Indeed, through the DSR, it is claimed that China </w:t>
      </w:r>
      <w:r w:rsidRPr="00FC4D27">
        <w:rPr>
          <w:lang w:val="en-US"/>
        </w:rPr>
        <w:t>is exhibiting the characteristic of a ‘norm entrepreneur’ in the digital arena whereby it aspires to engage in standard-setting practices to create the</w:t>
      </w:r>
      <w:r w:rsidR="009C0F18">
        <w:rPr>
          <w:lang w:val="en-US"/>
        </w:rPr>
        <w:t xml:space="preserve"> parameters</w:t>
      </w:r>
      <w:r w:rsidRPr="00FC4D27">
        <w:rPr>
          <w:lang w:val="en-US"/>
        </w:rPr>
        <w:t xml:space="preserve"> of international digital governance (Woon, 2021).</w:t>
      </w:r>
      <w:r w:rsidRPr="00FC4D27">
        <w:t xml:space="preserve"> Indeed, Beijing has announced the </w:t>
      </w:r>
      <w:r w:rsidR="005F17E7">
        <w:t>‘</w:t>
      </w:r>
      <w:r w:rsidRPr="00FC4D27">
        <w:t>China Standards 2035</w:t>
      </w:r>
      <w:r w:rsidR="005F17E7">
        <w:t>’</w:t>
      </w:r>
      <w:r w:rsidR="005F17E7" w:rsidRPr="00FC4D27">
        <w:t xml:space="preserve">, </w:t>
      </w:r>
      <w:r w:rsidRPr="00FC4D27">
        <w:t xml:space="preserve">which is essentially a 15-year blueprint that aspires to set global standards for the next generation of technologies, including 5G and artificial intelligence (Xinhua, 2018). </w:t>
      </w:r>
      <w:r w:rsidRPr="00FC4D27">
        <w:rPr>
          <w:lang w:val="en-US"/>
        </w:rPr>
        <w:t>Standard-setting can be wielded as a geopolitical tool or what Bishop (2015) terms “standard power”, with ‘buy-ins’ or compliance to prescribed (digital) regulations/guidelines almost serving as a prerequisite for joining the DSR. In responding to wider anxieties about China’s growing digital influence, Chinese authorities uphold that its ‘China Standards 2035’ vision is a benign framework that seeks to redress the problematic aspects of ‘Western’ digital hegemony. More specifically, China has sought to counterpose the ‘win-win’ and mutually beneficial nature of the DSR to a ‘Western’ geopolitical order that is zero-sum and hierarchical in nature.</w:t>
      </w:r>
      <w:r w:rsidRPr="00FC4D27">
        <w:t xml:space="preserve"> In this sense, (geo)politics is very much part of this Chinese ambition to create a new digital global order. Crucially, there is no lack of exhortations from US officials and think-tanks for America to </w:t>
      </w:r>
      <w:r w:rsidR="00DA0B9B">
        <w:t xml:space="preserve">respond </w:t>
      </w:r>
      <w:r w:rsidRPr="00FC4D27">
        <w:t>to this Chinese challenge (see for e.g.</w:t>
      </w:r>
      <w:r w:rsidR="00783D3B">
        <w:t>,</w:t>
      </w:r>
      <w:r w:rsidRPr="00FC4D27">
        <w:t xml:space="preserve"> Hillman and Sacks</w:t>
      </w:r>
      <w:r w:rsidR="00DA0B9B">
        <w:t>, 2020</w:t>
      </w:r>
      <w:r w:rsidRPr="00FC4D27">
        <w:t xml:space="preserve">). During the Trump Administration, for example, </w:t>
      </w:r>
      <w:r w:rsidR="00DA0B9B">
        <w:t xml:space="preserve">the use of </w:t>
      </w:r>
      <w:r w:rsidRPr="00FC4D27">
        <w:t xml:space="preserve">telecommunications equipment from the Chinese firm, Huawei, </w:t>
      </w:r>
      <w:r w:rsidR="00DA0B9B">
        <w:t xml:space="preserve">was </w:t>
      </w:r>
      <w:r w:rsidR="00DA0B9B">
        <w:lastRenderedPageBreak/>
        <w:t xml:space="preserve">banned </w:t>
      </w:r>
      <w:r w:rsidRPr="00FC4D27">
        <w:t xml:space="preserve">due to </w:t>
      </w:r>
      <w:r w:rsidR="00DA0B9B">
        <w:t>‘</w:t>
      </w:r>
      <w:r w:rsidRPr="00FC4D27">
        <w:t>security concerns</w:t>
      </w:r>
      <w:r w:rsidR="00DA0B9B">
        <w:t>’</w:t>
      </w:r>
      <w:r w:rsidR="00DA0B9B" w:rsidRPr="00FC4D27">
        <w:t xml:space="preserve"> </w:t>
      </w:r>
      <w:r w:rsidR="00DA0B9B">
        <w:t xml:space="preserve">– and </w:t>
      </w:r>
      <w:r w:rsidRPr="00FC4D27">
        <w:t>other countries were encouraged to follow suit. Commentators were quick to announce the coming of a US-China “Digital Cold War” (Champion, 2019). Former US Treasury Secretary Hank Paulson goes so far as to predict a new “Economic Iron Curtain,” while political scientist Ian Bremmer pictures a world where countries must choose between technological ecospheres (ibid.). Such rhetoric inevitably correlate</w:t>
      </w:r>
      <w:r w:rsidR="00FF642E">
        <w:t>s</w:t>
      </w:r>
      <w:r w:rsidRPr="00FC4D27">
        <w:t xml:space="preserve"> digital sovereignty with polarizing and antagonistic geopolitical relations whereby hard-core activists in Beijing and Washington are mobilized to lead a ‘tug of war’ between two fundamentally different digital outlooks.  </w:t>
      </w:r>
      <w:r w:rsidR="00596F44">
        <w:tab/>
      </w:r>
      <w:r w:rsidR="00596F44">
        <w:tab/>
      </w:r>
    </w:p>
    <w:p w14:paraId="7209CB22" w14:textId="47349478" w:rsidR="00DA0B9B" w:rsidRDefault="00596F44" w:rsidP="00596F44">
      <w:pPr>
        <w:spacing w:line="360" w:lineRule="auto"/>
        <w:ind w:firstLine="720"/>
        <w:jc w:val="both"/>
        <w:rPr>
          <w:lang w:val="en-US"/>
        </w:rPr>
      </w:pPr>
      <w:r w:rsidRPr="00596F44">
        <w:rPr>
          <w:lang w:val="en-US"/>
        </w:rPr>
        <w:t>While climate change, migration, Covid-19, digitalization</w:t>
      </w:r>
      <w:r w:rsidR="004F5F80">
        <w:rPr>
          <w:lang w:val="en-US"/>
        </w:rPr>
        <w:t>,</w:t>
      </w:r>
      <w:r w:rsidRPr="00596F44">
        <w:rPr>
          <w:lang w:val="en-US"/>
        </w:rPr>
        <w:t xml:space="preserve"> and other real</w:t>
      </w:r>
      <w:r w:rsidR="00FF3C9E">
        <w:rPr>
          <w:lang w:val="en-US"/>
        </w:rPr>
        <w:t>-</w:t>
      </w:r>
      <w:r w:rsidRPr="00596F44">
        <w:rPr>
          <w:lang w:val="en-US"/>
        </w:rPr>
        <w:t xml:space="preserve">world transformations present new challenges to our understanding of “territorial politics, spaces of governance and the political organization of space” - the main objective of </w:t>
      </w:r>
      <w:r w:rsidR="00DA0B9B">
        <w:rPr>
          <w:lang w:val="en-US"/>
        </w:rPr>
        <w:t>this journal</w:t>
      </w:r>
      <w:r w:rsidR="00DA0B9B" w:rsidRPr="00596F44">
        <w:rPr>
          <w:lang w:val="en-US"/>
        </w:rPr>
        <w:t xml:space="preserve"> </w:t>
      </w:r>
      <w:r w:rsidRPr="00596F44">
        <w:rPr>
          <w:lang w:val="en-US"/>
        </w:rPr>
        <w:t xml:space="preserve">according to </w:t>
      </w:r>
      <w:r w:rsidR="00DA0B9B">
        <w:rPr>
          <w:lang w:val="en-US"/>
        </w:rPr>
        <w:t>its</w:t>
      </w:r>
      <w:r w:rsidR="00DA0B9B" w:rsidRPr="00596F44">
        <w:rPr>
          <w:lang w:val="en-US"/>
        </w:rPr>
        <w:t xml:space="preserve"> </w:t>
      </w:r>
      <w:r w:rsidR="00FF3C9E">
        <w:rPr>
          <w:lang w:val="en-US"/>
        </w:rPr>
        <w:t>first editor</w:t>
      </w:r>
      <w:r w:rsidRPr="00596F44">
        <w:rPr>
          <w:lang w:val="en-US"/>
        </w:rPr>
        <w:t xml:space="preserve"> (Agnew</w:t>
      </w:r>
      <w:r w:rsidR="00D8242A">
        <w:rPr>
          <w:lang w:val="en-US"/>
        </w:rPr>
        <w:t>,</w:t>
      </w:r>
      <w:r w:rsidRPr="00596F44">
        <w:rPr>
          <w:lang w:val="en-US"/>
        </w:rPr>
        <w:t xml:space="preserve"> 2013: 1), ongoing academic debates also demand further elaborations of the key concepts </w:t>
      </w:r>
      <w:r w:rsidR="001B46B8">
        <w:rPr>
          <w:lang w:val="en-US"/>
        </w:rPr>
        <w:t xml:space="preserve">of </w:t>
      </w:r>
      <w:r w:rsidRPr="00596F44">
        <w:rPr>
          <w:lang w:val="en-US"/>
        </w:rPr>
        <w:t>territory, politics</w:t>
      </w:r>
      <w:r w:rsidR="004F5F80">
        <w:rPr>
          <w:lang w:val="en-US"/>
        </w:rPr>
        <w:t>,</w:t>
      </w:r>
      <w:r w:rsidRPr="00596F44">
        <w:rPr>
          <w:lang w:val="en-US"/>
        </w:rPr>
        <w:t xml:space="preserve"> and governance.  </w:t>
      </w:r>
    </w:p>
    <w:p w14:paraId="79EAB45B" w14:textId="77777777" w:rsidR="00DA0B9B" w:rsidRDefault="00DA0B9B" w:rsidP="00DA0B9B">
      <w:pPr>
        <w:spacing w:line="360" w:lineRule="auto"/>
        <w:jc w:val="both"/>
        <w:rPr>
          <w:lang w:val="en-US"/>
        </w:rPr>
      </w:pPr>
    </w:p>
    <w:p w14:paraId="746A25FF" w14:textId="57634609" w:rsidR="00DA0B9B" w:rsidRPr="00783D3B" w:rsidRDefault="00DA0B9B" w:rsidP="00DA0B9B">
      <w:pPr>
        <w:spacing w:line="360" w:lineRule="auto"/>
        <w:jc w:val="both"/>
        <w:rPr>
          <w:b/>
          <w:bCs/>
          <w:lang w:val="en-US"/>
        </w:rPr>
      </w:pPr>
      <w:r w:rsidRPr="00783D3B">
        <w:rPr>
          <w:b/>
          <w:bCs/>
          <w:lang w:val="en-US"/>
        </w:rPr>
        <w:t>Conceptual</w:t>
      </w:r>
      <w:r w:rsidR="009C0F18">
        <w:rPr>
          <w:b/>
          <w:bCs/>
          <w:lang w:val="en-US"/>
        </w:rPr>
        <w:t>ization</w:t>
      </w:r>
    </w:p>
    <w:p w14:paraId="2EF72D1A" w14:textId="17E98398" w:rsidR="00596F44" w:rsidRPr="00596F44" w:rsidRDefault="004F5F80" w:rsidP="00783D3B">
      <w:pPr>
        <w:spacing w:line="360" w:lineRule="auto"/>
        <w:jc w:val="both"/>
        <w:rPr>
          <w:lang w:val="en-US"/>
        </w:rPr>
      </w:pPr>
      <w:r>
        <w:rPr>
          <w:lang w:val="en-US"/>
        </w:rPr>
        <w:t xml:space="preserve">Our fourth theme is the conceptual vocabulary we bring to bear </w:t>
      </w:r>
      <w:r w:rsidR="002F2624">
        <w:rPr>
          <w:lang w:val="en-US"/>
        </w:rPr>
        <w:t>in responding to the challenges and opportunities identified by John Agnew</w:t>
      </w:r>
      <w:r>
        <w:rPr>
          <w:lang w:val="en-US"/>
        </w:rPr>
        <w:t xml:space="preserve">. </w:t>
      </w:r>
      <w:r w:rsidR="00596F44" w:rsidRPr="00596F44">
        <w:rPr>
          <w:lang w:val="en-US"/>
        </w:rPr>
        <w:t xml:space="preserve">Spatial turns in the fields of (political) anthropology, (political) economy, (political) sociology and (political) history have boosted the interdisciplinary character of the journal. Material turns in (political and legal) geography and urban and regional planning have contributed also to a much wider scope, as did feminist and decolonial research agendas. </w:t>
      </w:r>
    </w:p>
    <w:p w14:paraId="5B89FE35" w14:textId="642ACCEC" w:rsidR="00596F44" w:rsidRPr="00596F44" w:rsidRDefault="00596F44" w:rsidP="00596F44">
      <w:pPr>
        <w:spacing w:line="360" w:lineRule="auto"/>
        <w:ind w:firstLine="720"/>
        <w:jc w:val="both"/>
        <w:rPr>
          <w:lang w:val="en-US"/>
        </w:rPr>
      </w:pPr>
      <w:r w:rsidRPr="00596F44">
        <w:rPr>
          <w:lang w:val="en-US"/>
        </w:rPr>
        <w:t xml:space="preserve">The </w:t>
      </w:r>
      <w:r w:rsidR="00D45F2D">
        <w:rPr>
          <w:lang w:val="en-US"/>
        </w:rPr>
        <w:t>‘</w:t>
      </w:r>
      <w:r w:rsidRPr="00596F44">
        <w:rPr>
          <w:lang w:val="en-US"/>
        </w:rPr>
        <w:t>turn</w:t>
      </w:r>
      <w:r w:rsidR="00D45F2D">
        <w:rPr>
          <w:lang w:val="en-US"/>
        </w:rPr>
        <w:t>’</w:t>
      </w:r>
      <w:r w:rsidRPr="00596F44">
        <w:rPr>
          <w:lang w:val="en-US"/>
        </w:rPr>
        <w:t xml:space="preserve"> metaphor might however be limited because it suggests a paradigm shift while the academic challenge </w:t>
      </w:r>
      <w:r w:rsidR="00FF3C9E" w:rsidRPr="00596F44">
        <w:rPr>
          <w:lang w:val="en-US"/>
        </w:rPr>
        <w:t xml:space="preserve">is </w:t>
      </w:r>
      <w:r w:rsidR="001B46B8" w:rsidRPr="00596F44">
        <w:rPr>
          <w:lang w:val="en-US"/>
        </w:rPr>
        <w:t>to</w:t>
      </w:r>
      <w:r w:rsidR="00FF3C9E">
        <w:rPr>
          <w:lang w:val="en-US"/>
        </w:rPr>
        <w:t xml:space="preserve"> </w:t>
      </w:r>
      <w:r w:rsidRPr="00596F44">
        <w:rPr>
          <w:lang w:val="en-US"/>
        </w:rPr>
        <w:t xml:space="preserve">develop better conceptual tools to grasp the plurality of </w:t>
      </w:r>
      <w:r w:rsidR="00DA0B9B" w:rsidRPr="00596F44">
        <w:rPr>
          <w:lang w:val="en-US"/>
        </w:rPr>
        <w:t xml:space="preserve">coexisting </w:t>
      </w:r>
      <w:r w:rsidRPr="00596F44">
        <w:rPr>
          <w:lang w:val="en-US"/>
        </w:rPr>
        <w:t>dynamics</w:t>
      </w:r>
      <w:r w:rsidR="009C0F18">
        <w:rPr>
          <w:lang w:val="en-US"/>
        </w:rPr>
        <w:t>.</w:t>
      </w:r>
      <w:r w:rsidR="00DA0B9B">
        <w:rPr>
          <w:lang w:val="en-US"/>
        </w:rPr>
        <w:t xml:space="preserve"> </w:t>
      </w:r>
      <w:r w:rsidRPr="00596F44">
        <w:rPr>
          <w:lang w:val="en-US"/>
        </w:rPr>
        <w:t>–. This begs for concepts that investigate pluralism as well as stable and less stable, productive and less productive</w:t>
      </w:r>
      <w:r w:rsidR="00DA0B9B">
        <w:rPr>
          <w:lang w:val="en-US"/>
        </w:rPr>
        <w:t>,</w:t>
      </w:r>
      <w:r w:rsidRPr="00596F44">
        <w:rPr>
          <w:lang w:val="en-US"/>
        </w:rPr>
        <w:t xml:space="preserve"> configurations of different territorialities, powers</w:t>
      </w:r>
      <w:r>
        <w:rPr>
          <w:lang w:val="en-US"/>
        </w:rPr>
        <w:t>,</w:t>
      </w:r>
      <w:r w:rsidRPr="00596F44">
        <w:rPr>
          <w:lang w:val="en-US"/>
        </w:rPr>
        <w:t xml:space="preserve"> and authorities. </w:t>
      </w:r>
    </w:p>
    <w:p w14:paraId="57EA2732" w14:textId="7547711F" w:rsidR="00596F44" w:rsidRPr="00596F44" w:rsidRDefault="00596F44" w:rsidP="00596F44">
      <w:pPr>
        <w:spacing w:line="360" w:lineRule="auto"/>
        <w:ind w:firstLine="720"/>
        <w:jc w:val="both"/>
        <w:rPr>
          <w:lang w:val="en-US"/>
        </w:rPr>
      </w:pPr>
      <w:r w:rsidRPr="00596F44">
        <w:rPr>
          <w:lang w:val="en-US"/>
        </w:rPr>
        <w:t>The revival of political geographies since the 1980s brought about the problematization of commonsensical notions of territory, politics</w:t>
      </w:r>
      <w:r>
        <w:rPr>
          <w:lang w:val="en-US"/>
        </w:rPr>
        <w:t>,</w:t>
      </w:r>
      <w:r w:rsidRPr="00596F44">
        <w:rPr>
          <w:lang w:val="en-US"/>
        </w:rPr>
        <w:t xml:space="preserve"> and governance (or administration) and their taken-for-granted characteristic</w:t>
      </w:r>
      <w:r w:rsidR="00DA0B9B">
        <w:rPr>
          <w:lang w:val="en-US"/>
        </w:rPr>
        <w:t>s</w:t>
      </w:r>
      <w:r w:rsidRPr="00596F44">
        <w:rPr>
          <w:lang w:val="en-US"/>
        </w:rPr>
        <w:t xml:space="preserve">. In the decade preceding the creation of </w:t>
      </w:r>
      <w:r w:rsidR="00DA0B9B" w:rsidRPr="00596F44">
        <w:rPr>
          <w:lang w:val="en-US"/>
        </w:rPr>
        <w:t>th</w:t>
      </w:r>
      <w:r w:rsidR="00DA0B9B">
        <w:rPr>
          <w:lang w:val="en-US"/>
        </w:rPr>
        <w:t>is</w:t>
      </w:r>
      <w:r w:rsidR="00DA0B9B" w:rsidRPr="00596F44">
        <w:rPr>
          <w:lang w:val="en-US"/>
        </w:rPr>
        <w:t xml:space="preserve"> </w:t>
      </w:r>
      <w:r w:rsidRPr="00596F44">
        <w:rPr>
          <w:lang w:val="en-US"/>
        </w:rPr>
        <w:t xml:space="preserve">journal academics felt </w:t>
      </w:r>
      <w:r w:rsidR="00DA0B9B">
        <w:rPr>
          <w:lang w:val="en-US"/>
        </w:rPr>
        <w:t xml:space="preserve">an </w:t>
      </w:r>
      <w:r w:rsidRPr="00596F44">
        <w:rPr>
          <w:lang w:val="en-US"/>
        </w:rPr>
        <w:t>urgen</w:t>
      </w:r>
      <w:r w:rsidR="00DA0B9B">
        <w:rPr>
          <w:lang w:val="en-US"/>
        </w:rPr>
        <w:t xml:space="preserve">cy </w:t>
      </w:r>
      <w:r w:rsidRPr="00596F44">
        <w:rPr>
          <w:lang w:val="en-US"/>
        </w:rPr>
        <w:t>to nuance simplistic accounts of globalization as the end of the modern territorial (i</w:t>
      </w:r>
      <w:r w:rsidR="002526D1">
        <w:rPr>
          <w:lang w:val="en-US"/>
        </w:rPr>
        <w:t>.</w:t>
      </w:r>
      <w:r w:rsidRPr="00596F44">
        <w:rPr>
          <w:lang w:val="en-US"/>
        </w:rPr>
        <w:t>e</w:t>
      </w:r>
      <w:r w:rsidR="002526D1">
        <w:rPr>
          <w:lang w:val="en-US"/>
        </w:rPr>
        <w:t>.</w:t>
      </w:r>
      <w:r w:rsidRPr="00596F44">
        <w:rPr>
          <w:lang w:val="en-US"/>
        </w:rPr>
        <w:t xml:space="preserve"> a </w:t>
      </w:r>
      <w:r w:rsidR="002526D1">
        <w:rPr>
          <w:lang w:val="en-US"/>
        </w:rPr>
        <w:t>‘</w:t>
      </w:r>
      <w:r w:rsidRPr="00596F44">
        <w:rPr>
          <w:lang w:val="en-US"/>
        </w:rPr>
        <w:t>borderless world</w:t>
      </w:r>
      <w:r w:rsidR="002526D1">
        <w:rPr>
          <w:lang w:val="en-US"/>
        </w:rPr>
        <w:t>’</w:t>
      </w:r>
      <w:r w:rsidRPr="00596F44">
        <w:rPr>
          <w:lang w:val="en-US"/>
        </w:rPr>
        <w:t xml:space="preserve"> and the </w:t>
      </w:r>
      <w:r w:rsidR="002526D1">
        <w:rPr>
          <w:lang w:val="en-US"/>
        </w:rPr>
        <w:t>‘</w:t>
      </w:r>
      <w:r w:rsidRPr="00596F44">
        <w:rPr>
          <w:lang w:val="en-US"/>
        </w:rPr>
        <w:t>end of territory</w:t>
      </w:r>
      <w:r w:rsidR="002526D1">
        <w:rPr>
          <w:lang w:val="en-US"/>
        </w:rPr>
        <w:t>’</w:t>
      </w:r>
      <w:r w:rsidRPr="00596F44">
        <w:rPr>
          <w:lang w:val="en-US"/>
        </w:rPr>
        <w:t xml:space="preserve">), the end of history (with the end of the Cold War) and therefore the end of politics </w:t>
      </w:r>
      <w:r w:rsidR="00DA0B9B">
        <w:rPr>
          <w:lang w:val="en-US"/>
        </w:rPr>
        <w:t xml:space="preserve">– </w:t>
      </w:r>
      <w:r w:rsidRPr="00596F44">
        <w:rPr>
          <w:lang w:val="en-US"/>
        </w:rPr>
        <w:t xml:space="preserve">and of </w:t>
      </w:r>
      <w:r w:rsidR="00DA0B9B" w:rsidRPr="00596F44">
        <w:rPr>
          <w:lang w:val="en-US"/>
        </w:rPr>
        <w:t>public</w:t>
      </w:r>
      <w:r w:rsidR="00DA0B9B">
        <w:rPr>
          <w:lang w:val="en-US"/>
        </w:rPr>
        <w:t>-</w:t>
      </w:r>
      <w:r w:rsidRPr="00596F44">
        <w:rPr>
          <w:lang w:val="en-US"/>
        </w:rPr>
        <w:t xml:space="preserve">led governance of world society. They demonstrated how deterritorialization processes (such as globalization and the delocalization of industrial activities in global production networks) went hand in hand with </w:t>
      </w:r>
      <w:r w:rsidRPr="00596F44">
        <w:rPr>
          <w:lang w:val="en-US"/>
        </w:rPr>
        <w:lastRenderedPageBreak/>
        <w:t xml:space="preserve">reterritorialization processes. They showed how older and newer </w:t>
      </w:r>
      <w:r w:rsidR="00073A52">
        <w:rPr>
          <w:lang w:val="en-US"/>
        </w:rPr>
        <w:t>themes</w:t>
      </w:r>
      <w:r w:rsidR="00073A52" w:rsidRPr="00596F44">
        <w:rPr>
          <w:lang w:val="en-US"/>
        </w:rPr>
        <w:t xml:space="preserve"> </w:t>
      </w:r>
      <w:r w:rsidRPr="00596F44">
        <w:rPr>
          <w:lang w:val="en-US"/>
        </w:rPr>
        <w:t xml:space="preserve">such as mobility, food, water, energy, climate change, digitalization, </w:t>
      </w:r>
      <w:r w:rsidR="00073A52">
        <w:rPr>
          <w:lang w:val="en-US"/>
        </w:rPr>
        <w:t xml:space="preserve">and </w:t>
      </w:r>
      <w:r w:rsidRPr="00596F44">
        <w:rPr>
          <w:lang w:val="en-US"/>
        </w:rPr>
        <w:t>financialization were imminently political</w:t>
      </w:r>
      <w:r w:rsidR="00073A52">
        <w:rPr>
          <w:lang w:val="en-US"/>
        </w:rPr>
        <w:t>,</w:t>
      </w:r>
      <w:r w:rsidRPr="00596F44">
        <w:rPr>
          <w:lang w:val="en-US"/>
        </w:rPr>
        <w:t xml:space="preserve"> covering a much broader scope of positions than the traditional left</w:t>
      </w:r>
      <w:r w:rsidR="00073A52">
        <w:rPr>
          <w:lang w:val="en-US"/>
        </w:rPr>
        <w:t>/right</w:t>
      </w:r>
      <w:r w:rsidRPr="00596F44">
        <w:rPr>
          <w:lang w:val="en-US"/>
        </w:rPr>
        <w:t xml:space="preserve"> electoral divides, ranging from commodification to non-anthropocentric understandings of humankind in its environment).  </w:t>
      </w:r>
      <w:r w:rsidR="00073A52">
        <w:rPr>
          <w:lang w:val="en-US"/>
        </w:rPr>
        <w:t>T</w:t>
      </w:r>
      <w:r w:rsidRPr="00596F44">
        <w:rPr>
          <w:lang w:val="en-US"/>
        </w:rPr>
        <w:t>hey also addressed the expanding governance of issues linked to transnational migration, climate change,</w:t>
      </w:r>
      <w:r w:rsidR="00073A52">
        <w:rPr>
          <w:lang w:val="en-US"/>
        </w:rPr>
        <w:t xml:space="preserve"> and the</w:t>
      </w:r>
      <w:r w:rsidRPr="00596F44">
        <w:rPr>
          <w:lang w:val="en-US"/>
        </w:rPr>
        <w:t xml:space="preserve"> internet – highlighting both the diversity of actors involved and the multiple</w:t>
      </w:r>
      <w:r w:rsidR="00073A52">
        <w:rPr>
          <w:lang w:val="en-US"/>
        </w:rPr>
        <w:t>,</w:t>
      </w:r>
      <w:r w:rsidRPr="00596F44">
        <w:rPr>
          <w:lang w:val="en-US"/>
        </w:rPr>
        <w:t xml:space="preserve"> </w:t>
      </w:r>
      <w:r w:rsidR="00073A52" w:rsidRPr="00596F44">
        <w:rPr>
          <w:lang w:val="en-US"/>
        </w:rPr>
        <w:t xml:space="preserve">intertwined </w:t>
      </w:r>
      <w:r w:rsidRPr="00596F44">
        <w:rPr>
          <w:lang w:val="en-US"/>
        </w:rPr>
        <w:t>scales of representation and intervention.</w:t>
      </w:r>
    </w:p>
    <w:p w14:paraId="4CEE913D" w14:textId="0FC1FEE0" w:rsidR="00596F44" w:rsidRPr="00596F44" w:rsidRDefault="00596F44" w:rsidP="00596F44">
      <w:pPr>
        <w:spacing w:line="360" w:lineRule="auto"/>
        <w:ind w:firstLine="720"/>
        <w:jc w:val="both"/>
        <w:rPr>
          <w:lang w:val="en-US"/>
        </w:rPr>
      </w:pPr>
      <w:r w:rsidRPr="00596F44">
        <w:rPr>
          <w:lang w:val="en-US"/>
        </w:rPr>
        <w:t>More recently</w:t>
      </w:r>
      <w:r w:rsidR="00073A52">
        <w:rPr>
          <w:lang w:val="en-US"/>
        </w:rPr>
        <w:t>,</w:t>
      </w:r>
      <w:r w:rsidRPr="00596F44">
        <w:rPr>
          <w:lang w:val="en-US"/>
        </w:rPr>
        <w:t xml:space="preserve"> territory</w:t>
      </w:r>
      <w:r w:rsidR="00073A52">
        <w:rPr>
          <w:lang w:val="en-US"/>
        </w:rPr>
        <w:t>,</w:t>
      </w:r>
      <w:r w:rsidRPr="00596F44">
        <w:rPr>
          <w:lang w:val="en-US"/>
        </w:rPr>
        <w:t xml:space="preserve"> politics and governance seem to have regain</w:t>
      </w:r>
      <w:r w:rsidR="00073A52">
        <w:rPr>
          <w:lang w:val="en-US"/>
        </w:rPr>
        <w:t>ed</w:t>
      </w:r>
      <w:r w:rsidRPr="00596F44">
        <w:rPr>
          <w:lang w:val="en-US"/>
        </w:rPr>
        <w:t xml:space="preserve"> some political appeal but unfortunately as simplistic devices to mobilize nostalgic sentiments among electors</w:t>
      </w:r>
      <w:r>
        <w:rPr>
          <w:lang w:val="en-US"/>
        </w:rPr>
        <w:t xml:space="preserve">, without any deeper reflection </w:t>
      </w:r>
      <w:r w:rsidR="00073A52">
        <w:rPr>
          <w:lang w:val="en-US"/>
        </w:rPr>
        <w:t xml:space="preserve">about </w:t>
      </w:r>
      <w:r>
        <w:rPr>
          <w:lang w:val="en-US"/>
        </w:rPr>
        <w:t>how such devices and framings draw</w:t>
      </w:r>
      <w:r w:rsidR="00073A52">
        <w:rPr>
          <w:lang w:val="en-US"/>
        </w:rPr>
        <w:t>,</w:t>
      </w:r>
      <w:r>
        <w:rPr>
          <w:lang w:val="en-US"/>
        </w:rPr>
        <w:t xml:space="preserve"> and capitalize</w:t>
      </w:r>
      <w:r w:rsidR="00073A52">
        <w:rPr>
          <w:lang w:val="en-US"/>
        </w:rPr>
        <w:t>,</w:t>
      </w:r>
      <w:r>
        <w:rPr>
          <w:lang w:val="en-US"/>
        </w:rPr>
        <w:t xml:space="preserve"> on long-standing racist and xenophobic experiences and legacies (</w:t>
      </w:r>
      <w:r w:rsidR="002F2624">
        <w:rPr>
          <w:lang w:val="en-US"/>
        </w:rPr>
        <w:t xml:space="preserve">Dodds 2021, </w:t>
      </w:r>
      <w:r>
        <w:rPr>
          <w:lang w:val="en-US"/>
        </w:rPr>
        <w:t>Jones</w:t>
      </w:r>
      <w:r w:rsidR="008862E0">
        <w:rPr>
          <w:lang w:val="en-US"/>
        </w:rPr>
        <w:t>,</w:t>
      </w:r>
      <w:r>
        <w:rPr>
          <w:lang w:val="en-US"/>
        </w:rPr>
        <w:t xml:space="preserve"> 2021)</w:t>
      </w:r>
      <w:r w:rsidRPr="00596F44">
        <w:rPr>
          <w:lang w:val="en-US"/>
        </w:rPr>
        <w:t>. The political appeal of re</w:t>
      </w:r>
      <w:r>
        <w:rPr>
          <w:lang w:val="en-US"/>
        </w:rPr>
        <w:t>-</w:t>
      </w:r>
      <w:r w:rsidRPr="00596F44">
        <w:rPr>
          <w:lang w:val="en-US"/>
        </w:rPr>
        <w:t>bordering narratives including the hardening of state borders (through the portrayal of the deployment of simplistic border walls</w:t>
      </w:r>
      <w:r w:rsidR="00073A52" w:rsidRPr="00596F44">
        <w:rPr>
          <w:lang w:val="en-US"/>
        </w:rPr>
        <w:t>)</w:t>
      </w:r>
      <w:r w:rsidR="00073A52">
        <w:rPr>
          <w:lang w:val="en-US"/>
        </w:rPr>
        <w:t xml:space="preserve"> and</w:t>
      </w:r>
      <w:r w:rsidR="00073A52" w:rsidRPr="00596F44">
        <w:rPr>
          <w:lang w:val="en-US"/>
        </w:rPr>
        <w:t xml:space="preserve"> </w:t>
      </w:r>
      <w:r w:rsidR="00073A52">
        <w:rPr>
          <w:lang w:val="en-US"/>
        </w:rPr>
        <w:t xml:space="preserve">their </w:t>
      </w:r>
      <w:r w:rsidRPr="00596F44">
        <w:rPr>
          <w:lang w:val="en-US"/>
        </w:rPr>
        <w:t xml:space="preserve">re-politization through populism typically </w:t>
      </w:r>
      <w:r w:rsidR="00073A52" w:rsidRPr="00596F44">
        <w:rPr>
          <w:lang w:val="en-US"/>
        </w:rPr>
        <w:t>reclaim</w:t>
      </w:r>
      <w:r w:rsidR="00073A52">
        <w:rPr>
          <w:lang w:val="en-US"/>
        </w:rPr>
        <w:t>s</w:t>
      </w:r>
      <w:r w:rsidR="00073A52" w:rsidRPr="00596F44">
        <w:rPr>
          <w:lang w:val="en-US"/>
        </w:rPr>
        <w:t xml:space="preserve"> </w:t>
      </w:r>
      <w:r w:rsidRPr="00596F44">
        <w:rPr>
          <w:lang w:val="en-US"/>
        </w:rPr>
        <w:t xml:space="preserve">exclusive understanding of what the people are and what they want </w:t>
      </w:r>
      <w:r w:rsidR="00073A52">
        <w:rPr>
          <w:lang w:val="en-US"/>
        </w:rPr>
        <w:t xml:space="preserve">– </w:t>
      </w:r>
      <w:r w:rsidRPr="00596F44">
        <w:rPr>
          <w:lang w:val="en-US"/>
        </w:rPr>
        <w:t>negating the prevalence of differences and the importance of politics as a mechanism to conciliate diverse interests. Likewise</w:t>
      </w:r>
      <w:r w:rsidR="001B46B8">
        <w:rPr>
          <w:lang w:val="en-US"/>
        </w:rPr>
        <w:t>,</w:t>
      </w:r>
      <w:r w:rsidRPr="00596F44">
        <w:rPr>
          <w:lang w:val="en-US"/>
        </w:rPr>
        <w:t xml:space="preserve"> governance has been eroded</w:t>
      </w:r>
      <w:r w:rsidR="00073A52">
        <w:rPr>
          <w:lang w:val="en-US"/>
        </w:rPr>
        <w:t xml:space="preserve"> in favour of</w:t>
      </w:r>
      <w:r w:rsidRPr="00596F44">
        <w:rPr>
          <w:lang w:val="en-US"/>
        </w:rPr>
        <w:t xml:space="preserve"> </w:t>
      </w:r>
      <w:r w:rsidR="00073A52">
        <w:rPr>
          <w:lang w:val="en-US"/>
        </w:rPr>
        <w:t xml:space="preserve">the </w:t>
      </w:r>
      <w:r w:rsidRPr="00596F44">
        <w:rPr>
          <w:lang w:val="en-US"/>
        </w:rPr>
        <w:t xml:space="preserve">coproduction of the executive of states and </w:t>
      </w:r>
      <w:r w:rsidR="00073A52">
        <w:rPr>
          <w:lang w:val="en-US"/>
        </w:rPr>
        <w:t xml:space="preserve">large </w:t>
      </w:r>
      <w:r w:rsidRPr="00596F44">
        <w:rPr>
          <w:lang w:val="en-US"/>
        </w:rPr>
        <w:t>corporations</w:t>
      </w:r>
      <w:r w:rsidR="00073A52">
        <w:rPr>
          <w:lang w:val="en-US"/>
        </w:rPr>
        <w:t xml:space="preserve">, </w:t>
      </w:r>
      <w:r w:rsidRPr="00596F44">
        <w:rPr>
          <w:lang w:val="en-US"/>
        </w:rPr>
        <w:t>such as the Big Tech, Big Pharma or Big Four accounting firms</w:t>
      </w:r>
      <w:r w:rsidR="00FF4625">
        <w:rPr>
          <w:lang w:val="en-US"/>
        </w:rPr>
        <w:t xml:space="preserve">. This in turn </w:t>
      </w:r>
      <w:r w:rsidRPr="00596F44">
        <w:rPr>
          <w:lang w:val="en-US"/>
        </w:rPr>
        <w:t>obscur</w:t>
      </w:r>
      <w:r w:rsidR="00FF4625">
        <w:rPr>
          <w:lang w:val="en-US"/>
        </w:rPr>
        <w:t>es</w:t>
      </w:r>
      <w:r w:rsidRPr="00596F44">
        <w:rPr>
          <w:lang w:val="en-US"/>
        </w:rPr>
        <w:t xml:space="preserve"> the role of other governments </w:t>
      </w:r>
      <w:r w:rsidR="00FF4625">
        <w:rPr>
          <w:lang w:val="en-US"/>
        </w:rPr>
        <w:t>-</w:t>
      </w:r>
      <w:r w:rsidRPr="00596F44">
        <w:rPr>
          <w:lang w:val="en-US"/>
        </w:rPr>
        <w:t xml:space="preserve">global and macroregional </w:t>
      </w:r>
      <w:r w:rsidR="00FF4625">
        <w:rPr>
          <w:lang w:val="en-US"/>
        </w:rPr>
        <w:t>intergovernmental organizations;</w:t>
      </w:r>
      <w:r w:rsidRPr="00596F44">
        <w:rPr>
          <w:lang w:val="en-US"/>
        </w:rPr>
        <w:t xml:space="preserve"> subnational, </w:t>
      </w:r>
      <w:r w:rsidR="00FF4625" w:rsidRPr="00596F44">
        <w:rPr>
          <w:lang w:val="en-US"/>
        </w:rPr>
        <w:t>agglomerat</w:t>
      </w:r>
      <w:r w:rsidR="00FF4625">
        <w:rPr>
          <w:lang w:val="en-US"/>
        </w:rPr>
        <w:t>ed</w:t>
      </w:r>
      <w:r w:rsidR="00FF4625" w:rsidRPr="00596F44">
        <w:rPr>
          <w:lang w:val="en-US"/>
        </w:rPr>
        <w:t xml:space="preserve"> </w:t>
      </w:r>
      <w:r w:rsidRPr="00596F44">
        <w:rPr>
          <w:lang w:val="en-US"/>
        </w:rPr>
        <w:t>and municipal</w:t>
      </w:r>
      <w:r w:rsidR="00FF4625">
        <w:rPr>
          <w:lang w:val="en-US"/>
        </w:rPr>
        <w:t xml:space="preserve"> –</w:t>
      </w:r>
      <w:r w:rsidR="00FF4625" w:rsidRPr="00596F44">
        <w:rPr>
          <w:lang w:val="en-US"/>
        </w:rPr>
        <w:t xml:space="preserve"> </w:t>
      </w:r>
      <w:r w:rsidRPr="00596F44">
        <w:rPr>
          <w:lang w:val="en-US"/>
        </w:rPr>
        <w:t>and other economic and civic actors.</w:t>
      </w:r>
    </w:p>
    <w:p w14:paraId="6FFF9C41" w14:textId="05849F0A" w:rsidR="00EB3554" w:rsidRDefault="00596F44" w:rsidP="00FF4625">
      <w:pPr>
        <w:spacing w:line="360" w:lineRule="auto"/>
        <w:ind w:firstLine="720"/>
        <w:jc w:val="both"/>
      </w:pPr>
      <w:r w:rsidRPr="00596F44">
        <w:rPr>
          <w:lang w:val="en-US"/>
        </w:rPr>
        <w:t xml:space="preserve">In such a context it is particularly important </w:t>
      </w:r>
      <w:r w:rsidR="00FF4625">
        <w:rPr>
          <w:lang w:val="en-US"/>
        </w:rPr>
        <w:t>to</w:t>
      </w:r>
      <w:r w:rsidR="00FF4625" w:rsidRPr="00596F44">
        <w:rPr>
          <w:lang w:val="en-US"/>
        </w:rPr>
        <w:t xml:space="preserve"> </w:t>
      </w:r>
      <w:r w:rsidRPr="00596F44">
        <w:rPr>
          <w:lang w:val="en-US"/>
        </w:rPr>
        <w:t xml:space="preserve">consolidate conceptual tools (or forge new ones) to grasp the plurality of territorial political and governance mechanisms at work. </w:t>
      </w:r>
      <w:r w:rsidR="00FF4625">
        <w:rPr>
          <w:lang w:val="en-US"/>
        </w:rPr>
        <w:t>This journal has</w:t>
      </w:r>
      <w:r w:rsidR="00FF4625" w:rsidRPr="00596F44">
        <w:rPr>
          <w:lang w:val="en-US"/>
        </w:rPr>
        <w:t xml:space="preserve"> </w:t>
      </w:r>
      <w:r w:rsidRPr="00596F44">
        <w:rPr>
          <w:lang w:val="en-US"/>
        </w:rPr>
        <w:t xml:space="preserve">published several noteworthy attempts such as </w:t>
      </w:r>
      <w:r w:rsidR="00FF4625">
        <w:rPr>
          <w:lang w:val="en-US"/>
        </w:rPr>
        <w:t xml:space="preserve">the </w:t>
      </w:r>
      <w:r w:rsidRPr="00596F44">
        <w:rPr>
          <w:lang w:val="en-US"/>
        </w:rPr>
        <w:t>special issue</w:t>
      </w:r>
      <w:r w:rsidR="00FF4625">
        <w:rPr>
          <w:lang w:val="en-US"/>
        </w:rPr>
        <w:t>s</w:t>
      </w:r>
      <w:r w:rsidRPr="00596F44">
        <w:rPr>
          <w:lang w:val="en-US"/>
        </w:rPr>
        <w:t xml:space="preserve"> on polymorphic political geographies (see Jones</w:t>
      </w:r>
      <w:r w:rsidR="008862E0">
        <w:rPr>
          <w:lang w:val="en-US"/>
        </w:rPr>
        <w:t>,</w:t>
      </w:r>
      <w:r w:rsidRPr="00596F44">
        <w:rPr>
          <w:lang w:val="en-US"/>
        </w:rPr>
        <w:t xml:space="preserve"> 2016) and polymorphic borders (see Burridge et al</w:t>
      </w:r>
      <w:r w:rsidR="008862E0">
        <w:rPr>
          <w:lang w:val="en-US"/>
        </w:rPr>
        <w:t>.,</w:t>
      </w:r>
      <w:r w:rsidRPr="00596F44">
        <w:rPr>
          <w:lang w:val="en-US"/>
        </w:rPr>
        <w:t xml:space="preserve"> 2017). More specifically</w:t>
      </w:r>
      <w:r w:rsidR="00FF4625">
        <w:rPr>
          <w:lang w:val="en-US"/>
        </w:rPr>
        <w:t>,</w:t>
      </w:r>
      <w:r w:rsidRPr="00596F44">
        <w:rPr>
          <w:lang w:val="en-US"/>
        </w:rPr>
        <w:t xml:space="preserve"> the </w:t>
      </w:r>
      <w:r w:rsidR="00FF4625" w:rsidRPr="00FF4625">
        <w:t>territories (T), places (P), scales (S), and networks (N)</w:t>
      </w:r>
      <w:r w:rsidR="00783D3B">
        <w:t xml:space="preserve"> </w:t>
      </w:r>
      <w:r w:rsidR="00FF4625">
        <w:t xml:space="preserve">(or TPSN) </w:t>
      </w:r>
      <w:r w:rsidRPr="00596F44">
        <w:rPr>
          <w:lang w:val="en-US"/>
        </w:rPr>
        <w:t>scheme proposed by Jessop et al</w:t>
      </w:r>
      <w:r w:rsidR="008862E0">
        <w:rPr>
          <w:lang w:val="en-US"/>
        </w:rPr>
        <w:t>.</w:t>
      </w:r>
      <w:r w:rsidRPr="00596F44">
        <w:rPr>
          <w:lang w:val="en-US"/>
        </w:rPr>
        <w:t xml:space="preserve"> </w:t>
      </w:r>
      <w:r w:rsidR="00FF4625">
        <w:rPr>
          <w:lang w:val="en-US"/>
        </w:rPr>
        <w:t>(</w:t>
      </w:r>
      <w:r w:rsidRPr="00596F44">
        <w:rPr>
          <w:lang w:val="en-US"/>
        </w:rPr>
        <w:t>2008) was successfully elaborated in an article on the multi-spatial meta</w:t>
      </w:r>
      <w:r w:rsidR="00FF3C9E">
        <w:rPr>
          <w:lang w:val="en-US"/>
        </w:rPr>
        <w:t>-</w:t>
      </w:r>
      <w:r w:rsidRPr="00596F44">
        <w:rPr>
          <w:lang w:val="en-US"/>
        </w:rPr>
        <w:t xml:space="preserve">governance of the European Union. Using </w:t>
      </w:r>
      <w:r w:rsidR="00FF4625">
        <w:rPr>
          <w:lang w:val="en-US"/>
        </w:rPr>
        <w:t xml:space="preserve">TPSN </w:t>
      </w:r>
      <w:r w:rsidRPr="00596F44">
        <w:rPr>
          <w:lang w:val="en-US"/>
        </w:rPr>
        <w:t>as both structuring principles and fields of operation, this heuristic device enable</w:t>
      </w:r>
      <w:r w:rsidR="007C6196">
        <w:rPr>
          <w:lang w:val="en-US"/>
        </w:rPr>
        <w:t>s</w:t>
      </w:r>
      <w:r w:rsidRPr="00596F44">
        <w:rPr>
          <w:lang w:val="en-US"/>
        </w:rPr>
        <w:t xml:space="preserve"> a more detailed</w:t>
      </w:r>
      <w:r w:rsidR="008862E0">
        <w:rPr>
          <w:lang w:val="en-US"/>
        </w:rPr>
        <w:t xml:space="preserve"> and nuanced</w:t>
      </w:r>
      <w:r w:rsidRPr="00596F44">
        <w:rPr>
          <w:lang w:val="en-US"/>
        </w:rPr>
        <w:t xml:space="preserve"> mapping of the configuration of socio</w:t>
      </w:r>
      <w:r w:rsidR="00FF3C9E">
        <w:rPr>
          <w:lang w:val="en-US"/>
        </w:rPr>
        <w:t>-</w:t>
      </w:r>
      <w:r w:rsidRPr="00596F44">
        <w:rPr>
          <w:lang w:val="en-US"/>
        </w:rPr>
        <w:t>spatial relations – definitively putting aside more simplistic and nostalgic rediscovery of the power of territory</w:t>
      </w:r>
      <w:r w:rsidR="008862E0">
        <w:rPr>
          <w:lang w:val="en-US"/>
        </w:rPr>
        <w:t xml:space="preserve"> (Jessop, 2016)</w:t>
      </w:r>
      <w:r w:rsidRPr="00596F44">
        <w:rPr>
          <w:lang w:val="en-US"/>
        </w:rPr>
        <w:t>.</w:t>
      </w:r>
      <w:r w:rsidR="008862E0">
        <w:rPr>
          <w:lang w:val="en-US"/>
        </w:rPr>
        <w:t xml:space="preserve"> </w:t>
      </w:r>
      <w:r w:rsidR="008862E0">
        <w:t xml:space="preserve"> </w:t>
      </w:r>
    </w:p>
    <w:p w14:paraId="029E977B" w14:textId="7815DEAE" w:rsidR="008862E0" w:rsidRDefault="008862E0" w:rsidP="002F2624">
      <w:pPr>
        <w:spacing w:line="360" w:lineRule="auto"/>
        <w:ind w:firstLine="720"/>
        <w:jc w:val="both"/>
        <w:rPr>
          <w:rFonts w:cstheme="minorHAnsi"/>
          <w:lang w:val="en-US"/>
        </w:rPr>
      </w:pPr>
      <w:r>
        <w:t>T</w:t>
      </w:r>
      <w:r w:rsidRPr="00165590">
        <w:t xml:space="preserve">erritory and its governance are in practice ‘plastic achievements’, </w:t>
      </w:r>
      <w:r>
        <w:t xml:space="preserve">an important notion which </w:t>
      </w:r>
      <w:r w:rsidRPr="00165590">
        <w:t>draw</w:t>
      </w:r>
      <w:r>
        <w:t>s</w:t>
      </w:r>
      <w:r w:rsidRPr="00165590">
        <w:t xml:space="preserve"> attention </w:t>
      </w:r>
      <w:r w:rsidR="00D05102">
        <w:t>to “</w:t>
      </w:r>
      <w:r w:rsidRPr="00165590">
        <w:t xml:space="preserve">the tangle of socio-material agents and frictional alignments in which </w:t>
      </w:r>
      <w:r w:rsidR="00D05102">
        <w:t xml:space="preserve">[they are] </w:t>
      </w:r>
      <w:r w:rsidRPr="00165590">
        <w:t xml:space="preserve">suspended and to recognise that they harbour </w:t>
      </w:r>
      <w:r w:rsidRPr="003E149D">
        <w:rPr>
          <w:i/>
          <w:iCs/>
        </w:rPr>
        <w:t>other possibilities</w:t>
      </w:r>
      <w:r w:rsidRPr="00165590">
        <w:t>” (Whatmore</w:t>
      </w:r>
      <w:r>
        <w:t>,</w:t>
      </w:r>
      <w:r w:rsidRPr="00165590">
        <w:t xml:space="preserve"> 2002: 87</w:t>
      </w:r>
      <w:r>
        <w:t>, emphasis added</w:t>
      </w:r>
      <w:r w:rsidRPr="00165590">
        <w:t>).</w:t>
      </w:r>
      <w:r>
        <w:t xml:space="preserve">  </w:t>
      </w:r>
      <w:r w:rsidRPr="003F2F00">
        <w:rPr>
          <w:rFonts w:cstheme="minorHAnsi"/>
          <w:color w:val="000000" w:themeColor="text1"/>
        </w:rPr>
        <w:t xml:space="preserve">Malabou’s </w:t>
      </w:r>
      <w:r>
        <w:rPr>
          <w:rFonts w:cstheme="minorHAnsi"/>
          <w:color w:val="000000" w:themeColor="text1"/>
        </w:rPr>
        <w:t xml:space="preserve">(2008) </w:t>
      </w:r>
      <w:r w:rsidRPr="003F2F00">
        <w:rPr>
          <w:rFonts w:cstheme="minorHAnsi"/>
          <w:color w:val="000000" w:themeColor="text1"/>
        </w:rPr>
        <w:t xml:space="preserve">concept of </w:t>
      </w:r>
      <w:r>
        <w:rPr>
          <w:rFonts w:cstheme="minorHAnsi"/>
          <w:color w:val="000000" w:themeColor="text1"/>
        </w:rPr>
        <w:t>‘</w:t>
      </w:r>
      <w:r w:rsidRPr="003F2F00">
        <w:rPr>
          <w:rFonts w:cstheme="minorHAnsi"/>
          <w:color w:val="000000" w:themeColor="text1"/>
        </w:rPr>
        <w:t>plasticity</w:t>
      </w:r>
      <w:r>
        <w:rPr>
          <w:rFonts w:cstheme="minorHAnsi"/>
          <w:color w:val="000000" w:themeColor="text1"/>
        </w:rPr>
        <w:t xml:space="preserve">’ provides an entrance to thinking </w:t>
      </w:r>
      <w:r>
        <w:rPr>
          <w:rFonts w:cstheme="minorHAnsi"/>
          <w:color w:val="000000" w:themeColor="text1"/>
        </w:rPr>
        <w:lastRenderedPageBreak/>
        <w:t>further about this polymorphy and in doing so it offers a ‘more than relational’ (Allen, 2012) approach</w:t>
      </w:r>
      <w:r w:rsidR="00EB3554">
        <w:rPr>
          <w:rFonts w:cstheme="minorHAnsi"/>
          <w:color w:val="000000" w:themeColor="text1"/>
        </w:rPr>
        <w:t xml:space="preserve">, which </w:t>
      </w:r>
      <w:r w:rsidR="00EB3554">
        <w:rPr>
          <w:rFonts w:cstheme="minorHAnsi"/>
          <w:lang w:val="en-US"/>
        </w:rPr>
        <w:t xml:space="preserve">questions what </w:t>
      </w:r>
      <w:r w:rsidR="00EB3554">
        <w:rPr>
          <w:rFonts w:cstheme="minorHAnsi"/>
        </w:rPr>
        <w:t>kind of TPSN assemblages are being made and sustained.</w:t>
      </w:r>
      <w:r>
        <w:rPr>
          <w:rFonts w:cstheme="minorHAnsi"/>
          <w:color w:val="000000" w:themeColor="text1"/>
        </w:rPr>
        <w:t xml:space="preserve"> </w:t>
      </w:r>
      <w:r w:rsidR="00EB3554">
        <w:rPr>
          <w:rFonts w:cstheme="minorHAnsi"/>
          <w:color w:val="000000" w:themeColor="text1"/>
        </w:rPr>
        <w:t xml:space="preserve">For Malabou (2008), </w:t>
      </w:r>
      <w:r w:rsidR="00EB3554">
        <w:rPr>
          <w:rFonts w:cstheme="minorHAnsi"/>
          <w:lang w:val="en-US"/>
        </w:rPr>
        <w:t>plastic space, derived from notions of brain plasticity and other plastic materialities such as clay, captures a political geography where the space of the possible is relationally flexible but not totally arbitrary</w:t>
      </w:r>
      <w:r w:rsidR="00D05102">
        <w:rPr>
          <w:rFonts w:cstheme="minorHAnsi"/>
          <w:lang w:val="en-US"/>
        </w:rPr>
        <w:t xml:space="preserve"> – </w:t>
      </w:r>
      <w:r w:rsidR="00EB3554">
        <w:rPr>
          <w:rFonts w:cstheme="minorHAnsi"/>
          <w:lang w:val="en-US"/>
        </w:rPr>
        <w:t xml:space="preserve">the main possibilities are already there, constrained by contextual realities forged in and through time as “the plasticity of institutional combinations” (Dodgshon 1998: 127). </w:t>
      </w:r>
      <w:r w:rsidR="00EB3554" w:rsidRPr="00497CFE">
        <w:rPr>
          <w:rFonts w:cstheme="minorHAnsi"/>
          <w:lang w:val="en-US"/>
        </w:rPr>
        <w:t xml:space="preserve">This, in turn, raises important questions </w:t>
      </w:r>
      <w:r w:rsidR="00D05102">
        <w:rPr>
          <w:rFonts w:cstheme="minorHAnsi"/>
          <w:lang w:val="en-US"/>
        </w:rPr>
        <w:t xml:space="preserve">about </w:t>
      </w:r>
      <w:r w:rsidR="00EB3554">
        <w:rPr>
          <w:rFonts w:cstheme="minorHAnsi"/>
          <w:lang w:val="en-US"/>
        </w:rPr>
        <w:t xml:space="preserve">the limits to </w:t>
      </w:r>
      <w:r w:rsidR="00EB3554" w:rsidRPr="00497CFE">
        <w:rPr>
          <w:rFonts w:cstheme="minorHAnsi"/>
          <w:lang w:val="en-US"/>
        </w:rPr>
        <w:t xml:space="preserve">seeing </w:t>
      </w:r>
      <w:r w:rsidR="00D05102">
        <w:rPr>
          <w:rFonts w:cstheme="minorHAnsi"/>
          <w:lang w:val="en-US"/>
        </w:rPr>
        <w:t xml:space="preserve">territory, politics and governance </w:t>
      </w:r>
      <w:r w:rsidR="00EB3554" w:rsidRPr="00497CFE">
        <w:rPr>
          <w:rFonts w:cstheme="minorHAnsi"/>
          <w:lang w:val="en-US"/>
        </w:rPr>
        <w:t>through</w:t>
      </w:r>
      <w:r w:rsidR="00EB3554">
        <w:rPr>
          <w:rFonts w:cstheme="minorHAnsi"/>
          <w:lang w:val="en-US"/>
        </w:rPr>
        <w:t xml:space="preserve"> always</w:t>
      </w:r>
      <w:r w:rsidR="00EB3554" w:rsidRPr="00497CFE">
        <w:rPr>
          <w:rFonts w:cstheme="minorHAnsi"/>
          <w:lang w:val="en-US"/>
        </w:rPr>
        <w:t xml:space="preserve"> </w:t>
      </w:r>
      <w:r w:rsidR="00EB3554">
        <w:rPr>
          <w:rFonts w:cstheme="minorHAnsi"/>
          <w:lang w:val="en-US"/>
        </w:rPr>
        <w:t>elastic deformations, twistings, and the stretching of objects and relations, which can lead to what Rosen (2006: 13) calls thrown-together “</w:t>
      </w:r>
      <w:r w:rsidR="00EB3554" w:rsidRPr="00497CFE">
        <w:rPr>
          <w:rFonts w:cstheme="minorHAnsi"/>
          <w:lang w:val="en-US"/>
        </w:rPr>
        <w:t>topological</w:t>
      </w:r>
      <w:r w:rsidR="00EB3554">
        <w:rPr>
          <w:rFonts w:cstheme="minorHAnsi"/>
          <w:lang w:val="en-US"/>
        </w:rPr>
        <w:t xml:space="preserve"> vagaries” (cf. Massey 2005). </w:t>
      </w:r>
    </w:p>
    <w:p w14:paraId="5C8CA939" w14:textId="3158AF41" w:rsidR="002A3336" w:rsidRPr="002A3336" w:rsidRDefault="00D05102" w:rsidP="002A3336">
      <w:pPr>
        <w:spacing w:line="360" w:lineRule="auto"/>
        <w:ind w:firstLine="720"/>
        <w:jc w:val="both"/>
        <w:rPr>
          <w:rFonts w:cstheme="minorHAnsi"/>
        </w:rPr>
      </w:pPr>
      <w:r>
        <w:rPr>
          <w:rFonts w:cstheme="minorHAnsi"/>
        </w:rPr>
        <w:t xml:space="preserve">This </w:t>
      </w:r>
      <w:r w:rsidR="002A3336">
        <w:rPr>
          <w:rFonts w:cstheme="minorHAnsi"/>
        </w:rPr>
        <w:t>journal will continue to support emerging fields of enquiry such as g</w:t>
      </w:r>
      <w:r w:rsidR="002A3336" w:rsidRPr="009D74C5">
        <w:rPr>
          <w:rFonts w:cstheme="minorHAnsi"/>
        </w:rPr>
        <w:t xml:space="preserve">eographical political economy </w:t>
      </w:r>
      <w:r w:rsidR="002A3336">
        <w:rPr>
          <w:rFonts w:cstheme="minorHAnsi"/>
        </w:rPr>
        <w:t xml:space="preserve">which speak explicitly to </w:t>
      </w:r>
      <w:r w:rsidR="002A3336" w:rsidRPr="00D01B8D">
        <w:rPr>
          <w:rFonts w:cstheme="minorHAnsi"/>
        </w:rPr>
        <w:t>the relationship between geography, public policy, the state, and space</w:t>
      </w:r>
      <w:r w:rsidR="002A3336">
        <w:rPr>
          <w:rFonts w:cstheme="minorHAnsi"/>
        </w:rPr>
        <w:t xml:space="preserve"> as well as </w:t>
      </w:r>
      <w:r w:rsidR="002A3336" w:rsidRPr="00D01B8D">
        <w:rPr>
          <w:rFonts w:cstheme="minorHAnsi"/>
        </w:rPr>
        <w:t xml:space="preserve">the historical specificities, trends, and </w:t>
      </w:r>
      <w:r w:rsidR="006B4499" w:rsidRPr="00D01B8D">
        <w:rPr>
          <w:rFonts w:cstheme="minorHAnsi"/>
        </w:rPr>
        <w:t>countertrends</w:t>
      </w:r>
      <w:r w:rsidR="002A3336" w:rsidRPr="00D01B8D">
        <w:rPr>
          <w:rFonts w:cstheme="minorHAnsi"/>
        </w:rPr>
        <w:t xml:space="preserve"> of state intervention within capitalism</w:t>
      </w:r>
      <w:r w:rsidR="006B4499">
        <w:rPr>
          <w:rFonts w:cstheme="minorHAnsi"/>
        </w:rPr>
        <w:t>.</w:t>
      </w:r>
      <w:r w:rsidR="002A3336" w:rsidRPr="00D01B8D">
        <w:rPr>
          <w:rFonts w:cstheme="minorHAnsi"/>
        </w:rPr>
        <w:t xml:space="preserve"> </w:t>
      </w:r>
      <w:r w:rsidR="006B4499">
        <w:rPr>
          <w:rFonts w:cstheme="minorHAnsi"/>
        </w:rPr>
        <w:t xml:space="preserve">As one of the editors of the journal has noted, all of this also needs to take into account dynamics involving </w:t>
      </w:r>
      <w:r w:rsidR="002A3336" w:rsidRPr="00D01B8D">
        <w:rPr>
          <w:rFonts w:cstheme="minorHAnsi"/>
        </w:rPr>
        <w:t xml:space="preserve">welfare and social policy, given the wage-relation and value-relation aspects of capitalism within which state intervention occurs (Jones, 2019). Rhodes (2007: 1254) reminds us that </w:t>
      </w:r>
      <w:r w:rsidR="002A3336">
        <w:rPr>
          <w:rFonts w:cstheme="minorHAnsi"/>
        </w:rPr>
        <w:t>“</w:t>
      </w:r>
      <w:r w:rsidR="002A3336" w:rsidRPr="00D01B8D">
        <w:rPr>
          <w:rFonts w:cstheme="minorHAnsi"/>
        </w:rPr>
        <w:t xml:space="preserve">patterns of rule arise as the contingent products of diverse actions and political struggles informed by the </w:t>
      </w:r>
      <w:r w:rsidR="002A3336" w:rsidRPr="00D01B8D">
        <w:rPr>
          <w:rFonts w:cstheme="minorHAnsi"/>
          <w:iCs/>
        </w:rPr>
        <w:t>beliefs of agents</w:t>
      </w:r>
      <w:r w:rsidR="002A3336" w:rsidRPr="00D01B8D">
        <w:rPr>
          <w:rFonts w:cstheme="minorHAnsi"/>
        </w:rPr>
        <w:t xml:space="preserve"> as they confront dilemmas that are understood differently in contending traditions</w:t>
      </w:r>
      <w:r w:rsidR="002A3336">
        <w:rPr>
          <w:rFonts w:cstheme="minorHAnsi"/>
        </w:rPr>
        <w:t>”</w:t>
      </w:r>
      <w:r w:rsidR="002A3336" w:rsidRPr="00D01B8D">
        <w:rPr>
          <w:rFonts w:cstheme="minorHAnsi"/>
        </w:rPr>
        <w:t>. Heeding this call for causal explanations of state intervention, where the uncovering of apparent purpose matters, two crucial elements of statehood are worthy of further explanation in this journal. The first is the notion of discursive geographies</w:t>
      </w:r>
      <w:r w:rsidR="002A3336" w:rsidRPr="00D01B8D">
        <w:rPr>
          <w:rFonts w:cstheme="minorHAnsi"/>
          <w:b/>
          <w:color w:val="000000"/>
        </w:rPr>
        <w:t xml:space="preserve">. </w:t>
      </w:r>
      <w:r w:rsidR="002A3336" w:rsidRPr="00D01B8D">
        <w:rPr>
          <w:rFonts w:cstheme="minorHAnsi"/>
          <w:color w:val="000000"/>
          <w:lang w:val="en-US"/>
        </w:rPr>
        <w:t>This encourages us to think of the state as not ‘always-already there’: the relationship between states, ideology</w:t>
      </w:r>
      <w:r w:rsidR="002A3336">
        <w:rPr>
          <w:rFonts w:cstheme="minorHAnsi"/>
          <w:color w:val="000000"/>
          <w:lang w:val="en-US"/>
        </w:rPr>
        <w:t>,</w:t>
      </w:r>
      <w:r w:rsidR="002A3336" w:rsidRPr="00D01B8D">
        <w:rPr>
          <w:rFonts w:cstheme="minorHAnsi"/>
          <w:color w:val="000000"/>
          <w:lang w:val="en-US"/>
        </w:rPr>
        <w:t xml:space="preserve"> and discourse matters in and through the production, dissemination and consumption of ideas and concepts to understand the whereabouts of state intervention and public policy. Our political geographies are continually being built by the state and cadres of ‘experts’ strategically assembled </w:t>
      </w:r>
      <w:r>
        <w:rPr>
          <w:rFonts w:cstheme="minorHAnsi"/>
          <w:color w:val="000000"/>
          <w:lang w:val="en-US"/>
        </w:rPr>
        <w:t xml:space="preserve">and </w:t>
      </w:r>
      <w:r w:rsidR="002A3336" w:rsidRPr="00D01B8D">
        <w:rPr>
          <w:rFonts w:cstheme="minorHAnsi"/>
          <w:color w:val="000000"/>
          <w:lang w:val="en-US"/>
        </w:rPr>
        <w:t xml:space="preserve">proposed as the appropriate caretakers, teachers, and practitioners of knowledge. As knowledge is transferred though </w:t>
      </w:r>
      <w:r w:rsidR="002A3336">
        <w:rPr>
          <w:rFonts w:cstheme="minorHAnsi"/>
          <w:color w:val="000000"/>
          <w:lang w:val="en-US"/>
        </w:rPr>
        <w:t>“</w:t>
      </w:r>
      <w:r w:rsidR="002A3336" w:rsidRPr="00D01B8D">
        <w:rPr>
          <w:rFonts w:cstheme="minorHAnsi"/>
          <w:color w:val="000000"/>
          <w:lang w:val="en-US"/>
        </w:rPr>
        <w:t>from one scale to another, the particular social, political, and economic context within which it was produced is stripped away, allowing the presentation of abstract programmatic statements that are valorised as universally applicable</w:t>
      </w:r>
      <w:r w:rsidR="002A3336">
        <w:rPr>
          <w:rFonts w:cstheme="minorHAnsi"/>
          <w:color w:val="000000"/>
          <w:lang w:val="en-US"/>
        </w:rPr>
        <w:t>”</w:t>
      </w:r>
      <w:r w:rsidR="002A3336" w:rsidRPr="00D01B8D">
        <w:rPr>
          <w:rFonts w:cstheme="minorHAnsi"/>
          <w:color w:val="000000"/>
          <w:lang w:val="en-US"/>
        </w:rPr>
        <w:t xml:space="preserve"> (Dixon and Hapke 2003: 143). Second, the geography of discourse itself matters, </w:t>
      </w:r>
      <w:r w:rsidR="002A3336">
        <w:rPr>
          <w:rFonts w:cstheme="minorHAnsi"/>
          <w:color w:val="000000"/>
          <w:lang w:val="en-US"/>
        </w:rPr>
        <w:t xml:space="preserve">in </w:t>
      </w:r>
      <w:r w:rsidR="002A3336" w:rsidRPr="00D01B8D">
        <w:rPr>
          <w:rFonts w:cstheme="minorHAnsi"/>
          <w:color w:val="000000"/>
          <w:lang w:val="en-US"/>
        </w:rPr>
        <w:t xml:space="preserve">the way objects of governance are constituted in relation to each other. The policy </w:t>
      </w:r>
      <w:r w:rsidR="002A3336">
        <w:rPr>
          <w:rFonts w:cstheme="minorHAnsi"/>
          <w:color w:val="000000"/>
          <w:lang w:val="en-US"/>
        </w:rPr>
        <w:t xml:space="preserve">framing </w:t>
      </w:r>
      <w:r w:rsidR="002A3336" w:rsidRPr="00D01B8D">
        <w:rPr>
          <w:rFonts w:cstheme="minorHAnsi"/>
          <w:color w:val="000000"/>
          <w:lang w:val="en-US"/>
        </w:rPr>
        <w:t>does not stand independently from the ideas and beliefs of politicians and policymakers</w:t>
      </w:r>
      <w:r w:rsidR="002A3336">
        <w:rPr>
          <w:rFonts w:cstheme="minorHAnsi"/>
          <w:color w:val="000000"/>
          <w:lang w:val="en-US"/>
        </w:rPr>
        <w:t xml:space="preserve"> </w:t>
      </w:r>
      <w:r w:rsidR="002A3336" w:rsidRPr="00D01B8D">
        <w:rPr>
          <w:rFonts w:cstheme="minorHAnsi"/>
          <w:color w:val="000000"/>
          <w:lang w:val="en-US"/>
        </w:rPr>
        <w:t>but must be always contextualised in relation to concepts and ideas that are unstated. Sum</w:t>
      </w:r>
      <w:r w:rsidR="002A3336">
        <w:rPr>
          <w:rFonts w:cstheme="minorHAnsi"/>
          <w:color w:val="000000"/>
          <w:lang w:val="en-US"/>
        </w:rPr>
        <w:t xml:space="preserve"> and Jessop</w:t>
      </w:r>
      <w:r w:rsidR="002A3336" w:rsidRPr="00D01B8D">
        <w:rPr>
          <w:rFonts w:cstheme="minorHAnsi"/>
          <w:color w:val="000000"/>
          <w:lang w:val="en-US"/>
        </w:rPr>
        <w:t xml:space="preserve"> (2013) deploy the notions of ‘semiosis’ </w:t>
      </w:r>
      <w:r w:rsidR="002A3336" w:rsidRPr="00D01B8D">
        <w:rPr>
          <w:rFonts w:cstheme="minorHAnsi"/>
          <w:color w:val="000000"/>
          <w:lang w:val="en-US"/>
        </w:rPr>
        <w:lastRenderedPageBreak/>
        <w:t xml:space="preserve">and ‘construal’ to combine these twin insights. Semiosis refers to sense-making and meaning-making, whereby policy-makers can give appreciation and meaning to their actions world, which is in turn predicted on ‘construal’—how a particular policy problem is perceived, and the solution constructed in response to this. Put simply, </w:t>
      </w:r>
      <w:r w:rsidR="002A3336" w:rsidRPr="00D01B8D">
        <w:rPr>
          <w:rFonts w:cstheme="minorHAnsi"/>
        </w:rPr>
        <w:t xml:space="preserve">‘the definition and construction of a “problem” </w:t>
      </w:r>
      <w:r w:rsidR="002A3336" w:rsidRPr="00D01B8D">
        <w:rPr>
          <w:rFonts w:cstheme="minorHAnsi"/>
          <w:i/>
        </w:rPr>
        <w:t>contains within it</w:t>
      </w:r>
      <w:r w:rsidR="002A3336" w:rsidRPr="00D01B8D">
        <w:rPr>
          <w:rFonts w:cstheme="minorHAnsi"/>
        </w:rPr>
        <w:t xml:space="preserve"> the “solution” to that problem’ (Atkinson 2000: 211, emphasis added).  </w:t>
      </w:r>
    </w:p>
    <w:p w14:paraId="6ED2BCE2" w14:textId="3EB75127" w:rsidR="00596F44" w:rsidRPr="00596F44" w:rsidRDefault="002F2624" w:rsidP="00FF3C9E">
      <w:pPr>
        <w:spacing w:line="360" w:lineRule="auto"/>
        <w:ind w:firstLine="720"/>
        <w:jc w:val="both"/>
        <w:rPr>
          <w:lang w:val="en-US"/>
        </w:rPr>
      </w:pPr>
      <w:r>
        <w:rPr>
          <w:lang w:val="en-US"/>
        </w:rPr>
        <w:t xml:space="preserve">Finally, </w:t>
      </w:r>
      <w:r w:rsidR="002A3336">
        <w:rPr>
          <w:lang w:val="en-US"/>
        </w:rPr>
        <w:t xml:space="preserve">and briefly, </w:t>
      </w:r>
      <w:r>
        <w:rPr>
          <w:lang w:val="en-US"/>
        </w:rPr>
        <w:t>l</w:t>
      </w:r>
      <w:r w:rsidR="00596F44" w:rsidRPr="00596F44">
        <w:rPr>
          <w:lang w:val="en-US"/>
        </w:rPr>
        <w:t xml:space="preserve">ess present so far in the journal are attempts to analyze legal pluralism as the outcome of politics bringing together very different systems of values and norms. Legal pluralism is still often associated with family laws in multicultural or multiethnic societies (where different rules </w:t>
      </w:r>
      <w:r w:rsidR="009B006A" w:rsidRPr="00596F44">
        <w:rPr>
          <w:lang w:val="en-US"/>
        </w:rPr>
        <w:t>appl</w:t>
      </w:r>
      <w:r w:rsidR="009B006A">
        <w:rPr>
          <w:lang w:val="en-US"/>
        </w:rPr>
        <w:t>y</w:t>
      </w:r>
      <w:r w:rsidR="009B006A" w:rsidRPr="00596F44">
        <w:rPr>
          <w:lang w:val="en-US"/>
        </w:rPr>
        <w:t xml:space="preserve"> </w:t>
      </w:r>
      <w:r w:rsidR="00596F44" w:rsidRPr="00596F44">
        <w:rPr>
          <w:lang w:val="en-US"/>
        </w:rPr>
        <w:t xml:space="preserve">to different groups of citizens depending </w:t>
      </w:r>
      <w:r w:rsidR="009B006A" w:rsidRPr="00596F44">
        <w:rPr>
          <w:lang w:val="en-US"/>
        </w:rPr>
        <w:t>o</w:t>
      </w:r>
      <w:r w:rsidR="009B006A">
        <w:rPr>
          <w:lang w:val="en-US"/>
        </w:rPr>
        <w:t>n</w:t>
      </w:r>
      <w:r w:rsidR="009B006A" w:rsidRPr="00596F44">
        <w:rPr>
          <w:lang w:val="en-US"/>
        </w:rPr>
        <w:t xml:space="preserve"> </w:t>
      </w:r>
      <w:r w:rsidR="00596F44" w:rsidRPr="00596F44">
        <w:rPr>
          <w:lang w:val="en-US"/>
        </w:rPr>
        <w:t>their ethnicity or religion, bringing about a whole set of tensions regarding contradictory rights and even more re</w:t>
      </w:r>
      <w:r w:rsidR="009B006A">
        <w:rPr>
          <w:lang w:val="en-US"/>
        </w:rPr>
        <w:t>garding</w:t>
      </w:r>
      <w:r w:rsidR="00596F44" w:rsidRPr="00596F44">
        <w:rPr>
          <w:lang w:val="en-US"/>
        </w:rPr>
        <w:t xml:space="preserve"> the assignation of individuals to groups). For </w:t>
      </w:r>
      <w:r w:rsidR="009B006A">
        <w:rPr>
          <w:lang w:val="en-US"/>
        </w:rPr>
        <w:t xml:space="preserve">this journal, </w:t>
      </w:r>
      <w:r w:rsidR="00596F44" w:rsidRPr="00596F44">
        <w:rPr>
          <w:lang w:val="en-US"/>
        </w:rPr>
        <w:t>legal pluralism is particularly interesting when it reveals different values and norms regarding territory, the environment, natural resources</w:t>
      </w:r>
      <w:r w:rsidR="001B46B8">
        <w:rPr>
          <w:lang w:val="en-US"/>
        </w:rPr>
        <w:t>,</w:t>
      </w:r>
      <w:r w:rsidR="00596F44" w:rsidRPr="00596F44">
        <w:rPr>
          <w:lang w:val="en-US"/>
        </w:rPr>
        <w:t xml:space="preserve"> and Earth in general.  For example</w:t>
      </w:r>
      <w:r w:rsidR="001B46B8">
        <w:rPr>
          <w:lang w:val="en-US"/>
        </w:rPr>
        <w:t>,</w:t>
      </w:r>
      <w:r w:rsidR="00596F44" w:rsidRPr="00596F44">
        <w:rPr>
          <w:lang w:val="en-US"/>
        </w:rPr>
        <w:t xml:space="preserve"> Robertson et al (2020) discuss piquhiit (‘Inuit rules’) in Uqsuqtuuq (Gjoa Haven, Nunavut, Canada), as part of everyday and informal norm- and territory-making, showing how shared norms concerning the treatment of people, the land/sea/ice and non-humans interact with Canadian and international laws. In the maritime social sciences such an approach is more common. Coastal fisheries in South Asia have been insightfully analyzed as a system of co-management bringing different legal order</w:t>
      </w:r>
      <w:r w:rsidR="009B006A">
        <w:rPr>
          <w:lang w:val="en-US"/>
        </w:rPr>
        <w:t>s</w:t>
      </w:r>
      <w:r w:rsidR="00596F44" w:rsidRPr="00596F44">
        <w:rPr>
          <w:lang w:val="en-US"/>
        </w:rPr>
        <w:t xml:space="preserve"> together: traditional, Indian, </w:t>
      </w:r>
      <w:r w:rsidR="009B006A">
        <w:rPr>
          <w:lang w:val="en-US"/>
        </w:rPr>
        <w:t xml:space="preserve">and </w:t>
      </w:r>
      <w:r w:rsidR="00596F44" w:rsidRPr="00596F44">
        <w:rPr>
          <w:lang w:val="en-US"/>
        </w:rPr>
        <w:t>international (Jentoft et al 2009, Bavinck et al 2013, Bavinck 2018). Likewise legal pluralism could prove a useful conceptual lens to research the governance of other resources and territories.</w:t>
      </w:r>
    </w:p>
    <w:p w14:paraId="24571EA6" w14:textId="77777777" w:rsidR="00186A56" w:rsidRDefault="00186A56" w:rsidP="005B2C28">
      <w:pPr>
        <w:spacing w:line="360" w:lineRule="auto"/>
        <w:jc w:val="both"/>
      </w:pPr>
    </w:p>
    <w:p w14:paraId="224FBC4D" w14:textId="62E258AC" w:rsidR="00660B16" w:rsidRPr="00D01B8D" w:rsidRDefault="00660B16" w:rsidP="005B2C28">
      <w:pPr>
        <w:spacing w:line="360" w:lineRule="auto"/>
        <w:jc w:val="both"/>
        <w:rPr>
          <w:b/>
          <w:bCs/>
        </w:rPr>
      </w:pPr>
      <w:r w:rsidRPr="00D01B8D">
        <w:rPr>
          <w:b/>
          <w:bCs/>
        </w:rPr>
        <w:t>Conclusions</w:t>
      </w:r>
    </w:p>
    <w:p w14:paraId="14951C4C" w14:textId="3DE8ACB4" w:rsidR="0020448A" w:rsidRDefault="0020448A" w:rsidP="005B2C28">
      <w:pPr>
        <w:spacing w:line="360" w:lineRule="auto"/>
        <w:jc w:val="both"/>
      </w:pPr>
    </w:p>
    <w:p w14:paraId="71190D8D" w14:textId="0532E2A6" w:rsidR="006B4499" w:rsidRDefault="00D01B8D" w:rsidP="005B2C28">
      <w:pPr>
        <w:spacing w:line="360" w:lineRule="auto"/>
        <w:jc w:val="both"/>
      </w:pPr>
      <w:r>
        <w:t xml:space="preserve">As </w:t>
      </w:r>
      <w:r w:rsidR="009B006A">
        <w:t xml:space="preserve">this </w:t>
      </w:r>
      <w:r>
        <w:t xml:space="preserve">editorial suggests, there is </w:t>
      </w:r>
      <w:r w:rsidR="009B006A">
        <w:t xml:space="preserve">plenty of </w:t>
      </w:r>
      <w:r>
        <w:t xml:space="preserve">scope for the journal as it enters its second decade. </w:t>
      </w:r>
      <w:r w:rsidR="009B006A">
        <w:t xml:space="preserve">The </w:t>
      </w:r>
      <w:r w:rsidR="005637C5">
        <w:t>themes</w:t>
      </w:r>
      <w:r w:rsidR="009B006A">
        <w:t xml:space="preserve"> of climate emergency, migration state, digital</w:t>
      </w:r>
      <w:r w:rsidR="00783D3B">
        <w:t>ization</w:t>
      </w:r>
      <w:r w:rsidR="009B006A">
        <w:t xml:space="preserve"> and conceptual</w:t>
      </w:r>
      <w:r w:rsidR="00783D3B">
        <w:t>ization</w:t>
      </w:r>
      <w:r w:rsidR="005637C5">
        <w:t xml:space="preserve"> </w:t>
      </w:r>
      <w:r w:rsidR="009B006A">
        <w:t xml:space="preserve">considered above </w:t>
      </w:r>
      <w:r w:rsidR="005637C5">
        <w:t xml:space="preserve">are illustrative and not exhaustive. The 2021 volume reveals well the productive intersectionality between territory, politics, and governance. </w:t>
      </w:r>
      <w:r w:rsidR="009B006A">
        <w:t xml:space="preserve">The journal’s </w:t>
      </w:r>
      <w:r w:rsidR="002A3336">
        <w:t xml:space="preserve">authors have provided us with conceptual and empirical insights ranging from the territorial logics of Islamic State (Kadercan 2021) to the contested political geographies of abortion in Ireland (Calkin 2021). </w:t>
      </w:r>
      <w:r w:rsidR="009B006A">
        <w:t xml:space="preserve">This </w:t>
      </w:r>
      <w:r w:rsidR="002A3336">
        <w:t xml:space="preserve">authorship continues to internationalise, with particularly impressive growth in China and other parts of the </w:t>
      </w:r>
      <w:r w:rsidR="005F17E7">
        <w:t xml:space="preserve">Global </w:t>
      </w:r>
      <w:r w:rsidR="002A3336">
        <w:t>South</w:t>
      </w:r>
      <w:r w:rsidR="009B006A">
        <w:t>, a</w:t>
      </w:r>
      <w:r w:rsidR="002A3336">
        <w:t xml:space="preserve">nd a </w:t>
      </w:r>
      <w:r w:rsidR="006B4499">
        <w:t>refreshed</w:t>
      </w:r>
      <w:r w:rsidR="002A3336">
        <w:t xml:space="preserve"> editorial board will further help the journal to </w:t>
      </w:r>
      <w:r w:rsidR="006B4499">
        <w:t>expand its author, reviewer, and topic</w:t>
      </w:r>
      <w:r w:rsidR="009B006A">
        <w:t>al</w:t>
      </w:r>
      <w:r w:rsidR="006B4499">
        <w:t xml:space="preserve"> horizons. Thank you to all those </w:t>
      </w:r>
      <w:r w:rsidR="006B4499">
        <w:lastRenderedPageBreak/>
        <w:t>who have supported the journal up to this point, and we look forward to working with you in the future</w:t>
      </w:r>
      <w:r w:rsidR="009B006A">
        <w:t xml:space="preserve"> to advance understanding</w:t>
      </w:r>
      <w:r w:rsidR="009C0F18">
        <w:t>s</w:t>
      </w:r>
      <w:r w:rsidR="009B006A">
        <w:t xml:space="preserve"> of territory, politics, and governance</w:t>
      </w:r>
      <w:r w:rsidR="006B4499">
        <w:t xml:space="preserve">. </w:t>
      </w:r>
    </w:p>
    <w:p w14:paraId="062333F9" w14:textId="77777777" w:rsidR="006B4499" w:rsidRDefault="006B4499" w:rsidP="005B2C28">
      <w:pPr>
        <w:spacing w:line="360" w:lineRule="auto"/>
        <w:jc w:val="both"/>
      </w:pPr>
    </w:p>
    <w:p w14:paraId="4A45882B" w14:textId="7A9E00E5" w:rsidR="00F35533" w:rsidRPr="00F35533" w:rsidRDefault="0020448A" w:rsidP="00F35533">
      <w:pPr>
        <w:spacing w:line="360" w:lineRule="auto"/>
        <w:jc w:val="both"/>
        <w:rPr>
          <w:b/>
          <w:bCs/>
        </w:rPr>
      </w:pPr>
      <w:r w:rsidRPr="0020448A">
        <w:rPr>
          <w:b/>
          <w:bCs/>
        </w:rPr>
        <w:t>References</w:t>
      </w:r>
      <w:r w:rsidR="00F35533" w:rsidRPr="00F35533">
        <w:rPr>
          <w:rFonts w:ascii="Times" w:hAnsi="Times"/>
          <w:color w:val="000000"/>
          <w:spacing w:val="-5"/>
          <w:sz w:val="36"/>
          <w:szCs w:val="36"/>
        </w:rPr>
        <w:t xml:space="preserve"> </w:t>
      </w:r>
    </w:p>
    <w:p w14:paraId="2B9CF646" w14:textId="6885C06C" w:rsidR="0020448A" w:rsidRPr="0020448A" w:rsidRDefault="0020448A" w:rsidP="005B2C28">
      <w:pPr>
        <w:spacing w:line="360" w:lineRule="auto"/>
        <w:jc w:val="both"/>
        <w:rPr>
          <w:b/>
          <w:bCs/>
        </w:rPr>
      </w:pPr>
    </w:p>
    <w:p w14:paraId="61EB7254" w14:textId="3D319F86" w:rsidR="00F35533" w:rsidRPr="00F35533" w:rsidRDefault="00F35533" w:rsidP="0020448A">
      <w:pPr>
        <w:spacing w:line="360" w:lineRule="auto"/>
        <w:jc w:val="both"/>
      </w:pPr>
      <w:r>
        <w:rPr>
          <w:lang w:val="en-US"/>
        </w:rPr>
        <w:t xml:space="preserve">Agnew J (1994) </w:t>
      </w:r>
      <w:r w:rsidRPr="00F35533">
        <w:t>The Territorial Trap: The Geographical Assumptions of International Relations Theory</w:t>
      </w:r>
      <w:r>
        <w:rPr>
          <w:lang w:val="en-US"/>
        </w:rPr>
        <w:t xml:space="preserve"> </w:t>
      </w:r>
      <w:r w:rsidRPr="00F35533">
        <w:rPr>
          <w:i/>
          <w:iCs/>
        </w:rPr>
        <w:t>Review of International Political Economy</w:t>
      </w:r>
      <w:r>
        <w:rPr>
          <w:i/>
          <w:iCs/>
        </w:rPr>
        <w:t xml:space="preserve"> </w:t>
      </w:r>
      <w:r w:rsidRPr="00F35533">
        <w:t>1</w:t>
      </w:r>
      <w:r>
        <w:t>: 53-80.</w:t>
      </w:r>
    </w:p>
    <w:p w14:paraId="0E75204D" w14:textId="29C0EB63" w:rsidR="008C3287" w:rsidRDefault="00F35533" w:rsidP="00FC4D27">
      <w:pPr>
        <w:spacing w:line="360" w:lineRule="auto"/>
        <w:jc w:val="both"/>
        <w:rPr>
          <w:lang w:val="en-US"/>
        </w:rPr>
      </w:pPr>
      <w:r>
        <w:rPr>
          <w:lang w:val="en-US"/>
        </w:rPr>
        <w:t xml:space="preserve">Agnew J (2013) Editorial: Territory, politics, governance </w:t>
      </w:r>
      <w:r w:rsidRPr="00F35533">
        <w:rPr>
          <w:i/>
          <w:iCs/>
          <w:lang w:val="en-US"/>
        </w:rPr>
        <w:t>Territory Politics Governance</w:t>
      </w:r>
      <w:r>
        <w:rPr>
          <w:lang w:val="en-US"/>
        </w:rPr>
        <w:t xml:space="preserve"> 1: 1-4. </w:t>
      </w:r>
    </w:p>
    <w:p w14:paraId="6912F34E" w14:textId="0743F59E" w:rsidR="008C3287" w:rsidRPr="008C3287" w:rsidRDefault="008C3287" w:rsidP="00FC4D27">
      <w:pPr>
        <w:spacing w:line="360" w:lineRule="auto"/>
        <w:jc w:val="both"/>
        <w:rPr>
          <w:lang w:val="en-US"/>
        </w:rPr>
      </w:pPr>
      <w:r>
        <w:rPr>
          <w:lang w:val="en-US"/>
        </w:rPr>
        <w:t xml:space="preserve">Agnew J (2019) Spatial uncertainties of contemporary governance </w:t>
      </w:r>
      <w:r w:rsidRPr="008C3287">
        <w:rPr>
          <w:i/>
          <w:iCs/>
          <w:lang w:val="en-US"/>
        </w:rPr>
        <w:t>Territory Politics Governance</w:t>
      </w:r>
      <w:r>
        <w:rPr>
          <w:lang w:val="en-US"/>
        </w:rPr>
        <w:t xml:space="preserve"> 7 435-437. </w:t>
      </w:r>
    </w:p>
    <w:p w14:paraId="663C9B9C" w14:textId="1F9833EB" w:rsidR="008C3287" w:rsidRDefault="008C3287" w:rsidP="00FC4D27">
      <w:pPr>
        <w:spacing w:line="360" w:lineRule="auto"/>
        <w:jc w:val="both"/>
      </w:pPr>
      <w:r>
        <w:t xml:space="preserve">Agnew J editor (2021) </w:t>
      </w:r>
      <w:r w:rsidRPr="008C3287">
        <w:rPr>
          <w:i/>
          <w:iCs/>
        </w:rPr>
        <w:t>The Confines of Territory</w:t>
      </w:r>
      <w:r>
        <w:t xml:space="preserve"> London: Routledge. </w:t>
      </w:r>
    </w:p>
    <w:p w14:paraId="4E5C9896" w14:textId="404A3B2F" w:rsidR="0044548C" w:rsidRPr="00D01B8D" w:rsidRDefault="0044548C" w:rsidP="00FC4D27">
      <w:pPr>
        <w:spacing w:line="360" w:lineRule="auto"/>
        <w:jc w:val="both"/>
        <w:rPr>
          <w:lang w:val="en-CA"/>
        </w:rPr>
      </w:pPr>
      <w:r w:rsidRPr="0044548C">
        <w:rPr>
          <w:lang w:val="en-CA"/>
        </w:rPr>
        <w:t>Allen, Darcy, Discovering and Developing the Blockchain Crypto</w:t>
      </w:r>
      <w:r w:rsidR="007C6196">
        <w:rPr>
          <w:lang w:val="en-CA"/>
        </w:rPr>
        <w:t>-</w:t>
      </w:r>
      <w:r w:rsidRPr="0044548C">
        <w:rPr>
          <w:lang w:val="en-CA"/>
        </w:rPr>
        <w:t>economy (August 18, 2017). Available</w:t>
      </w:r>
      <w:r>
        <w:rPr>
          <w:lang w:val="en-CA"/>
        </w:rPr>
        <w:t xml:space="preserve"> </w:t>
      </w:r>
      <w:r w:rsidRPr="0044548C">
        <w:rPr>
          <w:lang w:val="en-CA"/>
        </w:rPr>
        <w:t>at SSRN:</w:t>
      </w:r>
      <w:r>
        <w:rPr>
          <w:lang w:val="en-CA"/>
        </w:rPr>
        <w:t xml:space="preserve"> </w:t>
      </w:r>
      <w:hyperlink r:id="rId7" w:history="1">
        <w:r w:rsidRPr="0044548C">
          <w:rPr>
            <w:rStyle w:val="Hyperlink"/>
            <w:lang w:val="en-CA"/>
          </w:rPr>
          <w:t>https://ssrn.com/abstract=2815255</w:t>
        </w:r>
      </w:hyperlink>
      <w:r w:rsidRPr="0044548C">
        <w:rPr>
          <w:lang w:val="en-CA"/>
        </w:rPr>
        <w:t> or </w:t>
      </w:r>
      <w:hyperlink r:id="rId8" w:tgtFrame="_blank" w:history="1">
        <w:r w:rsidRPr="0044548C">
          <w:rPr>
            <w:rStyle w:val="Hyperlink"/>
            <w:lang w:val="en-CA"/>
          </w:rPr>
          <w:t>http://dx.doi.org/10.2139/ssrn.2815255</w:t>
        </w:r>
      </w:hyperlink>
    </w:p>
    <w:p w14:paraId="4CB2EC85" w14:textId="4369C4F5" w:rsidR="00FC4D27" w:rsidRDefault="00FC4D27" w:rsidP="00FC4D27">
      <w:pPr>
        <w:spacing w:line="360" w:lineRule="auto"/>
        <w:jc w:val="both"/>
      </w:pPr>
      <w:r w:rsidRPr="00FC4D27">
        <w:t xml:space="preserve">Arcesati, R. (2020). The Digital Silk Rad is a Development Issue. Mercator Institute for China Studies. Available at:  </w:t>
      </w:r>
      <w:hyperlink r:id="rId9" w:history="1">
        <w:r w:rsidRPr="00FC4D27">
          <w:rPr>
            <w:rStyle w:val="Hyperlink"/>
          </w:rPr>
          <w:t>https://merics.org/en/analysis/digital-silk-road-development-issue</w:t>
        </w:r>
      </w:hyperlink>
      <w:r w:rsidRPr="00FC4D27">
        <w:t xml:space="preserve"> [accessed: 23 November 2021].</w:t>
      </w:r>
    </w:p>
    <w:p w14:paraId="7F358274" w14:textId="02C2760E" w:rsidR="005C65B9" w:rsidRPr="00D01B8D" w:rsidRDefault="005C65B9" w:rsidP="00D01B8D">
      <w:pPr>
        <w:spacing w:line="360" w:lineRule="auto"/>
        <w:jc w:val="both"/>
        <w:rPr>
          <w:rFonts w:cstheme="minorHAnsi"/>
        </w:rPr>
      </w:pPr>
      <w:r w:rsidRPr="005C65B9">
        <w:rPr>
          <w:rFonts w:cstheme="minorHAnsi"/>
        </w:rPr>
        <w:t xml:space="preserve">Atkinson, R. (2000) </w:t>
      </w:r>
      <w:r w:rsidRPr="00D01B8D">
        <w:rPr>
          <w:rFonts w:cstheme="minorHAnsi"/>
        </w:rPr>
        <w:t>Narratives of policy: the construction of urban problems and urban policy in the official discourse of British government 1968-1998</w:t>
      </w:r>
      <w:r>
        <w:rPr>
          <w:rFonts w:cstheme="minorHAnsi"/>
        </w:rPr>
        <w:t xml:space="preserve"> </w:t>
      </w:r>
      <w:r w:rsidRPr="00D01B8D">
        <w:rPr>
          <w:rFonts w:cstheme="minorHAnsi"/>
          <w:i/>
        </w:rPr>
        <w:t>Critical Social Policy</w:t>
      </w:r>
      <w:r w:rsidRPr="00D01B8D">
        <w:rPr>
          <w:rFonts w:cstheme="minorHAnsi"/>
        </w:rPr>
        <w:t xml:space="preserve"> 20</w:t>
      </w:r>
      <w:r>
        <w:rPr>
          <w:rFonts w:cstheme="minorHAnsi"/>
        </w:rPr>
        <w:t xml:space="preserve">: </w:t>
      </w:r>
      <w:r w:rsidRPr="00D01B8D">
        <w:rPr>
          <w:rFonts w:cstheme="minorHAnsi"/>
        </w:rPr>
        <w:t>211-232.</w:t>
      </w:r>
    </w:p>
    <w:p w14:paraId="1FE98563" w14:textId="77777777" w:rsidR="00596F44" w:rsidRPr="00596F44" w:rsidRDefault="00596F44" w:rsidP="00596F44">
      <w:pPr>
        <w:spacing w:line="360" w:lineRule="auto"/>
        <w:jc w:val="both"/>
        <w:rPr>
          <w:lang w:val="nl-NL"/>
        </w:rPr>
      </w:pPr>
      <w:r w:rsidRPr="00596F44">
        <w:rPr>
          <w:lang w:val="en-US"/>
        </w:rPr>
        <w:t xml:space="preserve">Bavinck, M., D. Johnson, O. Amarasinghe, J. Rubinoff, S. Southwold, and K. T. Thomson. 2013. From Indifference to Mutual Support – A Comparative Analysis of Legal Pluralism in the Governing of South Asian Fisheries. </w:t>
      </w:r>
      <w:r w:rsidRPr="00596F44">
        <w:rPr>
          <w:i/>
          <w:iCs/>
          <w:lang w:val="nl-NL"/>
        </w:rPr>
        <w:t>The European Journal of Development Research</w:t>
      </w:r>
      <w:r w:rsidRPr="00596F44">
        <w:rPr>
          <w:lang w:val="nl-NL"/>
        </w:rPr>
        <w:t xml:space="preserve"> 25 (4):621-640.</w:t>
      </w:r>
    </w:p>
    <w:p w14:paraId="062500AA" w14:textId="31F35D5A" w:rsidR="009C0F18" w:rsidRDefault="009C0F18" w:rsidP="00FC4D27">
      <w:pPr>
        <w:spacing w:line="360" w:lineRule="auto"/>
        <w:jc w:val="both"/>
        <w:rPr>
          <w:lang w:val="en-US"/>
        </w:rPr>
      </w:pPr>
      <w:r>
        <w:rPr>
          <w:lang w:val="en-US"/>
        </w:rPr>
        <w:t xml:space="preserve">Bauer S (2020). </w:t>
      </w:r>
      <w:r w:rsidRPr="009C0F18">
        <w:t>What Is the Status of Trump’s ‘Big, Beautiful Wall’?</w:t>
      </w:r>
      <w:r>
        <w:t xml:space="preserve"> </w:t>
      </w:r>
      <w:r w:rsidRPr="00783D3B">
        <w:rPr>
          <w:i/>
          <w:iCs/>
        </w:rPr>
        <w:t>New York Times</w:t>
      </w:r>
      <w:r>
        <w:t xml:space="preserve"> 2</w:t>
      </w:r>
      <w:r w:rsidRPr="00783D3B">
        <w:rPr>
          <w:vertAlign w:val="superscript"/>
        </w:rPr>
        <w:t>nd</w:t>
      </w:r>
      <w:r>
        <w:t xml:space="preserve"> July 2020. URL: </w:t>
      </w:r>
      <w:hyperlink r:id="rId10" w:history="1">
        <w:r w:rsidRPr="00726E11">
          <w:rPr>
            <w:rStyle w:val="Hyperlink"/>
          </w:rPr>
          <w:t>https://www.nytimes.com/2020/07/02/books/review/14-miles-dw-gibson.html</w:t>
        </w:r>
      </w:hyperlink>
      <w:r>
        <w:t xml:space="preserve"> </w:t>
      </w:r>
    </w:p>
    <w:p w14:paraId="1BE79FC8" w14:textId="75CBAEEF" w:rsidR="00596F44" w:rsidRPr="00596F44" w:rsidRDefault="00596F44" w:rsidP="00FC4D27">
      <w:pPr>
        <w:spacing w:line="360" w:lineRule="auto"/>
        <w:jc w:val="both"/>
        <w:rPr>
          <w:lang w:val="en-US"/>
        </w:rPr>
      </w:pPr>
      <w:r w:rsidRPr="00596F44">
        <w:rPr>
          <w:lang w:val="en-US"/>
        </w:rPr>
        <w:t xml:space="preserve">Bavinck, M. 2018. Legal pluralism, governance, and the dynamics of seafood supply chains—explorations from South Asia. </w:t>
      </w:r>
      <w:r w:rsidRPr="00596F44">
        <w:rPr>
          <w:i/>
          <w:iCs/>
          <w:lang w:val="en-US"/>
        </w:rPr>
        <w:t>Maritime Studies</w:t>
      </w:r>
      <w:r w:rsidRPr="00596F44">
        <w:rPr>
          <w:lang w:val="en-US"/>
        </w:rPr>
        <w:t xml:space="preserve"> 17 (3):275-284.</w:t>
      </w:r>
    </w:p>
    <w:p w14:paraId="150CB8DC" w14:textId="40217B01" w:rsidR="007C6196" w:rsidRDefault="007C6196" w:rsidP="0020448A">
      <w:pPr>
        <w:spacing w:line="360" w:lineRule="auto"/>
        <w:jc w:val="both"/>
        <w:rPr>
          <w:lang w:val="en-US"/>
        </w:rPr>
      </w:pPr>
      <w:r>
        <w:rPr>
          <w:lang w:val="en-US"/>
        </w:rPr>
        <w:t>Bazu</w:t>
      </w:r>
      <w:r w:rsidR="00C347CD">
        <w:rPr>
          <w:lang w:val="en-US"/>
        </w:rPr>
        <w:t xml:space="preserve">rli </w:t>
      </w:r>
      <w:r w:rsidR="00137E47">
        <w:rPr>
          <w:lang w:val="en-US"/>
        </w:rPr>
        <w:t xml:space="preserve">R </w:t>
      </w:r>
      <w:r w:rsidR="00C347CD">
        <w:rPr>
          <w:lang w:val="en-US"/>
        </w:rPr>
        <w:t xml:space="preserve">et al (2022) </w:t>
      </w:r>
      <w:r w:rsidR="00C347CD" w:rsidRPr="00C347CD">
        <w:rPr>
          <w:lang w:val="en-US"/>
        </w:rPr>
        <w:t>Mayors, Migration, and Multi-Level Political Dynamics</w:t>
      </w:r>
      <w:r w:rsidR="00137E47">
        <w:rPr>
          <w:lang w:val="en-US"/>
        </w:rPr>
        <w:t xml:space="preserve"> </w:t>
      </w:r>
      <w:r w:rsidR="00137E47" w:rsidRPr="00B876C5">
        <w:rPr>
          <w:i/>
          <w:iCs/>
          <w:lang w:val="en-US"/>
        </w:rPr>
        <w:t>Territory Politics Governance</w:t>
      </w:r>
      <w:r w:rsidR="00137E47">
        <w:rPr>
          <w:lang w:val="en-US"/>
        </w:rPr>
        <w:t xml:space="preserve"> in press</w:t>
      </w:r>
    </w:p>
    <w:p w14:paraId="2E6201BC" w14:textId="13D2B23E" w:rsidR="007C6196" w:rsidRDefault="0020448A" w:rsidP="0020448A">
      <w:pPr>
        <w:spacing w:line="360" w:lineRule="auto"/>
        <w:jc w:val="both"/>
        <w:rPr>
          <w:lang w:val="en-US"/>
        </w:rPr>
      </w:pPr>
      <w:r>
        <w:rPr>
          <w:lang w:val="en-US"/>
        </w:rPr>
        <w:t>Berrang-Ford et al (2019)</w:t>
      </w:r>
      <w:r w:rsidR="007C6196">
        <w:rPr>
          <w:lang w:val="en-US"/>
        </w:rPr>
        <w:t xml:space="preserve"> </w:t>
      </w:r>
      <w:r w:rsidR="007C6196" w:rsidRPr="00B876C5">
        <w:t>Tracking global climate change adaptation among governments</w:t>
      </w:r>
      <w:r w:rsidR="007C6196">
        <w:rPr>
          <w:lang w:val="en-US"/>
        </w:rPr>
        <w:t xml:space="preserve"> </w:t>
      </w:r>
      <w:r w:rsidR="007C6196" w:rsidRPr="00B876C5">
        <w:rPr>
          <w:i/>
          <w:iCs/>
          <w:lang w:val="en-US"/>
        </w:rPr>
        <w:t>Nature Climate Change</w:t>
      </w:r>
      <w:r w:rsidR="007C6196">
        <w:rPr>
          <w:lang w:val="en-US"/>
        </w:rPr>
        <w:t xml:space="preserve"> 9: 440-449. </w:t>
      </w:r>
    </w:p>
    <w:p w14:paraId="5F3D7C75" w14:textId="77777777" w:rsidR="00FC4D27" w:rsidRPr="00FC4D27" w:rsidRDefault="00FC4D27" w:rsidP="00FC4D27">
      <w:pPr>
        <w:spacing w:line="360" w:lineRule="auto"/>
        <w:jc w:val="both"/>
      </w:pPr>
      <w:r w:rsidRPr="00FC4D27">
        <w:lastRenderedPageBreak/>
        <w:t xml:space="preserve">Bishop, A. (2015). Standard Power: The New Geopolitical Battle. The National Interest. Aviailable at </w:t>
      </w:r>
      <w:hyperlink r:id="rId11" w:history="1">
        <w:r w:rsidRPr="00FC4D27">
          <w:rPr>
            <w:rStyle w:val="Hyperlink"/>
          </w:rPr>
          <w:t>https://nationalinterest.org/feature/standard-power-the-new-geopolitical-battle-14017</w:t>
        </w:r>
      </w:hyperlink>
      <w:r w:rsidRPr="00FC4D27">
        <w:t xml:space="preserve"> [accessed: 23 November 2021]. </w:t>
      </w:r>
    </w:p>
    <w:p w14:paraId="2F81B9FE" w14:textId="77777777" w:rsidR="00FC4D27" w:rsidRPr="00FC4D27" w:rsidRDefault="00FC4D27" w:rsidP="00FC4D27">
      <w:pPr>
        <w:spacing w:line="360" w:lineRule="auto"/>
        <w:jc w:val="both"/>
      </w:pPr>
      <w:r w:rsidRPr="00FC4D27">
        <w:t xml:space="preserve">Blanchette, J. and Hillman, J. (2020). China’s Digital Silk Road After the Coronavirus. Centre for Strategic and International Studies. Available at </w:t>
      </w:r>
      <w:hyperlink r:id="rId12" w:history="1">
        <w:r w:rsidRPr="00FC4D27">
          <w:rPr>
            <w:rStyle w:val="Hyperlink"/>
          </w:rPr>
          <w:t>https://www.csis.org/analysis/chinas-digital-silk-road-after-coronavirus</w:t>
        </w:r>
      </w:hyperlink>
      <w:r w:rsidRPr="00FC4D27">
        <w:t xml:space="preserve"> [accessed: 23 November 2021].</w:t>
      </w:r>
    </w:p>
    <w:p w14:paraId="1A9EBB92" w14:textId="4FCBB9F5" w:rsidR="00596F44" w:rsidRDefault="00596F44" w:rsidP="00FC4D27">
      <w:pPr>
        <w:spacing w:line="360" w:lineRule="auto"/>
        <w:jc w:val="both"/>
        <w:rPr>
          <w:rFonts w:cstheme="minorHAnsi"/>
          <w:lang w:val="en-US"/>
        </w:rPr>
      </w:pPr>
      <w:r w:rsidRPr="00596F44">
        <w:rPr>
          <w:lang w:val="en-US"/>
        </w:rPr>
        <w:t xml:space="preserve">Burridge, A., N. Gill, A. Kocher, and L. Martin. 2017. Polymorphic borders. </w:t>
      </w:r>
      <w:r w:rsidRPr="00596F44">
        <w:rPr>
          <w:i/>
          <w:iCs/>
          <w:lang w:val="en-US"/>
        </w:rPr>
        <w:t xml:space="preserve">Territory, Politics, </w:t>
      </w:r>
      <w:r w:rsidRPr="006460EC">
        <w:rPr>
          <w:rFonts w:cstheme="minorHAnsi"/>
          <w:i/>
          <w:iCs/>
          <w:lang w:val="en-US"/>
        </w:rPr>
        <w:t>Governance</w:t>
      </w:r>
      <w:r w:rsidRPr="006460EC">
        <w:rPr>
          <w:rFonts w:cstheme="minorHAnsi"/>
          <w:lang w:val="en-US"/>
        </w:rPr>
        <w:t xml:space="preserve"> 5 (3):239-251.</w:t>
      </w:r>
    </w:p>
    <w:p w14:paraId="55A9C04C" w14:textId="37F5D84D" w:rsidR="0005453F" w:rsidRPr="006460EC" w:rsidRDefault="0005453F" w:rsidP="0005453F">
      <w:pPr>
        <w:spacing w:line="360" w:lineRule="auto"/>
        <w:jc w:val="both"/>
        <w:rPr>
          <w:rFonts w:cstheme="minorHAnsi"/>
          <w:lang w:val="en-US"/>
        </w:rPr>
      </w:pPr>
      <w:r w:rsidRPr="0005453F">
        <w:rPr>
          <w:rFonts w:cstheme="minorHAnsi"/>
          <w:lang w:val="en-US"/>
        </w:rPr>
        <w:t xml:space="preserve">Busch, Christoph. "The rise of the platform economy: a new challenge for EU Consumer Law?." </w:t>
      </w:r>
      <w:r w:rsidRPr="00D01B8D">
        <w:rPr>
          <w:rFonts w:cstheme="minorHAnsi"/>
          <w:i/>
          <w:iCs/>
          <w:lang w:val="en-US"/>
        </w:rPr>
        <w:t>Journal of European Consumer and Market Law</w:t>
      </w:r>
      <w:r w:rsidRPr="0005453F">
        <w:rPr>
          <w:rFonts w:cstheme="minorHAnsi"/>
          <w:lang w:val="en-US"/>
        </w:rPr>
        <w:t xml:space="preserve"> 5, no. 1 (2016).</w:t>
      </w:r>
    </w:p>
    <w:p w14:paraId="33918CF6" w14:textId="6A823DE8" w:rsidR="006460EC" w:rsidRPr="006460EC" w:rsidRDefault="006460EC" w:rsidP="006460EC">
      <w:pPr>
        <w:spacing w:line="360" w:lineRule="auto"/>
        <w:jc w:val="both"/>
        <w:rPr>
          <w:rFonts w:cstheme="minorHAnsi"/>
        </w:rPr>
      </w:pPr>
      <w:r w:rsidRPr="006460EC">
        <w:rPr>
          <w:rFonts w:cstheme="minorHAnsi"/>
        </w:rPr>
        <w:t xml:space="preserve">Büscher, B., Fletcher, R., Brockington, D., Sandbrook, C., Adams, W.M., Campbell, L., Corson, C., Dressler, W., Duffy, R., Gray, N., Holmes, G., Kelly, A., Lunstrum, E., Ramutsindela, M., and Shanker, K. 2017. Half-Earth or Whole Earth? Radical ideas for conservation and their implications. </w:t>
      </w:r>
      <w:r w:rsidRPr="006460EC">
        <w:rPr>
          <w:rFonts w:cstheme="minorHAnsi"/>
          <w:i/>
        </w:rPr>
        <w:t>Oryx</w:t>
      </w:r>
      <w:r w:rsidRPr="006460EC">
        <w:rPr>
          <w:rFonts w:cstheme="minorHAnsi"/>
        </w:rPr>
        <w:t xml:space="preserve"> 51(3): 407-410.</w:t>
      </w:r>
    </w:p>
    <w:p w14:paraId="222FEDAF" w14:textId="1476FA63" w:rsidR="006B4499" w:rsidRDefault="006B4499" w:rsidP="00FC4D27">
      <w:pPr>
        <w:spacing w:line="360" w:lineRule="auto"/>
        <w:jc w:val="both"/>
      </w:pPr>
      <w:r>
        <w:t xml:space="preserve">Calkin S (2021) </w:t>
      </w:r>
      <w:r w:rsidRPr="006B4499">
        <w:t>Transnational abortion pill flows and the political geography of abortion in Ireland</w:t>
      </w:r>
      <w:r>
        <w:t xml:space="preserve"> </w:t>
      </w:r>
      <w:r w:rsidRPr="006B4499">
        <w:rPr>
          <w:i/>
          <w:iCs/>
        </w:rPr>
        <w:t>Territory Politics Governance</w:t>
      </w:r>
      <w:r>
        <w:t xml:space="preserve"> 9: 163-179. </w:t>
      </w:r>
    </w:p>
    <w:p w14:paraId="365A3D97" w14:textId="3475B1BA" w:rsidR="00FC4D27" w:rsidRPr="00FC4D27" w:rsidRDefault="00FC4D27" w:rsidP="00FC4D27">
      <w:pPr>
        <w:spacing w:line="360" w:lineRule="auto"/>
        <w:jc w:val="both"/>
      </w:pPr>
      <w:r w:rsidRPr="00FC4D27">
        <w:t xml:space="preserve">Champion M (2019) Digital cold war. Bloomberg. Available at: </w:t>
      </w:r>
      <w:hyperlink r:id="rId13" w:history="1">
        <w:r w:rsidRPr="00FC4D27">
          <w:rPr>
            <w:rStyle w:val="Hyperlink"/>
          </w:rPr>
          <w:t>https://www.bloomberg.com/quicktake/how-u-s-china-tech-rivalry-looks-like-a-digital-cold-war</w:t>
        </w:r>
      </w:hyperlink>
      <w:r w:rsidRPr="00FC4D27">
        <w:t xml:space="preserve"> [accessed: 23 November 2021].</w:t>
      </w:r>
    </w:p>
    <w:p w14:paraId="23D9F092" w14:textId="3291DC03" w:rsidR="00FC4D27" w:rsidRPr="00FC4D27" w:rsidRDefault="00FC4D27" w:rsidP="0020448A">
      <w:pPr>
        <w:spacing w:line="360" w:lineRule="auto"/>
        <w:jc w:val="both"/>
      </w:pPr>
      <w:r w:rsidRPr="00FC4D27">
        <w:t xml:space="preserve">Chan, J.H. (2019). China’s Digital Silk Road: A Game Changer for Asian Economies. The Diplomat. Available at: </w:t>
      </w:r>
      <w:hyperlink r:id="rId14" w:history="1">
        <w:r w:rsidRPr="00FC4D27">
          <w:rPr>
            <w:rStyle w:val="Hyperlink"/>
          </w:rPr>
          <w:t>https://thediplomat.com/2019/04/chinas-digital-silk-road-a-game-changer-for-asian-economies/</w:t>
        </w:r>
      </w:hyperlink>
      <w:r w:rsidRPr="00FC4D27">
        <w:t xml:space="preserve"> [accessed: 23 November 2021].</w:t>
      </w:r>
    </w:p>
    <w:p w14:paraId="6C945516" w14:textId="418B9B84" w:rsidR="0020448A" w:rsidRPr="0020448A" w:rsidRDefault="0020448A" w:rsidP="0020448A">
      <w:pPr>
        <w:spacing w:line="360" w:lineRule="auto"/>
        <w:jc w:val="both"/>
        <w:rPr>
          <w:lang w:val="en-US"/>
        </w:rPr>
      </w:pPr>
      <w:r w:rsidRPr="0020448A">
        <w:rPr>
          <w:lang w:val="en-US"/>
        </w:rPr>
        <w:t xml:space="preserve">Davies, A., Broto, V. C., &amp; Hügel, S. (2021). Editorial: Is There a New Climate Politics? </w:t>
      </w:r>
      <w:r w:rsidRPr="0020448A">
        <w:rPr>
          <w:i/>
          <w:lang w:val="en-US"/>
        </w:rPr>
        <w:t>Politics and Governance</w:t>
      </w:r>
      <w:r w:rsidRPr="0020448A">
        <w:rPr>
          <w:lang w:val="en-US"/>
        </w:rPr>
        <w:t>,</w:t>
      </w:r>
      <w:r w:rsidRPr="0020448A">
        <w:rPr>
          <w:i/>
          <w:lang w:val="en-US"/>
        </w:rPr>
        <w:t xml:space="preserve"> 9(2)</w:t>
      </w:r>
      <w:r w:rsidRPr="0020448A">
        <w:rPr>
          <w:lang w:val="en-US"/>
        </w:rPr>
        <w:t xml:space="preserve">. </w:t>
      </w:r>
    </w:p>
    <w:p w14:paraId="40246E2C" w14:textId="3D0BE477" w:rsidR="009C0F18" w:rsidRDefault="009C0F18" w:rsidP="0020448A">
      <w:pPr>
        <w:spacing w:line="360" w:lineRule="auto"/>
        <w:jc w:val="both"/>
        <w:rPr>
          <w:lang w:val="en-US"/>
        </w:rPr>
      </w:pPr>
      <w:r>
        <w:rPr>
          <w:lang w:val="en-US"/>
        </w:rPr>
        <w:t xml:space="preserve">Death C (2011). </w:t>
      </w:r>
      <w:r w:rsidRPr="00783D3B">
        <w:t>Summit theatre: exemplary governmentality and environmental diplomacy in Johannesburg and Copenhagen</w:t>
      </w:r>
      <w:r>
        <w:t xml:space="preserve"> </w:t>
      </w:r>
      <w:r w:rsidRPr="00783D3B">
        <w:rPr>
          <w:i/>
          <w:iCs/>
        </w:rPr>
        <w:t>Environmental Politics</w:t>
      </w:r>
      <w:r>
        <w:t xml:space="preserve"> </w:t>
      </w:r>
      <w:r>
        <w:rPr>
          <w:lang w:val="en-US"/>
        </w:rPr>
        <w:t>20: 1-19.</w:t>
      </w:r>
    </w:p>
    <w:p w14:paraId="11912375" w14:textId="535EA111" w:rsidR="0020448A" w:rsidRDefault="0020448A" w:rsidP="0020448A">
      <w:pPr>
        <w:spacing w:line="360" w:lineRule="auto"/>
        <w:jc w:val="both"/>
        <w:rPr>
          <w:lang w:val="en-US"/>
        </w:rPr>
      </w:pPr>
      <w:r w:rsidRPr="0020448A">
        <w:rPr>
          <w:lang w:val="en-US"/>
        </w:rPr>
        <w:t xml:space="preserve">Dellmuth, L. M., &amp; Gustafsson, M.-T. (2021). Global adaptation governance: how intergovernmental organizations mainstream climate change adaptation. </w:t>
      </w:r>
      <w:r w:rsidRPr="0020448A">
        <w:rPr>
          <w:i/>
          <w:lang w:val="en-US"/>
        </w:rPr>
        <w:t>Climate Policy</w:t>
      </w:r>
      <w:r w:rsidRPr="0020448A">
        <w:rPr>
          <w:lang w:val="en-US"/>
        </w:rPr>
        <w:t xml:space="preserve">, 1-16. </w:t>
      </w:r>
    </w:p>
    <w:p w14:paraId="73F856B7" w14:textId="293465D1" w:rsidR="00725604" w:rsidRDefault="005C65B9" w:rsidP="00494CE1">
      <w:pPr>
        <w:spacing w:line="360" w:lineRule="auto"/>
        <w:rPr>
          <w:rFonts w:cstheme="minorHAnsi"/>
        </w:rPr>
      </w:pPr>
      <w:r w:rsidRPr="00D01B8D">
        <w:rPr>
          <w:rFonts w:cstheme="minorHAnsi"/>
        </w:rPr>
        <w:t>Dixon, D. and Hapke, H. (2003)</w:t>
      </w:r>
      <w:r w:rsidR="009C34C0">
        <w:rPr>
          <w:rFonts w:cstheme="minorHAnsi"/>
        </w:rPr>
        <w:t xml:space="preserve"> </w:t>
      </w:r>
      <w:r w:rsidRPr="00D01B8D">
        <w:rPr>
          <w:rFonts w:cstheme="minorHAnsi"/>
        </w:rPr>
        <w:t>Cultivating discourse: the social construction of agricultural legislation</w:t>
      </w:r>
      <w:r w:rsidR="009C34C0">
        <w:rPr>
          <w:rFonts w:cstheme="minorHAnsi"/>
        </w:rPr>
        <w:t xml:space="preserve"> </w:t>
      </w:r>
      <w:r w:rsidRPr="00D01B8D">
        <w:rPr>
          <w:rFonts w:cstheme="minorHAnsi"/>
          <w:i/>
        </w:rPr>
        <w:t>Annals of the Association of American Geographers</w:t>
      </w:r>
      <w:r w:rsidRPr="00D01B8D">
        <w:rPr>
          <w:rFonts w:cstheme="minorHAnsi"/>
        </w:rPr>
        <w:t xml:space="preserve"> 93</w:t>
      </w:r>
      <w:r w:rsidR="009C34C0">
        <w:rPr>
          <w:rFonts w:cstheme="minorHAnsi"/>
        </w:rPr>
        <w:t xml:space="preserve">: </w:t>
      </w:r>
      <w:r w:rsidRPr="00D01B8D">
        <w:rPr>
          <w:rFonts w:cstheme="minorHAnsi"/>
        </w:rPr>
        <w:t>142-164.</w:t>
      </w:r>
    </w:p>
    <w:p w14:paraId="03BC9784" w14:textId="0C69EC1E" w:rsidR="005637C5" w:rsidRDefault="00494CE1" w:rsidP="00494CE1">
      <w:pPr>
        <w:spacing w:line="360" w:lineRule="auto"/>
        <w:rPr>
          <w:rFonts w:cstheme="minorHAnsi"/>
        </w:rPr>
      </w:pPr>
      <w:r>
        <w:rPr>
          <w:rFonts w:cstheme="minorHAnsi"/>
        </w:rPr>
        <w:t xml:space="preserve">Dodds K et al (2020) </w:t>
      </w:r>
      <w:r w:rsidR="005637C5" w:rsidRPr="005637C5">
        <w:rPr>
          <w:rFonts w:cstheme="minorHAnsi"/>
        </w:rPr>
        <w:t>The COVID-19 pandemic: territorial, political and governance dimensions of the crisis</w:t>
      </w:r>
      <w:r w:rsidR="005637C5">
        <w:rPr>
          <w:rFonts w:cstheme="minorHAnsi"/>
        </w:rPr>
        <w:t xml:space="preserve"> </w:t>
      </w:r>
      <w:r w:rsidR="005637C5" w:rsidRPr="005637C5">
        <w:rPr>
          <w:rFonts w:cstheme="minorHAnsi"/>
          <w:i/>
          <w:iCs/>
        </w:rPr>
        <w:t>Territory Politics Governance</w:t>
      </w:r>
      <w:r w:rsidR="005637C5">
        <w:rPr>
          <w:rFonts w:cstheme="minorHAnsi"/>
        </w:rPr>
        <w:t xml:space="preserve"> 8: 289-298. </w:t>
      </w:r>
    </w:p>
    <w:p w14:paraId="4829BCC9" w14:textId="4238EECA" w:rsidR="00494CE1" w:rsidRPr="00494CE1" w:rsidRDefault="00494CE1" w:rsidP="00494CE1">
      <w:pPr>
        <w:spacing w:line="360" w:lineRule="auto"/>
        <w:rPr>
          <w:rFonts w:cstheme="minorHAnsi"/>
        </w:rPr>
      </w:pPr>
      <w:r>
        <w:rPr>
          <w:rFonts w:cstheme="minorHAnsi"/>
        </w:rPr>
        <w:t xml:space="preserve">Dodds K (2021) </w:t>
      </w:r>
      <w:r w:rsidRPr="00494CE1">
        <w:rPr>
          <w:rFonts w:cstheme="minorHAnsi"/>
          <w:i/>
          <w:iCs/>
        </w:rPr>
        <w:t>Border Wars</w:t>
      </w:r>
      <w:r>
        <w:rPr>
          <w:rFonts w:cstheme="minorHAnsi"/>
        </w:rPr>
        <w:t xml:space="preserve"> London: Ebury and Div</w:t>
      </w:r>
      <w:r w:rsidR="005637C5">
        <w:rPr>
          <w:rFonts w:cstheme="minorHAnsi"/>
        </w:rPr>
        <w:t>ersion Books</w:t>
      </w:r>
      <w:r>
        <w:rPr>
          <w:rFonts w:cstheme="minorHAnsi"/>
        </w:rPr>
        <w:t>.</w:t>
      </w:r>
    </w:p>
    <w:p w14:paraId="4C6DD5A9" w14:textId="77777777" w:rsidR="00725604" w:rsidRDefault="00725604" w:rsidP="00D01B8D">
      <w:pPr>
        <w:pStyle w:val="NormalWeb"/>
        <w:spacing w:before="0" w:beforeAutospacing="0" w:after="0" w:afterAutospacing="0" w:line="360" w:lineRule="auto"/>
        <w:ind w:left="720" w:hanging="720"/>
        <w:rPr>
          <w:rFonts w:asciiTheme="minorHAnsi" w:hAnsiTheme="minorHAnsi" w:cstheme="minorHAnsi"/>
          <w:lang w:val="en-US"/>
        </w:rPr>
      </w:pPr>
      <w:r>
        <w:rPr>
          <w:rFonts w:asciiTheme="minorHAnsi" w:hAnsiTheme="minorHAnsi" w:cstheme="minorHAnsi"/>
          <w:lang w:val="en-US"/>
        </w:rPr>
        <w:t xml:space="preserve">Dodgshon, R.A. (1998) </w:t>
      </w:r>
      <w:r w:rsidRPr="00F941F1">
        <w:rPr>
          <w:rFonts w:asciiTheme="minorHAnsi" w:hAnsiTheme="minorHAnsi" w:cstheme="minorHAnsi"/>
          <w:i/>
          <w:iCs/>
          <w:lang w:val="en-US"/>
        </w:rPr>
        <w:t>Society in Time and Space: A Geographical Perspective on Change</w:t>
      </w:r>
      <w:r>
        <w:rPr>
          <w:rFonts w:asciiTheme="minorHAnsi" w:hAnsiTheme="minorHAnsi" w:cstheme="minorHAnsi"/>
          <w:lang w:val="en-US"/>
        </w:rPr>
        <w:t xml:space="preserve">. </w:t>
      </w:r>
    </w:p>
    <w:p w14:paraId="16AF059A" w14:textId="1E1CC6C3" w:rsidR="00725604" w:rsidRPr="00D01B8D" w:rsidRDefault="00725604" w:rsidP="00D01B8D">
      <w:pPr>
        <w:pStyle w:val="NormalWeb"/>
        <w:spacing w:before="0" w:beforeAutospacing="0" w:after="0" w:afterAutospacing="0" w:line="360" w:lineRule="auto"/>
        <w:ind w:left="720" w:hanging="720"/>
        <w:rPr>
          <w:rFonts w:cstheme="minorHAnsi"/>
          <w:lang w:val="en-US"/>
        </w:rPr>
      </w:pPr>
      <w:r>
        <w:rPr>
          <w:rFonts w:asciiTheme="minorHAnsi" w:hAnsiTheme="minorHAnsi" w:cstheme="minorHAnsi"/>
          <w:lang w:val="en-US"/>
        </w:rPr>
        <w:lastRenderedPageBreak/>
        <w:t>Cambridge University Press, Cambridge.</w:t>
      </w:r>
    </w:p>
    <w:p w14:paraId="45108AAE" w14:textId="5A695A03" w:rsidR="00FC4D27" w:rsidRPr="00FC4D27" w:rsidRDefault="00FC4D27" w:rsidP="0020448A">
      <w:pPr>
        <w:spacing w:line="360" w:lineRule="auto"/>
        <w:jc w:val="both"/>
      </w:pPr>
      <w:r w:rsidRPr="00FC4D27">
        <w:t xml:space="preserve">Elden, S. (2013). Secure the volume: Vertical geopolitics and the depth of power. </w:t>
      </w:r>
      <w:r w:rsidRPr="00FC4D27">
        <w:rPr>
          <w:i/>
        </w:rPr>
        <w:t>Political Geography,</w:t>
      </w:r>
      <w:r w:rsidRPr="00FC4D27">
        <w:t xml:space="preserve"> 34: 35-51.</w:t>
      </w:r>
    </w:p>
    <w:p w14:paraId="6A943CF0" w14:textId="563F8531" w:rsidR="00EB5ADB" w:rsidRPr="00D01B8D" w:rsidRDefault="00EB5ADB" w:rsidP="00FC4D27">
      <w:pPr>
        <w:spacing w:line="360" w:lineRule="auto"/>
        <w:jc w:val="both"/>
        <w:rPr>
          <w:lang w:val="en-CA"/>
        </w:rPr>
      </w:pPr>
      <w:r>
        <w:t xml:space="preserve">Geobey, S. (2017). Planning for the sharing economy. </w:t>
      </w:r>
      <w:r w:rsidRPr="00EB5ADB">
        <w:t xml:space="preserve">In </w:t>
      </w:r>
      <w:hyperlink w:tooltip="Search for more titles by Markus Moos" w:history="1">
        <w:r w:rsidRPr="00D01B8D">
          <w:rPr>
            <w:rStyle w:val="Hyperlink"/>
            <w:lang w:val="en-CA"/>
          </w:rPr>
          <w:t>Markus Moos</w:t>
        </w:r>
      </w:hyperlink>
      <w:r w:rsidRPr="00D01B8D">
        <w:rPr>
          <w:lang w:val="en-CA"/>
        </w:rPr>
        <w:t xml:space="preserve">, </w:t>
      </w:r>
      <w:hyperlink w:tooltip="Search for more titles by Deirdre Pfeiffer" w:history="1">
        <w:r w:rsidRPr="00D01B8D">
          <w:rPr>
            <w:rStyle w:val="Hyperlink"/>
            <w:lang w:val="en-CA"/>
          </w:rPr>
          <w:t>Deirdre Pfeiffer</w:t>
        </w:r>
      </w:hyperlink>
      <w:r w:rsidRPr="00D01B8D">
        <w:rPr>
          <w:lang w:val="en-CA"/>
        </w:rPr>
        <w:t>, </w:t>
      </w:r>
      <w:hyperlink w:tooltip="Search for more titles by Tara Vinodrai" w:history="1">
        <w:r w:rsidRPr="00D01B8D">
          <w:rPr>
            <w:rStyle w:val="Hyperlink"/>
            <w:lang w:val="en-CA"/>
          </w:rPr>
          <w:t>Tara Vinodrai</w:t>
        </w:r>
      </w:hyperlink>
      <w:r w:rsidRPr="00D01B8D">
        <w:rPr>
          <w:lang w:val="en-CA"/>
        </w:rPr>
        <w:t>, eds</w:t>
      </w:r>
      <w:r>
        <w:rPr>
          <w:i/>
          <w:iCs/>
          <w:lang w:val="en-CA"/>
        </w:rPr>
        <w:t xml:space="preserve">, </w:t>
      </w:r>
      <w:r w:rsidRPr="00D01B8D">
        <w:rPr>
          <w:i/>
          <w:iCs/>
          <w:lang w:val="en-CA"/>
        </w:rPr>
        <w:t>The Millennial City: Trends, Implications, and Prospects for Urban Planning and Policy</w:t>
      </w:r>
      <w:r>
        <w:rPr>
          <w:lang w:val="en-CA"/>
        </w:rPr>
        <w:t>. Routledge.</w:t>
      </w:r>
    </w:p>
    <w:p w14:paraId="243891F7" w14:textId="18324C37" w:rsidR="009C0F18" w:rsidRDefault="009C0F18" w:rsidP="00FC4D27">
      <w:pPr>
        <w:spacing w:line="360" w:lineRule="auto"/>
        <w:jc w:val="both"/>
      </w:pPr>
      <w:r>
        <w:t xml:space="preserve">Griffiths R (2017). </w:t>
      </w:r>
      <w:r w:rsidRPr="00783D3B">
        <w:t>Admission to the sovereignty club: the past, present, and future of the international recognition regime</w:t>
      </w:r>
      <w:r>
        <w:t xml:space="preserve">. </w:t>
      </w:r>
      <w:r w:rsidRPr="00783D3B">
        <w:rPr>
          <w:i/>
          <w:iCs/>
        </w:rPr>
        <w:t>Territory Politics Governance</w:t>
      </w:r>
      <w:r>
        <w:t xml:space="preserve"> 5: 177-189. </w:t>
      </w:r>
    </w:p>
    <w:p w14:paraId="0741310B" w14:textId="706FFD70" w:rsidR="00FC4D27" w:rsidRDefault="00FC4D27" w:rsidP="00FC4D27">
      <w:pPr>
        <w:spacing w:line="360" w:lineRule="auto"/>
        <w:jc w:val="both"/>
      </w:pPr>
      <w:r w:rsidRPr="00FC4D27">
        <w:t xml:space="preserve">Guterres, A. (2020). COVID-19 Highlights ‘Life and Death’ Stakes for Greater Digital Cooperation. Available at </w:t>
      </w:r>
      <w:hyperlink r:id="rId15" w:history="1">
        <w:r w:rsidRPr="00FC4D27">
          <w:rPr>
            <w:rStyle w:val="Hyperlink"/>
          </w:rPr>
          <w:t>https://news.un.org/en/story/2020/06/1066132</w:t>
        </w:r>
      </w:hyperlink>
      <w:r w:rsidRPr="00FC4D27">
        <w:t xml:space="preserve"> [accessed: 23 November 2021].</w:t>
      </w:r>
    </w:p>
    <w:p w14:paraId="593B3F42" w14:textId="77777777" w:rsidR="00A64DCC" w:rsidRPr="00A64DCC" w:rsidRDefault="00A64DCC" w:rsidP="00A64DCC">
      <w:pPr>
        <w:spacing w:line="360" w:lineRule="auto"/>
        <w:jc w:val="both"/>
        <w:rPr>
          <w:rFonts w:eastAsia="PMingLiU" w:cs="Calibri"/>
        </w:rPr>
      </w:pPr>
      <w:r w:rsidRPr="00A64DCC">
        <w:rPr>
          <w:rFonts w:eastAsia="PMingLiU" w:cs="Calibri"/>
          <w:color w:val="000000"/>
        </w:rPr>
        <w:t xml:space="preserve">Half Earth. 2021 Half-earth project, accessed on 21 February 2021 at </w:t>
      </w:r>
      <w:hyperlink r:id="rId16" w:anchor=":~:text=Half%2DEarth%20is%20a%20call,bringing%20this%20goal%20to%20life">
        <w:r w:rsidRPr="00A64DCC">
          <w:rPr>
            <w:rFonts w:eastAsia="PMingLiU" w:cs="Calibri"/>
            <w:color w:val="0563C1"/>
            <w:u w:val="single"/>
          </w:rPr>
          <w:t>https://www.half-earthproject.org/#:~:text=Half%2DEarth%20is%20a%20call,bringing%20this%20goal%20to%20life</w:t>
        </w:r>
      </w:hyperlink>
    </w:p>
    <w:p w14:paraId="5D576222" w14:textId="322F6627" w:rsidR="00FC4D27" w:rsidRPr="00FC4D27" w:rsidRDefault="00FC4D27" w:rsidP="0020448A">
      <w:pPr>
        <w:spacing w:line="360" w:lineRule="auto"/>
        <w:jc w:val="both"/>
      </w:pPr>
      <w:r w:rsidRPr="00FC4D27">
        <w:t xml:space="preserve">Hillman, J. and Sacks, D. (2020). China’s Belt and Road: Implications for the United States. </w:t>
      </w:r>
      <w:r w:rsidRPr="00FC4D27">
        <w:rPr>
          <w:i/>
        </w:rPr>
        <w:t>Council on Foreign Relations</w:t>
      </w:r>
      <w:r w:rsidRPr="00FC4D27">
        <w:t xml:space="preserve">. Available at:  </w:t>
      </w:r>
      <w:hyperlink r:id="rId17" w:history="1">
        <w:r w:rsidRPr="00FC4D27">
          <w:rPr>
            <w:rStyle w:val="Hyperlink"/>
          </w:rPr>
          <w:t>https://www.cfr.org/report/chinas-belt-and-road-implications-for-the-united-states/</w:t>
        </w:r>
      </w:hyperlink>
      <w:r w:rsidRPr="00FC4D27">
        <w:t xml:space="preserve"> [accessed: 23 November 2021]. </w:t>
      </w:r>
    </w:p>
    <w:p w14:paraId="0B443655" w14:textId="3AD44EAB" w:rsidR="00C134CE" w:rsidRDefault="00C134CE" w:rsidP="0020448A">
      <w:pPr>
        <w:spacing w:line="360" w:lineRule="auto"/>
        <w:jc w:val="both"/>
        <w:rPr>
          <w:lang w:val="en-US"/>
        </w:rPr>
      </w:pPr>
      <w:r w:rsidRPr="00C134CE">
        <w:rPr>
          <w:lang w:val="en-US"/>
        </w:rPr>
        <w:t>Hollifield</w:t>
      </w:r>
      <w:r>
        <w:rPr>
          <w:lang w:val="en-US"/>
        </w:rPr>
        <w:t xml:space="preserve"> J</w:t>
      </w:r>
      <w:r w:rsidRPr="00C134CE">
        <w:rPr>
          <w:lang w:val="en-US"/>
        </w:rPr>
        <w:t xml:space="preserve"> (2004) “The emerging migration state,” </w:t>
      </w:r>
      <w:r w:rsidRPr="00C134CE">
        <w:rPr>
          <w:i/>
          <w:iCs/>
          <w:lang w:val="en-US"/>
        </w:rPr>
        <w:t>International Migration Review</w:t>
      </w:r>
      <w:r w:rsidRPr="00C134CE">
        <w:rPr>
          <w:lang w:val="en-US"/>
        </w:rPr>
        <w:t xml:space="preserve">. 38(3):  885-912.  </w:t>
      </w:r>
    </w:p>
    <w:p w14:paraId="0809F9BA" w14:textId="48193CF4" w:rsidR="0020448A" w:rsidRPr="0020448A" w:rsidRDefault="0020448A" w:rsidP="0020448A">
      <w:pPr>
        <w:spacing w:line="360" w:lineRule="auto"/>
        <w:jc w:val="both"/>
        <w:rPr>
          <w:lang w:val="en-US"/>
        </w:rPr>
      </w:pPr>
      <w:r w:rsidRPr="0020448A">
        <w:rPr>
          <w:lang w:val="en-US"/>
        </w:rPr>
        <w:t xml:space="preserve">IPCC. (2021). Summary for Policymakers. In V. Masson-Delmotte, P. Zhai, A. Pirani, S. L. Connors, C. Péan, S. Berger, N. Caud, Y. Chen, L. Goldfarb, M. I. Gomis, M. Huang, K. Leitzell, E. Lonnoy, J. B. R. Matthews, T. K. Maycock, T. Waterfield, O. Yelekçi, R. Yu and B. Zhou (Ed.), </w:t>
      </w:r>
      <w:r w:rsidRPr="0020448A">
        <w:rPr>
          <w:i/>
          <w:lang w:val="en-US"/>
        </w:rPr>
        <w:t>Climate Change 2021: The Physical Science Basis. Contribution of Working Group I to the Sixth Assessment Report of the Intergovernmental Panel on Climate Change</w:t>
      </w:r>
      <w:r w:rsidRPr="0020448A">
        <w:rPr>
          <w:lang w:val="en-US"/>
        </w:rPr>
        <w:t xml:space="preserve">. Cambridge University Press. </w:t>
      </w:r>
    </w:p>
    <w:p w14:paraId="49D5864B" w14:textId="77777777" w:rsidR="00596F44" w:rsidRPr="00596F44" w:rsidRDefault="00596F44" w:rsidP="00596F44">
      <w:pPr>
        <w:spacing w:line="360" w:lineRule="auto"/>
        <w:jc w:val="both"/>
        <w:rPr>
          <w:lang w:val="nl-NL"/>
        </w:rPr>
      </w:pPr>
      <w:r w:rsidRPr="00596F44">
        <w:rPr>
          <w:lang w:val="en-US"/>
        </w:rPr>
        <w:t xml:space="preserve">Jentoft, S., M. Bavinck, D. Johnson, and K. Thomson. 2009. Fisheries Co-Management and Legal Pluralism: How an Analytical Problem Becomes an Institutional One. </w:t>
      </w:r>
      <w:r w:rsidRPr="00596F44">
        <w:rPr>
          <w:i/>
          <w:iCs/>
          <w:lang w:val="nl-NL"/>
        </w:rPr>
        <w:t>Human Organization</w:t>
      </w:r>
      <w:r w:rsidRPr="00596F44">
        <w:rPr>
          <w:lang w:val="nl-NL"/>
        </w:rPr>
        <w:t xml:space="preserve"> 68 (1):27-38.</w:t>
      </w:r>
    </w:p>
    <w:p w14:paraId="1F8DBF78" w14:textId="77777777" w:rsidR="00596F44" w:rsidRPr="00596F44" w:rsidRDefault="00596F44" w:rsidP="00596F44">
      <w:pPr>
        <w:spacing w:line="360" w:lineRule="auto"/>
        <w:jc w:val="both"/>
        <w:rPr>
          <w:lang w:val="en-US"/>
        </w:rPr>
      </w:pPr>
      <w:r w:rsidRPr="00596F44">
        <w:rPr>
          <w:lang w:val="en-US"/>
        </w:rPr>
        <w:t xml:space="preserve">Jessop, B. 2016. Territory, politics, governance and multispatial metagovernance. </w:t>
      </w:r>
      <w:r w:rsidRPr="00596F44">
        <w:rPr>
          <w:i/>
          <w:iCs/>
          <w:lang w:val="en-US"/>
        </w:rPr>
        <w:t>Territory Politics Governance</w:t>
      </w:r>
      <w:r w:rsidRPr="00596F44">
        <w:rPr>
          <w:lang w:val="en-US"/>
        </w:rPr>
        <w:t xml:space="preserve"> 4 (1):8-12.</w:t>
      </w:r>
    </w:p>
    <w:p w14:paraId="5C732EC1" w14:textId="4717C92E" w:rsidR="00596F44" w:rsidRDefault="00596F44" w:rsidP="0020448A">
      <w:pPr>
        <w:spacing w:line="360" w:lineRule="auto"/>
        <w:jc w:val="both"/>
        <w:rPr>
          <w:lang w:val="en-US"/>
        </w:rPr>
      </w:pPr>
      <w:r w:rsidRPr="00596F44">
        <w:rPr>
          <w:lang w:val="en-US"/>
        </w:rPr>
        <w:t xml:space="preserve">Jessop, B., N. Brenner, and M. Jones. 2008. Theorizing sociospatial relations. </w:t>
      </w:r>
      <w:r w:rsidRPr="00596F44">
        <w:rPr>
          <w:i/>
          <w:iCs/>
          <w:lang w:val="en-US"/>
        </w:rPr>
        <w:t>Environment &amp; Planning D: Society &amp; Space</w:t>
      </w:r>
      <w:r w:rsidRPr="00596F44">
        <w:rPr>
          <w:lang w:val="en-US"/>
        </w:rPr>
        <w:t xml:space="preserve"> 26 (3):389-401.</w:t>
      </w:r>
    </w:p>
    <w:p w14:paraId="1DF6AF8E" w14:textId="6B9CEB6D" w:rsidR="00596F44" w:rsidRDefault="00596F44" w:rsidP="0020448A">
      <w:pPr>
        <w:spacing w:line="360" w:lineRule="auto"/>
        <w:jc w:val="both"/>
        <w:rPr>
          <w:lang w:val="en-US"/>
        </w:rPr>
      </w:pPr>
      <w:r w:rsidRPr="00596F44">
        <w:rPr>
          <w:lang w:val="en-US"/>
        </w:rPr>
        <w:t xml:space="preserve">Jones, M. 2016. Polymorphic Political Geographies. </w:t>
      </w:r>
      <w:r w:rsidRPr="00596F44">
        <w:rPr>
          <w:i/>
          <w:iCs/>
          <w:lang w:val="en-US"/>
        </w:rPr>
        <w:t>Territory, Politics, Governance</w:t>
      </w:r>
      <w:r w:rsidRPr="00596F44">
        <w:rPr>
          <w:lang w:val="en-US"/>
        </w:rPr>
        <w:t xml:space="preserve"> 4 (1):1-7.</w:t>
      </w:r>
    </w:p>
    <w:p w14:paraId="14016C8C" w14:textId="5B3B2479" w:rsidR="00725604" w:rsidRDefault="00725604" w:rsidP="0020448A">
      <w:pPr>
        <w:spacing w:line="360" w:lineRule="auto"/>
        <w:jc w:val="both"/>
        <w:rPr>
          <w:lang w:val="en-US"/>
        </w:rPr>
      </w:pPr>
      <w:r>
        <w:rPr>
          <w:lang w:val="en-US"/>
        </w:rPr>
        <w:lastRenderedPageBreak/>
        <w:t>Jones, M. 2019.</w:t>
      </w:r>
      <w:r w:rsidR="00735FB2">
        <w:rPr>
          <w:lang w:val="en-US"/>
        </w:rPr>
        <w:t xml:space="preserve"> </w:t>
      </w:r>
      <w:r w:rsidR="00735FB2" w:rsidRPr="00D01B8D">
        <w:rPr>
          <w:i/>
          <w:iCs/>
          <w:lang w:val="en-US"/>
        </w:rPr>
        <w:t>Cities and Regions in Crisis: The Political Economy of Subnational Economic Development</w:t>
      </w:r>
      <w:r w:rsidR="00735FB2">
        <w:rPr>
          <w:lang w:val="en-US"/>
        </w:rPr>
        <w:t>. Elgar, Cheltenham.</w:t>
      </w:r>
    </w:p>
    <w:p w14:paraId="77E974C0" w14:textId="4684DEF2" w:rsidR="002A3336" w:rsidRDefault="002A3336" w:rsidP="00D01B8D">
      <w:pPr>
        <w:pStyle w:val="Normal1"/>
        <w:spacing w:line="360" w:lineRule="auto"/>
        <w:rPr>
          <w:rFonts w:asciiTheme="minorHAnsi" w:eastAsia="Alegreya" w:hAnsiTheme="minorHAnsi" w:cstheme="minorHAnsi"/>
          <w:sz w:val="24"/>
          <w:szCs w:val="24"/>
        </w:rPr>
      </w:pPr>
      <w:r>
        <w:rPr>
          <w:rFonts w:asciiTheme="minorHAnsi" w:eastAsia="Alegreya" w:hAnsiTheme="minorHAnsi" w:cstheme="minorHAnsi"/>
          <w:sz w:val="24"/>
          <w:szCs w:val="24"/>
        </w:rPr>
        <w:t xml:space="preserve">Kadercan B (2021) </w:t>
      </w:r>
      <w:r w:rsidRPr="002A3336">
        <w:rPr>
          <w:rFonts w:eastAsia="Alegreya" w:cstheme="minorHAnsi"/>
        </w:rPr>
        <w:t>Territorial logic of the Islamic State: an interdisciplinary approach</w:t>
      </w:r>
      <w:r>
        <w:rPr>
          <w:rFonts w:asciiTheme="minorHAnsi" w:eastAsia="Alegreya" w:hAnsiTheme="minorHAnsi" w:cstheme="minorHAnsi"/>
          <w:sz w:val="24"/>
          <w:szCs w:val="24"/>
        </w:rPr>
        <w:t xml:space="preserve"> Territory Politics Governance 9: 94-110. </w:t>
      </w:r>
    </w:p>
    <w:p w14:paraId="66BCCEED" w14:textId="2ADDC612" w:rsidR="009C0F18" w:rsidRDefault="009C0F18" w:rsidP="00D01B8D">
      <w:pPr>
        <w:pStyle w:val="Normal1"/>
        <w:spacing w:line="360" w:lineRule="auto"/>
        <w:rPr>
          <w:rFonts w:asciiTheme="minorHAnsi" w:eastAsia="Alegreya" w:hAnsiTheme="minorHAnsi" w:cstheme="minorHAnsi"/>
          <w:sz w:val="24"/>
          <w:szCs w:val="24"/>
        </w:rPr>
      </w:pPr>
      <w:r>
        <w:rPr>
          <w:rFonts w:asciiTheme="minorHAnsi" w:eastAsia="Alegreya" w:hAnsiTheme="minorHAnsi" w:cstheme="minorHAnsi"/>
          <w:sz w:val="24"/>
          <w:szCs w:val="24"/>
        </w:rPr>
        <w:t xml:space="preserve">Luger J (2020). </w:t>
      </w:r>
      <w:r w:rsidRPr="00783D3B">
        <w:rPr>
          <w:rFonts w:asciiTheme="minorHAnsi" w:eastAsia="Alegreya" w:hAnsiTheme="minorHAnsi" w:cstheme="minorHAnsi"/>
        </w:rPr>
        <w:t>Questioning planetary illiberal geographies: territory, space and power</w:t>
      </w:r>
      <w:r>
        <w:rPr>
          <w:rFonts w:asciiTheme="minorHAnsi" w:eastAsia="Alegreya" w:hAnsiTheme="minorHAnsi" w:cstheme="minorHAnsi"/>
          <w:sz w:val="24"/>
          <w:szCs w:val="24"/>
        </w:rPr>
        <w:t xml:space="preserve">. </w:t>
      </w:r>
      <w:r w:rsidRPr="00783D3B">
        <w:rPr>
          <w:rFonts w:asciiTheme="minorHAnsi" w:eastAsia="Alegreya" w:hAnsiTheme="minorHAnsi" w:cstheme="minorHAnsi"/>
          <w:i/>
          <w:iCs/>
          <w:sz w:val="24"/>
          <w:szCs w:val="24"/>
        </w:rPr>
        <w:t xml:space="preserve">Territory Politics Governance </w:t>
      </w:r>
      <w:r>
        <w:rPr>
          <w:rFonts w:asciiTheme="minorHAnsi" w:eastAsia="Alegreya" w:hAnsiTheme="minorHAnsi" w:cstheme="minorHAnsi"/>
          <w:sz w:val="24"/>
          <w:szCs w:val="24"/>
        </w:rPr>
        <w:t xml:space="preserve">8: 1-6. </w:t>
      </w:r>
    </w:p>
    <w:p w14:paraId="1374222E" w14:textId="0C5B6D50" w:rsidR="00725604" w:rsidRPr="00725604" w:rsidRDefault="00725604" w:rsidP="00D01B8D">
      <w:pPr>
        <w:pStyle w:val="Normal1"/>
        <w:spacing w:line="360" w:lineRule="auto"/>
        <w:rPr>
          <w:rFonts w:asciiTheme="minorHAnsi" w:eastAsia="Alegreya" w:hAnsiTheme="minorHAnsi" w:cstheme="minorHAnsi"/>
          <w:sz w:val="24"/>
          <w:szCs w:val="24"/>
        </w:rPr>
      </w:pPr>
      <w:r w:rsidRPr="00725604">
        <w:rPr>
          <w:rFonts w:asciiTheme="minorHAnsi" w:eastAsia="Alegreya" w:hAnsiTheme="minorHAnsi" w:cstheme="minorHAnsi"/>
          <w:sz w:val="24"/>
          <w:szCs w:val="24"/>
        </w:rPr>
        <w:t xml:space="preserve">Malabou, C. (2008) </w:t>
      </w:r>
      <w:r w:rsidRPr="00725604">
        <w:rPr>
          <w:rFonts w:asciiTheme="minorHAnsi" w:eastAsia="Alegreya" w:hAnsiTheme="minorHAnsi" w:cstheme="minorHAnsi"/>
          <w:i/>
          <w:sz w:val="24"/>
          <w:szCs w:val="24"/>
        </w:rPr>
        <w:t>What Should We Do With Our Brain</w:t>
      </w:r>
      <w:r w:rsidRPr="00725604">
        <w:rPr>
          <w:rFonts w:asciiTheme="minorHAnsi" w:eastAsia="Alegreya" w:hAnsiTheme="minorHAnsi" w:cstheme="minorHAnsi"/>
          <w:sz w:val="24"/>
          <w:szCs w:val="24"/>
        </w:rPr>
        <w:t xml:space="preserve">. Fordham University Press, New </w:t>
      </w:r>
    </w:p>
    <w:p w14:paraId="7E00B3D3" w14:textId="169BBFA1" w:rsidR="00725604" w:rsidRDefault="00725604" w:rsidP="00725604">
      <w:pPr>
        <w:pStyle w:val="Normal1"/>
        <w:spacing w:line="360" w:lineRule="auto"/>
        <w:rPr>
          <w:rFonts w:asciiTheme="minorHAnsi" w:hAnsiTheme="minorHAnsi" w:cstheme="minorHAnsi"/>
          <w:lang w:val="en-US"/>
        </w:rPr>
      </w:pPr>
      <w:r w:rsidRPr="00725604">
        <w:rPr>
          <w:rFonts w:asciiTheme="minorHAnsi" w:eastAsia="Alegreya" w:hAnsiTheme="minorHAnsi" w:cstheme="minorHAnsi"/>
          <w:sz w:val="24"/>
          <w:szCs w:val="24"/>
        </w:rPr>
        <w:t>York.</w:t>
      </w:r>
      <w:r w:rsidRPr="00D01B8D">
        <w:rPr>
          <w:rFonts w:asciiTheme="minorHAnsi" w:hAnsiTheme="minorHAnsi" w:cstheme="minorHAnsi"/>
          <w:lang w:val="en-US"/>
        </w:rPr>
        <w:t xml:space="preserve"> </w:t>
      </w:r>
    </w:p>
    <w:p w14:paraId="4C53CF4E" w14:textId="168F9208" w:rsidR="00725604" w:rsidRPr="00725604" w:rsidRDefault="00725604" w:rsidP="00D01B8D">
      <w:pPr>
        <w:spacing w:line="360" w:lineRule="auto"/>
        <w:ind w:left="720" w:hanging="720"/>
        <w:rPr>
          <w:rFonts w:cstheme="minorHAnsi"/>
          <w:lang w:val="en-US"/>
        </w:rPr>
      </w:pPr>
      <w:r w:rsidRPr="00725604">
        <w:rPr>
          <w:rFonts w:cstheme="minorHAnsi"/>
          <w:lang w:val="en-US"/>
        </w:rPr>
        <w:t xml:space="preserve">Massey, D. (2005) </w:t>
      </w:r>
      <w:r w:rsidRPr="00725604">
        <w:rPr>
          <w:rFonts w:cstheme="minorHAnsi"/>
          <w:i/>
          <w:iCs/>
          <w:lang w:val="en-US"/>
        </w:rPr>
        <w:t>For Space</w:t>
      </w:r>
      <w:r w:rsidRPr="00725604">
        <w:rPr>
          <w:rFonts w:cstheme="minorHAnsi"/>
          <w:lang w:val="en-US"/>
        </w:rPr>
        <w:t>. Sage, London.</w:t>
      </w:r>
    </w:p>
    <w:p w14:paraId="01BE0D38" w14:textId="38CFFBAB" w:rsidR="0020448A" w:rsidRDefault="0020448A" w:rsidP="0020448A">
      <w:pPr>
        <w:spacing w:line="360" w:lineRule="auto"/>
        <w:jc w:val="both"/>
        <w:rPr>
          <w:lang w:val="en-US"/>
        </w:rPr>
      </w:pPr>
      <w:r w:rsidRPr="0020448A">
        <w:rPr>
          <w:lang w:val="en-US"/>
        </w:rPr>
        <w:t>McSweeney, R. (2021). Analysis: Which countries have sent the most delegates to COP26?</w:t>
      </w:r>
      <w:r w:rsidRPr="0020448A">
        <w:rPr>
          <w:i/>
          <w:lang w:val="en-US"/>
        </w:rPr>
        <w:t xml:space="preserve"> CarbonBrief</w:t>
      </w:r>
      <w:r w:rsidRPr="0020448A">
        <w:rPr>
          <w:lang w:val="en-US"/>
        </w:rPr>
        <w:t xml:space="preserve">. </w:t>
      </w:r>
    </w:p>
    <w:p w14:paraId="16499B4F" w14:textId="67EBE7EF" w:rsidR="00613CAF" w:rsidRPr="00D01B8D" w:rsidRDefault="00613CAF" w:rsidP="0020448A">
      <w:pPr>
        <w:spacing w:line="360" w:lineRule="auto"/>
        <w:jc w:val="both"/>
        <w:rPr>
          <w:lang w:val="en-CA"/>
        </w:rPr>
      </w:pPr>
      <w:r w:rsidRPr="00613CAF">
        <w:rPr>
          <w:lang w:val="en-CA"/>
        </w:rPr>
        <w:t>Mojumder MNH, Ahmed MA and Sadri AM (2021) Identifying Ridesharing Risk, Response, and Challenges in the Emergence of Novel Coronavirus Using Interactions in Uber Drivers Forum. </w:t>
      </w:r>
      <w:r w:rsidRPr="00613CAF">
        <w:rPr>
          <w:i/>
          <w:iCs/>
          <w:lang w:val="en-CA"/>
        </w:rPr>
        <w:t>Front. Built Environ.</w:t>
      </w:r>
      <w:r w:rsidRPr="00613CAF">
        <w:rPr>
          <w:lang w:val="en-CA"/>
        </w:rPr>
        <w:t> 7:619283. doi: 10.3389/fbuil.2021.619283</w:t>
      </w:r>
    </w:p>
    <w:p w14:paraId="485FAEDB" w14:textId="18CF163B" w:rsidR="00C92F93" w:rsidRDefault="0020448A" w:rsidP="0020448A">
      <w:pPr>
        <w:spacing w:line="360" w:lineRule="auto"/>
        <w:jc w:val="both"/>
        <w:rPr>
          <w:lang w:val="en-US"/>
        </w:rPr>
      </w:pPr>
      <w:r>
        <w:rPr>
          <w:lang w:val="en-US"/>
        </w:rPr>
        <w:t xml:space="preserve">Persson (2019) </w:t>
      </w:r>
    </w:p>
    <w:p w14:paraId="0917F3E1" w14:textId="37A9623A" w:rsidR="00C347CD" w:rsidRDefault="00C347CD" w:rsidP="00137E47">
      <w:pPr>
        <w:spacing w:line="360" w:lineRule="auto"/>
        <w:rPr>
          <w:rFonts w:cstheme="minorHAnsi"/>
        </w:rPr>
      </w:pPr>
      <w:r>
        <w:rPr>
          <w:rFonts w:cstheme="minorHAnsi"/>
        </w:rPr>
        <w:t xml:space="preserve">Natter </w:t>
      </w:r>
      <w:r w:rsidR="00137E47">
        <w:rPr>
          <w:rFonts w:cstheme="minorHAnsi"/>
        </w:rPr>
        <w:t xml:space="preserve">K </w:t>
      </w:r>
      <w:r>
        <w:rPr>
          <w:rFonts w:cstheme="minorHAnsi"/>
        </w:rPr>
        <w:t>(202</w:t>
      </w:r>
      <w:r w:rsidR="00137E47">
        <w:rPr>
          <w:rFonts w:cstheme="minorHAnsi"/>
        </w:rPr>
        <w:t>1</w:t>
      </w:r>
      <w:r>
        <w:rPr>
          <w:rFonts w:cstheme="minorHAnsi"/>
        </w:rPr>
        <w:t>)</w:t>
      </w:r>
      <w:r w:rsidR="00137E47">
        <w:rPr>
          <w:rFonts w:cstheme="minorHAnsi"/>
        </w:rPr>
        <w:t xml:space="preserve">. </w:t>
      </w:r>
      <w:r w:rsidR="00137E47" w:rsidRPr="00B876C5">
        <w:rPr>
          <w:rFonts w:cstheme="minorHAnsi"/>
        </w:rPr>
        <w:t>Ad-hocratic immigration governance: how states secure their power over immigration through intentional ambiguity</w:t>
      </w:r>
      <w:r w:rsidR="00137E47">
        <w:rPr>
          <w:rFonts w:cstheme="minorHAnsi"/>
        </w:rPr>
        <w:t xml:space="preserve"> </w:t>
      </w:r>
      <w:r w:rsidR="00137E47" w:rsidRPr="00B876C5">
        <w:rPr>
          <w:rFonts w:cstheme="minorHAnsi"/>
          <w:i/>
          <w:iCs/>
        </w:rPr>
        <w:t>Territory Politics Governance</w:t>
      </w:r>
      <w:r w:rsidR="00137E47">
        <w:rPr>
          <w:rFonts w:cstheme="minorHAnsi"/>
        </w:rPr>
        <w:t xml:space="preserve"> published online 15</w:t>
      </w:r>
      <w:r w:rsidR="00137E47" w:rsidRPr="00B876C5">
        <w:rPr>
          <w:rFonts w:cstheme="minorHAnsi"/>
          <w:vertAlign w:val="superscript"/>
        </w:rPr>
        <w:t>th</w:t>
      </w:r>
      <w:r w:rsidR="00137E47">
        <w:rPr>
          <w:rFonts w:cstheme="minorHAnsi"/>
        </w:rPr>
        <w:t xml:space="preserve"> February 2021. </w:t>
      </w:r>
    </w:p>
    <w:p w14:paraId="18DD1190" w14:textId="69CA186D" w:rsidR="00725604" w:rsidRPr="00D01B8D" w:rsidRDefault="00725604" w:rsidP="00D01B8D">
      <w:pPr>
        <w:spacing w:line="360" w:lineRule="auto"/>
        <w:rPr>
          <w:rFonts w:cstheme="minorHAnsi"/>
        </w:rPr>
      </w:pPr>
      <w:r w:rsidRPr="00D01B8D">
        <w:rPr>
          <w:rFonts w:cstheme="minorHAnsi"/>
        </w:rPr>
        <w:t xml:space="preserve">Rhodes, R. (2007), ‘Understanding governance: ten years on’ </w:t>
      </w:r>
      <w:r w:rsidRPr="00D01B8D">
        <w:rPr>
          <w:rFonts w:cstheme="minorHAnsi"/>
          <w:i/>
        </w:rPr>
        <w:t>Organization Studies</w:t>
      </w:r>
      <w:r w:rsidRPr="00D01B8D">
        <w:rPr>
          <w:rFonts w:cstheme="minorHAnsi"/>
        </w:rPr>
        <w:t>, 28, 1243-1264.</w:t>
      </w:r>
    </w:p>
    <w:p w14:paraId="4C327537" w14:textId="0A8B3927" w:rsidR="00596F44" w:rsidRDefault="00596F44" w:rsidP="0020448A">
      <w:pPr>
        <w:spacing w:line="360" w:lineRule="auto"/>
        <w:jc w:val="both"/>
        <w:rPr>
          <w:lang w:val="nl-NL"/>
        </w:rPr>
      </w:pPr>
      <w:r w:rsidRPr="00596F44">
        <w:rPr>
          <w:lang w:val="en-US"/>
        </w:rPr>
        <w:t xml:space="preserve">Robertson, S., S. Okpakok, and G. Ljubicic. 2020. Territorializing piquhiit in Uqsuqtuuq (Gjoa Haven, Nunavut, Canada): negotiating homeland through an Inuit normative system. </w:t>
      </w:r>
      <w:r w:rsidRPr="00596F44">
        <w:rPr>
          <w:i/>
          <w:iCs/>
          <w:lang w:val="nl-NL"/>
        </w:rPr>
        <w:t>Territory, Politics, Governance</w:t>
      </w:r>
      <w:r w:rsidRPr="00596F44">
        <w:rPr>
          <w:lang w:val="nl-NL"/>
        </w:rPr>
        <w:t>:1-20.</w:t>
      </w:r>
    </w:p>
    <w:p w14:paraId="1A1C472A" w14:textId="274A8AEE" w:rsidR="00C92F93" w:rsidRDefault="00C92F93" w:rsidP="0020448A">
      <w:pPr>
        <w:spacing w:line="360" w:lineRule="auto"/>
        <w:jc w:val="both"/>
        <w:rPr>
          <w:lang w:val="nl-NL"/>
        </w:rPr>
      </w:pPr>
      <w:r>
        <w:rPr>
          <w:lang w:val="nl-NL"/>
        </w:rPr>
        <w:t>Rockstr</w:t>
      </w:r>
      <w:r>
        <w:rPr>
          <w:rFonts w:cstheme="minorHAnsi"/>
          <w:lang w:val="nl-NL"/>
        </w:rPr>
        <w:t>ö</w:t>
      </w:r>
      <w:r>
        <w:rPr>
          <w:lang w:val="nl-NL"/>
        </w:rPr>
        <w:t>m, J. And Gaffney, O. (2021) Breaking boundaries: the science of our planet. London: Dorling Kindersley.</w:t>
      </w:r>
    </w:p>
    <w:p w14:paraId="71C086AD" w14:textId="4427B7F3" w:rsidR="00725604" w:rsidRPr="00D01B8D" w:rsidRDefault="00725604" w:rsidP="00D01B8D">
      <w:pPr>
        <w:pStyle w:val="Bodycopy"/>
        <w:spacing w:after="0" w:line="360" w:lineRule="auto"/>
        <w:ind w:left="720" w:hanging="720"/>
        <w:rPr>
          <w:rFonts w:cstheme="minorHAnsi"/>
          <w:lang w:val="en-US"/>
        </w:rPr>
      </w:pPr>
      <w:r w:rsidRPr="00725604">
        <w:rPr>
          <w:rFonts w:cstheme="minorHAnsi"/>
          <w:lang w:val="en-US"/>
        </w:rPr>
        <w:t xml:space="preserve">Rosen, S.M. (2006) </w:t>
      </w:r>
      <w:r w:rsidRPr="00725604">
        <w:rPr>
          <w:rFonts w:cstheme="minorHAnsi"/>
          <w:i/>
          <w:iCs/>
          <w:lang w:val="en-US"/>
        </w:rPr>
        <w:t>Topologies of the Flesh</w:t>
      </w:r>
      <w:r w:rsidRPr="00725604">
        <w:rPr>
          <w:rFonts w:cstheme="minorHAnsi"/>
          <w:lang w:val="en-US"/>
        </w:rPr>
        <w:t>. Ohio University Press, Athens.</w:t>
      </w:r>
    </w:p>
    <w:p w14:paraId="4C8E9761" w14:textId="1BB364E5" w:rsidR="00C134CE" w:rsidRDefault="00C134CE" w:rsidP="0020448A">
      <w:pPr>
        <w:spacing w:line="360" w:lineRule="auto"/>
        <w:jc w:val="both"/>
        <w:rPr>
          <w:lang w:val="en-US"/>
        </w:rPr>
      </w:pPr>
      <w:r>
        <w:rPr>
          <w:lang w:val="en-US"/>
        </w:rPr>
        <w:t xml:space="preserve">Roy A (2013) Editorial: Shifting the territory of politics </w:t>
      </w:r>
      <w:r w:rsidRPr="00C134CE">
        <w:rPr>
          <w:i/>
          <w:iCs/>
          <w:lang w:val="en-US"/>
        </w:rPr>
        <w:t>Territory, Politics Governance</w:t>
      </w:r>
      <w:r>
        <w:rPr>
          <w:lang w:val="en-US"/>
        </w:rPr>
        <w:t xml:space="preserve"> 1: 113-117. </w:t>
      </w:r>
    </w:p>
    <w:p w14:paraId="396613FA" w14:textId="2AEA5207" w:rsidR="00725604" w:rsidRPr="00D01B8D" w:rsidRDefault="00725604" w:rsidP="00D01B8D">
      <w:pPr>
        <w:spacing w:line="360" w:lineRule="auto"/>
        <w:rPr>
          <w:rFonts w:cstheme="minorHAnsi"/>
        </w:rPr>
      </w:pPr>
      <w:r w:rsidRPr="00D01B8D">
        <w:rPr>
          <w:rFonts w:cstheme="minorHAnsi"/>
        </w:rPr>
        <w:t xml:space="preserve">Sum, N.L. and Jessop, B. (2013), </w:t>
      </w:r>
      <w:r w:rsidRPr="00D01B8D">
        <w:rPr>
          <w:rFonts w:cstheme="minorHAnsi"/>
          <w:i/>
        </w:rPr>
        <w:t>Towards a Cultural Political Economy</w:t>
      </w:r>
      <w:r w:rsidRPr="00D01B8D">
        <w:rPr>
          <w:rFonts w:cstheme="minorHAnsi"/>
        </w:rPr>
        <w:t>, Cheltenham: Edward Elgar.</w:t>
      </w:r>
    </w:p>
    <w:p w14:paraId="15A15BDD" w14:textId="505DCBF3" w:rsidR="00F35533" w:rsidRDefault="00F35533" w:rsidP="0020448A">
      <w:pPr>
        <w:spacing w:line="360" w:lineRule="auto"/>
        <w:jc w:val="both"/>
        <w:rPr>
          <w:lang w:val="en-US"/>
        </w:rPr>
      </w:pPr>
      <w:r>
        <w:rPr>
          <w:lang w:val="en-US"/>
        </w:rPr>
        <w:t xml:space="preserve">UN (2021) </w:t>
      </w:r>
      <w:r w:rsidRPr="00FC4D27">
        <w:rPr>
          <w:i/>
          <w:iCs/>
          <w:lang w:val="en-US"/>
        </w:rPr>
        <w:t>World Migration Report 2020</w:t>
      </w:r>
      <w:r w:rsidR="00FC4D27">
        <w:rPr>
          <w:lang w:val="en-US"/>
        </w:rPr>
        <w:t xml:space="preserve"> </w:t>
      </w:r>
      <w:r>
        <w:rPr>
          <w:lang w:val="en-US"/>
        </w:rPr>
        <w:t xml:space="preserve">URL available: </w:t>
      </w:r>
      <w:hyperlink r:id="rId18" w:history="1">
        <w:r w:rsidRPr="00550854">
          <w:rPr>
            <w:rStyle w:val="Hyperlink"/>
            <w:lang w:val="en-US"/>
          </w:rPr>
          <w:t>https://worldmigrationreport.iom.int/wmr-2020-interactive/</w:t>
        </w:r>
      </w:hyperlink>
    </w:p>
    <w:p w14:paraId="78E6F7A8" w14:textId="3D30D27F" w:rsidR="006E2AF3" w:rsidRDefault="006E2AF3" w:rsidP="006E2AF3">
      <w:pPr>
        <w:spacing w:line="360" w:lineRule="auto"/>
        <w:jc w:val="both"/>
      </w:pPr>
      <w:r w:rsidRPr="006E2AF3">
        <w:lastRenderedPageBreak/>
        <w:t xml:space="preserve">Wells, Katie J, Kafui Attoh, and Declan Cullen. “‘Just-in-Place’ Labor: Driver Organizing in the Uber Workplace.” Environment and Planning A: Economy and Space 53, no. 2 (March 2021): 315–31. </w:t>
      </w:r>
      <w:hyperlink r:id="rId19" w:history="1">
        <w:r w:rsidR="00725604" w:rsidRPr="003765CD">
          <w:rPr>
            <w:rStyle w:val="Hyperlink"/>
          </w:rPr>
          <w:t>https://doi.org/10.1177/0308518X20949266</w:t>
        </w:r>
      </w:hyperlink>
      <w:r w:rsidRPr="006E2AF3">
        <w:t>.</w:t>
      </w:r>
    </w:p>
    <w:p w14:paraId="343D0D1C" w14:textId="21AC573F" w:rsidR="00725604" w:rsidRPr="00D01B8D" w:rsidRDefault="00725604" w:rsidP="00D01B8D">
      <w:pPr>
        <w:spacing w:line="360" w:lineRule="auto"/>
        <w:rPr>
          <w:rFonts w:cstheme="minorHAnsi"/>
          <w:lang w:val="en-US"/>
        </w:rPr>
      </w:pPr>
      <w:r>
        <w:rPr>
          <w:rFonts w:cstheme="minorHAnsi"/>
          <w:lang w:val="en-US"/>
        </w:rPr>
        <w:t xml:space="preserve">Whatmore, S. (2002) </w:t>
      </w:r>
      <w:r w:rsidRPr="00124F9B">
        <w:rPr>
          <w:rFonts w:cstheme="minorHAnsi"/>
          <w:i/>
          <w:iCs/>
          <w:lang w:val="en-US"/>
        </w:rPr>
        <w:t>Hybrid Geographies: Natures Cultures Spaces</w:t>
      </w:r>
      <w:r>
        <w:rPr>
          <w:rFonts w:cstheme="minorHAnsi"/>
          <w:lang w:val="en-US"/>
        </w:rPr>
        <w:t>. Sage, London.</w:t>
      </w:r>
    </w:p>
    <w:p w14:paraId="70857F10" w14:textId="5DF0C5F4" w:rsidR="00FC4D27" w:rsidRPr="00FC4D27" w:rsidRDefault="00FC4D27" w:rsidP="00FC4D27">
      <w:pPr>
        <w:spacing w:line="360" w:lineRule="auto"/>
        <w:jc w:val="both"/>
        <w:rPr>
          <w:lang w:val="en-US"/>
        </w:rPr>
      </w:pPr>
      <w:r w:rsidRPr="00FC4D27">
        <w:t>Woon, C.Y. (2021). ‘Provincialising the Belt and Road Initiative: Theorising with Chinese narratives of the ‘Digital Silk Road’ (</w:t>
      </w:r>
      <w:r w:rsidRPr="00FC4D27">
        <w:rPr>
          <w:rFonts w:ascii="MS Gothic" w:eastAsia="MS Gothic" w:hAnsi="MS Gothic" w:cs="MS Gothic" w:hint="eastAsia"/>
        </w:rPr>
        <w:t>数字</w:t>
      </w:r>
      <w:r w:rsidRPr="00FC4D27">
        <w:rPr>
          <w:rFonts w:ascii="Microsoft JhengHei" w:eastAsia="Microsoft JhengHei" w:hAnsi="Microsoft JhengHei" w:cs="Microsoft JhengHei" w:hint="eastAsia"/>
        </w:rPr>
        <w:t>丝绸</w:t>
      </w:r>
      <w:r w:rsidRPr="00FC4D27">
        <w:rPr>
          <w:rFonts w:ascii="MS Gothic" w:eastAsia="MS Gothic" w:hAnsi="MS Gothic" w:cs="MS Gothic" w:hint="eastAsia"/>
        </w:rPr>
        <w:t>之路</w:t>
      </w:r>
      <w:r w:rsidRPr="00FC4D27">
        <w:t>)</w:t>
      </w:r>
      <w:r w:rsidRPr="00FC4D27">
        <w:rPr>
          <w:lang w:val="en-US"/>
        </w:rPr>
        <w:t xml:space="preserve">. </w:t>
      </w:r>
      <w:r w:rsidRPr="00FC4D27">
        <w:rPr>
          <w:i/>
          <w:lang w:val="en-US"/>
        </w:rPr>
        <w:t>Asia Pacific Viewpoint</w:t>
      </w:r>
      <w:r w:rsidRPr="00FC4D27">
        <w:rPr>
          <w:lang w:val="en-US"/>
        </w:rPr>
        <w:t xml:space="preserve">. </w:t>
      </w:r>
      <w:hyperlink r:id="rId20" w:history="1">
        <w:r w:rsidRPr="00FC4D27">
          <w:rPr>
            <w:rStyle w:val="Hyperlink"/>
            <w:lang w:val="en-US"/>
          </w:rPr>
          <w:t>https://doi.org/10.1111/apv.12320</w:t>
        </w:r>
      </w:hyperlink>
      <w:r w:rsidRPr="00FC4D27">
        <w:rPr>
          <w:lang w:val="en-US"/>
        </w:rPr>
        <w:t xml:space="preserve"> </w:t>
      </w:r>
    </w:p>
    <w:p w14:paraId="3850EA46" w14:textId="4F932200" w:rsidR="00F4726E" w:rsidRDefault="00F4726E" w:rsidP="00FC4D27">
      <w:pPr>
        <w:spacing w:line="360" w:lineRule="auto"/>
        <w:jc w:val="both"/>
      </w:pPr>
      <w:r>
        <w:t>Wilson, E.O. (2016) Half-Earth: Our Planet’s Fight for Life. Liveright Publishing, London, UK.</w:t>
      </w:r>
    </w:p>
    <w:p w14:paraId="5CC2A539" w14:textId="4C97094F" w:rsidR="00FC4D27" w:rsidRPr="00FC4D27" w:rsidRDefault="00FC4D27" w:rsidP="00FC4D27">
      <w:pPr>
        <w:spacing w:line="360" w:lineRule="auto"/>
        <w:jc w:val="both"/>
      </w:pPr>
      <w:r w:rsidRPr="00FC4D27">
        <w:t xml:space="preserve">Xinhua (2018) Zhengzhiding Zhongguopiaozhun 2035 [Establishing China Standards 2035]. Available at: </w:t>
      </w:r>
      <w:hyperlink r:id="rId21" w:history="1">
        <w:r w:rsidRPr="00FC4D27">
          <w:rPr>
            <w:rStyle w:val="Hyperlink"/>
          </w:rPr>
          <w:t>http://www.xinhuanet.com/fortune/2018-01/10/c_129787658.htm</w:t>
        </w:r>
      </w:hyperlink>
      <w:r w:rsidRPr="00FC4D27">
        <w:t xml:space="preserve"> [accessed: 23 November 2021].</w:t>
      </w:r>
    </w:p>
    <w:p w14:paraId="32495DB7" w14:textId="77777777" w:rsidR="00FC4D27" w:rsidRPr="00FC4D27" w:rsidRDefault="00FC4D27" w:rsidP="00FC4D27">
      <w:pPr>
        <w:spacing w:line="360" w:lineRule="auto"/>
        <w:jc w:val="both"/>
      </w:pPr>
      <w:r w:rsidRPr="00FC4D27">
        <w:t xml:space="preserve">Yang, J. (2017) Yi “renleimingyungongtongti” xixiangyinlingxinjiangyu de guojizhili [How “community with shared future of mankind” can guide the global governance of new territories].  </w:t>
      </w:r>
      <w:r w:rsidRPr="00FC4D27">
        <w:rPr>
          <w:i/>
        </w:rPr>
        <w:t>Dangdaishijie</w:t>
      </w:r>
      <w:r w:rsidRPr="00FC4D27">
        <w:t xml:space="preserve"> 2017(6): 22-25.</w:t>
      </w:r>
    </w:p>
    <w:p w14:paraId="3599BCC9" w14:textId="77777777" w:rsidR="00F35533" w:rsidRPr="0020448A" w:rsidRDefault="00F35533" w:rsidP="0020448A">
      <w:pPr>
        <w:spacing w:line="360" w:lineRule="auto"/>
        <w:jc w:val="both"/>
        <w:rPr>
          <w:lang w:val="en-US"/>
        </w:rPr>
      </w:pPr>
    </w:p>
    <w:p w14:paraId="3287CF02" w14:textId="1F1D5872" w:rsidR="0020448A" w:rsidRDefault="0020448A" w:rsidP="005B2C28">
      <w:pPr>
        <w:spacing w:line="360" w:lineRule="auto"/>
        <w:jc w:val="both"/>
      </w:pPr>
    </w:p>
    <w:p w14:paraId="7C1CB680" w14:textId="77777777" w:rsidR="00FC4D27" w:rsidRPr="00FC4D27" w:rsidRDefault="00FC4D27" w:rsidP="00FC4D27">
      <w:pPr>
        <w:spacing w:line="360" w:lineRule="auto"/>
        <w:jc w:val="both"/>
      </w:pPr>
    </w:p>
    <w:p w14:paraId="2C479F1F" w14:textId="77777777" w:rsidR="00FC4D27" w:rsidRPr="00FC4D27" w:rsidRDefault="00FC4D27" w:rsidP="00FC4D27">
      <w:pPr>
        <w:spacing w:line="360" w:lineRule="auto"/>
        <w:jc w:val="both"/>
      </w:pPr>
    </w:p>
    <w:p w14:paraId="222A836B" w14:textId="77777777" w:rsidR="00FC4D27" w:rsidRPr="00FC4D27" w:rsidRDefault="00FC4D27" w:rsidP="00FC4D27">
      <w:pPr>
        <w:spacing w:line="360" w:lineRule="auto"/>
        <w:jc w:val="both"/>
      </w:pPr>
    </w:p>
    <w:p w14:paraId="2EE2E877" w14:textId="77777777" w:rsidR="00FC4D27" w:rsidRPr="00FC4D27" w:rsidRDefault="00FC4D27" w:rsidP="00FC4D27">
      <w:pPr>
        <w:spacing w:line="360" w:lineRule="auto"/>
        <w:jc w:val="both"/>
      </w:pPr>
    </w:p>
    <w:p w14:paraId="707CC0C3" w14:textId="77777777" w:rsidR="00FC4D27" w:rsidRPr="00FC4D27" w:rsidRDefault="00FC4D27" w:rsidP="00FC4D27">
      <w:pPr>
        <w:spacing w:line="360" w:lineRule="auto"/>
        <w:jc w:val="both"/>
      </w:pPr>
    </w:p>
    <w:p w14:paraId="13B80F8E" w14:textId="77777777" w:rsidR="00FC4D27" w:rsidRPr="00FC4D27" w:rsidRDefault="00FC4D27" w:rsidP="00FC4D27">
      <w:pPr>
        <w:spacing w:line="360" w:lineRule="auto"/>
        <w:jc w:val="both"/>
      </w:pPr>
    </w:p>
    <w:p w14:paraId="43D6C34A" w14:textId="77777777" w:rsidR="0020448A" w:rsidRDefault="0020448A" w:rsidP="005B2C28">
      <w:pPr>
        <w:spacing w:line="360" w:lineRule="auto"/>
        <w:jc w:val="both"/>
      </w:pPr>
    </w:p>
    <w:sectPr w:rsidR="0020448A" w:rsidSect="006B7ACF">
      <w:headerReference w:type="even" r:id="rId22"/>
      <w:headerReference w:type="default" r:id="rId23"/>
      <w:footerReference w:type="even" r:id="rId24"/>
      <w:footerReference w:type="default" r:id="rId25"/>
      <w:headerReference w:type="first" r:id="rId26"/>
      <w:footerReference w:type="first" r:id="rId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51A53" w14:textId="77777777" w:rsidR="007D6BCD" w:rsidRDefault="007D6BCD" w:rsidP="0020448A">
      <w:r>
        <w:separator/>
      </w:r>
    </w:p>
  </w:endnote>
  <w:endnote w:type="continuationSeparator" w:id="0">
    <w:p w14:paraId="0DBFFC58" w14:textId="77777777" w:rsidR="007D6BCD" w:rsidRDefault="007D6BCD" w:rsidP="0020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legreya">
    <w:altName w:val="Times New Roman"/>
    <w:charset w:val="00"/>
    <w:family w:val="auto"/>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EE7DC" w14:textId="77777777" w:rsidR="00B93C6D" w:rsidRDefault="00B9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08732" w14:textId="19FBED4E" w:rsidR="00B93C6D" w:rsidRDefault="00B93C6D">
    <w:pPr>
      <w:pStyle w:val="Footer"/>
    </w:pPr>
    <w:r>
      <w:rPr>
        <w:noProof/>
      </w:rPr>
      <mc:AlternateContent>
        <mc:Choice Requires="wps">
          <w:drawing>
            <wp:anchor distT="0" distB="0" distL="114300" distR="114300" simplePos="0" relativeHeight="251659264" behindDoc="0" locked="0" layoutInCell="0" allowOverlap="1" wp14:anchorId="70CB7BE9" wp14:editId="74431057">
              <wp:simplePos x="0" y="0"/>
              <wp:positionH relativeFrom="page">
                <wp:posOffset>0</wp:posOffset>
              </wp:positionH>
              <wp:positionV relativeFrom="page">
                <wp:posOffset>10238740</wp:posOffset>
              </wp:positionV>
              <wp:extent cx="7556500" cy="263525"/>
              <wp:effectExtent l="0" t="0" r="0" b="3175"/>
              <wp:wrapNone/>
              <wp:docPr id="1" name="MSIPCM64f94a36b9d583547e94ee45" descr="{&quot;HashCode&quot;:156159341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AF9FDE" w14:textId="1DE01800" w:rsidR="00B93C6D" w:rsidRPr="00B93C6D" w:rsidRDefault="00B93C6D" w:rsidP="00B93C6D">
                          <w:pPr>
                            <w:rPr>
                              <w:rFonts w:ascii="Rockwell" w:hAnsi="Rockwell"/>
                              <w:color w:val="0078D7"/>
                              <w:sz w:val="18"/>
                            </w:rPr>
                          </w:pPr>
                          <w:r w:rsidRPr="00B93C6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CB7BE9" id="_x0000_t202" coordsize="21600,21600" o:spt="202" path="m,l,21600r21600,l21600,xe">
              <v:stroke joinstyle="miter"/>
              <v:path gradientshapeok="t" o:connecttype="rect"/>
            </v:shapetype>
            <v:shape id="MSIPCM64f94a36b9d583547e94ee45" o:spid="_x0000_s1026" type="#_x0000_t202" alt="{&quot;HashCode&quot;:1561593418,&quot;Height&quot;:842.0,&quot;Width&quot;:595.0,&quot;Placement&quot;:&quot;Footer&quot;,&quot;Index&quot;:&quot;Primary&quot;,&quot;Section&quot;:1,&quot;Top&quot;:0.0,&quot;Left&quot;:0.0}" style="position:absolute;margin-left:0;margin-top:806.2pt;width:595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" o:allowincell="f" filled="f" stroked="f" strokeweight=".5pt">
              <v:fill o:detectmouseclick="t"/>
              <v:textbox inset="20pt,0,,0">
                <w:txbxContent>
                  <w:p w14:paraId="24AF9FDE" w14:textId="1DE01800" w:rsidR="00B93C6D" w:rsidRPr="00B93C6D" w:rsidRDefault="00B93C6D" w:rsidP="00B93C6D">
                    <w:pPr>
                      <w:rPr>
                        <w:rFonts w:ascii="Rockwell" w:hAnsi="Rockwell"/>
                        <w:color w:val="0078D7"/>
                        <w:sz w:val="18"/>
                      </w:rPr>
                    </w:pPr>
                    <w:r w:rsidRPr="00B93C6D">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932C1" w14:textId="77777777" w:rsidR="00B93C6D" w:rsidRDefault="00B93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11493" w14:textId="77777777" w:rsidR="007D6BCD" w:rsidRDefault="007D6BCD" w:rsidP="0020448A">
      <w:r>
        <w:separator/>
      </w:r>
    </w:p>
  </w:footnote>
  <w:footnote w:type="continuationSeparator" w:id="0">
    <w:p w14:paraId="1B765DAE" w14:textId="77777777" w:rsidR="007D6BCD" w:rsidRDefault="007D6BCD" w:rsidP="0020448A">
      <w:r>
        <w:continuationSeparator/>
      </w:r>
    </w:p>
  </w:footnote>
  <w:footnote w:id="1">
    <w:p w14:paraId="5B510FA3" w14:textId="77777777" w:rsidR="0020448A" w:rsidRDefault="0020448A" w:rsidP="0020448A">
      <w:pPr>
        <w:pStyle w:val="FootnoteText"/>
      </w:pPr>
      <w:r>
        <w:rPr>
          <w:rStyle w:val="FootnoteReference"/>
        </w:rPr>
        <w:footnoteRef/>
      </w:r>
      <w:r>
        <w:t xml:space="preserve"> </w:t>
      </w:r>
      <w:hyperlink r:id="rId1" w:history="1">
        <w:r w:rsidRPr="00CD77CC">
          <w:rPr>
            <w:rStyle w:val="Hyperlink"/>
          </w:rPr>
          <w:t>https://www.theguardian.com/environment/2021/nov/01/cop26-polling-data-is-overwhelming-people-want-leaders-to-act</w:t>
        </w:r>
      </w:hyperlink>
      <w:r>
        <w:t xml:space="preserve"> </w:t>
      </w:r>
    </w:p>
  </w:footnote>
  <w:footnote w:id="2">
    <w:p w14:paraId="4FD1D82D" w14:textId="77777777" w:rsidR="0020448A" w:rsidRDefault="0020448A" w:rsidP="0020448A">
      <w:pPr>
        <w:pStyle w:val="FootnoteText"/>
      </w:pPr>
      <w:r>
        <w:rPr>
          <w:rStyle w:val="FootnoteReference"/>
        </w:rPr>
        <w:footnoteRef/>
      </w:r>
      <w:r>
        <w:t xml:space="preserve"> </w:t>
      </w:r>
      <w:hyperlink r:id="rId2" w:history="1">
        <w:r w:rsidRPr="00CD77CC">
          <w:rPr>
            <w:rStyle w:val="Hyperlink"/>
          </w:rPr>
          <w:t>https://www.e3g.org/news/coal-cop26-messy-messaging-positive-progress-significant-substance/</w:t>
        </w:r>
      </w:hyperlink>
      <w:r>
        <w:t xml:space="preserve"> </w:t>
      </w:r>
    </w:p>
  </w:footnote>
  <w:footnote w:id="3">
    <w:p w14:paraId="2A165C77" w14:textId="07DA933D" w:rsidR="00C338C1" w:rsidRDefault="00C338C1">
      <w:pPr>
        <w:pStyle w:val="FootnoteText"/>
      </w:pPr>
      <w:r>
        <w:rPr>
          <w:rStyle w:val="FootnoteReference"/>
        </w:rPr>
        <w:footnoteRef/>
      </w:r>
      <w:r>
        <w:t xml:space="preserve"> </w:t>
      </w:r>
      <w:hyperlink r:id="rId3" w:history="1">
        <w:r w:rsidRPr="00726E11">
          <w:rPr>
            <w:rStyle w:val="Hyperlink"/>
          </w:rPr>
          <w:t>https://ukcop26.org/global-coal-to-clean-power-transition-statement/</w:t>
        </w:r>
      </w:hyperlink>
      <w:r>
        <w:t xml:space="preserve"> </w:t>
      </w:r>
    </w:p>
  </w:footnote>
  <w:footnote w:id="4">
    <w:p w14:paraId="405F143C" w14:textId="77777777" w:rsidR="0020448A" w:rsidRDefault="0020448A" w:rsidP="0020448A">
      <w:pPr>
        <w:pStyle w:val="FootnoteText"/>
      </w:pPr>
      <w:r>
        <w:rPr>
          <w:rStyle w:val="FootnoteReference"/>
        </w:rPr>
        <w:footnoteRef/>
      </w:r>
      <w:r>
        <w:t xml:space="preserve"> </w:t>
      </w:r>
      <w:hyperlink r:id="rId4" w:history="1">
        <w:r w:rsidRPr="00CD77CC">
          <w:rPr>
            <w:rStyle w:val="Hyperlink"/>
          </w:rPr>
          <w:t>https://www.iea.org/fuels-and-technologies/coal</w:t>
        </w:r>
      </w:hyperlink>
      <w:r>
        <w:t xml:space="preserve"> </w:t>
      </w:r>
    </w:p>
  </w:footnote>
  <w:footnote w:id="5">
    <w:p w14:paraId="4392A915" w14:textId="173D30E7" w:rsidR="00C338C1" w:rsidRDefault="00C338C1">
      <w:pPr>
        <w:pStyle w:val="FootnoteText"/>
      </w:pPr>
      <w:r>
        <w:rPr>
          <w:rStyle w:val="FootnoteReference"/>
        </w:rPr>
        <w:footnoteRef/>
      </w:r>
      <w:r>
        <w:t xml:space="preserve"> </w:t>
      </w:r>
      <w:hyperlink r:id="rId5" w:history="1">
        <w:r w:rsidRPr="00726E11">
          <w:rPr>
            <w:rStyle w:val="Hyperlink"/>
          </w:rPr>
          <w:t>https://ukcop26.org/wp-content/uploads/2021/10/Climate-Finance-Delivery-Plan-1.pdf</w:t>
        </w:r>
      </w:hyperlink>
      <w:r>
        <w:t xml:space="preserve"> </w:t>
      </w:r>
    </w:p>
  </w:footnote>
  <w:footnote w:id="6">
    <w:p w14:paraId="0F0110D5" w14:textId="31813958" w:rsidR="00C338C1" w:rsidRDefault="00C338C1">
      <w:pPr>
        <w:pStyle w:val="FootnoteText"/>
      </w:pPr>
      <w:r>
        <w:rPr>
          <w:rStyle w:val="FootnoteReference"/>
        </w:rPr>
        <w:footnoteRef/>
      </w:r>
      <w:r>
        <w:t xml:space="preserve"> </w:t>
      </w:r>
      <w:hyperlink r:id="rId6" w:history="1">
        <w:r w:rsidRPr="00726E11">
          <w:rPr>
            <w:rStyle w:val="Hyperlink"/>
          </w:rPr>
          <w:t>https://unfccc.int/sites/default/files/resource/cma3_auv_4ac_Global_Goal.pdf</w:t>
        </w:r>
      </w:hyperlink>
      <w:r>
        <w:t xml:space="preserve"> </w:t>
      </w:r>
    </w:p>
  </w:footnote>
  <w:footnote w:id="7">
    <w:p w14:paraId="3FA5C972" w14:textId="63E5F43C" w:rsidR="00B876C5" w:rsidRDefault="00B876C5">
      <w:pPr>
        <w:pStyle w:val="FootnoteText"/>
      </w:pPr>
      <w:r>
        <w:rPr>
          <w:rStyle w:val="FootnoteReference"/>
        </w:rPr>
        <w:footnoteRef/>
      </w:r>
      <w:r>
        <w:t xml:space="preserve"> </w:t>
      </w:r>
      <w:r w:rsidRPr="00B876C5">
        <w:t>https://twitter.com/michaelujacobs/status/1459798995358953477?s=20</w:t>
      </w:r>
    </w:p>
  </w:footnote>
  <w:footnote w:id="8">
    <w:p w14:paraId="221E5723" w14:textId="2F6A3B29" w:rsidR="009C0F18" w:rsidRDefault="009C0F18">
      <w:pPr>
        <w:pStyle w:val="FootnoteText"/>
      </w:pPr>
      <w:r>
        <w:rPr>
          <w:rStyle w:val="FootnoteReference"/>
        </w:rPr>
        <w:footnoteRef/>
      </w:r>
      <w:r>
        <w:t xml:space="preserve"> </w:t>
      </w:r>
      <w:r w:rsidRPr="009C0F18">
        <w:t>https://www.un.org/press/en/2020/sgsm20118.doc.htm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4A6BA" w14:textId="77777777" w:rsidR="00B93C6D" w:rsidRDefault="00B93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AF1E" w14:textId="77777777" w:rsidR="00B93C6D" w:rsidRDefault="00B93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2D940" w14:textId="77777777" w:rsidR="00B93C6D" w:rsidRDefault="00B93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17A82"/>
    <w:multiLevelType w:val="hybridMultilevel"/>
    <w:tmpl w:val="6E3C4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0D"/>
    <w:rsid w:val="00026B7B"/>
    <w:rsid w:val="0005453F"/>
    <w:rsid w:val="00055099"/>
    <w:rsid w:val="00060230"/>
    <w:rsid w:val="00073A52"/>
    <w:rsid w:val="000A4110"/>
    <w:rsid w:val="00115424"/>
    <w:rsid w:val="00126083"/>
    <w:rsid w:val="00137E47"/>
    <w:rsid w:val="00162741"/>
    <w:rsid w:val="00180D0A"/>
    <w:rsid w:val="00186A56"/>
    <w:rsid w:val="001B46B8"/>
    <w:rsid w:val="001C6993"/>
    <w:rsid w:val="0020448A"/>
    <w:rsid w:val="00212146"/>
    <w:rsid w:val="0024505A"/>
    <w:rsid w:val="002526D1"/>
    <w:rsid w:val="00274F84"/>
    <w:rsid w:val="00291178"/>
    <w:rsid w:val="002A3336"/>
    <w:rsid w:val="002B2EA2"/>
    <w:rsid w:val="002F2624"/>
    <w:rsid w:val="0030163B"/>
    <w:rsid w:val="00316A72"/>
    <w:rsid w:val="00324D36"/>
    <w:rsid w:val="0032581E"/>
    <w:rsid w:val="0032624C"/>
    <w:rsid w:val="0039601F"/>
    <w:rsid w:val="003A1130"/>
    <w:rsid w:val="003A320C"/>
    <w:rsid w:val="003B6600"/>
    <w:rsid w:val="003C612C"/>
    <w:rsid w:val="0044548C"/>
    <w:rsid w:val="0046197D"/>
    <w:rsid w:val="00494CE1"/>
    <w:rsid w:val="004B5176"/>
    <w:rsid w:val="004C6710"/>
    <w:rsid w:val="004C7B07"/>
    <w:rsid w:val="004D2D0D"/>
    <w:rsid w:val="004F5F80"/>
    <w:rsid w:val="005517DE"/>
    <w:rsid w:val="00555A8F"/>
    <w:rsid w:val="0055797B"/>
    <w:rsid w:val="005637C5"/>
    <w:rsid w:val="00565434"/>
    <w:rsid w:val="00576C58"/>
    <w:rsid w:val="005904AB"/>
    <w:rsid w:val="00596F44"/>
    <w:rsid w:val="005A41C8"/>
    <w:rsid w:val="005B2C28"/>
    <w:rsid w:val="005B5D32"/>
    <w:rsid w:val="005C65B9"/>
    <w:rsid w:val="005F17E7"/>
    <w:rsid w:val="00613CAF"/>
    <w:rsid w:val="006337F5"/>
    <w:rsid w:val="006460EC"/>
    <w:rsid w:val="00660B16"/>
    <w:rsid w:val="006769D0"/>
    <w:rsid w:val="00692882"/>
    <w:rsid w:val="0069746A"/>
    <w:rsid w:val="006B4499"/>
    <w:rsid w:val="006B7ACF"/>
    <w:rsid w:val="006E1E1D"/>
    <w:rsid w:val="006E2AF3"/>
    <w:rsid w:val="00716ACD"/>
    <w:rsid w:val="00716B3D"/>
    <w:rsid w:val="00725604"/>
    <w:rsid w:val="00735FB2"/>
    <w:rsid w:val="00737B81"/>
    <w:rsid w:val="007678B7"/>
    <w:rsid w:val="00783D3B"/>
    <w:rsid w:val="007A160D"/>
    <w:rsid w:val="007C6196"/>
    <w:rsid w:val="007D6BCD"/>
    <w:rsid w:val="007E196D"/>
    <w:rsid w:val="008148AD"/>
    <w:rsid w:val="00831B04"/>
    <w:rsid w:val="00857FA8"/>
    <w:rsid w:val="008862E0"/>
    <w:rsid w:val="00894712"/>
    <w:rsid w:val="008A013F"/>
    <w:rsid w:val="008B3754"/>
    <w:rsid w:val="008C3287"/>
    <w:rsid w:val="008E0009"/>
    <w:rsid w:val="0090347B"/>
    <w:rsid w:val="00914682"/>
    <w:rsid w:val="00920630"/>
    <w:rsid w:val="0095511D"/>
    <w:rsid w:val="009B006A"/>
    <w:rsid w:val="009C0F18"/>
    <w:rsid w:val="009C34C0"/>
    <w:rsid w:val="009D74C5"/>
    <w:rsid w:val="009D77A3"/>
    <w:rsid w:val="00A373F4"/>
    <w:rsid w:val="00A620FE"/>
    <w:rsid w:val="00A64DCC"/>
    <w:rsid w:val="00AB1E04"/>
    <w:rsid w:val="00AF1F62"/>
    <w:rsid w:val="00B024AE"/>
    <w:rsid w:val="00B20243"/>
    <w:rsid w:val="00B228CC"/>
    <w:rsid w:val="00B520EB"/>
    <w:rsid w:val="00B876C5"/>
    <w:rsid w:val="00B93C6D"/>
    <w:rsid w:val="00BC675D"/>
    <w:rsid w:val="00C134CE"/>
    <w:rsid w:val="00C338C1"/>
    <w:rsid w:val="00C347CD"/>
    <w:rsid w:val="00C50AB5"/>
    <w:rsid w:val="00C80971"/>
    <w:rsid w:val="00C8503B"/>
    <w:rsid w:val="00C92F93"/>
    <w:rsid w:val="00CA26D6"/>
    <w:rsid w:val="00CB0691"/>
    <w:rsid w:val="00CF5881"/>
    <w:rsid w:val="00D01B8D"/>
    <w:rsid w:val="00D042FF"/>
    <w:rsid w:val="00D05102"/>
    <w:rsid w:val="00D45F2D"/>
    <w:rsid w:val="00D61DB2"/>
    <w:rsid w:val="00D8242A"/>
    <w:rsid w:val="00DA0B9B"/>
    <w:rsid w:val="00DA5FF3"/>
    <w:rsid w:val="00DB17EF"/>
    <w:rsid w:val="00DE151E"/>
    <w:rsid w:val="00E24154"/>
    <w:rsid w:val="00E541F7"/>
    <w:rsid w:val="00E6306C"/>
    <w:rsid w:val="00E6537B"/>
    <w:rsid w:val="00E7153C"/>
    <w:rsid w:val="00E71BEA"/>
    <w:rsid w:val="00E71D5E"/>
    <w:rsid w:val="00EA5A0F"/>
    <w:rsid w:val="00EB3554"/>
    <w:rsid w:val="00EB5ADB"/>
    <w:rsid w:val="00EE335C"/>
    <w:rsid w:val="00F20DB3"/>
    <w:rsid w:val="00F21E06"/>
    <w:rsid w:val="00F24A1D"/>
    <w:rsid w:val="00F35533"/>
    <w:rsid w:val="00F3675A"/>
    <w:rsid w:val="00F4726E"/>
    <w:rsid w:val="00F52C03"/>
    <w:rsid w:val="00F749B8"/>
    <w:rsid w:val="00F92400"/>
    <w:rsid w:val="00FB3CBD"/>
    <w:rsid w:val="00FC4D27"/>
    <w:rsid w:val="00FD4B1E"/>
    <w:rsid w:val="00FF3C9E"/>
    <w:rsid w:val="00FF4625"/>
    <w:rsid w:val="00FF569A"/>
    <w:rsid w:val="00FF6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1F885"/>
  <w15:docId w15:val="{CE25CA4B-D420-4941-BB71-A5AF7281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B2"/>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F35533"/>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448A"/>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0448A"/>
    <w:rPr>
      <w:sz w:val="20"/>
      <w:szCs w:val="20"/>
    </w:rPr>
  </w:style>
  <w:style w:type="character" w:styleId="FootnoteReference">
    <w:name w:val="footnote reference"/>
    <w:basedOn w:val="DefaultParagraphFont"/>
    <w:uiPriority w:val="99"/>
    <w:semiHidden/>
    <w:unhideWhenUsed/>
    <w:rsid w:val="0020448A"/>
    <w:rPr>
      <w:vertAlign w:val="superscript"/>
    </w:rPr>
  </w:style>
  <w:style w:type="character" w:styleId="Hyperlink">
    <w:name w:val="Hyperlink"/>
    <w:basedOn w:val="DefaultParagraphFont"/>
    <w:uiPriority w:val="99"/>
    <w:unhideWhenUsed/>
    <w:rsid w:val="0020448A"/>
    <w:rPr>
      <w:color w:val="0563C1" w:themeColor="hyperlink"/>
      <w:u w:val="single"/>
    </w:rPr>
  </w:style>
  <w:style w:type="character" w:styleId="UnresolvedMention">
    <w:name w:val="Unresolved Mention"/>
    <w:basedOn w:val="DefaultParagraphFont"/>
    <w:uiPriority w:val="99"/>
    <w:semiHidden/>
    <w:unhideWhenUsed/>
    <w:rsid w:val="00F35533"/>
    <w:rPr>
      <w:color w:val="605E5C"/>
      <w:shd w:val="clear" w:color="auto" w:fill="E1DFDD"/>
    </w:rPr>
  </w:style>
  <w:style w:type="character" w:customStyle="1" w:styleId="Heading2Char">
    <w:name w:val="Heading 2 Char"/>
    <w:basedOn w:val="DefaultParagraphFont"/>
    <w:link w:val="Heading2"/>
    <w:uiPriority w:val="9"/>
    <w:semiHidden/>
    <w:rsid w:val="00F3553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541F7"/>
  </w:style>
  <w:style w:type="character" w:styleId="CommentReference">
    <w:name w:val="annotation reference"/>
    <w:basedOn w:val="DefaultParagraphFont"/>
    <w:uiPriority w:val="99"/>
    <w:semiHidden/>
    <w:unhideWhenUsed/>
    <w:rsid w:val="00FB3CBD"/>
    <w:rPr>
      <w:sz w:val="16"/>
      <w:szCs w:val="16"/>
    </w:rPr>
  </w:style>
  <w:style w:type="paragraph" w:styleId="CommentText">
    <w:name w:val="annotation text"/>
    <w:basedOn w:val="Normal"/>
    <w:link w:val="CommentTextChar"/>
    <w:uiPriority w:val="99"/>
    <w:unhideWhenUsed/>
    <w:rsid w:val="00FB3CBD"/>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3CBD"/>
    <w:rPr>
      <w:sz w:val="20"/>
      <w:szCs w:val="20"/>
    </w:rPr>
  </w:style>
  <w:style w:type="paragraph" w:styleId="CommentSubject">
    <w:name w:val="annotation subject"/>
    <w:basedOn w:val="CommentText"/>
    <w:next w:val="CommentText"/>
    <w:link w:val="CommentSubjectChar"/>
    <w:uiPriority w:val="99"/>
    <w:semiHidden/>
    <w:unhideWhenUsed/>
    <w:rsid w:val="00FB3CBD"/>
    <w:rPr>
      <w:b/>
      <w:bCs/>
    </w:rPr>
  </w:style>
  <w:style w:type="character" w:customStyle="1" w:styleId="CommentSubjectChar">
    <w:name w:val="Comment Subject Char"/>
    <w:basedOn w:val="CommentTextChar"/>
    <w:link w:val="CommentSubject"/>
    <w:uiPriority w:val="99"/>
    <w:semiHidden/>
    <w:rsid w:val="00FB3CBD"/>
    <w:rPr>
      <w:b/>
      <w:bCs/>
      <w:sz w:val="20"/>
      <w:szCs w:val="20"/>
    </w:rPr>
  </w:style>
  <w:style w:type="paragraph" w:styleId="NormalWeb">
    <w:name w:val="Normal (Web)"/>
    <w:basedOn w:val="Normal"/>
    <w:uiPriority w:val="99"/>
    <w:unhideWhenUsed/>
    <w:rsid w:val="00725604"/>
    <w:pPr>
      <w:spacing w:before="100" w:beforeAutospacing="1" w:after="100" w:afterAutospacing="1"/>
    </w:pPr>
    <w:rPr>
      <w:lang w:eastAsia="zh-CN"/>
    </w:rPr>
  </w:style>
  <w:style w:type="paragraph" w:customStyle="1" w:styleId="Normal1">
    <w:name w:val="Normal1"/>
    <w:rsid w:val="00725604"/>
    <w:pPr>
      <w:widowControl w:val="0"/>
      <w:spacing w:line="276" w:lineRule="auto"/>
    </w:pPr>
    <w:rPr>
      <w:rFonts w:ascii="Calibri" w:eastAsia="Calibri" w:hAnsi="Calibri" w:cs="Calibri"/>
      <w:color w:val="000000"/>
      <w:sz w:val="22"/>
      <w:szCs w:val="22"/>
    </w:rPr>
  </w:style>
  <w:style w:type="paragraph" w:customStyle="1" w:styleId="Bodycopy">
    <w:name w:val="Body copy"/>
    <w:basedOn w:val="Normal"/>
    <w:qFormat/>
    <w:rsid w:val="00725604"/>
    <w:pPr>
      <w:spacing w:after="120" w:line="276" w:lineRule="auto"/>
    </w:pPr>
    <w:rPr>
      <w:rFonts w:asciiTheme="minorHAnsi" w:eastAsiaTheme="minorEastAsia" w:hAnsiTheme="minorHAnsi" w:cstheme="minorBidi"/>
      <w:lang w:eastAsia="en-US"/>
    </w:rPr>
  </w:style>
  <w:style w:type="paragraph" w:styleId="EndnoteText">
    <w:name w:val="endnote text"/>
    <w:basedOn w:val="Normal"/>
    <w:link w:val="EndnoteTextChar"/>
    <w:uiPriority w:val="99"/>
    <w:semiHidden/>
    <w:unhideWhenUsed/>
    <w:rsid w:val="00B876C5"/>
    <w:rPr>
      <w:sz w:val="20"/>
      <w:szCs w:val="20"/>
    </w:rPr>
  </w:style>
  <w:style w:type="character" w:customStyle="1" w:styleId="EndnoteTextChar">
    <w:name w:val="Endnote Text Char"/>
    <w:basedOn w:val="DefaultParagraphFont"/>
    <w:link w:val="EndnoteText"/>
    <w:uiPriority w:val="99"/>
    <w:semiHidden/>
    <w:rsid w:val="00B876C5"/>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876C5"/>
    <w:rPr>
      <w:vertAlign w:val="superscript"/>
    </w:rPr>
  </w:style>
  <w:style w:type="paragraph" w:styleId="Header">
    <w:name w:val="header"/>
    <w:basedOn w:val="Normal"/>
    <w:link w:val="HeaderChar"/>
    <w:uiPriority w:val="99"/>
    <w:unhideWhenUsed/>
    <w:rsid w:val="00B93C6D"/>
    <w:pPr>
      <w:tabs>
        <w:tab w:val="center" w:pos="4513"/>
        <w:tab w:val="right" w:pos="9026"/>
      </w:tabs>
    </w:pPr>
  </w:style>
  <w:style w:type="character" w:customStyle="1" w:styleId="HeaderChar">
    <w:name w:val="Header Char"/>
    <w:basedOn w:val="DefaultParagraphFont"/>
    <w:link w:val="Header"/>
    <w:uiPriority w:val="99"/>
    <w:rsid w:val="00B93C6D"/>
    <w:rPr>
      <w:rFonts w:ascii="Times New Roman" w:eastAsia="Times New Roman" w:hAnsi="Times New Roman" w:cs="Times New Roman"/>
      <w:lang w:eastAsia="en-GB"/>
    </w:rPr>
  </w:style>
  <w:style w:type="paragraph" w:styleId="Footer">
    <w:name w:val="footer"/>
    <w:basedOn w:val="Normal"/>
    <w:link w:val="FooterChar"/>
    <w:uiPriority w:val="99"/>
    <w:unhideWhenUsed/>
    <w:rsid w:val="00B93C6D"/>
    <w:pPr>
      <w:tabs>
        <w:tab w:val="center" w:pos="4513"/>
        <w:tab w:val="right" w:pos="9026"/>
      </w:tabs>
    </w:pPr>
  </w:style>
  <w:style w:type="character" w:customStyle="1" w:styleId="FooterChar">
    <w:name w:val="Footer Char"/>
    <w:basedOn w:val="DefaultParagraphFont"/>
    <w:link w:val="Footer"/>
    <w:uiPriority w:val="99"/>
    <w:rsid w:val="00B93C6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3659">
      <w:bodyDiv w:val="1"/>
      <w:marLeft w:val="0"/>
      <w:marRight w:val="0"/>
      <w:marTop w:val="0"/>
      <w:marBottom w:val="0"/>
      <w:divBdr>
        <w:top w:val="none" w:sz="0" w:space="0" w:color="auto"/>
        <w:left w:val="none" w:sz="0" w:space="0" w:color="auto"/>
        <w:bottom w:val="none" w:sz="0" w:space="0" w:color="auto"/>
        <w:right w:val="none" w:sz="0" w:space="0" w:color="auto"/>
      </w:divBdr>
      <w:divsChild>
        <w:div w:id="1349521903">
          <w:marLeft w:val="0"/>
          <w:marRight w:val="0"/>
          <w:marTop w:val="0"/>
          <w:marBottom w:val="0"/>
          <w:divBdr>
            <w:top w:val="none" w:sz="0" w:space="0" w:color="auto"/>
            <w:left w:val="none" w:sz="0" w:space="0" w:color="auto"/>
            <w:bottom w:val="none" w:sz="0" w:space="0" w:color="auto"/>
            <w:right w:val="none" w:sz="0" w:space="0" w:color="auto"/>
          </w:divBdr>
        </w:div>
      </w:divsChild>
    </w:div>
    <w:div w:id="187378623">
      <w:bodyDiv w:val="1"/>
      <w:marLeft w:val="0"/>
      <w:marRight w:val="0"/>
      <w:marTop w:val="0"/>
      <w:marBottom w:val="0"/>
      <w:divBdr>
        <w:top w:val="none" w:sz="0" w:space="0" w:color="auto"/>
        <w:left w:val="none" w:sz="0" w:space="0" w:color="auto"/>
        <w:bottom w:val="none" w:sz="0" w:space="0" w:color="auto"/>
        <w:right w:val="none" w:sz="0" w:space="0" w:color="auto"/>
      </w:divBdr>
    </w:div>
    <w:div w:id="321352691">
      <w:bodyDiv w:val="1"/>
      <w:marLeft w:val="0"/>
      <w:marRight w:val="0"/>
      <w:marTop w:val="0"/>
      <w:marBottom w:val="0"/>
      <w:divBdr>
        <w:top w:val="none" w:sz="0" w:space="0" w:color="auto"/>
        <w:left w:val="none" w:sz="0" w:space="0" w:color="auto"/>
        <w:bottom w:val="none" w:sz="0" w:space="0" w:color="auto"/>
        <w:right w:val="none" w:sz="0" w:space="0" w:color="auto"/>
      </w:divBdr>
    </w:div>
    <w:div w:id="364916006">
      <w:bodyDiv w:val="1"/>
      <w:marLeft w:val="0"/>
      <w:marRight w:val="0"/>
      <w:marTop w:val="0"/>
      <w:marBottom w:val="0"/>
      <w:divBdr>
        <w:top w:val="none" w:sz="0" w:space="0" w:color="auto"/>
        <w:left w:val="none" w:sz="0" w:space="0" w:color="auto"/>
        <w:bottom w:val="none" w:sz="0" w:space="0" w:color="auto"/>
        <w:right w:val="none" w:sz="0" w:space="0" w:color="auto"/>
      </w:divBdr>
      <w:divsChild>
        <w:div w:id="106777260">
          <w:marLeft w:val="0"/>
          <w:marRight w:val="0"/>
          <w:marTop w:val="0"/>
          <w:marBottom w:val="0"/>
          <w:divBdr>
            <w:top w:val="none" w:sz="0" w:space="0" w:color="auto"/>
            <w:left w:val="none" w:sz="0" w:space="0" w:color="auto"/>
            <w:bottom w:val="none" w:sz="0" w:space="0" w:color="auto"/>
            <w:right w:val="none" w:sz="0" w:space="0" w:color="auto"/>
          </w:divBdr>
        </w:div>
        <w:div w:id="1022513635">
          <w:marLeft w:val="0"/>
          <w:marRight w:val="0"/>
          <w:marTop w:val="0"/>
          <w:marBottom w:val="0"/>
          <w:divBdr>
            <w:top w:val="none" w:sz="0" w:space="0" w:color="auto"/>
            <w:left w:val="none" w:sz="0" w:space="0" w:color="auto"/>
            <w:bottom w:val="none" w:sz="0" w:space="0" w:color="auto"/>
            <w:right w:val="none" w:sz="0" w:space="0" w:color="auto"/>
          </w:divBdr>
        </w:div>
      </w:divsChild>
    </w:div>
    <w:div w:id="418258370">
      <w:bodyDiv w:val="1"/>
      <w:marLeft w:val="0"/>
      <w:marRight w:val="0"/>
      <w:marTop w:val="0"/>
      <w:marBottom w:val="0"/>
      <w:divBdr>
        <w:top w:val="none" w:sz="0" w:space="0" w:color="auto"/>
        <w:left w:val="none" w:sz="0" w:space="0" w:color="auto"/>
        <w:bottom w:val="none" w:sz="0" w:space="0" w:color="auto"/>
        <w:right w:val="none" w:sz="0" w:space="0" w:color="auto"/>
      </w:divBdr>
    </w:div>
    <w:div w:id="504978526">
      <w:bodyDiv w:val="1"/>
      <w:marLeft w:val="0"/>
      <w:marRight w:val="0"/>
      <w:marTop w:val="0"/>
      <w:marBottom w:val="0"/>
      <w:divBdr>
        <w:top w:val="none" w:sz="0" w:space="0" w:color="auto"/>
        <w:left w:val="none" w:sz="0" w:space="0" w:color="auto"/>
        <w:bottom w:val="none" w:sz="0" w:space="0" w:color="auto"/>
        <w:right w:val="none" w:sz="0" w:space="0" w:color="auto"/>
      </w:divBdr>
    </w:div>
    <w:div w:id="610627008">
      <w:bodyDiv w:val="1"/>
      <w:marLeft w:val="0"/>
      <w:marRight w:val="0"/>
      <w:marTop w:val="0"/>
      <w:marBottom w:val="0"/>
      <w:divBdr>
        <w:top w:val="none" w:sz="0" w:space="0" w:color="auto"/>
        <w:left w:val="none" w:sz="0" w:space="0" w:color="auto"/>
        <w:bottom w:val="none" w:sz="0" w:space="0" w:color="auto"/>
        <w:right w:val="none" w:sz="0" w:space="0" w:color="auto"/>
      </w:divBdr>
    </w:div>
    <w:div w:id="612711032">
      <w:bodyDiv w:val="1"/>
      <w:marLeft w:val="0"/>
      <w:marRight w:val="0"/>
      <w:marTop w:val="0"/>
      <w:marBottom w:val="0"/>
      <w:divBdr>
        <w:top w:val="none" w:sz="0" w:space="0" w:color="auto"/>
        <w:left w:val="none" w:sz="0" w:space="0" w:color="auto"/>
        <w:bottom w:val="none" w:sz="0" w:space="0" w:color="auto"/>
        <w:right w:val="none" w:sz="0" w:space="0" w:color="auto"/>
      </w:divBdr>
    </w:div>
    <w:div w:id="670833467">
      <w:bodyDiv w:val="1"/>
      <w:marLeft w:val="0"/>
      <w:marRight w:val="0"/>
      <w:marTop w:val="0"/>
      <w:marBottom w:val="0"/>
      <w:divBdr>
        <w:top w:val="none" w:sz="0" w:space="0" w:color="auto"/>
        <w:left w:val="none" w:sz="0" w:space="0" w:color="auto"/>
        <w:bottom w:val="none" w:sz="0" w:space="0" w:color="auto"/>
        <w:right w:val="none" w:sz="0" w:space="0" w:color="auto"/>
      </w:divBdr>
    </w:div>
    <w:div w:id="853303412">
      <w:bodyDiv w:val="1"/>
      <w:marLeft w:val="0"/>
      <w:marRight w:val="0"/>
      <w:marTop w:val="0"/>
      <w:marBottom w:val="0"/>
      <w:divBdr>
        <w:top w:val="none" w:sz="0" w:space="0" w:color="auto"/>
        <w:left w:val="none" w:sz="0" w:space="0" w:color="auto"/>
        <w:bottom w:val="none" w:sz="0" w:space="0" w:color="auto"/>
        <w:right w:val="none" w:sz="0" w:space="0" w:color="auto"/>
      </w:divBdr>
    </w:div>
    <w:div w:id="867138742">
      <w:bodyDiv w:val="1"/>
      <w:marLeft w:val="0"/>
      <w:marRight w:val="0"/>
      <w:marTop w:val="0"/>
      <w:marBottom w:val="0"/>
      <w:divBdr>
        <w:top w:val="none" w:sz="0" w:space="0" w:color="auto"/>
        <w:left w:val="none" w:sz="0" w:space="0" w:color="auto"/>
        <w:bottom w:val="none" w:sz="0" w:space="0" w:color="auto"/>
        <w:right w:val="none" w:sz="0" w:space="0" w:color="auto"/>
      </w:divBdr>
    </w:div>
    <w:div w:id="909849424">
      <w:bodyDiv w:val="1"/>
      <w:marLeft w:val="0"/>
      <w:marRight w:val="0"/>
      <w:marTop w:val="0"/>
      <w:marBottom w:val="0"/>
      <w:divBdr>
        <w:top w:val="none" w:sz="0" w:space="0" w:color="auto"/>
        <w:left w:val="none" w:sz="0" w:space="0" w:color="auto"/>
        <w:bottom w:val="none" w:sz="0" w:space="0" w:color="auto"/>
        <w:right w:val="none" w:sz="0" w:space="0" w:color="auto"/>
      </w:divBdr>
    </w:div>
    <w:div w:id="1102191893">
      <w:bodyDiv w:val="1"/>
      <w:marLeft w:val="0"/>
      <w:marRight w:val="0"/>
      <w:marTop w:val="0"/>
      <w:marBottom w:val="0"/>
      <w:divBdr>
        <w:top w:val="none" w:sz="0" w:space="0" w:color="auto"/>
        <w:left w:val="none" w:sz="0" w:space="0" w:color="auto"/>
        <w:bottom w:val="none" w:sz="0" w:space="0" w:color="auto"/>
        <w:right w:val="none" w:sz="0" w:space="0" w:color="auto"/>
      </w:divBdr>
    </w:div>
    <w:div w:id="1327513345">
      <w:bodyDiv w:val="1"/>
      <w:marLeft w:val="0"/>
      <w:marRight w:val="0"/>
      <w:marTop w:val="0"/>
      <w:marBottom w:val="0"/>
      <w:divBdr>
        <w:top w:val="none" w:sz="0" w:space="0" w:color="auto"/>
        <w:left w:val="none" w:sz="0" w:space="0" w:color="auto"/>
        <w:bottom w:val="none" w:sz="0" w:space="0" w:color="auto"/>
        <w:right w:val="none" w:sz="0" w:space="0" w:color="auto"/>
      </w:divBdr>
    </w:div>
    <w:div w:id="1357541298">
      <w:bodyDiv w:val="1"/>
      <w:marLeft w:val="0"/>
      <w:marRight w:val="0"/>
      <w:marTop w:val="0"/>
      <w:marBottom w:val="0"/>
      <w:divBdr>
        <w:top w:val="none" w:sz="0" w:space="0" w:color="auto"/>
        <w:left w:val="none" w:sz="0" w:space="0" w:color="auto"/>
        <w:bottom w:val="none" w:sz="0" w:space="0" w:color="auto"/>
        <w:right w:val="none" w:sz="0" w:space="0" w:color="auto"/>
      </w:divBdr>
    </w:div>
    <w:div w:id="1419208287">
      <w:bodyDiv w:val="1"/>
      <w:marLeft w:val="0"/>
      <w:marRight w:val="0"/>
      <w:marTop w:val="0"/>
      <w:marBottom w:val="0"/>
      <w:divBdr>
        <w:top w:val="none" w:sz="0" w:space="0" w:color="auto"/>
        <w:left w:val="none" w:sz="0" w:space="0" w:color="auto"/>
        <w:bottom w:val="none" w:sz="0" w:space="0" w:color="auto"/>
        <w:right w:val="none" w:sz="0" w:space="0" w:color="auto"/>
      </w:divBdr>
    </w:div>
    <w:div w:id="1497722805">
      <w:bodyDiv w:val="1"/>
      <w:marLeft w:val="0"/>
      <w:marRight w:val="0"/>
      <w:marTop w:val="0"/>
      <w:marBottom w:val="0"/>
      <w:divBdr>
        <w:top w:val="none" w:sz="0" w:space="0" w:color="auto"/>
        <w:left w:val="none" w:sz="0" w:space="0" w:color="auto"/>
        <w:bottom w:val="none" w:sz="0" w:space="0" w:color="auto"/>
        <w:right w:val="none" w:sz="0" w:space="0" w:color="auto"/>
      </w:divBdr>
    </w:div>
    <w:div w:id="1503819717">
      <w:bodyDiv w:val="1"/>
      <w:marLeft w:val="0"/>
      <w:marRight w:val="0"/>
      <w:marTop w:val="0"/>
      <w:marBottom w:val="0"/>
      <w:divBdr>
        <w:top w:val="none" w:sz="0" w:space="0" w:color="auto"/>
        <w:left w:val="none" w:sz="0" w:space="0" w:color="auto"/>
        <w:bottom w:val="none" w:sz="0" w:space="0" w:color="auto"/>
        <w:right w:val="none" w:sz="0" w:space="0" w:color="auto"/>
      </w:divBdr>
    </w:div>
    <w:div w:id="1549413415">
      <w:bodyDiv w:val="1"/>
      <w:marLeft w:val="0"/>
      <w:marRight w:val="0"/>
      <w:marTop w:val="0"/>
      <w:marBottom w:val="0"/>
      <w:divBdr>
        <w:top w:val="none" w:sz="0" w:space="0" w:color="auto"/>
        <w:left w:val="none" w:sz="0" w:space="0" w:color="auto"/>
        <w:bottom w:val="none" w:sz="0" w:space="0" w:color="auto"/>
        <w:right w:val="none" w:sz="0" w:space="0" w:color="auto"/>
      </w:divBdr>
    </w:div>
    <w:div w:id="1685133741">
      <w:bodyDiv w:val="1"/>
      <w:marLeft w:val="0"/>
      <w:marRight w:val="0"/>
      <w:marTop w:val="0"/>
      <w:marBottom w:val="0"/>
      <w:divBdr>
        <w:top w:val="none" w:sz="0" w:space="0" w:color="auto"/>
        <w:left w:val="none" w:sz="0" w:space="0" w:color="auto"/>
        <w:bottom w:val="none" w:sz="0" w:space="0" w:color="auto"/>
        <w:right w:val="none" w:sz="0" w:space="0" w:color="auto"/>
      </w:divBdr>
    </w:div>
    <w:div w:id="1766265178">
      <w:bodyDiv w:val="1"/>
      <w:marLeft w:val="0"/>
      <w:marRight w:val="0"/>
      <w:marTop w:val="0"/>
      <w:marBottom w:val="0"/>
      <w:divBdr>
        <w:top w:val="none" w:sz="0" w:space="0" w:color="auto"/>
        <w:left w:val="none" w:sz="0" w:space="0" w:color="auto"/>
        <w:bottom w:val="none" w:sz="0" w:space="0" w:color="auto"/>
        <w:right w:val="none" w:sz="0" w:space="0" w:color="auto"/>
      </w:divBdr>
    </w:div>
    <w:div w:id="1866599983">
      <w:bodyDiv w:val="1"/>
      <w:marLeft w:val="0"/>
      <w:marRight w:val="0"/>
      <w:marTop w:val="0"/>
      <w:marBottom w:val="0"/>
      <w:divBdr>
        <w:top w:val="none" w:sz="0" w:space="0" w:color="auto"/>
        <w:left w:val="none" w:sz="0" w:space="0" w:color="auto"/>
        <w:bottom w:val="none" w:sz="0" w:space="0" w:color="auto"/>
        <w:right w:val="none" w:sz="0" w:space="0" w:color="auto"/>
      </w:divBdr>
    </w:div>
    <w:div w:id="1881359274">
      <w:bodyDiv w:val="1"/>
      <w:marLeft w:val="0"/>
      <w:marRight w:val="0"/>
      <w:marTop w:val="0"/>
      <w:marBottom w:val="0"/>
      <w:divBdr>
        <w:top w:val="none" w:sz="0" w:space="0" w:color="auto"/>
        <w:left w:val="none" w:sz="0" w:space="0" w:color="auto"/>
        <w:bottom w:val="none" w:sz="0" w:space="0" w:color="auto"/>
        <w:right w:val="none" w:sz="0" w:space="0" w:color="auto"/>
      </w:divBdr>
    </w:div>
    <w:div w:id="2109501554">
      <w:bodyDiv w:val="1"/>
      <w:marLeft w:val="0"/>
      <w:marRight w:val="0"/>
      <w:marTop w:val="0"/>
      <w:marBottom w:val="0"/>
      <w:divBdr>
        <w:top w:val="none" w:sz="0" w:space="0" w:color="auto"/>
        <w:left w:val="none" w:sz="0" w:space="0" w:color="auto"/>
        <w:bottom w:val="none" w:sz="0" w:space="0" w:color="auto"/>
        <w:right w:val="none" w:sz="0" w:space="0" w:color="auto"/>
      </w:divBdr>
    </w:div>
    <w:div w:id="2129741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39/ssrn.2815255" TargetMode="External"/><Relationship Id="rId13" Type="http://schemas.openxmlformats.org/officeDocument/2006/relationships/hyperlink" Target="https://www.bloomberg.com/quicktake/how-u-s-china-tech-rivalry-looks-like-a-digital-cold-war" TargetMode="External"/><Relationship Id="rId18" Type="http://schemas.openxmlformats.org/officeDocument/2006/relationships/hyperlink" Target="https://worldmigrationreport.iom.int/wmr-2020-interactiv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xinhuanet.com/fortune/2018-01/10/c_129787658.htm" TargetMode="External"/><Relationship Id="rId7" Type="http://schemas.openxmlformats.org/officeDocument/2006/relationships/hyperlink" Target="https://ssrn.com/abstract=2815255" TargetMode="External"/><Relationship Id="rId12" Type="http://schemas.openxmlformats.org/officeDocument/2006/relationships/hyperlink" Target="https://www.csis.org/analysis/chinas-digital-silk-road-after-coronavirus" TargetMode="External"/><Relationship Id="rId17" Type="http://schemas.openxmlformats.org/officeDocument/2006/relationships/hyperlink" Target="https://www.cfr.org/report/chinas-belt-and-road-implications-for-the-united-stat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half-earthproject.org/" TargetMode="External"/><Relationship Id="rId20" Type="http://schemas.openxmlformats.org/officeDocument/2006/relationships/hyperlink" Target="https://doi.org/10.1111/apv.123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interest.org/feature/standard-power-the-new-geopolitical-battle-1401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ews.un.org/en/story/2020/06/106613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nytimes.com/2020/07/02/books/review/14-miles-dw-gibson.html" TargetMode="External"/><Relationship Id="rId19" Type="http://schemas.openxmlformats.org/officeDocument/2006/relationships/hyperlink" Target="https://doi.org/10.1177/0308518X20949266" TargetMode="External"/><Relationship Id="rId4" Type="http://schemas.openxmlformats.org/officeDocument/2006/relationships/webSettings" Target="webSettings.xml"/><Relationship Id="rId9" Type="http://schemas.openxmlformats.org/officeDocument/2006/relationships/hyperlink" Target="https://merics.org/en/analysis/digital-silk-road-development-issue" TargetMode="External"/><Relationship Id="rId14" Type="http://schemas.openxmlformats.org/officeDocument/2006/relationships/hyperlink" Target="https://thediplomat.com/2019/04/chinas-digital-silk-road-a-game-changer-for-asian-economi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ukcop26.org/global-coal-to-clean-power-transition-statement/" TargetMode="External"/><Relationship Id="rId2" Type="http://schemas.openxmlformats.org/officeDocument/2006/relationships/hyperlink" Target="https://www.e3g.org/news/coal-cop26-messy-messaging-positive-progress-significant-substance/" TargetMode="External"/><Relationship Id="rId1" Type="http://schemas.openxmlformats.org/officeDocument/2006/relationships/hyperlink" Target="https://www.theguardian.com/environment/2021/nov/01/cop26-polling-data-is-overwhelming-people-want-leaders-to-act" TargetMode="External"/><Relationship Id="rId6" Type="http://schemas.openxmlformats.org/officeDocument/2006/relationships/hyperlink" Target="https://unfccc.int/sites/default/files/resource/cma3_auv_4ac_Global_Goal.pdf" TargetMode="External"/><Relationship Id="rId5" Type="http://schemas.openxmlformats.org/officeDocument/2006/relationships/hyperlink" Target="https://ukcop26.org/wp-content/uploads/2021/10/Climate-Finance-Delivery-Plan-1.pdf" TargetMode="External"/><Relationship Id="rId4" Type="http://schemas.openxmlformats.org/officeDocument/2006/relationships/hyperlink" Target="https://www.iea.org/fuels-and-technologies/co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8800</Words>
  <Characters>50160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Yellowback</dc:creator>
  <cp:keywords/>
  <dc:description/>
  <cp:lastModifiedBy>Haynes, Carolyn</cp:lastModifiedBy>
  <cp:revision>2</cp:revision>
  <dcterms:created xsi:type="dcterms:W3CDTF">2022-02-02T14:06:00Z</dcterms:created>
  <dcterms:modified xsi:type="dcterms:W3CDTF">2022-02-02T14:06:00Z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2022-02-02T14:06:13Z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9878640a-79e6-40c2-9c73-744666e93590</vt:lpwstr>
  </property>
  <property fmtid="{D5CDD505-2E9C-101B-9397-08002B2CF9AE}" pid="8" name="MSIP_Label_2bbab825-a111-45e4-86a1-18cee0005896_ContentBits">
    <vt:lpwstr>2</vt:lpwstr>
  </property>
</Properties>
</file>