
<file path=[Content_Types].xml><?xml version="1.0" encoding="utf-8"?>
<Types xmlns="http://schemas.openxmlformats.org/package/2006/content-types">
  <Default Extension="emf" ContentType="image/x-emf"/>
  <Default Extension="pdf" ContentType="application/pd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744FB" w14:textId="105E14B2" w:rsidR="005003D8" w:rsidRPr="00C377C8" w:rsidRDefault="005003D8" w:rsidP="005003D8">
      <w:pPr>
        <w:rPr>
          <w:color w:val="000000" w:themeColor="text1"/>
        </w:rPr>
      </w:pPr>
    </w:p>
    <w:p w14:paraId="044CBD65" w14:textId="0F0A7F2C" w:rsidR="005003D8" w:rsidRPr="00C377C8" w:rsidRDefault="005003D8" w:rsidP="005003D8">
      <w:pPr>
        <w:rPr>
          <w:color w:val="000000" w:themeColor="text1"/>
        </w:rPr>
      </w:pPr>
    </w:p>
    <w:p w14:paraId="4B8AE0EF" w14:textId="29E40678" w:rsidR="005003D8" w:rsidRPr="00C377C8" w:rsidRDefault="005003D8" w:rsidP="005003D8">
      <w:pPr>
        <w:rPr>
          <w:color w:val="000000" w:themeColor="text1"/>
        </w:rPr>
      </w:pPr>
    </w:p>
    <w:p w14:paraId="269CC116" w14:textId="77777777" w:rsidR="005003D8" w:rsidRPr="00C377C8" w:rsidRDefault="005003D8" w:rsidP="005003D8">
      <w:pPr>
        <w:rPr>
          <w:color w:val="000000" w:themeColor="text1"/>
        </w:rPr>
      </w:pPr>
    </w:p>
    <w:p w14:paraId="7826031C" w14:textId="5788C0B8" w:rsidR="00D06B7C" w:rsidRPr="00C377C8" w:rsidRDefault="00D06B7C" w:rsidP="005003D8">
      <w:pPr>
        <w:spacing w:line="360" w:lineRule="auto"/>
        <w:ind w:left="2268"/>
        <w:jc w:val="center"/>
        <w:rPr>
          <w:b/>
          <w:color w:val="000000" w:themeColor="text1"/>
          <w:sz w:val="28"/>
          <w:szCs w:val="28"/>
        </w:rPr>
      </w:pPr>
      <w:bookmarkStart w:id="0" w:name="_Hlk104811477"/>
      <w:r w:rsidRPr="00C377C8">
        <w:rPr>
          <w:b/>
          <w:color w:val="000000" w:themeColor="text1"/>
          <w:sz w:val="28"/>
          <w:szCs w:val="28"/>
        </w:rPr>
        <w:t>An exploration of teachers’ and students’ perspectives on the effective teaching of the critical interpretation of the Quran in multilingual classrooms</w:t>
      </w:r>
    </w:p>
    <w:bookmarkEnd w:id="0"/>
    <w:p w14:paraId="688A0C6B" w14:textId="7DBD37B0" w:rsidR="005003D8" w:rsidRDefault="005003D8" w:rsidP="00461178">
      <w:pPr>
        <w:spacing w:line="360" w:lineRule="auto"/>
        <w:ind w:left="2268" w:firstLine="720"/>
        <w:jc w:val="center"/>
        <w:rPr>
          <w:b/>
          <w:color w:val="000000" w:themeColor="text1"/>
        </w:rPr>
      </w:pPr>
    </w:p>
    <w:p w14:paraId="74FBC03A" w14:textId="790A7637" w:rsidR="00D87938" w:rsidRDefault="00D87938" w:rsidP="00D87938">
      <w:pPr>
        <w:spacing w:line="360" w:lineRule="auto"/>
        <w:rPr>
          <w:b/>
          <w:color w:val="000000" w:themeColor="text1"/>
        </w:rPr>
      </w:pPr>
    </w:p>
    <w:p w14:paraId="216613A5" w14:textId="77777777" w:rsidR="00D87938" w:rsidRPr="00C377C8" w:rsidRDefault="00D87938" w:rsidP="00461178">
      <w:pPr>
        <w:spacing w:line="360" w:lineRule="auto"/>
        <w:ind w:left="2268" w:firstLine="720"/>
        <w:jc w:val="center"/>
        <w:rPr>
          <w:b/>
          <w:color w:val="000000" w:themeColor="text1"/>
        </w:rPr>
      </w:pPr>
    </w:p>
    <w:p w14:paraId="655243AD" w14:textId="345629B0" w:rsidR="00D06B7C" w:rsidRPr="00C377C8" w:rsidRDefault="00D06B7C" w:rsidP="00461178">
      <w:pPr>
        <w:spacing w:line="360" w:lineRule="auto"/>
        <w:ind w:left="2268" w:firstLine="720"/>
        <w:jc w:val="center"/>
        <w:rPr>
          <w:b/>
          <w:color w:val="000000" w:themeColor="text1"/>
        </w:rPr>
      </w:pPr>
      <w:r w:rsidRPr="00C377C8">
        <w:rPr>
          <w:b/>
          <w:color w:val="000000" w:themeColor="text1"/>
        </w:rPr>
        <w:t>Akbar Ali</w:t>
      </w:r>
    </w:p>
    <w:p w14:paraId="0557796F" w14:textId="6B9F40E0" w:rsidR="00D06B7C" w:rsidRPr="00C377C8" w:rsidRDefault="00D06B7C" w:rsidP="005003D8">
      <w:pPr>
        <w:spacing w:line="360" w:lineRule="auto"/>
        <w:ind w:left="2268"/>
        <w:jc w:val="center"/>
        <w:rPr>
          <w:color w:val="000000" w:themeColor="text1"/>
          <w:sz w:val="28"/>
          <w:szCs w:val="28"/>
        </w:rPr>
      </w:pPr>
      <w:r w:rsidRPr="00C377C8">
        <w:rPr>
          <w:color w:val="000000" w:themeColor="text1"/>
          <w:sz w:val="28"/>
          <w:szCs w:val="28"/>
        </w:rPr>
        <w:t>M.A in English (linguistics), M.A in Islamic Studies B.A. Cert in Education and Training</w:t>
      </w:r>
    </w:p>
    <w:p w14:paraId="4888191C" w14:textId="2838334C" w:rsidR="00D87938" w:rsidRDefault="00D87938" w:rsidP="00D87938">
      <w:pPr>
        <w:spacing w:line="360" w:lineRule="auto"/>
        <w:rPr>
          <w:b/>
          <w:color w:val="000000" w:themeColor="text1"/>
          <w:sz w:val="28"/>
          <w:szCs w:val="28"/>
        </w:rPr>
      </w:pPr>
    </w:p>
    <w:p w14:paraId="0F14A236" w14:textId="77777777" w:rsidR="00D87938" w:rsidRPr="00C377C8" w:rsidRDefault="00D87938" w:rsidP="00461178">
      <w:pPr>
        <w:spacing w:line="360" w:lineRule="auto"/>
        <w:ind w:left="2268"/>
        <w:jc w:val="center"/>
        <w:rPr>
          <w:b/>
          <w:color w:val="000000" w:themeColor="text1"/>
          <w:sz w:val="28"/>
          <w:szCs w:val="28"/>
        </w:rPr>
      </w:pPr>
    </w:p>
    <w:p w14:paraId="5B94363B" w14:textId="77777777" w:rsidR="00D06B7C" w:rsidRPr="00C377C8" w:rsidRDefault="00D06B7C" w:rsidP="00461178">
      <w:pPr>
        <w:spacing w:line="360" w:lineRule="auto"/>
        <w:ind w:left="2268"/>
        <w:jc w:val="center"/>
        <w:rPr>
          <w:color w:val="000000" w:themeColor="text1"/>
          <w:sz w:val="28"/>
          <w:szCs w:val="28"/>
        </w:rPr>
      </w:pPr>
      <w:r w:rsidRPr="00C377C8">
        <w:rPr>
          <w:color w:val="000000" w:themeColor="text1"/>
          <w:sz w:val="28"/>
          <w:szCs w:val="28"/>
        </w:rPr>
        <w:t>A thesis submitted for the Degree of Doctor of Education in the school of Education, Staffordshire University</w:t>
      </w:r>
    </w:p>
    <w:p w14:paraId="5FF15D5C" w14:textId="77777777" w:rsidR="00D06B7C" w:rsidRPr="00C377C8" w:rsidRDefault="00D06B7C" w:rsidP="00461178">
      <w:pPr>
        <w:spacing w:line="360" w:lineRule="auto"/>
        <w:ind w:left="2268"/>
        <w:jc w:val="center"/>
        <w:rPr>
          <w:b/>
          <w:color w:val="000000" w:themeColor="text1"/>
          <w:sz w:val="28"/>
          <w:szCs w:val="28"/>
        </w:rPr>
      </w:pPr>
    </w:p>
    <w:p w14:paraId="7745AA21" w14:textId="77777777" w:rsidR="00D87938" w:rsidRPr="00C377C8" w:rsidRDefault="00D87938" w:rsidP="00461178">
      <w:pPr>
        <w:spacing w:line="360" w:lineRule="auto"/>
        <w:ind w:left="2268"/>
        <w:jc w:val="center"/>
        <w:rPr>
          <w:b/>
          <w:color w:val="000000" w:themeColor="text1"/>
          <w:sz w:val="28"/>
          <w:szCs w:val="28"/>
        </w:rPr>
      </w:pPr>
    </w:p>
    <w:p w14:paraId="50C23C47" w14:textId="1561F3DB" w:rsidR="00D06B7C" w:rsidRPr="00C377C8" w:rsidRDefault="00D87938" w:rsidP="00D87938">
      <w:pPr>
        <w:spacing w:line="360" w:lineRule="auto"/>
        <w:jc w:val="center"/>
        <w:rPr>
          <w:color w:val="000000" w:themeColor="text1"/>
        </w:rPr>
      </w:pPr>
      <w:r>
        <w:rPr>
          <w:color w:val="000000" w:themeColor="text1"/>
        </w:rPr>
        <w:t xml:space="preserve">Award EdD                                                          </w:t>
      </w:r>
      <w:r w:rsidR="00D06B7C" w:rsidRPr="00C377C8">
        <w:rPr>
          <w:color w:val="000000" w:themeColor="text1"/>
        </w:rPr>
        <w:t xml:space="preserve">Date: </w:t>
      </w:r>
      <w:r w:rsidR="00D06B7C" w:rsidRPr="00C377C8">
        <w:rPr>
          <w:color w:val="000000" w:themeColor="text1"/>
        </w:rPr>
        <w:tab/>
      </w:r>
      <w:r w:rsidR="00D06B7C" w:rsidRPr="00C377C8">
        <w:rPr>
          <w:color w:val="000000" w:themeColor="text1"/>
        </w:rPr>
        <w:tab/>
        <w:t>September 2021</w:t>
      </w:r>
    </w:p>
    <w:p w14:paraId="38F728F3" w14:textId="77777777" w:rsidR="00046B88" w:rsidRPr="00C377C8" w:rsidRDefault="00046B88" w:rsidP="005003D8">
      <w:pPr>
        <w:rPr>
          <w:color w:val="000000" w:themeColor="text1"/>
        </w:rPr>
      </w:pPr>
    </w:p>
    <w:p w14:paraId="7CEACE23" w14:textId="59540072" w:rsidR="00046B88" w:rsidRDefault="00046B88" w:rsidP="00461178">
      <w:pPr>
        <w:ind w:left="2268"/>
        <w:rPr>
          <w:color w:val="000000" w:themeColor="text1"/>
        </w:rPr>
      </w:pPr>
    </w:p>
    <w:p w14:paraId="06A20A88" w14:textId="117AB337" w:rsidR="006F2E24" w:rsidRDefault="006F2E24" w:rsidP="00461178">
      <w:pPr>
        <w:ind w:left="2268"/>
        <w:rPr>
          <w:color w:val="000000" w:themeColor="text1"/>
        </w:rPr>
      </w:pPr>
    </w:p>
    <w:p w14:paraId="2B39F41D" w14:textId="6956B9AD" w:rsidR="006F2E24" w:rsidRDefault="006F2E24" w:rsidP="00461178">
      <w:pPr>
        <w:ind w:left="2268"/>
        <w:rPr>
          <w:color w:val="000000" w:themeColor="text1"/>
        </w:rPr>
      </w:pPr>
    </w:p>
    <w:p w14:paraId="3F1E0414" w14:textId="7D8F521F" w:rsidR="006F2E24" w:rsidRDefault="006F2E24" w:rsidP="00461178">
      <w:pPr>
        <w:ind w:left="2268"/>
        <w:rPr>
          <w:color w:val="000000" w:themeColor="text1"/>
        </w:rPr>
      </w:pPr>
    </w:p>
    <w:p w14:paraId="7E4E6DD0" w14:textId="21D7BCD3" w:rsidR="006F2E24" w:rsidRDefault="006F2E24" w:rsidP="00461178">
      <w:pPr>
        <w:ind w:left="2268"/>
        <w:rPr>
          <w:color w:val="000000" w:themeColor="text1"/>
        </w:rPr>
      </w:pPr>
    </w:p>
    <w:p w14:paraId="6C73B2A8" w14:textId="2D99C63A" w:rsidR="006F2E24" w:rsidRDefault="006F2E24" w:rsidP="00461178">
      <w:pPr>
        <w:ind w:left="2268"/>
        <w:rPr>
          <w:color w:val="000000" w:themeColor="text1"/>
        </w:rPr>
      </w:pPr>
    </w:p>
    <w:p w14:paraId="7F5667D2" w14:textId="30D9F1CE" w:rsidR="006F2E24" w:rsidRDefault="006F2E24" w:rsidP="00461178">
      <w:pPr>
        <w:ind w:left="2268"/>
        <w:rPr>
          <w:color w:val="000000" w:themeColor="text1"/>
        </w:rPr>
      </w:pPr>
    </w:p>
    <w:p w14:paraId="341E31E5" w14:textId="056CF1AA" w:rsidR="006F2E24" w:rsidRDefault="006F2E24" w:rsidP="00461178">
      <w:pPr>
        <w:ind w:left="2268"/>
        <w:rPr>
          <w:color w:val="000000" w:themeColor="text1"/>
        </w:rPr>
      </w:pPr>
    </w:p>
    <w:p w14:paraId="3F7FC792" w14:textId="77777777" w:rsidR="006F2E24" w:rsidRPr="00C377C8" w:rsidRDefault="006F2E24" w:rsidP="00461178">
      <w:pPr>
        <w:ind w:left="2268"/>
        <w:rPr>
          <w:color w:val="000000" w:themeColor="text1"/>
        </w:rPr>
      </w:pPr>
    </w:p>
    <w:p w14:paraId="66ABD21D" w14:textId="77777777" w:rsidR="00D06B7C" w:rsidRPr="00C377C8" w:rsidRDefault="00D06B7C" w:rsidP="00461178">
      <w:pPr>
        <w:ind w:left="2268"/>
        <w:rPr>
          <w:color w:val="000000" w:themeColor="text1"/>
        </w:rPr>
      </w:pPr>
    </w:p>
    <w:p w14:paraId="193CC221" w14:textId="77777777" w:rsidR="006267A8" w:rsidRPr="00C377C8" w:rsidRDefault="006267A8" w:rsidP="006267A8">
      <w:pPr>
        <w:pStyle w:val="Heading1"/>
        <w:numPr>
          <w:ilvl w:val="0"/>
          <w:numId w:val="0"/>
        </w:numPr>
        <w:ind w:left="2268" w:right="0" w:hanging="432"/>
        <w:jc w:val="center"/>
      </w:pPr>
      <w:bookmarkStart w:id="1" w:name="_Toc83666934"/>
      <w:bookmarkStart w:id="2" w:name="_Toc96609037"/>
      <w:r w:rsidRPr="00C377C8">
        <w:t>Declaration</w:t>
      </w:r>
      <w:bookmarkEnd w:id="1"/>
      <w:bookmarkEnd w:id="2"/>
    </w:p>
    <w:p w14:paraId="4AF01D5E" w14:textId="77777777" w:rsidR="006267A8" w:rsidRPr="00C377C8" w:rsidRDefault="006267A8" w:rsidP="006267A8">
      <w:pPr>
        <w:spacing w:line="360" w:lineRule="auto"/>
        <w:ind w:left="2268"/>
        <w:rPr>
          <w:color w:val="000000" w:themeColor="text1"/>
        </w:rPr>
      </w:pPr>
    </w:p>
    <w:p w14:paraId="78A36D85" w14:textId="77777777" w:rsidR="006267A8" w:rsidRPr="00C377C8" w:rsidRDefault="006267A8" w:rsidP="006267A8">
      <w:pPr>
        <w:spacing w:line="360" w:lineRule="auto"/>
        <w:ind w:left="2268"/>
        <w:rPr>
          <w:color w:val="000000" w:themeColor="text1"/>
        </w:rPr>
      </w:pPr>
    </w:p>
    <w:p w14:paraId="30AD875F" w14:textId="77777777" w:rsidR="006267A8" w:rsidRPr="00C377C8" w:rsidRDefault="006267A8" w:rsidP="006267A8">
      <w:pPr>
        <w:spacing w:line="360" w:lineRule="auto"/>
        <w:ind w:left="2268"/>
        <w:jc w:val="center"/>
        <w:rPr>
          <w:color w:val="000000" w:themeColor="text1"/>
        </w:rPr>
      </w:pPr>
      <w:r w:rsidRPr="00C377C8">
        <w:rPr>
          <w:color w:val="000000" w:themeColor="text1"/>
        </w:rPr>
        <w:t>I declare that this thesis represents my own work.</w:t>
      </w:r>
    </w:p>
    <w:p w14:paraId="0C2F0B53" w14:textId="77777777" w:rsidR="006267A8" w:rsidRPr="00C377C8" w:rsidRDefault="006267A8" w:rsidP="006267A8">
      <w:pPr>
        <w:spacing w:line="360" w:lineRule="auto"/>
        <w:ind w:left="2268"/>
        <w:jc w:val="center"/>
        <w:rPr>
          <w:color w:val="000000" w:themeColor="text1"/>
        </w:rPr>
      </w:pPr>
    </w:p>
    <w:p w14:paraId="03D23165" w14:textId="77777777" w:rsidR="006267A8" w:rsidRPr="00C377C8" w:rsidRDefault="006267A8" w:rsidP="006267A8">
      <w:pPr>
        <w:spacing w:line="360" w:lineRule="auto"/>
        <w:ind w:left="2268" w:firstLine="720"/>
        <w:jc w:val="center"/>
        <w:rPr>
          <w:color w:val="000000" w:themeColor="text1"/>
        </w:rPr>
      </w:pPr>
    </w:p>
    <w:p w14:paraId="31BD92AF" w14:textId="77777777" w:rsidR="006267A8" w:rsidRPr="00C377C8" w:rsidRDefault="006267A8" w:rsidP="006267A8">
      <w:pPr>
        <w:spacing w:line="360" w:lineRule="auto"/>
        <w:ind w:left="2268" w:firstLine="720"/>
        <w:jc w:val="center"/>
        <w:rPr>
          <w:color w:val="000000" w:themeColor="text1"/>
        </w:rPr>
      </w:pPr>
    </w:p>
    <w:p w14:paraId="50B116BE" w14:textId="084952AA" w:rsidR="006267A8" w:rsidRPr="00C377C8" w:rsidRDefault="006267A8" w:rsidP="006267A8">
      <w:pPr>
        <w:spacing w:line="360" w:lineRule="auto"/>
        <w:ind w:left="2268" w:firstLine="720"/>
        <w:jc w:val="center"/>
        <w:rPr>
          <w:color w:val="000000" w:themeColor="text1"/>
        </w:rPr>
      </w:pPr>
      <w:r w:rsidRPr="00C377C8">
        <w:rPr>
          <w:color w:val="000000" w:themeColor="text1"/>
        </w:rPr>
        <w:t>Name: Akbar Ali</w:t>
      </w:r>
    </w:p>
    <w:p w14:paraId="34C268B1" w14:textId="77777777" w:rsidR="006267A8" w:rsidRPr="00C377C8" w:rsidRDefault="006267A8" w:rsidP="006267A8">
      <w:pPr>
        <w:spacing w:line="360" w:lineRule="auto"/>
        <w:ind w:left="2268"/>
        <w:jc w:val="center"/>
        <w:rPr>
          <w:color w:val="000000" w:themeColor="text1"/>
        </w:rPr>
      </w:pPr>
    </w:p>
    <w:p w14:paraId="213716D5" w14:textId="77777777" w:rsidR="006267A8" w:rsidRPr="00C377C8" w:rsidRDefault="006267A8" w:rsidP="006267A8">
      <w:pPr>
        <w:spacing w:line="360" w:lineRule="auto"/>
        <w:ind w:left="2268"/>
        <w:jc w:val="center"/>
        <w:rPr>
          <w:color w:val="000000" w:themeColor="text1"/>
        </w:rPr>
      </w:pPr>
    </w:p>
    <w:p w14:paraId="5973BC9F" w14:textId="77777777" w:rsidR="006267A8" w:rsidRPr="00C377C8" w:rsidRDefault="006267A8" w:rsidP="006267A8">
      <w:pPr>
        <w:spacing w:line="360" w:lineRule="auto"/>
        <w:ind w:left="2268"/>
        <w:jc w:val="center"/>
        <w:rPr>
          <w:color w:val="000000" w:themeColor="text1"/>
        </w:rPr>
      </w:pPr>
    </w:p>
    <w:p w14:paraId="48181865" w14:textId="19070E5A" w:rsidR="006267A8" w:rsidRPr="00C377C8" w:rsidRDefault="006267A8" w:rsidP="006267A8">
      <w:pPr>
        <w:spacing w:line="360" w:lineRule="auto"/>
        <w:ind w:left="2268" w:firstLine="720"/>
        <w:jc w:val="center"/>
        <w:rPr>
          <w:color w:val="000000" w:themeColor="text1"/>
        </w:rPr>
      </w:pPr>
      <w:r w:rsidRPr="00C377C8">
        <w:rPr>
          <w:color w:val="000000" w:themeColor="text1"/>
        </w:rPr>
        <w:t xml:space="preserve">Date:  </w:t>
      </w:r>
      <w:r w:rsidR="00FA3F85" w:rsidRPr="00C377C8">
        <w:rPr>
          <w:color w:val="000000" w:themeColor="text1"/>
        </w:rPr>
        <w:t>October</w:t>
      </w:r>
      <w:r w:rsidRPr="00C377C8">
        <w:rPr>
          <w:color w:val="000000" w:themeColor="text1"/>
        </w:rPr>
        <w:t xml:space="preserve"> 2021</w:t>
      </w:r>
    </w:p>
    <w:p w14:paraId="5F6CC576" w14:textId="77777777" w:rsidR="006267A8" w:rsidRPr="00C377C8" w:rsidRDefault="006267A8" w:rsidP="006267A8">
      <w:pPr>
        <w:spacing w:line="360" w:lineRule="auto"/>
        <w:ind w:left="2268"/>
        <w:rPr>
          <w:color w:val="000000" w:themeColor="text1"/>
        </w:rPr>
      </w:pPr>
    </w:p>
    <w:p w14:paraId="6AE039D9" w14:textId="77777777" w:rsidR="006267A8" w:rsidRPr="00C377C8" w:rsidRDefault="006267A8" w:rsidP="006267A8">
      <w:pPr>
        <w:spacing w:line="360" w:lineRule="auto"/>
        <w:ind w:left="2268"/>
        <w:rPr>
          <w:color w:val="000000" w:themeColor="text1"/>
        </w:rPr>
      </w:pPr>
    </w:p>
    <w:p w14:paraId="37182EF2" w14:textId="77777777" w:rsidR="006267A8" w:rsidRPr="00C377C8" w:rsidRDefault="006267A8" w:rsidP="006267A8">
      <w:pPr>
        <w:spacing w:line="360" w:lineRule="auto"/>
        <w:ind w:left="2268"/>
        <w:rPr>
          <w:color w:val="000000" w:themeColor="text1"/>
        </w:rPr>
      </w:pPr>
    </w:p>
    <w:p w14:paraId="35CDD028" w14:textId="77777777" w:rsidR="006267A8" w:rsidRPr="00C377C8" w:rsidRDefault="006267A8" w:rsidP="006267A8">
      <w:pPr>
        <w:spacing w:line="360" w:lineRule="auto"/>
        <w:ind w:left="2268"/>
        <w:rPr>
          <w:color w:val="000000" w:themeColor="text1"/>
        </w:rPr>
      </w:pPr>
    </w:p>
    <w:p w14:paraId="33B76AFE" w14:textId="77777777" w:rsidR="006267A8" w:rsidRPr="00C377C8" w:rsidRDefault="006267A8" w:rsidP="006267A8">
      <w:pPr>
        <w:spacing w:line="360" w:lineRule="auto"/>
        <w:ind w:left="2268"/>
        <w:rPr>
          <w:color w:val="000000" w:themeColor="text1"/>
        </w:rPr>
      </w:pPr>
    </w:p>
    <w:p w14:paraId="1E9071A9" w14:textId="77777777" w:rsidR="006267A8" w:rsidRPr="00C377C8" w:rsidRDefault="006267A8" w:rsidP="006267A8">
      <w:pPr>
        <w:spacing w:line="360" w:lineRule="auto"/>
        <w:ind w:left="2268"/>
        <w:rPr>
          <w:color w:val="000000" w:themeColor="text1"/>
        </w:rPr>
      </w:pPr>
    </w:p>
    <w:p w14:paraId="26651CA4" w14:textId="77777777" w:rsidR="006267A8" w:rsidRPr="00C377C8" w:rsidRDefault="006267A8" w:rsidP="006267A8">
      <w:pPr>
        <w:spacing w:line="360" w:lineRule="auto"/>
        <w:ind w:left="2268"/>
        <w:rPr>
          <w:color w:val="000000" w:themeColor="text1"/>
        </w:rPr>
      </w:pPr>
    </w:p>
    <w:p w14:paraId="1008748E" w14:textId="77777777" w:rsidR="006267A8" w:rsidRPr="00C377C8" w:rsidRDefault="006267A8" w:rsidP="006267A8">
      <w:pPr>
        <w:spacing w:line="360" w:lineRule="auto"/>
        <w:ind w:left="2268"/>
        <w:rPr>
          <w:color w:val="000000" w:themeColor="text1"/>
        </w:rPr>
      </w:pPr>
    </w:p>
    <w:p w14:paraId="2F6C2F2C" w14:textId="77777777" w:rsidR="006267A8" w:rsidRPr="00C377C8" w:rsidRDefault="006267A8" w:rsidP="006267A8">
      <w:pPr>
        <w:spacing w:line="360" w:lineRule="auto"/>
        <w:ind w:left="2268"/>
        <w:rPr>
          <w:color w:val="000000" w:themeColor="text1"/>
        </w:rPr>
      </w:pPr>
    </w:p>
    <w:p w14:paraId="645A7EAD" w14:textId="77777777" w:rsidR="006267A8" w:rsidRPr="00C377C8" w:rsidRDefault="006267A8" w:rsidP="006267A8">
      <w:pPr>
        <w:spacing w:line="360" w:lineRule="auto"/>
        <w:ind w:left="2268"/>
        <w:rPr>
          <w:color w:val="000000" w:themeColor="text1"/>
        </w:rPr>
      </w:pPr>
    </w:p>
    <w:p w14:paraId="7EBAAEED" w14:textId="77777777" w:rsidR="006267A8" w:rsidRPr="00C377C8" w:rsidRDefault="006267A8" w:rsidP="006267A8">
      <w:pPr>
        <w:spacing w:line="360" w:lineRule="auto"/>
        <w:ind w:left="2268"/>
        <w:rPr>
          <w:color w:val="000000" w:themeColor="text1"/>
        </w:rPr>
      </w:pPr>
    </w:p>
    <w:p w14:paraId="5AD5B282" w14:textId="77777777" w:rsidR="006267A8" w:rsidRPr="00C377C8" w:rsidRDefault="006267A8" w:rsidP="006267A8">
      <w:pPr>
        <w:spacing w:line="360" w:lineRule="auto"/>
        <w:ind w:left="2268"/>
        <w:rPr>
          <w:color w:val="000000" w:themeColor="text1"/>
        </w:rPr>
      </w:pPr>
    </w:p>
    <w:p w14:paraId="532DFB2B" w14:textId="77777777" w:rsidR="006267A8" w:rsidRPr="00C377C8" w:rsidRDefault="006267A8" w:rsidP="006267A8">
      <w:pPr>
        <w:spacing w:line="360" w:lineRule="auto"/>
        <w:ind w:left="2268"/>
        <w:rPr>
          <w:color w:val="000000" w:themeColor="text1"/>
        </w:rPr>
      </w:pPr>
    </w:p>
    <w:p w14:paraId="3A2CB8E0" w14:textId="77777777" w:rsidR="006267A8" w:rsidRPr="00C377C8" w:rsidRDefault="006267A8" w:rsidP="006267A8">
      <w:pPr>
        <w:pStyle w:val="Heading1"/>
        <w:numPr>
          <w:ilvl w:val="0"/>
          <w:numId w:val="0"/>
        </w:numPr>
        <w:ind w:left="2268" w:right="0" w:hanging="432"/>
      </w:pPr>
      <w:bookmarkStart w:id="3" w:name="_Toc83666935"/>
      <w:bookmarkStart w:id="4" w:name="_Toc96609038"/>
      <w:r w:rsidRPr="00C377C8">
        <w:t>Acknowledgements</w:t>
      </w:r>
      <w:bookmarkEnd w:id="3"/>
      <w:bookmarkEnd w:id="4"/>
      <w:r w:rsidRPr="00C377C8">
        <w:t xml:space="preserve"> </w:t>
      </w:r>
    </w:p>
    <w:p w14:paraId="60BD38CC" w14:textId="77777777" w:rsidR="006267A8" w:rsidRPr="00C377C8" w:rsidRDefault="006267A8" w:rsidP="006267A8">
      <w:pPr>
        <w:pStyle w:val="ListParagraph"/>
        <w:numPr>
          <w:ilvl w:val="0"/>
          <w:numId w:val="15"/>
        </w:numPr>
        <w:spacing w:line="360" w:lineRule="auto"/>
        <w:ind w:left="2635"/>
        <w:rPr>
          <w:color w:val="000000" w:themeColor="text1"/>
        </w:rPr>
      </w:pPr>
      <w:r w:rsidRPr="00C377C8">
        <w:rPr>
          <w:color w:val="000000" w:themeColor="text1"/>
        </w:rPr>
        <w:t>To my research supervisors, Dr. Fahid Qureshi and Dr. Hindmarch Duncan thank you for making this journey exciting and thrilling, for providing guidance and feedback throughout the study.</w:t>
      </w:r>
    </w:p>
    <w:p w14:paraId="5638D8A1" w14:textId="77777777" w:rsidR="006267A8" w:rsidRPr="00C377C8" w:rsidRDefault="006267A8" w:rsidP="006267A8">
      <w:pPr>
        <w:pStyle w:val="ListParagraph"/>
        <w:numPr>
          <w:ilvl w:val="0"/>
          <w:numId w:val="15"/>
        </w:numPr>
        <w:spacing w:line="360" w:lineRule="auto"/>
        <w:ind w:left="2635"/>
        <w:rPr>
          <w:color w:val="000000" w:themeColor="text1"/>
        </w:rPr>
      </w:pPr>
      <w:r w:rsidRPr="00C377C8">
        <w:rPr>
          <w:color w:val="000000" w:themeColor="text1"/>
        </w:rPr>
        <w:t xml:space="preserve">To programme lead, Dr. Gill Forrester for her dedicated support and guidance. Dr. Gill continuously provided encouragement and was always willing and enthusiastic to assist throughout the research project. </w:t>
      </w:r>
    </w:p>
    <w:p w14:paraId="5DDB6F41" w14:textId="3DD73781" w:rsidR="006267A8" w:rsidRPr="00C377C8" w:rsidRDefault="006267A8" w:rsidP="006267A8">
      <w:pPr>
        <w:pStyle w:val="ListParagraph"/>
        <w:numPr>
          <w:ilvl w:val="0"/>
          <w:numId w:val="15"/>
        </w:numPr>
        <w:spacing w:line="360" w:lineRule="auto"/>
        <w:ind w:left="2635"/>
        <w:rPr>
          <w:color w:val="000000" w:themeColor="text1"/>
        </w:rPr>
      </w:pPr>
      <w:r w:rsidRPr="00C377C8">
        <w:rPr>
          <w:color w:val="000000" w:themeColor="text1"/>
        </w:rPr>
        <w:t xml:space="preserve">To my parents, though you are not here with me, but the resistance, </w:t>
      </w:r>
      <w:r w:rsidR="00FA3F85" w:rsidRPr="00C377C8">
        <w:rPr>
          <w:color w:val="000000" w:themeColor="text1"/>
        </w:rPr>
        <w:t>patience,</w:t>
      </w:r>
      <w:r w:rsidRPr="00C377C8">
        <w:rPr>
          <w:color w:val="000000" w:themeColor="text1"/>
        </w:rPr>
        <w:t xml:space="preserve"> and consistency you taught me always help me to overcome challenges and live life to the best. </w:t>
      </w:r>
    </w:p>
    <w:p w14:paraId="4647F77D" w14:textId="77777777" w:rsidR="006267A8" w:rsidRPr="00C377C8" w:rsidRDefault="006267A8" w:rsidP="006267A8">
      <w:pPr>
        <w:pStyle w:val="ListParagraph"/>
        <w:numPr>
          <w:ilvl w:val="0"/>
          <w:numId w:val="15"/>
        </w:numPr>
        <w:spacing w:line="360" w:lineRule="auto"/>
        <w:ind w:left="2635"/>
        <w:rPr>
          <w:color w:val="000000" w:themeColor="text1"/>
        </w:rPr>
      </w:pPr>
      <w:r w:rsidRPr="00C377C8">
        <w:rPr>
          <w:color w:val="000000" w:themeColor="text1"/>
        </w:rPr>
        <w:t>To my amazing, loving and caring wife, Aleena Akbar for always being there and endless deep conversations. To my lovely children Haaziq, Khadija and Hussain.</w:t>
      </w:r>
    </w:p>
    <w:p w14:paraId="51EE5F4F" w14:textId="77777777" w:rsidR="006267A8" w:rsidRPr="00C377C8" w:rsidRDefault="006267A8" w:rsidP="006267A8">
      <w:pPr>
        <w:pStyle w:val="ListParagraph"/>
        <w:numPr>
          <w:ilvl w:val="0"/>
          <w:numId w:val="15"/>
        </w:numPr>
        <w:spacing w:line="360" w:lineRule="auto"/>
        <w:ind w:left="2635"/>
        <w:rPr>
          <w:color w:val="000000" w:themeColor="text1"/>
        </w:rPr>
      </w:pPr>
      <w:r w:rsidRPr="00C377C8">
        <w:rPr>
          <w:color w:val="000000" w:themeColor="text1"/>
        </w:rPr>
        <w:t xml:space="preserve">To my colleague and friends who supported me through this journey. </w:t>
      </w:r>
    </w:p>
    <w:p w14:paraId="1D59BDEC" w14:textId="77777777" w:rsidR="006267A8" w:rsidRPr="00C377C8" w:rsidRDefault="006267A8" w:rsidP="00461178">
      <w:pPr>
        <w:pStyle w:val="Heading1"/>
        <w:numPr>
          <w:ilvl w:val="0"/>
          <w:numId w:val="0"/>
        </w:numPr>
        <w:ind w:left="2268" w:right="0"/>
      </w:pPr>
    </w:p>
    <w:p w14:paraId="5ED2FA62" w14:textId="77777777" w:rsidR="006267A8" w:rsidRPr="00C377C8" w:rsidRDefault="006267A8" w:rsidP="006267A8">
      <w:pPr>
        <w:rPr>
          <w:rFonts w:ascii="Times New Roman" w:hAnsi="Times New Roman" w:cs="Times New Roman"/>
          <w:b/>
          <w:color w:val="000000" w:themeColor="text1"/>
          <w:sz w:val="36"/>
          <w:szCs w:val="28"/>
        </w:rPr>
      </w:pPr>
    </w:p>
    <w:p w14:paraId="5EDC7151" w14:textId="77777777" w:rsidR="006267A8" w:rsidRPr="00C377C8" w:rsidRDefault="006267A8" w:rsidP="006267A8">
      <w:pPr>
        <w:rPr>
          <w:rFonts w:ascii="Times New Roman" w:hAnsi="Times New Roman" w:cs="Times New Roman"/>
          <w:b/>
          <w:color w:val="000000" w:themeColor="text1"/>
          <w:sz w:val="36"/>
          <w:szCs w:val="28"/>
        </w:rPr>
      </w:pPr>
    </w:p>
    <w:p w14:paraId="49F429F6" w14:textId="77777777" w:rsidR="006267A8" w:rsidRPr="00C377C8" w:rsidRDefault="006267A8" w:rsidP="006267A8">
      <w:pPr>
        <w:rPr>
          <w:rFonts w:ascii="Times New Roman" w:hAnsi="Times New Roman" w:cs="Times New Roman"/>
          <w:b/>
          <w:color w:val="000000" w:themeColor="text1"/>
          <w:sz w:val="36"/>
          <w:szCs w:val="28"/>
        </w:rPr>
      </w:pPr>
    </w:p>
    <w:p w14:paraId="36FA8DAC" w14:textId="77777777" w:rsidR="006267A8" w:rsidRPr="00C377C8" w:rsidRDefault="006267A8" w:rsidP="006267A8">
      <w:pPr>
        <w:rPr>
          <w:rFonts w:ascii="Times New Roman" w:hAnsi="Times New Roman" w:cs="Times New Roman"/>
          <w:b/>
          <w:color w:val="000000" w:themeColor="text1"/>
          <w:sz w:val="36"/>
          <w:szCs w:val="28"/>
        </w:rPr>
      </w:pPr>
    </w:p>
    <w:p w14:paraId="4519C804" w14:textId="77777777" w:rsidR="006267A8" w:rsidRPr="00C377C8" w:rsidRDefault="006267A8" w:rsidP="006267A8">
      <w:pPr>
        <w:rPr>
          <w:rFonts w:ascii="Times New Roman" w:hAnsi="Times New Roman" w:cs="Times New Roman"/>
          <w:b/>
          <w:color w:val="000000" w:themeColor="text1"/>
          <w:sz w:val="36"/>
          <w:szCs w:val="28"/>
        </w:rPr>
      </w:pPr>
    </w:p>
    <w:p w14:paraId="091B14B4" w14:textId="77777777" w:rsidR="006267A8" w:rsidRPr="00C377C8" w:rsidRDefault="006267A8" w:rsidP="006267A8">
      <w:pPr>
        <w:rPr>
          <w:rFonts w:ascii="Times New Roman" w:hAnsi="Times New Roman" w:cs="Times New Roman"/>
          <w:b/>
          <w:color w:val="000000" w:themeColor="text1"/>
          <w:sz w:val="36"/>
          <w:szCs w:val="28"/>
        </w:rPr>
      </w:pPr>
    </w:p>
    <w:p w14:paraId="6EF5E94C" w14:textId="77777777" w:rsidR="006267A8" w:rsidRPr="00C377C8" w:rsidRDefault="006267A8" w:rsidP="006267A8">
      <w:pPr>
        <w:rPr>
          <w:rFonts w:ascii="Times New Roman" w:hAnsi="Times New Roman" w:cs="Times New Roman"/>
          <w:b/>
          <w:color w:val="000000" w:themeColor="text1"/>
          <w:sz w:val="36"/>
          <w:szCs w:val="28"/>
        </w:rPr>
      </w:pPr>
    </w:p>
    <w:p w14:paraId="6B03F361" w14:textId="77777777" w:rsidR="006267A8" w:rsidRPr="00C377C8" w:rsidRDefault="006267A8" w:rsidP="006267A8">
      <w:pPr>
        <w:rPr>
          <w:rFonts w:ascii="Times New Roman" w:hAnsi="Times New Roman" w:cs="Times New Roman"/>
          <w:b/>
          <w:color w:val="000000" w:themeColor="text1"/>
          <w:sz w:val="36"/>
          <w:szCs w:val="28"/>
        </w:rPr>
      </w:pPr>
    </w:p>
    <w:p w14:paraId="119CCA4D" w14:textId="77777777" w:rsidR="006267A8" w:rsidRPr="00C377C8" w:rsidRDefault="006267A8" w:rsidP="006267A8">
      <w:pPr>
        <w:rPr>
          <w:color w:val="000000" w:themeColor="text1"/>
        </w:rPr>
      </w:pPr>
    </w:p>
    <w:p w14:paraId="47099B67" w14:textId="77777777" w:rsidR="006267A8" w:rsidRPr="00C377C8" w:rsidRDefault="006267A8" w:rsidP="006267A8">
      <w:pPr>
        <w:rPr>
          <w:color w:val="000000" w:themeColor="text1"/>
        </w:rPr>
      </w:pPr>
    </w:p>
    <w:p w14:paraId="569B976F" w14:textId="77777777" w:rsidR="006267A8" w:rsidRPr="00C377C8" w:rsidRDefault="006267A8" w:rsidP="006267A8">
      <w:pPr>
        <w:rPr>
          <w:color w:val="000000" w:themeColor="text1"/>
        </w:rPr>
      </w:pPr>
    </w:p>
    <w:p w14:paraId="2A0D4F13" w14:textId="77777777" w:rsidR="006267A8" w:rsidRPr="00C377C8" w:rsidRDefault="006267A8" w:rsidP="006267A8">
      <w:pPr>
        <w:rPr>
          <w:color w:val="000000" w:themeColor="text1"/>
        </w:rPr>
      </w:pPr>
    </w:p>
    <w:p w14:paraId="6FA49D8B" w14:textId="77777777" w:rsidR="006267A8" w:rsidRPr="00C377C8" w:rsidRDefault="006267A8" w:rsidP="00461178">
      <w:pPr>
        <w:pStyle w:val="Heading1"/>
        <w:numPr>
          <w:ilvl w:val="0"/>
          <w:numId w:val="0"/>
        </w:numPr>
        <w:ind w:left="2268" w:right="0"/>
      </w:pPr>
    </w:p>
    <w:p w14:paraId="68A88690" w14:textId="77777777" w:rsidR="00D06B7C" w:rsidRPr="00C377C8" w:rsidRDefault="00D06B7C" w:rsidP="00461178">
      <w:pPr>
        <w:pStyle w:val="Heading1"/>
        <w:numPr>
          <w:ilvl w:val="0"/>
          <w:numId w:val="0"/>
        </w:numPr>
        <w:ind w:left="2268" w:right="0"/>
      </w:pPr>
      <w:bookmarkStart w:id="5" w:name="_Toc96609039"/>
      <w:r w:rsidRPr="00C377C8">
        <w:t>Glossary</w:t>
      </w:r>
      <w:bookmarkEnd w:id="5"/>
    </w:p>
    <w:p w14:paraId="1EC97576" w14:textId="1924BEB9" w:rsidR="00167122" w:rsidRPr="00C377C8" w:rsidRDefault="00C80777" w:rsidP="00167122">
      <w:pPr>
        <w:ind w:left="2268"/>
        <w:rPr>
          <w:color w:val="000000" w:themeColor="text1"/>
        </w:rPr>
      </w:pPr>
      <w:r w:rsidRPr="00C377C8">
        <w:rPr>
          <w:color w:val="000000" w:themeColor="text1"/>
        </w:rPr>
        <w:t xml:space="preserve">Aathar </w:t>
      </w:r>
      <w:r w:rsidRPr="00C377C8">
        <w:rPr>
          <w:color w:val="000000" w:themeColor="text1"/>
        </w:rPr>
        <w:tab/>
      </w:r>
      <w:r w:rsidRPr="00C377C8">
        <w:rPr>
          <w:color w:val="000000" w:themeColor="text1"/>
        </w:rPr>
        <w:tab/>
      </w:r>
      <w:r w:rsidRPr="00C377C8">
        <w:rPr>
          <w:color w:val="000000" w:themeColor="text1"/>
        </w:rPr>
        <w:tab/>
        <w:t>Sayings of the companions</w:t>
      </w:r>
    </w:p>
    <w:p w14:paraId="6F637DC5" w14:textId="38F63600" w:rsidR="00167122" w:rsidRPr="00C377C8" w:rsidRDefault="00167122" w:rsidP="00C80777">
      <w:pPr>
        <w:ind w:left="2268"/>
        <w:rPr>
          <w:color w:val="000000" w:themeColor="text1"/>
        </w:rPr>
      </w:pPr>
      <w:r w:rsidRPr="00C377C8">
        <w:rPr>
          <w:color w:val="000000" w:themeColor="text1"/>
        </w:rPr>
        <w:t xml:space="preserve">Asuliyeen </w:t>
      </w:r>
      <w:r w:rsidRPr="00C377C8">
        <w:rPr>
          <w:color w:val="000000" w:themeColor="text1"/>
        </w:rPr>
        <w:tab/>
      </w:r>
      <w:r w:rsidRPr="00C377C8">
        <w:rPr>
          <w:color w:val="000000" w:themeColor="text1"/>
        </w:rPr>
        <w:tab/>
      </w:r>
      <w:r w:rsidRPr="00C377C8">
        <w:rPr>
          <w:color w:val="000000" w:themeColor="text1"/>
        </w:rPr>
        <w:tab/>
        <w:t xml:space="preserve">Jurists </w:t>
      </w:r>
    </w:p>
    <w:p w14:paraId="3D0C4CBF" w14:textId="77777777" w:rsidR="00C80777" w:rsidRPr="00C377C8" w:rsidRDefault="00C80777" w:rsidP="00C80777">
      <w:pPr>
        <w:ind w:left="2268"/>
        <w:rPr>
          <w:color w:val="000000" w:themeColor="text1"/>
        </w:rPr>
      </w:pPr>
      <w:r w:rsidRPr="00C377C8">
        <w:rPr>
          <w:color w:val="000000" w:themeColor="text1"/>
        </w:rPr>
        <w:t>Balaghah</w:t>
      </w:r>
      <w:r w:rsidRPr="00C377C8">
        <w:rPr>
          <w:color w:val="000000" w:themeColor="text1"/>
        </w:rPr>
        <w:tab/>
      </w:r>
      <w:r w:rsidRPr="00C377C8">
        <w:rPr>
          <w:color w:val="000000" w:themeColor="text1"/>
        </w:rPr>
        <w:tab/>
      </w:r>
      <w:r w:rsidRPr="00C377C8">
        <w:rPr>
          <w:color w:val="000000" w:themeColor="text1"/>
        </w:rPr>
        <w:tab/>
        <w:t>Rhetoric</w:t>
      </w:r>
    </w:p>
    <w:p w14:paraId="37C3B335" w14:textId="77777777" w:rsidR="00C80777" w:rsidRPr="00C377C8" w:rsidRDefault="00C80777" w:rsidP="00C80777">
      <w:pPr>
        <w:ind w:left="2268"/>
        <w:rPr>
          <w:color w:val="000000" w:themeColor="text1"/>
        </w:rPr>
      </w:pPr>
      <w:r w:rsidRPr="00C377C8">
        <w:rPr>
          <w:color w:val="000000" w:themeColor="text1"/>
        </w:rPr>
        <w:t>Da’ef</w:t>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t>weak</w:t>
      </w:r>
    </w:p>
    <w:p w14:paraId="59CE81AB" w14:textId="0AA06F3C" w:rsidR="00C80777" w:rsidRPr="00C377C8" w:rsidRDefault="00C80777" w:rsidP="00C80777">
      <w:pPr>
        <w:ind w:left="2268"/>
        <w:rPr>
          <w:color w:val="000000" w:themeColor="text1"/>
        </w:rPr>
      </w:pPr>
      <w:r w:rsidRPr="00C377C8">
        <w:rPr>
          <w:color w:val="000000" w:themeColor="text1"/>
        </w:rPr>
        <w:t>Daleel</w:t>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t>argument</w:t>
      </w:r>
    </w:p>
    <w:p w14:paraId="47D7F570" w14:textId="3AFFC508" w:rsidR="00664358" w:rsidRPr="00C377C8" w:rsidRDefault="00664358" w:rsidP="00C80777">
      <w:pPr>
        <w:ind w:left="2268"/>
        <w:rPr>
          <w:color w:val="000000" w:themeColor="text1"/>
        </w:rPr>
      </w:pPr>
      <w:r w:rsidRPr="00C377C8">
        <w:rPr>
          <w:color w:val="000000" w:themeColor="text1"/>
        </w:rPr>
        <w:t xml:space="preserve">Batin </w:t>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t>hidden and invisible</w:t>
      </w:r>
    </w:p>
    <w:p w14:paraId="4CCE0DE8" w14:textId="77777777" w:rsidR="00C80777" w:rsidRPr="00C377C8" w:rsidRDefault="00C80777" w:rsidP="00C80777">
      <w:pPr>
        <w:ind w:left="2268"/>
        <w:rPr>
          <w:color w:val="000000" w:themeColor="text1"/>
        </w:rPr>
      </w:pPr>
      <w:r w:rsidRPr="00C377C8">
        <w:rPr>
          <w:color w:val="000000" w:themeColor="text1"/>
        </w:rPr>
        <w:t xml:space="preserve">Hadith </w:t>
      </w:r>
      <w:r w:rsidRPr="00C377C8">
        <w:rPr>
          <w:color w:val="000000" w:themeColor="text1"/>
        </w:rPr>
        <w:tab/>
      </w:r>
      <w:r w:rsidRPr="00C377C8">
        <w:rPr>
          <w:color w:val="000000" w:themeColor="text1"/>
        </w:rPr>
        <w:tab/>
      </w:r>
      <w:r w:rsidRPr="00C377C8">
        <w:rPr>
          <w:color w:val="000000" w:themeColor="text1"/>
        </w:rPr>
        <w:tab/>
        <w:t>sayings and doing of Prophet Muhammad</w:t>
      </w:r>
    </w:p>
    <w:p w14:paraId="02E820B1" w14:textId="77777777" w:rsidR="00C80777" w:rsidRPr="00C377C8" w:rsidRDefault="00C80777" w:rsidP="00C80777">
      <w:pPr>
        <w:ind w:left="2268"/>
        <w:rPr>
          <w:color w:val="000000" w:themeColor="text1"/>
        </w:rPr>
      </w:pPr>
      <w:r w:rsidRPr="00C377C8">
        <w:rPr>
          <w:color w:val="000000" w:themeColor="text1"/>
        </w:rPr>
        <w:t>Moudooh</w:t>
      </w:r>
      <w:r w:rsidRPr="00C377C8">
        <w:rPr>
          <w:color w:val="000000" w:themeColor="text1"/>
        </w:rPr>
        <w:tab/>
      </w:r>
      <w:r w:rsidRPr="00C377C8">
        <w:rPr>
          <w:color w:val="000000" w:themeColor="text1"/>
        </w:rPr>
        <w:tab/>
      </w:r>
      <w:r w:rsidRPr="00C377C8">
        <w:rPr>
          <w:color w:val="000000" w:themeColor="text1"/>
        </w:rPr>
        <w:tab/>
        <w:t xml:space="preserve">fabricated </w:t>
      </w:r>
    </w:p>
    <w:p w14:paraId="556107C3" w14:textId="77777777" w:rsidR="00C80777" w:rsidRPr="00C377C8" w:rsidRDefault="00C80777" w:rsidP="00C80777">
      <w:pPr>
        <w:ind w:left="2268"/>
        <w:rPr>
          <w:color w:val="000000" w:themeColor="text1"/>
        </w:rPr>
      </w:pPr>
      <w:r w:rsidRPr="00C377C8">
        <w:rPr>
          <w:color w:val="000000" w:themeColor="text1"/>
        </w:rPr>
        <w:t>Muttashabihat</w:t>
      </w:r>
      <w:r w:rsidRPr="00C377C8">
        <w:rPr>
          <w:color w:val="000000" w:themeColor="text1"/>
        </w:rPr>
        <w:tab/>
      </w:r>
      <w:r w:rsidRPr="00C377C8">
        <w:rPr>
          <w:color w:val="000000" w:themeColor="text1"/>
        </w:rPr>
        <w:tab/>
      </w:r>
      <w:r w:rsidRPr="00C377C8">
        <w:rPr>
          <w:color w:val="000000" w:themeColor="text1"/>
        </w:rPr>
        <w:tab/>
        <w:t>multi-layered meanings</w:t>
      </w:r>
    </w:p>
    <w:p w14:paraId="067394EB" w14:textId="77777777" w:rsidR="00C80777" w:rsidRPr="00C377C8" w:rsidRDefault="00C80777" w:rsidP="00C80777">
      <w:pPr>
        <w:ind w:left="2268"/>
        <w:rPr>
          <w:color w:val="000000" w:themeColor="text1"/>
        </w:rPr>
      </w:pPr>
      <w:r w:rsidRPr="00C377C8">
        <w:rPr>
          <w:color w:val="000000" w:themeColor="text1"/>
        </w:rPr>
        <w:t>Muhkam</w:t>
      </w:r>
      <w:r w:rsidRPr="00C377C8">
        <w:rPr>
          <w:color w:val="000000" w:themeColor="text1"/>
        </w:rPr>
        <w:tab/>
      </w:r>
      <w:r w:rsidRPr="00C377C8">
        <w:rPr>
          <w:color w:val="000000" w:themeColor="text1"/>
        </w:rPr>
        <w:tab/>
      </w:r>
      <w:r w:rsidRPr="00C377C8">
        <w:rPr>
          <w:color w:val="000000" w:themeColor="text1"/>
        </w:rPr>
        <w:tab/>
        <w:t xml:space="preserve">definite and specific </w:t>
      </w:r>
    </w:p>
    <w:p w14:paraId="100ECFE3" w14:textId="782D33E4" w:rsidR="00250DD9" w:rsidRPr="00C377C8" w:rsidRDefault="00C80777" w:rsidP="00250DD9">
      <w:pPr>
        <w:ind w:left="2268"/>
        <w:rPr>
          <w:color w:val="000000" w:themeColor="text1"/>
        </w:rPr>
      </w:pPr>
      <w:r w:rsidRPr="00C377C8">
        <w:rPr>
          <w:color w:val="000000" w:themeColor="text1"/>
        </w:rPr>
        <w:t xml:space="preserve">Mushtarak </w:t>
      </w:r>
      <w:r w:rsidRPr="00C377C8">
        <w:rPr>
          <w:color w:val="000000" w:themeColor="text1"/>
        </w:rPr>
        <w:tab/>
      </w:r>
      <w:r w:rsidRPr="00C377C8">
        <w:rPr>
          <w:color w:val="000000" w:themeColor="text1"/>
        </w:rPr>
        <w:tab/>
      </w:r>
      <w:r w:rsidRPr="00C377C8">
        <w:rPr>
          <w:color w:val="000000" w:themeColor="text1"/>
        </w:rPr>
        <w:tab/>
        <w:t>common</w:t>
      </w:r>
    </w:p>
    <w:p w14:paraId="792C9D92" w14:textId="6770F287" w:rsidR="00167122" w:rsidRPr="00C377C8" w:rsidRDefault="00167122" w:rsidP="00250DD9">
      <w:pPr>
        <w:ind w:left="2268"/>
        <w:rPr>
          <w:color w:val="000000" w:themeColor="text1"/>
        </w:rPr>
      </w:pPr>
      <w:r w:rsidRPr="00C377C8">
        <w:rPr>
          <w:rFonts w:ascii="Times New Roman" w:hAnsi="Times New Roman" w:cs="Times New Roman"/>
          <w:color w:val="000000" w:themeColor="text1"/>
          <w:sz w:val="24"/>
          <w:szCs w:val="24"/>
        </w:rPr>
        <w:t xml:space="preserve">Muhaditheen </w:t>
      </w:r>
      <w:r w:rsidRPr="00C377C8">
        <w:rPr>
          <w:rFonts w:ascii="Times New Roman" w:hAnsi="Times New Roman" w:cs="Times New Roman"/>
          <w:color w:val="000000" w:themeColor="text1"/>
          <w:sz w:val="24"/>
          <w:szCs w:val="24"/>
        </w:rPr>
        <w:tab/>
      </w:r>
      <w:r w:rsidRPr="00C377C8">
        <w:rPr>
          <w:rFonts w:ascii="Times New Roman" w:hAnsi="Times New Roman" w:cs="Times New Roman"/>
          <w:color w:val="000000" w:themeColor="text1"/>
          <w:sz w:val="24"/>
          <w:szCs w:val="24"/>
        </w:rPr>
        <w:tab/>
      </w:r>
      <w:r w:rsidRPr="00C377C8">
        <w:rPr>
          <w:rFonts w:ascii="Times New Roman" w:hAnsi="Times New Roman" w:cs="Times New Roman"/>
          <w:color w:val="000000" w:themeColor="text1"/>
          <w:sz w:val="24"/>
          <w:szCs w:val="24"/>
        </w:rPr>
        <w:tab/>
        <w:t>specialists in Hadith</w:t>
      </w:r>
    </w:p>
    <w:p w14:paraId="4F65D404" w14:textId="7D64C02C" w:rsidR="00167122" w:rsidRPr="00C377C8" w:rsidRDefault="00167122" w:rsidP="00250DD9">
      <w:pPr>
        <w:ind w:left="2268"/>
        <w:rPr>
          <w:color w:val="000000" w:themeColor="text1"/>
        </w:rPr>
      </w:pPr>
      <w:r w:rsidRPr="00C377C8">
        <w:rPr>
          <w:rFonts w:ascii="Times New Roman" w:hAnsi="Times New Roman" w:cs="Times New Roman"/>
          <w:color w:val="000000" w:themeColor="text1"/>
          <w:sz w:val="24"/>
          <w:szCs w:val="24"/>
        </w:rPr>
        <w:t>Mutakalimeen</w:t>
      </w:r>
      <w:r w:rsidRPr="00C377C8">
        <w:rPr>
          <w:color w:val="000000" w:themeColor="text1"/>
        </w:rPr>
        <w:t xml:space="preserve"> </w:t>
      </w:r>
      <w:r w:rsidRPr="00C377C8">
        <w:rPr>
          <w:color w:val="000000" w:themeColor="text1"/>
        </w:rPr>
        <w:tab/>
      </w:r>
      <w:r w:rsidRPr="00C377C8">
        <w:rPr>
          <w:color w:val="000000" w:themeColor="text1"/>
        </w:rPr>
        <w:tab/>
        <w:t xml:space="preserve">Theologians </w:t>
      </w:r>
    </w:p>
    <w:p w14:paraId="3B881AF9" w14:textId="5D3EDB09" w:rsidR="00250DD9" w:rsidRPr="00C377C8" w:rsidRDefault="00250DD9" w:rsidP="00250DD9">
      <w:pPr>
        <w:ind w:left="2268"/>
        <w:rPr>
          <w:color w:val="000000" w:themeColor="text1"/>
        </w:rPr>
      </w:pPr>
      <w:r w:rsidRPr="00C377C8">
        <w:rPr>
          <w:color w:val="000000" w:themeColor="text1"/>
        </w:rPr>
        <w:t xml:space="preserve">Muffasir </w:t>
      </w:r>
      <w:r w:rsidRPr="00C377C8">
        <w:rPr>
          <w:color w:val="000000" w:themeColor="text1"/>
        </w:rPr>
        <w:tab/>
      </w:r>
      <w:r w:rsidRPr="00C377C8">
        <w:rPr>
          <w:color w:val="000000" w:themeColor="text1"/>
        </w:rPr>
        <w:tab/>
      </w:r>
      <w:r w:rsidRPr="00C377C8">
        <w:rPr>
          <w:color w:val="000000" w:themeColor="text1"/>
        </w:rPr>
        <w:tab/>
        <w:t>interpreter of the Quran</w:t>
      </w:r>
    </w:p>
    <w:p w14:paraId="2B416F5F" w14:textId="77777777" w:rsidR="00C80777" w:rsidRPr="00C377C8" w:rsidRDefault="00C80777" w:rsidP="00C80777">
      <w:pPr>
        <w:ind w:left="2268"/>
        <w:rPr>
          <w:color w:val="000000" w:themeColor="text1"/>
        </w:rPr>
      </w:pPr>
      <w:r w:rsidRPr="00C377C8">
        <w:rPr>
          <w:color w:val="000000" w:themeColor="text1"/>
        </w:rPr>
        <w:t>Nahv</w:t>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t>Syntax</w:t>
      </w:r>
    </w:p>
    <w:p w14:paraId="6D8E5609" w14:textId="291C8EFC" w:rsidR="00C80777" w:rsidRPr="00C377C8" w:rsidRDefault="00C80777" w:rsidP="00C80777">
      <w:pPr>
        <w:ind w:left="2268"/>
        <w:rPr>
          <w:color w:val="000000" w:themeColor="text1"/>
        </w:rPr>
      </w:pPr>
      <w:r w:rsidRPr="00C377C8">
        <w:rPr>
          <w:color w:val="000000" w:themeColor="text1"/>
        </w:rPr>
        <w:t>Qat’ee</w:t>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t>concrete</w:t>
      </w:r>
      <w:r w:rsidR="003710C3" w:rsidRPr="00C377C8">
        <w:rPr>
          <w:color w:val="000000" w:themeColor="text1"/>
        </w:rPr>
        <w:t>/ definite</w:t>
      </w:r>
    </w:p>
    <w:p w14:paraId="47A629DF" w14:textId="48623363" w:rsidR="00167122" w:rsidRPr="00C377C8" w:rsidRDefault="00167122" w:rsidP="00C80777">
      <w:pPr>
        <w:ind w:left="2268"/>
        <w:rPr>
          <w:color w:val="000000" w:themeColor="text1"/>
        </w:rPr>
      </w:pPr>
      <w:r w:rsidRPr="00C377C8">
        <w:rPr>
          <w:color w:val="000000" w:themeColor="text1"/>
        </w:rPr>
        <w:t>Qurrah</w:t>
      </w:r>
      <w:r w:rsidRPr="00C377C8">
        <w:rPr>
          <w:color w:val="000000" w:themeColor="text1"/>
        </w:rPr>
        <w:tab/>
      </w:r>
      <w:r w:rsidRPr="00C377C8">
        <w:rPr>
          <w:color w:val="000000" w:themeColor="text1"/>
        </w:rPr>
        <w:tab/>
      </w:r>
      <w:r w:rsidRPr="00C377C8">
        <w:rPr>
          <w:color w:val="000000" w:themeColor="text1"/>
        </w:rPr>
        <w:tab/>
        <w:t xml:space="preserve">reciters </w:t>
      </w:r>
    </w:p>
    <w:p w14:paraId="605A03BF" w14:textId="77777777" w:rsidR="00C80777" w:rsidRPr="00C377C8" w:rsidRDefault="00C80777" w:rsidP="00C80777">
      <w:pPr>
        <w:ind w:left="2268"/>
        <w:rPr>
          <w:color w:val="000000" w:themeColor="text1"/>
        </w:rPr>
      </w:pPr>
      <w:r w:rsidRPr="00C377C8">
        <w:rPr>
          <w:color w:val="000000" w:themeColor="text1"/>
        </w:rPr>
        <w:t>Sarf</w:t>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t xml:space="preserve">Morphology </w:t>
      </w:r>
    </w:p>
    <w:p w14:paraId="538E602A" w14:textId="77777777" w:rsidR="00C80777" w:rsidRPr="00C377C8" w:rsidRDefault="00C80777" w:rsidP="00C80777">
      <w:pPr>
        <w:ind w:left="2268"/>
        <w:rPr>
          <w:color w:val="000000" w:themeColor="text1"/>
        </w:rPr>
      </w:pPr>
      <w:r w:rsidRPr="00C377C8">
        <w:rPr>
          <w:color w:val="000000" w:themeColor="text1"/>
        </w:rPr>
        <w:t>Sahih</w:t>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t>authentic</w:t>
      </w:r>
    </w:p>
    <w:p w14:paraId="503D3176" w14:textId="07BAC963" w:rsidR="00C80777" w:rsidRPr="00C377C8" w:rsidRDefault="00C80777" w:rsidP="00461178">
      <w:pPr>
        <w:ind w:left="2268"/>
        <w:rPr>
          <w:color w:val="000000" w:themeColor="text1"/>
        </w:rPr>
      </w:pPr>
      <w:r w:rsidRPr="00C377C8">
        <w:rPr>
          <w:color w:val="000000" w:themeColor="text1"/>
        </w:rPr>
        <w:t>Tafsir</w:t>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t>Interpretation of the Quran</w:t>
      </w:r>
    </w:p>
    <w:p w14:paraId="5E77DED2" w14:textId="77777777" w:rsidR="00D06B7C" w:rsidRPr="00C377C8" w:rsidRDefault="00D06B7C" w:rsidP="00461178">
      <w:pPr>
        <w:ind w:left="2268"/>
        <w:rPr>
          <w:color w:val="000000" w:themeColor="text1"/>
        </w:rPr>
      </w:pPr>
      <w:r w:rsidRPr="00C377C8">
        <w:rPr>
          <w:color w:val="000000" w:themeColor="text1"/>
        </w:rPr>
        <w:t>Tafsir bil Mathur</w:t>
      </w:r>
      <w:r w:rsidRPr="00C377C8">
        <w:rPr>
          <w:color w:val="000000" w:themeColor="text1"/>
        </w:rPr>
        <w:tab/>
      </w:r>
      <w:r w:rsidRPr="00C377C8">
        <w:rPr>
          <w:color w:val="000000" w:themeColor="text1"/>
        </w:rPr>
        <w:tab/>
        <w:t xml:space="preserve">Interpretation inter-textual interpretations         </w:t>
      </w:r>
    </w:p>
    <w:p w14:paraId="37AC114E" w14:textId="6C098144" w:rsidR="00D06B7C" w:rsidRPr="00C377C8" w:rsidRDefault="00D06B7C" w:rsidP="00461178">
      <w:pPr>
        <w:ind w:left="2268"/>
        <w:rPr>
          <w:color w:val="000000" w:themeColor="text1"/>
        </w:rPr>
      </w:pPr>
      <w:r w:rsidRPr="00C377C8">
        <w:rPr>
          <w:color w:val="000000" w:themeColor="text1"/>
        </w:rPr>
        <w:t>Tafsir bil Raee</w:t>
      </w:r>
      <w:r w:rsidR="00C80777" w:rsidRPr="00C377C8">
        <w:rPr>
          <w:color w:val="000000" w:themeColor="text1"/>
        </w:rPr>
        <w:t>/Tawil</w:t>
      </w:r>
      <w:r w:rsidRPr="00C377C8">
        <w:rPr>
          <w:color w:val="000000" w:themeColor="text1"/>
        </w:rPr>
        <w:tab/>
      </w:r>
      <w:r w:rsidRPr="00C377C8">
        <w:rPr>
          <w:color w:val="000000" w:themeColor="text1"/>
        </w:rPr>
        <w:tab/>
        <w:t>Interpretation based on reason</w:t>
      </w:r>
    </w:p>
    <w:p w14:paraId="43B0EFB6" w14:textId="31B57754" w:rsidR="00250DD9" w:rsidRPr="00C377C8" w:rsidRDefault="00250DD9" w:rsidP="00461178">
      <w:pPr>
        <w:ind w:left="2268"/>
        <w:rPr>
          <w:color w:val="000000" w:themeColor="text1"/>
        </w:rPr>
      </w:pPr>
      <w:r w:rsidRPr="00C377C8">
        <w:rPr>
          <w:color w:val="000000" w:themeColor="text1"/>
        </w:rPr>
        <w:t>Usool</w:t>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t>principles</w:t>
      </w:r>
    </w:p>
    <w:p w14:paraId="19AFAD3B" w14:textId="3FFB5C9B" w:rsidR="00167122" w:rsidRPr="00C377C8" w:rsidRDefault="00167122" w:rsidP="00461178">
      <w:pPr>
        <w:ind w:left="2268"/>
        <w:rPr>
          <w:color w:val="000000" w:themeColor="text1"/>
        </w:rPr>
      </w:pPr>
      <w:r w:rsidRPr="00C377C8">
        <w:rPr>
          <w:color w:val="000000" w:themeColor="text1"/>
        </w:rPr>
        <w:t xml:space="preserve">Udaba </w:t>
      </w:r>
      <w:r w:rsidRPr="00C377C8">
        <w:rPr>
          <w:color w:val="000000" w:themeColor="text1"/>
        </w:rPr>
        <w:tab/>
      </w:r>
      <w:r w:rsidRPr="00C377C8">
        <w:rPr>
          <w:color w:val="000000" w:themeColor="text1"/>
        </w:rPr>
        <w:tab/>
      </w:r>
      <w:r w:rsidRPr="00C377C8">
        <w:rPr>
          <w:color w:val="000000" w:themeColor="text1"/>
        </w:rPr>
        <w:tab/>
        <w:t xml:space="preserve">Literary person </w:t>
      </w:r>
    </w:p>
    <w:p w14:paraId="3F6EB81F" w14:textId="6DBA5194" w:rsidR="00D06B7C" w:rsidRPr="00C377C8" w:rsidRDefault="00D06B7C" w:rsidP="00461178">
      <w:pPr>
        <w:ind w:left="2268"/>
        <w:rPr>
          <w:color w:val="000000" w:themeColor="text1"/>
        </w:rPr>
      </w:pPr>
      <w:r w:rsidRPr="00C377C8">
        <w:rPr>
          <w:color w:val="000000" w:themeColor="text1"/>
        </w:rPr>
        <w:t>Zanni</w:t>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t xml:space="preserve">ambiguous </w:t>
      </w:r>
    </w:p>
    <w:p w14:paraId="649E7EAF" w14:textId="7C6C23C4" w:rsidR="00D06B7C" w:rsidRPr="00C377C8" w:rsidRDefault="00664358" w:rsidP="00167122">
      <w:pPr>
        <w:ind w:left="2268"/>
        <w:rPr>
          <w:color w:val="000000" w:themeColor="text1"/>
        </w:rPr>
      </w:pPr>
      <w:r w:rsidRPr="00C377C8">
        <w:rPr>
          <w:color w:val="000000" w:themeColor="text1"/>
        </w:rPr>
        <w:t>Zahir</w:t>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t>Apparent and visibl</w:t>
      </w:r>
      <w:r w:rsidR="00167122" w:rsidRPr="00C377C8">
        <w:rPr>
          <w:color w:val="000000" w:themeColor="text1"/>
        </w:rPr>
        <w:t>e</w:t>
      </w:r>
    </w:p>
    <w:p w14:paraId="2F6EFA3C" w14:textId="77777777" w:rsidR="00D06B7C" w:rsidRPr="00C377C8" w:rsidRDefault="00D06B7C" w:rsidP="00461178">
      <w:pPr>
        <w:ind w:left="2268"/>
        <w:rPr>
          <w:color w:val="000000" w:themeColor="text1"/>
        </w:rPr>
      </w:pPr>
    </w:p>
    <w:p w14:paraId="4F829089" w14:textId="77777777" w:rsidR="00D06B7C" w:rsidRPr="00C377C8" w:rsidRDefault="00D06B7C" w:rsidP="00461178">
      <w:pPr>
        <w:ind w:left="2268"/>
        <w:rPr>
          <w:color w:val="000000" w:themeColor="text1"/>
        </w:rPr>
      </w:pPr>
    </w:p>
    <w:p w14:paraId="3403FD88" w14:textId="77777777" w:rsidR="00046B88" w:rsidRPr="00C377C8" w:rsidRDefault="00046B88" w:rsidP="005003D8">
      <w:pPr>
        <w:rPr>
          <w:color w:val="000000" w:themeColor="text1"/>
        </w:rPr>
      </w:pPr>
    </w:p>
    <w:p w14:paraId="0EF1956C" w14:textId="77777777" w:rsidR="00D06B7C" w:rsidRPr="00C377C8" w:rsidRDefault="00D06B7C" w:rsidP="00461178">
      <w:pPr>
        <w:ind w:left="2268"/>
        <w:rPr>
          <w:color w:val="000000" w:themeColor="text1"/>
        </w:rPr>
      </w:pPr>
    </w:p>
    <w:p w14:paraId="64FE1B89" w14:textId="1822260C" w:rsidR="00D06B7C" w:rsidRPr="00C377C8" w:rsidRDefault="00D06B7C" w:rsidP="00B908E6">
      <w:pPr>
        <w:pStyle w:val="Heading1"/>
        <w:numPr>
          <w:ilvl w:val="0"/>
          <w:numId w:val="0"/>
        </w:numPr>
        <w:ind w:left="2268"/>
      </w:pPr>
      <w:bookmarkStart w:id="6" w:name="_Toc96609040"/>
      <w:r w:rsidRPr="00C377C8">
        <w:t>Abstract</w:t>
      </w:r>
      <w:bookmarkEnd w:id="6"/>
    </w:p>
    <w:p w14:paraId="1895CE00" w14:textId="77777777" w:rsidR="00F8544C" w:rsidRPr="00C377C8" w:rsidRDefault="00F8544C" w:rsidP="00F8544C">
      <w:pPr>
        <w:shd w:val="clear" w:color="auto" w:fill="FFFFFF"/>
        <w:spacing w:before="100" w:beforeAutospacing="1" w:after="90" w:line="360" w:lineRule="auto"/>
        <w:ind w:left="2268"/>
        <w:jc w:val="both"/>
        <w:rPr>
          <w:rFonts w:ascii="Times New Roman" w:hAnsi="Times New Roman" w:cs="Times New Roman"/>
          <w:color w:val="000000" w:themeColor="text1"/>
          <w:sz w:val="24"/>
          <w:szCs w:val="24"/>
          <w:shd w:val="clear" w:color="auto" w:fill="FFFFFF"/>
        </w:rPr>
      </w:pPr>
      <w:r w:rsidRPr="00C377C8">
        <w:rPr>
          <w:rFonts w:ascii="Times New Roman" w:hAnsi="Times New Roman" w:cs="Times New Roman"/>
          <w:color w:val="000000" w:themeColor="text1"/>
          <w:sz w:val="24"/>
          <w:szCs w:val="24"/>
          <w:shd w:val="clear" w:color="auto" w:fill="FFFFFF"/>
        </w:rPr>
        <w:t xml:space="preserve">The interpretation of the Quran is one of the core subjects of the Dars-e-Nizami curriculum taught within Muslim institutes and academies. However, little has been explored about the pedagogy and pedagogical issues that teachers of the critical interpretation of the Quran face in the process of teaching and learning in multilingual classrooms. The current study aimed to explore teachers' and students' perspectives on the effective teaching of the critical interpretation of the Quran by using interpretive phenomenological analysis based on the researcher's position as an insider because he has a similar socio-cultural and educational background and teaching and learning experience. In-depth semi-structured interviews, classroom observations and documents studies were used to generate data to develop a framework for teaching the critical interpretation of the Quran. The research participants viewed teaching and learning the critical interpretation as a process of generating, re-thinking and experimenting with interpretation and recommended inquiry-led, multidisciplinary, and real-world strategies for teachers to engage students when reflecting on the Quranic text. The study makes valuable recommendations for policymakers, existing and newly appointed teachers, and heads of institutes for producing bold, visible, and future-focused scholars and faith leaders. </w:t>
      </w:r>
    </w:p>
    <w:p w14:paraId="2189A9CA" w14:textId="157D867D" w:rsidR="00D06B7C" w:rsidRPr="00C377C8" w:rsidRDefault="00D06B7C" w:rsidP="00461178">
      <w:pPr>
        <w:ind w:left="2268"/>
        <w:rPr>
          <w:color w:val="000000" w:themeColor="text1"/>
        </w:rPr>
      </w:pPr>
      <w:r w:rsidRPr="00C377C8">
        <w:rPr>
          <w:color w:val="000000" w:themeColor="text1"/>
        </w:rPr>
        <w:br w:type="page"/>
      </w:r>
    </w:p>
    <w:p w14:paraId="5CE0A9BB" w14:textId="31DC5170" w:rsidR="00D93781" w:rsidRPr="00C377C8" w:rsidRDefault="00D256CB" w:rsidP="00D93781">
      <w:pPr>
        <w:pStyle w:val="Heading1"/>
        <w:numPr>
          <w:ilvl w:val="0"/>
          <w:numId w:val="0"/>
        </w:numPr>
        <w:ind w:left="2268"/>
      </w:pPr>
      <w:bookmarkStart w:id="7" w:name="_Toc96609041"/>
      <w:r w:rsidRPr="00C377C8">
        <w:lastRenderedPageBreak/>
        <w:t>List of Tables</w:t>
      </w:r>
      <w:bookmarkEnd w:id="7"/>
      <w:r w:rsidRPr="00C377C8">
        <w:t xml:space="preserve"> </w:t>
      </w:r>
    </w:p>
    <w:p w14:paraId="7F4C4EBB" w14:textId="6FDC8EA9" w:rsidR="00D93781" w:rsidRPr="00C377C8" w:rsidRDefault="00D93781" w:rsidP="00D93781">
      <w:pPr>
        <w:ind w:left="1440" w:firstLine="720"/>
        <w:rPr>
          <w:color w:val="000000" w:themeColor="text1"/>
        </w:rPr>
      </w:pPr>
      <w:r w:rsidRPr="00C377C8">
        <w:rPr>
          <w:color w:val="000000" w:themeColor="text1"/>
        </w:rPr>
        <w:t xml:space="preserve">Table 4.1 </w:t>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t>7</w:t>
      </w:r>
      <w:r w:rsidR="00B3288E" w:rsidRPr="00C377C8">
        <w:rPr>
          <w:color w:val="000000" w:themeColor="text1"/>
        </w:rPr>
        <w:t>6</w:t>
      </w:r>
    </w:p>
    <w:p w14:paraId="65FE5A92" w14:textId="43DC1EE6" w:rsidR="00D93781" w:rsidRPr="00C377C8" w:rsidRDefault="00D93781" w:rsidP="00D93781">
      <w:pPr>
        <w:ind w:left="1440" w:firstLine="720"/>
        <w:rPr>
          <w:color w:val="000000" w:themeColor="text1"/>
        </w:rPr>
      </w:pPr>
      <w:r w:rsidRPr="00C377C8">
        <w:rPr>
          <w:color w:val="000000" w:themeColor="text1"/>
        </w:rPr>
        <w:t xml:space="preserve">Table 4.2 </w:t>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t>8</w:t>
      </w:r>
      <w:r w:rsidR="00B3288E" w:rsidRPr="00C377C8">
        <w:rPr>
          <w:color w:val="000000" w:themeColor="text1"/>
        </w:rPr>
        <w:t>4</w:t>
      </w:r>
    </w:p>
    <w:p w14:paraId="7FD65504" w14:textId="20D7B54B" w:rsidR="00D93781" w:rsidRPr="00C377C8" w:rsidRDefault="00D93781" w:rsidP="00D93781">
      <w:pPr>
        <w:ind w:left="1440" w:firstLine="720"/>
        <w:rPr>
          <w:color w:val="000000" w:themeColor="text1"/>
        </w:rPr>
      </w:pPr>
      <w:r w:rsidRPr="00C377C8">
        <w:rPr>
          <w:color w:val="000000" w:themeColor="text1"/>
        </w:rPr>
        <w:t>Table 4.3</w:t>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r>
      <w:r w:rsidR="00B3288E" w:rsidRPr="00C377C8">
        <w:rPr>
          <w:color w:val="000000" w:themeColor="text1"/>
        </w:rPr>
        <w:t>90</w:t>
      </w:r>
    </w:p>
    <w:p w14:paraId="2990EE8C" w14:textId="18F3EFCA" w:rsidR="00D93781" w:rsidRPr="00C377C8" w:rsidRDefault="00D93781" w:rsidP="00D93781">
      <w:pPr>
        <w:rPr>
          <w:color w:val="000000" w:themeColor="text1"/>
        </w:rPr>
      </w:pPr>
      <w:r w:rsidRPr="00C377C8">
        <w:rPr>
          <w:color w:val="000000" w:themeColor="text1"/>
        </w:rPr>
        <w:tab/>
      </w:r>
      <w:r w:rsidRPr="00C377C8">
        <w:rPr>
          <w:color w:val="000000" w:themeColor="text1"/>
        </w:rPr>
        <w:tab/>
      </w:r>
      <w:r w:rsidRPr="00C377C8">
        <w:rPr>
          <w:color w:val="000000" w:themeColor="text1"/>
        </w:rPr>
        <w:tab/>
        <w:t>Table 4.4</w:t>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t>9</w:t>
      </w:r>
      <w:r w:rsidR="00B3288E" w:rsidRPr="00C377C8">
        <w:rPr>
          <w:color w:val="000000" w:themeColor="text1"/>
        </w:rPr>
        <w:t>6</w:t>
      </w:r>
    </w:p>
    <w:p w14:paraId="0C9DDE9C" w14:textId="5E875B12" w:rsidR="00D93781" w:rsidRPr="00C377C8" w:rsidRDefault="00D93781" w:rsidP="00D93781">
      <w:pPr>
        <w:rPr>
          <w:color w:val="000000" w:themeColor="text1"/>
        </w:rPr>
      </w:pPr>
      <w:r w:rsidRPr="00C377C8">
        <w:rPr>
          <w:color w:val="000000" w:themeColor="text1"/>
        </w:rPr>
        <w:tab/>
      </w:r>
      <w:r w:rsidRPr="00C377C8">
        <w:rPr>
          <w:color w:val="000000" w:themeColor="text1"/>
        </w:rPr>
        <w:tab/>
      </w:r>
      <w:r w:rsidRPr="00C377C8">
        <w:rPr>
          <w:color w:val="000000" w:themeColor="text1"/>
        </w:rPr>
        <w:tab/>
        <w:t>Table 5.1</w:t>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t>10</w:t>
      </w:r>
      <w:r w:rsidR="00B3288E" w:rsidRPr="00C377C8">
        <w:rPr>
          <w:color w:val="000000" w:themeColor="text1"/>
        </w:rPr>
        <w:t>4</w:t>
      </w:r>
    </w:p>
    <w:p w14:paraId="2D154994" w14:textId="4B015E45" w:rsidR="00D93781" w:rsidRPr="00C377C8" w:rsidRDefault="00D93781" w:rsidP="00D93781">
      <w:pPr>
        <w:rPr>
          <w:color w:val="000000" w:themeColor="text1"/>
        </w:rPr>
      </w:pPr>
      <w:r w:rsidRPr="00C377C8">
        <w:rPr>
          <w:color w:val="000000" w:themeColor="text1"/>
        </w:rPr>
        <w:tab/>
      </w:r>
      <w:r w:rsidRPr="00C377C8">
        <w:rPr>
          <w:color w:val="000000" w:themeColor="text1"/>
        </w:rPr>
        <w:tab/>
      </w:r>
      <w:r w:rsidRPr="00C377C8">
        <w:rPr>
          <w:color w:val="000000" w:themeColor="text1"/>
        </w:rPr>
        <w:tab/>
        <w:t xml:space="preserve">Table 5.1 </w:t>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t>10</w:t>
      </w:r>
      <w:r w:rsidR="00B3288E" w:rsidRPr="00C377C8">
        <w:rPr>
          <w:color w:val="000000" w:themeColor="text1"/>
        </w:rPr>
        <w:t>5</w:t>
      </w:r>
    </w:p>
    <w:p w14:paraId="5BE4C6E5" w14:textId="6E0C3EBE" w:rsidR="00D93781" w:rsidRPr="00C377C8" w:rsidRDefault="00D93781" w:rsidP="00D93781">
      <w:pPr>
        <w:rPr>
          <w:color w:val="000000" w:themeColor="text1"/>
        </w:rPr>
      </w:pPr>
      <w:r w:rsidRPr="00C377C8">
        <w:rPr>
          <w:color w:val="000000" w:themeColor="text1"/>
        </w:rPr>
        <w:tab/>
      </w:r>
      <w:r w:rsidRPr="00C377C8">
        <w:rPr>
          <w:color w:val="000000" w:themeColor="text1"/>
        </w:rPr>
        <w:tab/>
      </w:r>
      <w:r w:rsidRPr="00C377C8">
        <w:rPr>
          <w:color w:val="000000" w:themeColor="text1"/>
        </w:rPr>
        <w:tab/>
        <w:t>Table 5.3</w:t>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t>10</w:t>
      </w:r>
      <w:r w:rsidR="00B3288E" w:rsidRPr="00C377C8">
        <w:rPr>
          <w:color w:val="000000" w:themeColor="text1"/>
        </w:rPr>
        <w:t>7</w:t>
      </w:r>
    </w:p>
    <w:p w14:paraId="4A650445" w14:textId="50E18F76" w:rsidR="00D256CB" w:rsidRPr="00C377C8" w:rsidRDefault="00D93781" w:rsidP="00D256CB">
      <w:pPr>
        <w:rPr>
          <w:color w:val="000000" w:themeColor="text1"/>
        </w:rPr>
      </w:pPr>
      <w:r w:rsidRPr="00C377C8">
        <w:rPr>
          <w:color w:val="000000" w:themeColor="text1"/>
        </w:rPr>
        <w:tab/>
      </w:r>
      <w:r w:rsidRPr="00C377C8">
        <w:rPr>
          <w:color w:val="000000" w:themeColor="text1"/>
        </w:rPr>
        <w:tab/>
      </w:r>
      <w:r w:rsidRPr="00C377C8">
        <w:rPr>
          <w:color w:val="000000" w:themeColor="text1"/>
        </w:rPr>
        <w:tab/>
        <w:t>Table 5.4</w:t>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t>12</w:t>
      </w:r>
      <w:r w:rsidR="00B3288E" w:rsidRPr="00C377C8">
        <w:rPr>
          <w:color w:val="000000" w:themeColor="text1"/>
        </w:rPr>
        <w:t>2</w:t>
      </w:r>
    </w:p>
    <w:p w14:paraId="7DBACD76" w14:textId="34BA1055" w:rsidR="00D93781" w:rsidRPr="00C377C8" w:rsidRDefault="00D93781" w:rsidP="00D256CB">
      <w:pPr>
        <w:rPr>
          <w:color w:val="000000" w:themeColor="text1"/>
        </w:rPr>
      </w:pPr>
      <w:r w:rsidRPr="00C377C8">
        <w:rPr>
          <w:color w:val="000000" w:themeColor="text1"/>
        </w:rPr>
        <w:tab/>
      </w:r>
      <w:r w:rsidRPr="00C377C8">
        <w:rPr>
          <w:color w:val="000000" w:themeColor="text1"/>
        </w:rPr>
        <w:tab/>
      </w:r>
      <w:r w:rsidRPr="00C377C8">
        <w:rPr>
          <w:color w:val="000000" w:themeColor="text1"/>
        </w:rPr>
        <w:tab/>
        <w:t xml:space="preserve">Figure </w:t>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r>
      <w:r w:rsidRPr="00C377C8">
        <w:rPr>
          <w:color w:val="000000" w:themeColor="text1"/>
        </w:rPr>
        <w:tab/>
        <w:t>12</w:t>
      </w:r>
      <w:r w:rsidR="00B3288E" w:rsidRPr="00C377C8">
        <w:rPr>
          <w:color w:val="000000" w:themeColor="text1"/>
        </w:rPr>
        <w:t>6</w:t>
      </w:r>
    </w:p>
    <w:p w14:paraId="5DC0C149" w14:textId="46C405B4" w:rsidR="00D256CB" w:rsidRPr="00C377C8" w:rsidRDefault="00D256CB" w:rsidP="00D256CB">
      <w:pPr>
        <w:rPr>
          <w:color w:val="000000" w:themeColor="text1"/>
        </w:rPr>
      </w:pPr>
    </w:p>
    <w:p w14:paraId="691BB1B7" w14:textId="667DA5D3" w:rsidR="00D256CB" w:rsidRPr="00C377C8" w:rsidRDefault="00D256CB" w:rsidP="00D256CB">
      <w:pPr>
        <w:rPr>
          <w:color w:val="000000" w:themeColor="text1"/>
        </w:rPr>
      </w:pPr>
    </w:p>
    <w:p w14:paraId="7D4F8284" w14:textId="6E4EED3F" w:rsidR="00D256CB" w:rsidRPr="00C377C8" w:rsidRDefault="00D256CB" w:rsidP="00D256CB">
      <w:pPr>
        <w:rPr>
          <w:color w:val="000000" w:themeColor="text1"/>
        </w:rPr>
      </w:pPr>
    </w:p>
    <w:p w14:paraId="64F08E48" w14:textId="7B8F5EDB" w:rsidR="00D256CB" w:rsidRPr="00C377C8" w:rsidRDefault="00D256CB" w:rsidP="00D256CB">
      <w:pPr>
        <w:rPr>
          <w:color w:val="000000" w:themeColor="text1"/>
        </w:rPr>
      </w:pPr>
    </w:p>
    <w:p w14:paraId="4636FDAE" w14:textId="46AEDB72" w:rsidR="00D256CB" w:rsidRPr="00C377C8" w:rsidRDefault="00D256CB" w:rsidP="00D256CB">
      <w:pPr>
        <w:rPr>
          <w:color w:val="000000" w:themeColor="text1"/>
        </w:rPr>
      </w:pPr>
    </w:p>
    <w:p w14:paraId="3D257915" w14:textId="61A2FE35" w:rsidR="00D256CB" w:rsidRPr="00C377C8" w:rsidRDefault="00D256CB" w:rsidP="00D256CB">
      <w:pPr>
        <w:rPr>
          <w:color w:val="000000" w:themeColor="text1"/>
        </w:rPr>
      </w:pPr>
    </w:p>
    <w:p w14:paraId="44FF2074" w14:textId="0A8CDCE2" w:rsidR="00D256CB" w:rsidRPr="00C377C8" w:rsidRDefault="00D256CB" w:rsidP="00D256CB">
      <w:pPr>
        <w:rPr>
          <w:color w:val="000000" w:themeColor="text1"/>
        </w:rPr>
      </w:pPr>
    </w:p>
    <w:p w14:paraId="59027C4D" w14:textId="4F678AA3" w:rsidR="00D256CB" w:rsidRPr="00C377C8" w:rsidRDefault="00D256CB" w:rsidP="00D256CB">
      <w:pPr>
        <w:rPr>
          <w:color w:val="000000" w:themeColor="text1"/>
        </w:rPr>
      </w:pPr>
    </w:p>
    <w:p w14:paraId="523E61EF" w14:textId="3E3FFC0B" w:rsidR="00D256CB" w:rsidRPr="00C377C8" w:rsidRDefault="00D256CB" w:rsidP="00D256CB">
      <w:pPr>
        <w:rPr>
          <w:color w:val="000000" w:themeColor="text1"/>
        </w:rPr>
      </w:pPr>
    </w:p>
    <w:p w14:paraId="37B51341" w14:textId="38B0759D" w:rsidR="00D256CB" w:rsidRPr="00C377C8" w:rsidRDefault="00D256CB" w:rsidP="00D256CB">
      <w:pPr>
        <w:rPr>
          <w:color w:val="000000" w:themeColor="text1"/>
        </w:rPr>
      </w:pPr>
    </w:p>
    <w:p w14:paraId="649CC912" w14:textId="6DDAAADA" w:rsidR="00D256CB" w:rsidRPr="00C377C8" w:rsidRDefault="00D256CB" w:rsidP="00D256CB">
      <w:pPr>
        <w:rPr>
          <w:color w:val="000000" w:themeColor="text1"/>
        </w:rPr>
      </w:pPr>
    </w:p>
    <w:p w14:paraId="78D95BF0" w14:textId="45A8F202" w:rsidR="00D256CB" w:rsidRPr="00C377C8" w:rsidRDefault="00D256CB" w:rsidP="00D256CB">
      <w:pPr>
        <w:rPr>
          <w:color w:val="000000" w:themeColor="text1"/>
        </w:rPr>
      </w:pPr>
    </w:p>
    <w:p w14:paraId="7D591F40" w14:textId="5F10C300" w:rsidR="00D256CB" w:rsidRPr="00C377C8" w:rsidRDefault="00D256CB" w:rsidP="00D256CB">
      <w:pPr>
        <w:rPr>
          <w:color w:val="000000" w:themeColor="text1"/>
        </w:rPr>
      </w:pPr>
    </w:p>
    <w:p w14:paraId="2115AE72" w14:textId="57D1FDEA" w:rsidR="00D256CB" w:rsidRPr="00C377C8" w:rsidRDefault="00D256CB" w:rsidP="00D256CB">
      <w:pPr>
        <w:rPr>
          <w:color w:val="000000" w:themeColor="text1"/>
        </w:rPr>
      </w:pPr>
    </w:p>
    <w:p w14:paraId="2E06E42F" w14:textId="596CA14F" w:rsidR="00D256CB" w:rsidRPr="00C377C8" w:rsidRDefault="00D256CB" w:rsidP="00D256CB">
      <w:pPr>
        <w:rPr>
          <w:color w:val="000000" w:themeColor="text1"/>
        </w:rPr>
      </w:pPr>
    </w:p>
    <w:p w14:paraId="3775436B" w14:textId="28A8330B" w:rsidR="00D256CB" w:rsidRPr="00C377C8" w:rsidRDefault="00D256CB" w:rsidP="00D256CB">
      <w:pPr>
        <w:rPr>
          <w:color w:val="000000" w:themeColor="text1"/>
        </w:rPr>
      </w:pPr>
    </w:p>
    <w:p w14:paraId="57BAF84C" w14:textId="3AD46A81" w:rsidR="00D256CB" w:rsidRPr="00C377C8" w:rsidRDefault="00D256CB" w:rsidP="00D256CB">
      <w:pPr>
        <w:rPr>
          <w:color w:val="000000" w:themeColor="text1"/>
        </w:rPr>
      </w:pPr>
    </w:p>
    <w:p w14:paraId="0206AA1D" w14:textId="54B8C671" w:rsidR="00D256CB" w:rsidRPr="00C377C8" w:rsidRDefault="00D256CB" w:rsidP="00D256CB">
      <w:pPr>
        <w:rPr>
          <w:color w:val="000000" w:themeColor="text1"/>
        </w:rPr>
      </w:pPr>
    </w:p>
    <w:p w14:paraId="4FA1C7D3" w14:textId="0C7BD447" w:rsidR="00D256CB" w:rsidRPr="00C377C8" w:rsidRDefault="00D256CB" w:rsidP="00D256CB">
      <w:pPr>
        <w:rPr>
          <w:color w:val="000000" w:themeColor="text1"/>
        </w:rPr>
      </w:pPr>
    </w:p>
    <w:p w14:paraId="058B6D7B" w14:textId="50F3B850" w:rsidR="00D256CB" w:rsidRPr="00C377C8" w:rsidRDefault="00D256CB" w:rsidP="00D256CB">
      <w:pPr>
        <w:rPr>
          <w:color w:val="000000" w:themeColor="text1"/>
        </w:rPr>
      </w:pPr>
    </w:p>
    <w:p w14:paraId="30F2AA7B" w14:textId="68830D38" w:rsidR="00D256CB" w:rsidRPr="00C377C8" w:rsidRDefault="00D256CB" w:rsidP="00D256CB">
      <w:pPr>
        <w:rPr>
          <w:color w:val="000000" w:themeColor="text1"/>
        </w:rPr>
      </w:pPr>
    </w:p>
    <w:p w14:paraId="069F03B3" w14:textId="1D5DA227" w:rsidR="00D256CB" w:rsidRPr="00C377C8" w:rsidRDefault="00D256CB" w:rsidP="00D256CB">
      <w:pPr>
        <w:rPr>
          <w:color w:val="000000" w:themeColor="text1"/>
        </w:rPr>
      </w:pPr>
    </w:p>
    <w:p w14:paraId="3E364BAB" w14:textId="4401A448" w:rsidR="00D256CB" w:rsidRPr="00C377C8" w:rsidRDefault="00D256CB" w:rsidP="00D256CB">
      <w:pPr>
        <w:rPr>
          <w:color w:val="000000" w:themeColor="text1"/>
        </w:rPr>
      </w:pPr>
    </w:p>
    <w:p w14:paraId="0E082ABD" w14:textId="6A5C3A32" w:rsidR="00D256CB" w:rsidRPr="00C377C8" w:rsidRDefault="00D256CB" w:rsidP="00D256CB">
      <w:pPr>
        <w:rPr>
          <w:color w:val="000000" w:themeColor="text1"/>
        </w:rPr>
      </w:pPr>
    </w:p>
    <w:p w14:paraId="58883EB3" w14:textId="6E10A038" w:rsidR="00D256CB" w:rsidRPr="00C377C8" w:rsidRDefault="00D93781" w:rsidP="00D93781">
      <w:pPr>
        <w:pStyle w:val="Heading1"/>
        <w:numPr>
          <w:ilvl w:val="0"/>
          <w:numId w:val="0"/>
        </w:numPr>
        <w:ind w:left="2268"/>
      </w:pPr>
      <w:bookmarkStart w:id="8" w:name="_Toc96609042"/>
      <w:r w:rsidRPr="00C377C8">
        <w:t>Contents</w:t>
      </w:r>
      <w:bookmarkEnd w:id="8"/>
      <w:r w:rsidRPr="00C377C8">
        <w:t xml:space="preserve"> </w:t>
      </w:r>
    </w:p>
    <w:sdt>
      <w:sdtPr>
        <w:rPr>
          <w:rFonts w:asciiTheme="minorHAnsi" w:eastAsiaTheme="minorHAnsi" w:hAnsiTheme="minorHAnsi" w:cstheme="minorBidi"/>
          <w:color w:val="000000" w:themeColor="text1"/>
          <w:sz w:val="22"/>
          <w:szCs w:val="22"/>
          <w:lang w:val="en-GB"/>
        </w:rPr>
        <w:id w:val="-1178886493"/>
        <w:docPartObj>
          <w:docPartGallery w:val="Table of Contents"/>
          <w:docPartUnique/>
        </w:docPartObj>
      </w:sdtPr>
      <w:sdtEndPr>
        <w:rPr>
          <w:b/>
          <w:bCs/>
          <w:noProof/>
        </w:rPr>
      </w:sdtEndPr>
      <w:sdtContent>
        <w:p w14:paraId="39437D2E" w14:textId="2B9E4F9F" w:rsidR="00506729" w:rsidRPr="00C377C8" w:rsidRDefault="00506729" w:rsidP="006267A8">
          <w:pPr>
            <w:pStyle w:val="TOCHeading"/>
            <w:ind w:right="0"/>
            <w:rPr>
              <w:rStyle w:val="Heading1Char"/>
            </w:rPr>
          </w:pPr>
        </w:p>
        <w:p w14:paraId="503EEE1C" w14:textId="4A0F158D" w:rsidR="00214C1B" w:rsidRPr="00C377C8" w:rsidRDefault="00506729">
          <w:pPr>
            <w:pStyle w:val="TOC1"/>
            <w:tabs>
              <w:tab w:val="right" w:leader="dot" w:pos="10456"/>
            </w:tabs>
            <w:rPr>
              <w:rFonts w:eastAsiaTheme="minorEastAsia"/>
              <w:noProof/>
              <w:color w:val="000000" w:themeColor="text1"/>
              <w:lang w:eastAsia="en-GB"/>
            </w:rPr>
          </w:pPr>
          <w:r w:rsidRPr="00C377C8">
            <w:rPr>
              <w:color w:val="000000" w:themeColor="text1"/>
            </w:rPr>
            <w:fldChar w:fldCharType="begin"/>
          </w:r>
          <w:r w:rsidRPr="00C377C8">
            <w:rPr>
              <w:color w:val="000000" w:themeColor="text1"/>
            </w:rPr>
            <w:instrText xml:space="preserve"> TOC \o "1-3" \h \z \u </w:instrText>
          </w:r>
          <w:r w:rsidRPr="00C377C8">
            <w:rPr>
              <w:color w:val="000000" w:themeColor="text1"/>
            </w:rPr>
            <w:fldChar w:fldCharType="separate"/>
          </w:r>
          <w:hyperlink w:anchor="_Toc96609036" w:history="1">
            <w:r w:rsidR="00214C1B" w:rsidRPr="00C377C8">
              <w:rPr>
                <w:rStyle w:val="Hyperlink"/>
                <w:noProof/>
                <w:color w:val="000000" w:themeColor="text1"/>
              </w:rPr>
              <w:t>Title Page</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_Toc96609036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i</w:t>
            </w:r>
            <w:r w:rsidR="00214C1B" w:rsidRPr="00C377C8">
              <w:rPr>
                <w:noProof/>
                <w:webHidden/>
                <w:color w:val="000000" w:themeColor="text1"/>
              </w:rPr>
              <w:fldChar w:fldCharType="end"/>
            </w:r>
          </w:hyperlink>
        </w:p>
        <w:p w14:paraId="194197F8" w14:textId="6C79CD03" w:rsidR="00214C1B" w:rsidRPr="00C377C8" w:rsidRDefault="007D0B9D">
          <w:pPr>
            <w:pStyle w:val="TOC1"/>
            <w:tabs>
              <w:tab w:val="right" w:leader="dot" w:pos="10456"/>
            </w:tabs>
            <w:rPr>
              <w:rFonts w:eastAsiaTheme="minorEastAsia"/>
              <w:noProof/>
              <w:color w:val="000000" w:themeColor="text1"/>
              <w:lang w:eastAsia="en-GB"/>
            </w:rPr>
          </w:pPr>
          <w:hyperlink w:anchor="_Toc96609037" w:history="1">
            <w:r w:rsidR="00214C1B" w:rsidRPr="00C377C8">
              <w:rPr>
                <w:rStyle w:val="Hyperlink"/>
                <w:noProof/>
                <w:color w:val="000000" w:themeColor="text1"/>
              </w:rPr>
              <w:t>Declaration</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_Toc96609037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ii</w:t>
            </w:r>
            <w:r w:rsidR="00214C1B" w:rsidRPr="00C377C8">
              <w:rPr>
                <w:noProof/>
                <w:webHidden/>
                <w:color w:val="000000" w:themeColor="text1"/>
              </w:rPr>
              <w:fldChar w:fldCharType="end"/>
            </w:r>
          </w:hyperlink>
        </w:p>
        <w:p w14:paraId="046FB8E0" w14:textId="7ACA8F3D" w:rsidR="00214C1B" w:rsidRPr="00C377C8" w:rsidRDefault="007D0B9D">
          <w:pPr>
            <w:pStyle w:val="TOC1"/>
            <w:tabs>
              <w:tab w:val="right" w:leader="dot" w:pos="10456"/>
            </w:tabs>
            <w:rPr>
              <w:rFonts w:eastAsiaTheme="minorEastAsia"/>
              <w:noProof/>
              <w:color w:val="000000" w:themeColor="text1"/>
              <w:lang w:eastAsia="en-GB"/>
            </w:rPr>
          </w:pPr>
          <w:hyperlink w:anchor="_Toc96609038" w:history="1">
            <w:r w:rsidR="00214C1B" w:rsidRPr="00C377C8">
              <w:rPr>
                <w:rStyle w:val="Hyperlink"/>
                <w:noProof/>
                <w:color w:val="000000" w:themeColor="text1"/>
              </w:rPr>
              <w:t>Acknowledgements</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_Toc96609038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iii</w:t>
            </w:r>
            <w:r w:rsidR="00214C1B" w:rsidRPr="00C377C8">
              <w:rPr>
                <w:noProof/>
                <w:webHidden/>
                <w:color w:val="000000" w:themeColor="text1"/>
              </w:rPr>
              <w:fldChar w:fldCharType="end"/>
            </w:r>
          </w:hyperlink>
        </w:p>
        <w:p w14:paraId="4D140A31" w14:textId="411FB3A2" w:rsidR="00214C1B" w:rsidRPr="00C377C8" w:rsidRDefault="007D0B9D">
          <w:pPr>
            <w:pStyle w:val="TOC1"/>
            <w:tabs>
              <w:tab w:val="right" w:leader="dot" w:pos="10456"/>
            </w:tabs>
            <w:rPr>
              <w:rFonts w:eastAsiaTheme="minorEastAsia"/>
              <w:noProof/>
              <w:color w:val="000000" w:themeColor="text1"/>
              <w:lang w:eastAsia="en-GB"/>
            </w:rPr>
          </w:pPr>
          <w:hyperlink w:anchor="_Toc96609039" w:history="1">
            <w:r w:rsidR="00214C1B" w:rsidRPr="00C377C8">
              <w:rPr>
                <w:rStyle w:val="Hyperlink"/>
                <w:noProof/>
                <w:color w:val="000000" w:themeColor="text1"/>
              </w:rPr>
              <w:t>Glossary</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_Toc96609039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iv</w:t>
            </w:r>
            <w:r w:rsidR="00214C1B" w:rsidRPr="00C377C8">
              <w:rPr>
                <w:noProof/>
                <w:webHidden/>
                <w:color w:val="000000" w:themeColor="text1"/>
              </w:rPr>
              <w:fldChar w:fldCharType="end"/>
            </w:r>
          </w:hyperlink>
        </w:p>
        <w:p w14:paraId="14D7E912" w14:textId="5B7A742F" w:rsidR="00214C1B" w:rsidRPr="00C377C8" w:rsidRDefault="007D0B9D">
          <w:pPr>
            <w:pStyle w:val="TOC1"/>
            <w:tabs>
              <w:tab w:val="right" w:leader="dot" w:pos="10456"/>
            </w:tabs>
            <w:rPr>
              <w:rFonts w:eastAsiaTheme="minorEastAsia"/>
              <w:noProof/>
              <w:color w:val="000000" w:themeColor="text1"/>
              <w:lang w:eastAsia="en-GB"/>
            </w:rPr>
          </w:pPr>
          <w:hyperlink w:anchor="_Toc96609040" w:history="1">
            <w:r w:rsidR="00214C1B" w:rsidRPr="00C377C8">
              <w:rPr>
                <w:rStyle w:val="Hyperlink"/>
                <w:noProof/>
                <w:color w:val="000000" w:themeColor="text1"/>
              </w:rPr>
              <w:t>Abstract</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_Toc96609040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v</w:t>
            </w:r>
            <w:r w:rsidR="00214C1B" w:rsidRPr="00C377C8">
              <w:rPr>
                <w:noProof/>
                <w:webHidden/>
                <w:color w:val="000000" w:themeColor="text1"/>
              </w:rPr>
              <w:fldChar w:fldCharType="end"/>
            </w:r>
          </w:hyperlink>
        </w:p>
        <w:p w14:paraId="3A152743" w14:textId="6E471344" w:rsidR="00214C1B" w:rsidRPr="00C377C8" w:rsidRDefault="007D0B9D">
          <w:pPr>
            <w:pStyle w:val="TOC1"/>
            <w:tabs>
              <w:tab w:val="right" w:leader="dot" w:pos="10456"/>
            </w:tabs>
            <w:rPr>
              <w:rFonts w:eastAsiaTheme="minorEastAsia"/>
              <w:noProof/>
              <w:color w:val="000000" w:themeColor="text1"/>
              <w:lang w:eastAsia="en-GB"/>
            </w:rPr>
          </w:pPr>
          <w:hyperlink w:anchor="_Toc96609041" w:history="1">
            <w:r w:rsidR="00214C1B" w:rsidRPr="00C377C8">
              <w:rPr>
                <w:rStyle w:val="Hyperlink"/>
                <w:noProof/>
                <w:color w:val="000000" w:themeColor="text1"/>
              </w:rPr>
              <w:t>List of Tables</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_Toc96609041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vi</w:t>
            </w:r>
            <w:r w:rsidR="00214C1B" w:rsidRPr="00C377C8">
              <w:rPr>
                <w:noProof/>
                <w:webHidden/>
                <w:color w:val="000000" w:themeColor="text1"/>
              </w:rPr>
              <w:fldChar w:fldCharType="end"/>
            </w:r>
          </w:hyperlink>
        </w:p>
        <w:p w14:paraId="5890195E" w14:textId="7CC8FC36" w:rsidR="00214C1B" w:rsidRPr="00C377C8" w:rsidRDefault="007D0B9D">
          <w:pPr>
            <w:pStyle w:val="TOC1"/>
            <w:tabs>
              <w:tab w:val="right" w:leader="dot" w:pos="10456"/>
            </w:tabs>
            <w:rPr>
              <w:rFonts w:eastAsiaTheme="minorEastAsia"/>
              <w:noProof/>
              <w:color w:val="000000" w:themeColor="text1"/>
              <w:lang w:eastAsia="en-GB"/>
            </w:rPr>
          </w:pPr>
          <w:hyperlink w:anchor="_Toc96609042" w:history="1">
            <w:r w:rsidR="00214C1B" w:rsidRPr="00C377C8">
              <w:rPr>
                <w:rStyle w:val="Hyperlink"/>
                <w:noProof/>
                <w:color w:val="000000" w:themeColor="text1"/>
              </w:rPr>
              <w:t>Contents</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_Toc96609042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vii</w:t>
            </w:r>
            <w:r w:rsidR="00214C1B" w:rsidRPr="00C377C8">
              <w:rPr>
                <w:noProof/>
                <w:webHidden/>
                <w:color w:val="000000" w:themeColor="text1"/>
              </w:rPr>
              <w:fldChar w:fldCharType="end"/>
            </w:r>
          </w:hyperlink>
        </w:p>
        <w:p w14:paraId="2B2A17CC" w14:textId="3E38C529" w:rsidR="00214C1B" w:rsidRPr="00C377C8" w:rsidRDefault="007D0B9D">
          <w:pPr>
            <w:pStyle w:val="TOC1"/>
            <w:tabs>
              <w:tab w:val="left" w:pos="440"/>
              <w:tab w:val="right" w:leader="dot" w:pos="10456"/>
            </w:tabs>
            <w:rPr>
              <w:rFonts w:eastAsiaTheme="minorEastAsia"/>
              <w:noProof/>
              <w:color w:val="000000" w:themeColor="text1"/>
              <w:lang w:eastAsia="en-GB"/>
            </w:rPr>
          </w:pPr>
          <w:hyperlink w:anchor="_Toc96609043" w:history="1">
            <w:r w:rsidR="00214C1B" w:rsidRPr="00C377C8">
              <w:rPr>
                <w:rStyle w:val="Hyperlink"/>
                <w:noProof/>
                <w:color w:val="000000" w:themeColor="text1"/>
              </w:rPr>
              <w:t>1</w:t>
            </w:r>
            <w:r w:rsidR="00214C1B" w:rsidRPr="00C377C8">
              <w:rPr>
                <w:rFonts w:eastAsiaTheme="minorEastAsia"/>
                <w:noProof/>
                <w:color w:val="000000" w:themeColor="text1"/>
                <w:lang w:eastAsia="en-GB"/>
              </w:rPr>
              <w:tab/>
            </w:r>
            <w:r w:rsidR="00214C1B" w:rsidRPr="00C377C8">
              <w:rPr>
                <w:rStyle w:val="Hyperlink"/>
                <w:noProof/>
                <w:color w:val="000000" w:themeColor="text1"/>
              </w:rPr>
              <w:t>Chapter 1 Introduction</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_Toc96609043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w:t>
            </w:r>
            <w:r w:rsidR="00214C1B" w:rsidRPr="00C377C8">
              <w:rPr>
                <w:noProof/>
                <w:webHidden/>
                <w:color w:val="000000" w:themeColor="text1"/>
              </w:rPr>
              <w:fldChar w:fldCharType="end"/>
            </w:r>
          </w:hyperlink>
        </w:p>
        <w:p w14:paraId="08DFAF20" w14:textId="0317BF1D"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44" w:history="1">
            <w:r w:rsidR="00214C1B" w:rsidRPr="00C377C8">
              <w:rPr>
                <w:rStyle w:val="Hyperlink"/>
                <w:noProof/>
                <w:color w:val="000000" w:themeColor="text1"/>
              </w:rPr>
              <w:t>1.1</w:t>
            </w:r>
            <w:r w:rsidR="00214C1B" w:rsidRPr="00C377C8">
              <w:rPr>
                <w:rFonts w:eastAsiaTheme="minorEastAsia"/>
                <w:noProof/>
                <w:color w:val="000000" w:themeColor="text1"/>
                <w:lang w:eastAsia="en-GB"/>
              </w:rPr>
              <w:tab/>
            </w:r>
            <w:r w:rsidR="00214C1B" w:rsidRPr="00C377C8">
              <w:rPr>
                <w:rStyle w:val="Hyperlink"/>
                <w:noProof/>
                <w:color w:val="000000" w:themeColor="text1"/>
              </w:rPr>
              <w:t>Introduction</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_Toc96609044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w:t>
            </w:r>
            <w:r w:rsidR="00214C1B" w:rsidRPr="00C377C8">
              <w:rPr>
                <w:noProof/>
                <w:webHidden/>
                <w:color w:val="000000" w:themeColor="text1"/>
              </w:rPr>
              <w:fldChar w:fldCharType="end"/>
            </w:r>
          </w:hyperlink>
        </w:p>
        <w:p w14:paraId="084E1314" w14:textId="20D3D49A"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45" w:history="1">
            <w:r w:rsidR="00214C1B" w:rsidRPr="00C377C8">
              <w:rPr>
                <w:rStyle w:val="Hyperlink"/>
                <w:noProof/>
                <w:color w:val="000000" w:themeColor="text1"/>
              </w:rPr>
              <w:t>1.2</w:t>
            </w:r>
            <w:r w:rsidR="00214C1B" w:rsidRPr="00C377C8">
              <w:rPr>
                <w:rFonts w:eastAsiaTheme="minorEastAsia"/>
                <w:noProof/>
                <w:color w:val="000000" w:themeColor="text1"/>
                <w:lang w:eastAsia="en-GB"/>
              </w:rPr>
              <w:tab/>
            </w:r>
            <w:r w:rsidR="00214C1B" w:rsidRPr="00C377C8">
              <w:rPr>
                <w:rStyle w:val="Hyperlink"/>
                <w:noProof/>
                <w:color w:val="000000" w:themeColor="text1"/>
              </w:rPr>
              <w:t>Research objectives and thesis aim</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_Toc96609045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2</w:t>
            </w:r>
            <w:r w:rsidR="00214C1B" w:rsidRPr="00C377C8">
              <w:rPr>
                <w:noProof/>
                <w:webHidden/>
                <w:color w:val="000000" w:themeColor="text1"/>
              </w:rPr>
              <w:fldChar w:fldCharType="end"/>
            </w:r>
          </w:hyperlink>
        </w:p>
        <w:p w14:paraId="363E9F70" w14:textId="639C0565"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46" w:history="1">
            <w:r w:rsidR="00214C1B" w:rsidRPr="00C377C8">
              <w:rPr>
                <w:rStyle w:val="Hyperlink"/>
                <w:noProof/>
                <w:color w:val="000000" w:themeColor="text1"/>
              </w:rPr>
              <w:t>1.3</w:t>
            </w:r>
            <w:r w:rsidR="00214C1B" w:rsidRPr="00C377C8">
              <w:rPr>
                <w:rFonts w:eastAsiaTheme="minorEastAsia"/>
                <w:noProof/>
                <w:color w:val="000000" w:themeColor="text1"/>
                <w:lang w:eastAsia="en-GB"/>
              </w:rPr>
              <w:tab/>
            </w:r>
            <w:r w:rsidR="00214C1B" w:rsidRPr="00C377C8">
              <w:rPr>
                <w:rStyle w:val="Hyperlink"/>
                <w:noProof/>
                <w:color w:val="000000" w:themeColor="text1"/>
              </w:rPr>
              <w:t>Study background</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_Toc96609046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4</w:t>
            </w:r>
            <w:r w:rsidR="00214C1B" w:rsidRPr="00C377C8">
              <w:rPr>
                <w:noProof/>
                <w:webHidden/>
                <w:color w:val="000000" w:themeColor="text1"/>
              </w:rPr>
              <w:fldChar w:fldCharType="end"/>
            </w:r>
          </w:hyperlink>
        </w:p>
        <w:p w14:paraId="1B7755DE" w14:textId="584BE628"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47" w:history="1">
            <w:r w:rsidR="00214C1B" w:rsidRPr="00C377C8">
              <w:rPr>
                <w:rStyle w:val="Hyperlink"/>
                <w:noProof/>
                <w:color w:val="000000" w:themeColor="text1"/>
              </w:rPr>
              <w:t>1.4</w:t>
            </w:r>
            <w:r w:rsidR="00214C1B" w:rsidRPr="00C377C8">
              <w:rPr>
                <w:rFonts w:eastAsiaTheme="minorEastAsia"/>
                <w:noProof/>
                <w:color w:val="000000" w:themeColor="text1"/>
                <w:lang w:eastAsia="en-GB"/>
              </w:rPr>
              <w:tab/>
            </w:r>
            <w:r w:rsidR="00214C1B" w:rsidRPr="00C377C8">
              <w:rPr>
                <w:rStyle w:val="Hyperlink"/>
                <w:noProof/>
                <w:color w:val="000000" w:themeColor="text1"/>
              </w:rPr>
              <w:t>Contextual setting of the current research study</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_Toc96609047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6</w:t>
            </w:r>
            <w:r w:rsidR="00214C1B" w:rsidRPr="00C377C8">
              <w:rPr>
                <w:noProof/>
                <w:webHidden/>
                <w:color w:val="000000" w:themeColor="text1"/>
              </w:rPr>
              <w:fldChar w:fldCharType="end"/>
            </w:r>
          </w:hyperlink>
        </w:p>
        <w:p w14:paraId="4C25F8BE" w14:textId="50B17A6E"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048" w:history="1">
            <w:r w:rsidR="00214C1B" w:rsidRPr="00C377C8">
              <w:rPr>
                <w:rStyle w:val="Hyperlink"/>
                <w:rFonts w:ascii="Times New Roman" w:hAnsi="Times New Roman" w:cs="Times New Roman"/>
                <w:noProof/>
                <w:color w:val="000000" w:themeColor="text1"/>
              </w:rPr>
              <w:t>1.4.1</w:t>
            </w:r>
            <w:r w:rsidR="00214C1B" w:rsidRPr="00C377C8">
              <w:rPr>
                <w:rFonts w:eastAsiaTheme="minorEastAsia"/>
                <w:noProof/>
                <w:color w:val="000000" w:themeColor="text1"/>
                <w:lang w:eastAsia="en-GB"/>
              </w:rPr>
              <w:tab/>
            </w:r>
            <w:r w:rsidR="00214C1B" w:rsidRPr="00C377C8">
              <w:rPr>
                <w:rStyle w:val="Hyperlink"/>
                <w:rFonts w:ascii="Times New Roman" w:hAnsi="Times New Roman" w:cs="Times New Roman"/>
                <w:noProof/>
                <w:color w:val="000000" w:themeColor="text1"/>
              </w:rPr>
              <w:t>Historical context</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_Toc96609048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6</w:t>
            </w:r>
            <w:r w:rsidR="00214C1B" w:rsidRPr="00C377C8">
              <w:rPr>
                <w:noProof/>
                <w:webHidden/>
                <w:color w:val="000000" w:themeColor="text1"/>
              </w:rPr>
              <w:fldChar w:fldCharType="end"/>
            </w:r>
          </w:hyperlink>
        </w:p>
        <w:p w14:paraId="67C47BB8" w14:textId="08421211"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049" w:history="1">
            <w:r w:rsidR="00214C1B" w:rsidRPr="00C377C8">
              <w:rPr>
                <w:rStyle w:val="Hyperlink"/>
                <w:rFonts w:ascii="Times New Roman" w:hAnsi="Times New Roman" w:cs="Times New Roman"/>
                <w:noProof/>
                <w:color w:val="000000" w:themeColor="text1"/>
              </w:rPr>
              <w:t>1.4.2</w:t>
            </w:r>
            <w:r w:rsidR="00214C1B" w:rsidRPr="00C377C8">
              <w:rPr>
                <w:rFonts w:eastAsiaTheme="minorEastAsia"/>
                <w:noProof/>
                <w:color w:val="000000" w:themeColor="text1"/>
                <w:lang w:eastAsia="en-GB"/>
              </w:rPr>
              <w:tab/>
            </w:r>
            <w:r w:rsidR="00214C1B" w:rsidRPr="00C377C8">
              <w:rPr>
                <w:rStyle w:val="Hyperlink"/>
                <w:rFonts w:ascii="Times New Roman" w:hAnsi="Times New Roman" w:cs="Times New Roman"/>
                <w:noProof/>
                <w:color w:val="000000" w:themeColor="text1"/>
              </w:rPr>
              <w:t>Physical context</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_Toc96609049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6</w:t>
            </w:r>
            <w:r w:rsidR="00214C1B" w:rsidRPr="00C377C8">
              <w:rPr>
                <w:noProof/>
                <w:webHidden/>
                <w:color w:val="000000" w:themeColor="text1"/>
              </w:rPr>
              <w:fldChar w:fldCharType="end"/>
            </w:r>
          </w:hyperlink>
        </w:p>
        <w:p w14:paraId="77CB34DB" w14:textId="388CF420"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050" w:history="1">
            <w:r w:rsidR="00214C1B" w:rsidRPr="00C377C8">
              <w:rPr>
                <w:rStyle w:val="Hyperlink"/>
                <w:rFonts w:ascii="Times New Roman" w:hAnsi="Times New Roman" w:cs="Times New Roman"/>
                <w:noProof/>
                <w:color w:val="000000" w:themeColor="text1"/>
              </w:rPr>
              <w:t>1.4.3</w:t>
            </w:r>
            <w:r w:rsidR="00214C1B" w:rsidRPr="00C377C8">
              <w:rPr>
                <w:rFonts w:eastAsiaTheme="minorEastAsia"/>
                <w:noProof/>
                <w:color w:val="000000" w:themeColor="text1"/>
                <w:lang w:eastAsia="en-GB"/>
              </w:rPr>
              <w:tab/>
            </w:r>
            <w:r w:rsidR="00214C1B" w:rsidRPr="00C377C8">
              <w:rPr>
                <w:rStyle w:val="Hyperlink"/>
                <w:rFonts w:ascii="Times New Roman" w:hAnsi="Times New Roman" w:cs="Times New Roman"/>
                <w:noProof/>
                <w:color w:val="000000" w:themeColor="text1"/>
              </w:rPr>
              <w:t>Cultural context</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_Toc96609050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7</w:t>
            </w:r>
            <w:r w:rsidR="00214C1B" w:rsidRPr="00C377C8">
              <w:rPr>
                <w:noProof/>
                <w:webHidden/>
                <w:color w:val="000000" w:themeColor="text1"/>
              </w:rPr>
              <w:fldChar w:fldCharType="end"/>
            </w:r>
          </w:hyperlink>
        </w:p>
        <w:p w14:paraId="49B7AECB" w14:textId="7B9119DF"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051" w:history="1">
            <w:r w:rsidR="00214C1B" w:rsidRPr="00C377C8">
              <w:rPr>
                <w:rStyle w:val="Hyperlink"/>
                <w:rFonts w:ascii="Times New Roman" w:hAnsi="Times New Roman" w:cs="Times New Roman"/>
                <w:noProof/>
                <w:color w:val="000000" w:themeColor="text1"/>
              </w:rPr>
              <w:t>1.4.4</w:t>
            </w:r>
            <w:r w:rsidR="00214C1B" w:rsidRPr="00C377C8">
              <w:rPr>
                <w:rFonts w:eastAsiaTheme="minorEastAsia"/>
                <w:noProof/>
                <w:color w:val="000000" w:themeColor="text1"/>
                <w:lang w:eastAsia="en-GB"/>
              </w:rPr>
              <w:tab/>
            </w:r>
            <w:r w:rsidR="00214C1B" w:rsidRPr="00C377C8">
              <w:rPr>
                <w:rStyle w:val="Hyperlink"/>
                <w:rFonts w:ascii="Times New Roman" w:hAnsi="Times New Roman" w:cs="Times New Roman"/>
                <w:noProof/>
                <w:color w:val="000000" w:themeColor="text1"/>
              </w:rPr>
              <w:t>Situational context (multilingual)</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_Toc96609051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8</w:t>
            </w:r>
            <w:r w:rsidR="00214C1B" w:rsidRPr="00C377C8">
              <w:rPr>
                <w:noProof/>
                <w:webHidden/>
                <w:color w:val="000000" w:themeColor="text1"/>
              </w:rPr>
              <w:fldChar w:fldCharType="end"/>
            </w:r>
          </w:hyperlink>
        </w:p>
        <w:p w14:paraId="26B977B1" w14:textId="0D7BFFC5"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52" w:history="1">
            <w:r w:rsidR="00214C1B" w:rsidRPr="00C377C8">
              <w:rPr>
                <w:rStyle w:val="Hyperlink"/>
                <w:noProof/>
                <w:color w:val="000000" w:themeColor="text1"/>
              </w:rPr>
              <w:t>1.5</w:t>
            </w:r>
            <w:r w:rsidR="00214C1B" w:rsidRPr="00C377C8">
              <w:rPr>
                <w:rFonts w:eastAsiaTheme="minorEastAsia"/>
                <w:noProof/>
                <w:color w:val="000000" w:themeColor="text1"/>
                <w:lang w:eastAsia="en-GB"/>
              </w:rPr>
              <w:tab/>
            </w:r>
            <w:r w:rsidR="00214C1B" w:rsidRPr="00C377C8">
              <w:rPr>
                <w:rStyle w:val="Hyperlink"/>
                <w:noProof/>
                <w:color w:val="000000" w:themeColor="text1"/>
              </w:rPr>
              <w:t>Justification for the study and its significance</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_Toc96609052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9</w:t>
            </w:r>
            <w:r w:rsidR="00214C1B" w:rsidRPr="00C377C8">
              <w:rPr>
                <w:noProof/>
                <w:webHidden/>
                <w:color w:val="000000" w:themeColor="text1"/>
              </w:rPr>
              <w:fldChar w:fldCharType="end"/>
            </w:r>
          </w:hyperlink>
        </w:p>
        <w:p w14:paraId="343181E4" w14:textId="600BA3B3"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53" w:history="1">
            <w:r w:rsidR="00214C1B" w:rsidRPr="00C377C8">
              <w:rPr>
                <w:rStyle w:val="Hyperlink"/>
                <w:noProof/>
                <w:color w:val="000000" w:themeColor="text1"/>
              </w:rPr>
              <w:t>1.6</w:t>
            </w:r>
            <w:r w:rsidR="00214C1B" w:rsidRPr="00C377C8">
              <w:rPr>
                <w:rFonts w:eastAsiaTheme="minorEastAsia"/>
                <w:noProof/>
                <w:color w:val="000000" w:themeColor="text1"/>
                <w:lang w:eastAsia="en-GB"/>
              </w:rPr>
              <w:tab/>
            </w:r>
            <w:r w:rsidR="00214C1B" w:rsidRPr="00C377C8">
              <w:rPr>
                <w:rStyle w:val="Hyperlink"/>
                <w:noProof/>
                <w:color w:val="000000" w:themeColor="text1"/>
              </w:rPr>
              <w:t>Conclusion</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_Toc96609053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12</w:t>
            </w:r>
            <w:r w:rsidR="00214C1B" w:rsidRPr="00C377C8">
              <w:rPr>
                <w:noProof/>
                <w:webHidden/>
                <w:color w:val="000000" w:themeColor="text1"/>
              </w:rPr>
              <w:fldChar w:fldCharType="end"/>
            </w:r>
          </w:hyperlink>
        </w:p>
        <w:p w14:paraId="6A50D155" w14:textId="12B03F13" w:rsidR="00214C1B" w:rsidRPr="00C377C8" w:rsidRDefault="007D0B9D">
          <w:pPr>
            <w:pStyle w:val="TOC1"/>
            <w:tabs>
              <w:tab w:val="left" w:pos="440"/>
              <w:tab w:val="right" w:leader="dot" w:pos="10456"/>
            </w:tabs>
            <w:rPr>
              <w:rFonts w:eastAsiaTheme="minorEastAsia"/>
              <w:noProof/>
              <w:color w:val="000000" w:themeColor="text1"/>
              <w:lang w:eastAsia="en-GB"/>
            </w:rPr>
          </w:pPr>
          <w:hyperlink w:anchor="_Toc96609054" w:history="1">
            <w:r w:rsidR="00214C1B" w:rsidRPr="00C377C8">
              <w:rPr>
                <w:rStyle w:val="Hyperlink"/>
                <w:noProof/>
                <w:color w:val="000000" w:themeColor="text1"/>
              </w:rPr>
              <w:t>2</w:t>
            </w:r>
            <w:r w:rsidR="00214C1B" w:rsidRPr="00C377C8">
              <w:rPr>
                <w:rFonts w:eastAsiaTheme="minorEastAsia"/>
                <w:noProof/>
                <w:color w:val="000000" w:themeColor="text1"/>
                <w:lang w:eastAsia="en-GB"/>
              </w:rPr>
              <w:tab/>
            </w:r>
            <w:r w:rsidR="00214C1B" w:rsidRPr="00C377C8">
              <w:rPr>
                <w:rStyle w:val="Hyperlink"/>
                <w:noProof/>
                <w:color w:val="000000" w:themeColor="text1"/>
              </w:rPr>
              <w:t>Chapter 2 Literature Review</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_Toc96609054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13</w:t>
            </w:r>
            <w:r w:rsidR="00214C1B" w:rsidRPr="00C377C8">
              <w:rPr>
                <w:noProof/>
                <w:webHidden/>
                <w:color w:val="000000" w:themeColor="text1"/>
              </w:rPr>
              <w:fldChar w:fldCharType="end"/>
            </w:r>
          </w:hyperlink>
        </w:p>
        <w:p w14:paraId="397B8AFD" w14:textId="4404C23A"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55" w:history="1">
            <w:r w:rsidR="00214C1B" w:rsidRPr="00C377C8">
              <w:rPr>
                <w:rStyle w:val="Hyperlink"/>
                <w:noProof/>
                <w:color w:val="000000" w:themeColor="text1"/>
              </w:rPr>
              <w:t>2.1</w:t>
            </w:r>
            <w:r w:rsidR="00214C1B" w:rsidRPr="00C377C8">
              <w:rPr>
                <w:rFonts w:eastAsiaTheme="minorEastAsia"/>
                <w:noProof/>
                <w:color w:val="000000" w:themeColor="text1"/>
                <w:lang w:eastAsia="en-GB"/>
              </w:rPr>
              <w:tab/>
            </w:r>
            <w:r w:rsidR="00214C1B" w:rsidRPr="00C377C8">
              <w:rPr>
                <w:rStyle w:val="Hyperlink"/>
                <w:noProof/>
                <w:color w:val="000000" w:themeColor="text1"/>
              </w:rPr>
              <w:t>Introduction</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_Toc96609055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13</w:t>
            </w:r>
            <w:r w:rsidR="00214C1B" w:rsidRPr="00C377C8">
              <w:rPr>
                <w:noProof/>
                <w:webHidden/>
                <w:color w:val="000000" w:themeColor="text1"/>
              </w:rPr>
              <w:fldChar w:fldCharType="end"/>
            </w:r>
          </w:hyperlink>
        </w:p>
        <w:p w14:paraId="538FCEF8" w14:textId="46E141B7"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56" w:history="1">
            <w:r w:rsidR="00214C1B" w:rsidRPr="00C377C8">
              <w:rPr>
                <w:rStyle w:val="Hyperlink"/>
                <w:noProof/>
                <w:color w:val="000000" w:themeColor="text1"/>
              </w:rPr>
              <w:t>2.2</w:t>
            </w:r>
            <w:r w:rsidR="00214C1B" w:rsidRPr="00C377C8">
              <w:rPr>
                <w:rFonts w:eastAsiaTheme="minorEastAsia"/>
                <w:noProof/>
                <w:color w:val="000000" w:themeColor="text1"/>
                <w:lang w:eastAsia="en-GB"/>
              </w:rPr>
              <w:tab/>
            </w:r>
            <w:r w:rsidR="00214C1B" w:rsidRPr="00C377C8">
              <w:rPr>
                <w:rStyle w:val="Hyperlink"/>
                <w:noProof/>
                <w:color w:val="000000" w:themeColor="text1"/>
              </w:rPr>
              <w:t>Importance of teaching and learning in Islam</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_Toc96609056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13</w:t>
            </w:r>
            <w:r w:rsidR="00214C1B" w:rsidRPr="00C377C8">
              <w:rPr>
                <w:noProof/>
                <w:webHidden/>
                <w:color w:val="000000" w:themeColor="text1"/>
              </w:rPr>
              <w:fldChar w:fldCharType="end"/>
            </w:r>
          </w:hyperlink>
        </w:p>
        <w:p w14:paraId="4F03EFBC" w14:textId="36DE0DA8"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57" w:history="1">
            <w:r w:rsidR="00214C1B" w:rsidRPr="00C377C8">
              <w:rPr>
                <w:rStyle w:val="Hyperlink"/>
                <w:noProof/>
                <w:color w:val="000000" w:themeColor="text1"/>
              </w:rPr>
              <w:t>2.3</w:t>
            </w:r>
            <w:r w:rsidR="00214C1B" w:rsidRPr="00C377C8">
              <w:rPr>
                <w:rFonts w:eastAsiaTheme="minorEastAsia"/>
                <w:noProof/>
                <w:color w:val="000000" w:themeColor="text1"/>
                <w:lang w:eastAsia="en-GB"/>
              </w:rPr>
              <w:tab/>
            </w:r>
            <w:r w:rsidR="00214C1B" w:rsidRPr="00C377C8">
              <w:rPr>
                <w:rStyle w:val="Hyperlink"/>
                <w:noProof/>
                <w:color w:val="000000" w:themeColor="text1"/>
              </w:rPr>
              <w:t>Introduction of the Quran</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_Toc96609057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14</w:t>
            </w:r>
            <w:r w:rsidR="00214C1B" w:rsidRPr="00C377C8">
              <w:rPr>
                <w:noProof/>
                <w:webHidden/>
                <w:color w:val="000000" w:themeColor="text1"/>
              </w:rPr>
              <w:fldChar w:fldCharType="end"/>
            </w:r>
          </w:hyperlink>
        </w:p>
        <w:p w14:paraId="6510F1DC" w14:textId="6358B203"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58" w:history="1">
            <w:r w:rsidR="00214C1B" w:rsidRPr="00C377C8">
              <w:rPr>
                <w:rStyle w:val="Hyperlink"/>
                <w:noProof/>
                <w:color w:val="000000" w:themeColor="text1"/>
              </w:rPr>
              <w:t>2.4</w:t>
            </w:r>
            <w:r w:rsidR="00214C1B" w:rsidRPr="00C377C8">
              <w:rPr>
                <w:rFonts w:eastAsiaTheme="minorEastAsia"/>
                <w:noProof/>
                <w:color w:val="000000" w:themeColor="text1"/>
                <w:lang w:eastAsia="en-GB"/>
              </w:rPr>
              <w:tab/>
            </w:r>
            <w:r w:rsidR="00214C1B" w:rsidRPr="00C377C8">
              <w:rPr>
                <w:rStyle w:val="Hyperlink"/>
                <w:noProof/>
                <w:color w:val="000000" w:themeColor="text1"/>
              </w:rPr>
              <w:t>The Quranic text: understanding form and function</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_Toc96609058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14</w:t>
            </w:r>
            <w:r w:rsidR="00214C1B" w:rsidRPr="00C377C8">
              <w:rPr>
                <w:noProof/>
                <w:webHidden/>
                <w:color w:val="000000" w:themeColor="text1"/>
              </w:rPr>
              <w:fldChar w:fldCharType="end"/>
            </w:r>
          </w:hyperlink>
        </w:p>
        <w:p w14:paraId="561B7AB5" w14:textId="696F2276"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59" w:history="1">
            <w:r w:rsidR="00214C1B" w:rsidRPr="00C377C8">
              <w:rPr>
                <w:rStyle w:val="Hyperlink"/>
                <w:noProof/>
                <w:color w:val="000000" w:themeColor="text1"/>
              </w:rPr>
              <w:t>2.5</w:t>
            </w:r>
            <w:r w:rsidR="00214C1B" w:rsidRPr="00C377C8">
              <w:rPr>
                <w:rFonts w:eastAsiaTheme="minorEastAsia"/>
                <w:noProof/>
                <w:color w:val="000000" w:themeColor="text1"/>
                <w:lang w:eastAsia="en-GB"/>
              </w:rPr>
              <w:tab/>
            </w:r>
            <w:r w:rsidR="00214C1B" w:rsidRPr="00C377C8">
              <w:rPr>
                <w:rStyle w:val="Hyperlink"/>
                <w:noProof/>
                <w:color w:val="000000" w:themeColor="text1"/>
              </w:rPr>
              <w:t>About the course</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_Toc96609059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17</w:t>
            </w:r>
            <w:r w:rsidR="00214C1B" w:rsidRPr="00C377C8">
              <w:rPr>
                <w:noProof/>
                <w:webHidden/>
                <w:color w:val="000000" w:themeColor="text1"/>
              </w:rPr>
              <w:fldChar w:fldCharType="end"/>
            </w:r>
          </w:hyperlink>
        </w:p>
        <w:p w14:paraId="773F6045" w14:textId="4690EA76"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060" w:history="1">
            <w:r w:rsidR="00214C1B" w:rsidRPr="00C377C8">
              <w:rPr>
                <w:rStyle w:val="Hyperlink"/>
                <w:rFonts w:ascii="Times New Roman" w:hAnsi="Times New Roman" w:cs="Times New Roman"/>
                <w:noProof/>
                <w:color w:val="000000" w:themeColor="text1"/>
              </w:rPr>
              <w:t>2.5.1</w:t>
            </w:r>
            <w:r w:rsidR="00214C1B" w:rsidRPr="00C377C8">
              <w:rPr>
                <w:rFonts w:eastAsiaTheme="minorEastAsia"/>
                <w:noProof/>
                <w:color w:val="000000" w:themeColor="text1"/>
                <w:lang w:eastAsia="en-GB"/>
              </w:rPr>
              <w:tab/>
            </w:r>
            <w:r w:rsidR="00214C1B" w:rsidRPr="00C377C8">
              <w:rPr>
                <w:rStyle w:val="Hyperlink"/>
                <w:rFonts w:ascii="Times New Roman" w:hAnsi="Times New Roman" w:cs="Times New Roman"/>
                <w:noProof/>
                <w:color w:val="000000" w:themeColor="text1"/>
              </w:rPr>
              <w:t>Introduction to Badawi</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_Toc96609060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18</w:t>
            </w:r>
            <w:r w:rsidR="00214C1B" w:rsidRPr="00C377C8">
              <w:rPr>
                <w:noProof/>
                <w:webHidden/>
                <w:color w:val="000000" w:themeColor="text1"/>
              </w:rPr>
              <w:fldChar w:fldCharType="end"/>
            </w:r>
          </w:hyperlink>
        </w:p>
        <w:p w14:paraId="555D3432" w14:textId="2F3EDF49"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061" w:history="1">
            <w:r w:rsidR="00214C1B" w:rsidRPr="00C377C8">
              <w:rPr>
                <w:rStyle w:val="Hyperlink"/>
                <w:rFonts w:ascii="Times New Roman" w:hAnsi="Times New Roman" w:cs="Times New Roman"/>
                <w:noProof/>
                <w:color w:val="000000" w:themeColor="text1"/>
              </w:rPr>
              <w:t>2.5.2</w:t>
            </w:r>
            <w:r w:rsidR="00214C1B" w:rsidRPr="00C377C8">
              <w:rPr>
                <w:rFonts w:eastAsiaTheme="minorEastAsia"/>
                <w:noProof/>
                <w:color w:val="000000" w:themeColor="text1"/>
                <w:lang w:eastAsia="en-GB"/>
              </w:rPr>
              <w:tab/>
            </w:r>
            <w:r w:rsidR="00214C1B" w:rsidRPr="00C377C8">
              <w:rPr>
                <w:rStyle w:val="Hyperlink"/>
                <w:rFonts w:ascii="Times New Roman" w:hAnsi="Times New Roman" w:cs="Times New Roman"/>
                <w:noProof/>
                <w:color w:val="000000" w:themeColor="text1"/>
              </w:rPr>
              <w:t>Introduction to tafsir Jalalayn</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_Toc96609061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19</w:t>
            </w:r>
            <w:r w:rsidR="00214C1B" w:rsidRPr="00C377C8">
              <w:rPr>
                <w:noProof/>
                <w:webHidden/>
                <w:color w:val="000000" w:themeColor="text1"/>
              </w:rPr>
              <w:fldChar w:fldCharType="end"/>
            </w:r>
          </w:hyperlink>
        </w:p>
        <w:p w14:paraId="73A84930" w14:textId="227F878D"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62" w:history="1">
            <w:r w:rsidR="00214C1B" w:rsidRPr="00C377C8">
              <w:rPr>
                <w:rStyle w:val="Hyperlink"/>
                <w:noProof/>
                <w:color w:val="000000" w:themeColor="text1"/>
              </w:rPr>
              <w:t>2.6</w:t>
            </w:r>
            <w:r w:rsidR="00214C1B" w:rsidRPr="00C377C8">
              <w:rPr>
                <w:rFonts w:eastAsiaTheme="minorEastAsia"/>
                <w:noProof/>
                <w:color w:val="000000" w:themeColor="text1"/>
                <w:lang w:eastAsia="en-GB"/>
              </w:rPr>
              <w:tab/>
            </w:r>
            <w:r w:rsidR="00214C1B" w:rsidRPr="00C377C8">
              <w:rPr>
                <w:rStyle w:val="Hyperlink"/>
                <w:noProof/>
                <w:color w:val="000000" w:themeColor="text1"/>
              </w:rPr>
              <w:t>Difference between the interpretation of the Quran and the critical interpretation of the Quran</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_Toc96609062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19</w:t>
            </w:r>
            <w:r w:rsidR="00214C1B" w:rsidRPr="00C377C8">
              <w:rPr>
                <w:noProof/>
                <w:webHidden/>
                <w:color w:val="000000" w:themeColor="text1"/>
              </w:rPr>
              <w:fldChar w:fldCharType="end"/>
            </w:r>
          </w:hyperlink>
        </w:p>
        <w:p w14:paraId="1A0CAD47" w14:textId="56D15190"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63" w:history="1">
            <w:r w:rsidR="00214C1B" w:rsidRPr="00C377C8">
              <w:rPr>
                <w:rStyle w:val="Hyperlink"/>
                <w:noProof/>
                <w:color w:val="000000" w:themeColor="text1"/>
              </w:rPr>
              <w:t>2.7</w:t>
            </w:r>
            <w:r w:rsidR="00214C1B" w:rsidRPr="00C377C8">
              <w:rPr>
                <w:rFonts w:eastAsiaTheme="minorEastAsia"/>
                <w:noProof/>
                <w:color w:val="000000" w:themeColor="text1"/>
                <w:lang w:eastAsia="en-GB"/>
              </w:rPr>
              <w:tab/>
            </w:r>
            <w:r w:rsidR="00214C1B" w:rsidRPr="00C377C8">
              <w:rPr>
                <w:rStyle w:val="Hyperlink"/>
                <w:noProof/>
                <w:color w:val="000000" w:themeColor="text1"/>
              </w:rPr>
              <w:t>Sources of interpretation of the Quran</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_Toc96609063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21</w:t>
            </w:r>
            <w:r w:rsidR="00214C1B" w:rsidRPr="00C377C8">
              <w:rPr>
                <w:noProof/>
                <w:webHidden/>
                <w:color w:val="000000" w:themeColor="text1"/>
              </w:rPr>
              <w:fldChar w:fldCharType="end"/>
            </w:r>
          </w:hyperlink>
        </w:p>
        <w:p w14:paraId="73603390" w14:textId="56283AEF"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064" w:history="1">
            <w:r w:rsidR="00214C1B" w:rsidRPr="00C377C8">
              <w:rPr>
                <w:rStyle w:val="Hyperlink"/>
                <w:rFonts w:ascii="Times New Roman" w:hAnsi="Times New Roman" w:cs="Times New Roman"/>
                <w:noProof/>
                <w:color w:val="000000" w:themeColor="text1"/>
              </w:rPr>
              <w:t>2.7.1</w:t>
            </w:r>
            <w:r w:rsidR="00214C1B" w:rsidRPr="00C377C8">
              <w:rPr>
                <w:rFonts w:eastAsiaTheme="minorEastAsia"/>
                <w:noProof/>
                <w:color w:val="000000" w:themeColor="text1"/>
                <w:lang w:eastAsia="en-GB"/>
              </w:rPr>
              <w:tab/>
            </w:r>
            <w:r w:rsidR="00214C1B" w:rsidRPr="00C377C8">
              <w:rPr>
                <w:rStyle w:val="Hyperlink"/>
                <w:rFonts w:ascii="Times New Roman" w:hAnsi="Times New Roman" w:cs="Times New Roman"/>
                <w:noProof/>
                <w:color w:val="000000" w:themeColor="text1"/>
              </w:rPr>
              <w:t>Interpretation of the Quran through the Quran</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_Toc96609064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21</w:t>
            </w:r>
            <w:r w:rsidR="00214C1B" w:rsidRPr="00C377C8">
              <w:rPr>
                <w:noProof/>
                <w:webHidden/>
                <w:color w:val="000000" w:themeColor="text1"/>
              </w:rPr>
              <w:fldChar w:fldCharType="end"/>
            </w:r>
          </w:hyperlink>
        </w:p>
        <w:p w14:paraId="4CA7130C" w14:textId="23DB2A80"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065" w:history="1">
            <w:r w:rsidR="00214C1B" w:rsidRPr="00C377C8">
              <w:rPr>
                <w:rStyle w:val="Hyperlink"/>
                <w:rFonts w:ascii="Times New Roman" w:hAnsi="Times New Roman" w:cs="Times New Roman"/>
                <w:noProof/>
                <w:color w:val="000000" w:themeColor="text1"/>
              </w:rPr>
              <w:t>2.7.2</w:t>
            </w:r>
            <w:r w:rsidR="00214C1B" w:rsidRPr="00C377C8">
              <w:rPr>
                <w:rFonts w:eastAsiaTheme="minorEastAsia"/>
                <w:noProof/>
                <w:color w:val="000000" w:themeColor="text1"/>
                <w:lang w:eastAsia="en-GB"/>
              </w:rPr>
              <w:tab/>
            </w:r>
            <w:r w:rsidR="00214C1B" w:rsidRPr="00C377C8">
              <w:rPr>
                <w:rStyle w:val="Hyperlink"/>
                <w:rFonts w:ascii="Times New Roman" w:hAnsi="Times New Roman" w:cs="Times New Roman"/>
                <w:noProof/>
                <w:color w:val="000000" w:themeColor="text1"/>
              </w:rPr>
              <w:t>Interpretation of the Quran through Ahadith</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_Toc96609065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22</w:t>
            </w:r>
            <w:r w:rsidR="00214C1B" w:rsidRPr="00C377C8">
              <w:rPr>
                <w:noProof/>
                <w:webHidden/>
                <w:color w:val="000000" w:themeColor="text1"/>
              </w:rPr>
              <w:fldChar w:fldCharType="end"/>
            </w:r>
          </w:hyperlink>
        </w:p>
        <w:p w14:paraId="40929764" w14:textId="2D445BD3"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066" w:history="1">
            <w:r w:rsidR="00214C1B" w:rsidRPr="00C377C8">
              <w:rPr>
                <w:rStyle w:val="Hyperlink"/>
                <w:rFonts w:ascii="Times New Roman" w:hAnsi="Times New Roman" w:cs="Times New Roman"/>
                <w:noProof/>
                <w:color w:val="000000" w:themeColor="text1"/>
              </w:rPr>
              <w:t>2.7.3</w:t>
            </w:r>
            <w:r w:rsidR="00214C1B" w:rsidRPr="00C377C8">
              <w:rPr>
                <w:rFonts w:eastAsiaTheme="minorEastAsia"/>
                <w:noProof/>
                <w:color w:val="000000" w:themeColor="text1"/>
                <w:lang w:eastAsia="en-GB"/>
              </w:rPr>
              <w:tab/>
            </w:r>
            <w:r w:rsidR="00214C1B" w:rsidRPr="00C377C8">
              <w:rPr>
                <w:rStyle w:val="Hyperlink"/>
                <w:rFonts w:ascii="Times New Roman" w:hAnsi="Times New Roman" w:cs="Times New Roman"/>
                <w:noProof/>
                <w:color w:val="000000" w:themeColor="text1"/>
              </w:rPr>
              <w:t>Interpretation of the Quran through the companions’ sayings</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_Toc96609066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22</w:t>
            </w:r>
            <w:r w:rsidR="00214C1B" w:rsidRPr="00C377C8">
              <w:rPr>
                <w:noProof/>
                <w:webHidden/>
                <w:color w:val="000000" w:themeColor="text1"/>
              </w:rPr>
              <w:fldChar w:fldCharType="end"/>
            </w:r>
          </w:hyperlink>
        </w:p>
        <w:p w14:paraId="52C69D9C" w14:textId="2FB86DEA"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67" w:history="1">
            <w:r w:rsidR="00214C1B" w:rsidRPr="00C377C8">
              <w:rPr>
                <w:rStyle w:val="Hyperlink"/>
                <w:noProof/>
                <w:color w:val="000000" w:themeColor="text1"/>
              </w:rPr>
              <w:t>2.8</w:t>
            </w:r>
            <w:r w:rsidR="00214C1B" w:rsidRPr="00C377C8">
              <w:rPr>
                <w:rFonts w:eastAsiaTheme="minorEastAsia"/>
                <w:noProof/>
                <w:color w:val="000000" w:themeColor="text1"/>
                <w:lang w:eastAsia="en-GB"/>
              </w:rPr>
              <w:tab/>
            </w:r>
            <w:r w:rsidR="00214C1B" w:rsidRPr="00C377C8">
              <w:rPr>
                <w:rStyle w:val="Hyperlink"/>
                <w:noProof/>
                <w:color w:val="000000" w:themeColor="text1"/>
              </w:rPr>
              <w:t>The critical interpretation of the Quran</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_Toc96609067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23</w:t>
            </w:r>
            <w:r w:rsidR="00214C1B" w:rsidRPr="00C377C8">
              <w:rPr>
                <w:noProof/>
                <w:webHidden/>
                <w:color w:val="000000" w:themeColor="text1"/>
              </w:rPr>
              <w:fldChar w:fldCharType="end"/>
            </w:r>
          </w:hyperlink>
        </w:p>
        <w:p w14:paraId="2899520C" w14:textId="665911B8"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68" w:history="1">
            <w:r w:rsidR="00214C1B" w:rsidRPr="00C377C8">
              <w:rPr>
                <w:rStyle w:val="Hyperlink"/>
                <w:noProof/>
                <w:color w:val="000000" w:themeColor="text1"/>
              </w:rPr>
              <w:t>2.9</w:t>
            </w:r>
            <w:r w:rsidR="00214C1B" w:rsidRPr="00C377C8">
              <w:rPr>
                <w:rFonts w:eastAsiaTheme="minorEastAsia"/>
                <w:noProof/>
                <w:color w:val="000000" w:themeColor="text1"/>
                <w:lang w:eastAsia="en-GB"/>
              </w:rPr>
              <w:tab/>
            </w:r>
            <w:r w:rsidR="00214C1B" w:rsidRPr="00C377C8">
              <w:rPr>
                <w:rStyle w:val="Hyperlink"/>
                <w:noProof/>
                <w:color w:val="000000" w:themeColor="text1"/>
              </w:rPr>
              <w:t>Interpretive approaches</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_Toc96609068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25</w:t>
            </w:r>
            <w:r w:rsidR="00214C1B" w:rsidRPr="00C377C8">
              <w:rPr>
                <w:noProof/>
                <w:webHidden/>
                <w:color w:val="000000" w:themeColor="text1"/>
              </w:rPr>
              <w:fldChar w:fldCharType="end"/>
            </w:r>
          </w:hyperlink>
        </w:p>
        <w:p w14:paraId="1CED712D" w14:textId="09D80998"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69" w:history="1">
            <w:r w:rsidR="00214C1B" w:rsidRPr="00C377C8">
              <w:rPr>
                <w:rStyle w:val="Hyperlink"/>
                <w:noProof/>
                <w:color w:val="000000" w:themeColor="text1"/>
              </w:rPr>
              <w:t>2.10</w:t>
            </w:r>
            <w:r w:rsidR="00214C1B" w:rsidRPr="00C377C8">
              <w:rPr>
                <w:rFonts w:eastAsiaTheme="minorEastAsia"/>
                <w:noProof/>
                <w:color w:val="000000" w:themeColor="text1"/>
                <w:lang w:eastAsia="en-GB"/>
              </w:rPr>
              <w:tab/>
            </w:r>
            <w:r w:rsidR="00214C1B" w:rsidRPr="00C377C8">
              <w:rPr>
                <w:rStyle w:val="Hyperlink"/>
                <w:noProof/>
                <w:color w:val="000000" w:themeColor="text1"/>
              </w:rPr>
              <w:t>Pedagogy of other Sacred Texts</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_Toc96609069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28</w:t>
            </w:r>
            <w:r w:rsidR="00214C1B" w:rsidRPr="00C377C8">
              <w:rPr>
                <w:noProof/>
                <w:webHidden/>
                <w:color w:val="000000" w:themeColor="text1"/>
              </w:rPr>
              <w:fldChar w:fldCharType="end"/>
            </w:r>
          </w:hyperlink>
        </w:p>
        <w:p w14:paraId="5C1B8484" w14:textId="32105580"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70" w:history="1">
            <w:r w:rsidR="00214C1B" w:rsidRPr="00C377C8">
              <w:rPr>
                <w:rStyle w:val="Hyperlink"/>
                <w:noProof/>
                <w:color w:val="000000" w:themeColor="text1"/>
              </w:rPr>
              <w:t>2.11</w:t>
            </w:r>
            <w:r w:rsidR="00214C1B" w:rsidRPr="00C377C8">
              <w:rPr>
                <w:rFonts w:eastAsiaTheme="minorEastAsia"/>
                <w:noProof/>
                <w:color w:val="000000" w:themeColor="text1"/>
                <w:lang w:eastAsia="en-GB"/>
              </w:rPr>
              <w:tab/>
            </w:r>
            <w:r w:rsidR="00214C1B" w:rsidRPr="00C377C8">
              <w:rPr>
                <w:rStyle w:val="Hyperlink"/>
                <w:noProof/>
                <w:color w:val="000000" w:themeColor="text1"/>
              </w:rPr>
              <w:t>Teachers’ traits</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_Toc96609070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28</w:t>
            </w:r>
            <w:r w:rsidR="00214C1B" w:rsidRPr="00C377C8">
              <w:rPr>
                <w:noProof/>
                <w:webHidden/>
                <w:color w:val="000000" w:themeColor="text1"/>
              </w:rPr>
              <w:fldChar w:fldCharType="end"/>
            </w:r>
          </w:hyperlink>
        </w:p>
        <w:p w14:paraId="26B7AC7F" w14:textId="642C9B6E"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71" w:history="1">
            <w:r w:rsidR="00214C1B" w:rsidRPr="00C377C8">
              <w:rPr>
                <w:rStyle w:val="Hyperlink"/>
                <w:noProof/>
                <w:color w:val="000000" w:themeColor="text1"/>
              </w:rPr>
              <w:t>2.12</w:t>
            </w:r>
            <w:r w:rsidR="00214C1B" w:rsidRPr="00C377C8">
              <w:rPr>
                <w:rFonts w:eastAsiaTheme="minorEastAsia"/>
                <w:noProof/>
                <w:color w:val="000000" w:themeColor="text1"/>
                <w:lang w:eastAsia="en-GB"/>
              </w:rPr>
              <w:tab/>
            </w:r>
            <w:r w:rsidR="00214C1B" w:rsidRPr="00C377C8">
              <w:rPr>
                <w:rStyle w:val="Hyperlink"/>
                <w:noProof/>
                <w:color w:val="000000" w:themeColor="text1"/>
              </w:rPr>
              <w:t>Pedagogical issues in multilingual classrooms</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_Toc96609071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30</w:t>
            </w:r>
            <w:r w:rsidR="00214C1B" w:rsidRPr="00C377C8">
              <w:rPr>
                <w:noProof/>
                <w:webHidden/>
                <w:color w:val="000000" w:themeColor="text1"/>
              </w:rPr>
              <w:fldChar w:fldCharType="end"/>
            </w:r>
          </w:hyperlink>
        </w:p>
        <w:p w14:paraId="6F61573B" w14:textId="089876F2"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72" w:history="1">
            <w:r w:rsidR="00214C1B" w:rsidRPr="00C377C8">
              <w:rPr>
                <w:rStyle w:val="Hyperlink"/>
                <w:noProof/>
                <w:color w:val="000000" w:themeColor="text1"/>
              </w:rPr>
              <w:t>2.13</w:t>
            </w:r>
            <w:r w:rsidR="00214C1B" w:rsidRPr="00C377C8">
              <w:rPr>
                <w:rFonts w:eastAsiaTheme="minorEastAsia"/>
                <w:noProof/>
                <w:color w:val="000000" w:themeColor="text1"/>
                <w:lang w:eastAsia="en-GB"/>
              </w:rPr>
              <w:tab/>
            </w:r>
            <w:r w:rsidR="00214C1B" w:rsidRPr="00C377C8">
              <w:rPr>
                <w:rStyle w:val="Hyperlink"/>
                <w:noProof/>
                <w:color w:val="000000" w:themeColor="text1"/>
              </w:rPr>
              <w:t>The concept of effective teaching</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_Toc96609072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34</w:t>
            </w:r>
            <w:r w:rsidR="00214C1B" w:rsidRPr="00C377C8">
              <w:rPr>
                <w:noProof/>
                <w:webHidden/>
                <w:color w:val="000000" w:themeColor="text1"/>
              </w:rPr>
              <w:fldChar w:fldCharType="end"/>
            </w:r>
          </w:hyperlink>
        </w:p>
        <w:p w14:paraId="045C5D23" w14:textId="4D1E8BCF"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73" w:history="1">
            <w:r w:rsidR="00214C1B" w:rsidRPr="00C377C8">
              <w:rPr>
                <w:rStyle w:val="Hyperlink"/>
                <w:noProof/>
                <w:color w:val="000000" w:themeColor="text1"/>
              </w:rPr>
              <w:t>2.14</w:t>
            </w:r>
            <w:r w:rsidR="00214C1B" w:rsidRPr="00C377C8">
              <w:rPr>
                <w:rFonts w:eastAsiaTheme="minorEastAsia"/>
                <w:noProof/>
                <w:color w:val="000000" w:themeColor="text1"/>
                <w:lang w:eastAsia="en-GB"/>
              </w:rPr>
              <w:tab/>
            </w:r>
            <w:r w:rsidR="00214C1B" w:rsidRPr="00C377C8">
              <w:rPr>
                <w:rStyle w:val="Hyperlink"/>
                <w:noProof/>
                <w:color w:val="000000" w:themeColor="text1"/>
              </w:rPr>
              <w:t>Teachers’ and students’ perception as an indicator of effective teaching</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_Toc96609073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39</w:t>
            </w:r>
            <w:r w:rsidR="00214C1B" w:rsidRPr="00C377C8">
              <w:rPr>
                <w:noProof/>
                <w:webHidden/>
                <w:color w:val="000000" w:themeColor="text1"/>
              </w:rPr>
              <w:fldChar w:fldCharType="end"/>
            </w:r>
          </w:hyperlink>
        </w:p>
        <w:p w14:paraId="666DAE00" w14:textId="60E88CCC"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74" w:history="1">
            <w:r w:rsidR="00214C1B" w:rsidRPr="00C377C8">
              <w:rPr>
                <w:rStyle w:val="Hyperlink"/>
                <w:noProof/>
                <w:color w:val="000000" w:themeColor="text1"/>
              </w:rPr>
              <w:t>2.15</w:t>
            </w:r>
            <w:r w:rsidR="00214C1B" w:rsidRPr="00C377C8">
              <w:rPr>
                <w:rFonts w:eastAsiaTheme="minorEastAsia"/>
                <w:noProof/>
                <w:color w:val="000000" w:themeColor="text1"/>
                <w:lang w:eastAsia="en-GB"/>
              </w:rPr>
              <w:tab/>
            </w:r>
            <w:r w:rsidR="00214C1B" w:rsidRPr="00C377C8">
              <w:rPr>
                <w:rStyle w:val="Hyperlink"/>
                <w:noProof/>
                <w:color w:val="000000" w:themeColor="text1"/>
              </w:rPr>
              <w:t>Conclusion</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_Toc96609074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40</w:t>
            </w:r>
            <w:r w:rsidR="00214C1B" w:rsidRPr="00C377C8">
              <w:rPr>
                <w:noProof/>
                <w:webHidden/>
                <w:color w:val="000000" w:themeColor="text1"/>
              </w:rPr>
              <w:fldChar w:fldCharType="end"/>
            </w:r>
          </w:hyperlink>
        </w:p>
        <w:p w14:paraId="18B92F3D" w14:textId="0420ACF2" w:rsidR="00214C1B" w:rsidRPr="00C377C8" w:rsidRDefault="007D0B9D">
          <w:pPr>
            <w:pStyle w:val="TOC1"/>
            <w:tabs>
              <w:tab w:val="left" w:pos="440"/>
              <w:tab w:val="right" w:leader="dot" w:pos="10456"/>
            </w:tabs>
            <w:rPr>
              <w:rFonts w:eastAsiaTheme="minorEastAsia"/>
              <w:noProof/>
              <w:color w:val="000000" w:themeColor="text1"/>
              <w:lang w:eastAsia="en-GB"/>
            </w:rPr>
          </w:pPr>
          <w:hyperlink w:anchor="_Toc96609075" w:history="1">
            <w:r w:rsidR="00214C1B" w:rsidRPr="00C377C8">
              <w:rPr>
                <w:rStyle w:val="Hyperlink"/>
                <w:noProof/>
                <w:color w:val="000000" w:themeColor="text1"/>
              </w:rPr>
              <w:t>3</w:t>
            </w:r>
            <w:r w:rsidR="00214C1B" w:rsidRPr="00C377C8">
              <w:rPr>
                <w:rFonts w:eastAsiaTheme="minorEastAsia"/>
                <w:noProof/>
                <w:color w:val="000000" w:themeColor="text1"/>
                <w:lang w:eastAsia="en-GB"/>
              </w:rPr>
              <w:tab/>
            </w:r>
            <w:r w:rsidR="00214C1B" w:rsidRPr="00C377C8">
              <w:rPr>
                <w:rStyle w:val="Hyperlink"/>
                <w:noProof/>
                <w:color w:val="000000" w:themeColor="text1"/>
              </w:rPr>
              <w:t>Chapter 3 Methodology</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_Toc96609075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42</w:t>
            </w:r>
            <w:r w:rsidR="00214C1B" w:rsidRPr="00C377C8">
              <w:rPr>
                <w:noProof/>
                <w:webHidden/>
                <w:color w:val="000000" w:themeColor="text1"/>
              </w:rPr>
              <w:fldChar w:fldCharType="end"/>
            </w:r>
          </w:hyperlink>
        </w:p>
        <w:p w14:paraId="1355E698" w14:textId="16B475AF"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76" w:history="1">
            <w:r w:rsidR="00214C1B" w:rsidRPr="00C377C8">
              <w:rPr>
                <w:rStyle w:val="Hyperlink"/>
                <w:noProof/>
                <w:color w:val="000000" w:themeColor="text1"/>
              </w:rPr>
              <w:t>3.1</w:t>
            </w:r>
            <w:r w:rsidR="00214C1B" w:rsidRPr="00C377C8">
              <w:rPr>
                <w:rFonts w:eastAsiaTheme="minorEastAsia"/>
                <w:noProof/>
                <w:color w:val="000000" w:themeColor="text1"/>
                <w:lang w:eastAsia="en-GB"/>
              </w:rPr>
              <w:tab/>
            </w:r>
            <w:r w:rsidR="00214C1B" w:rsidRPr="00C377C8">
              <w:rPr>
                <w:rStyle w:val="Hyperlink"/>
                <w:noProof/>
                <w:color w:val="000000" w:themeColor="text1"/>
              </w:rPr>
              <w:t>Introduction</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_Toc96609076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42</w:t>
            </w:r>
            <w:r w:rsidR="00214C1B" w:rsidRPr="00C377C8">
              <w:rPr>
                <w:noProof/>
                <w:webHidden/>
                <w:color w:val="000000" w:themeColor="text1"/>
              </w:rPr>
              <w:fldChar w:fldCharType="end"/>
            </w:r>
          </w:hyperlink>
        </w:p>
        <w:p w14:paraId="617C07DE" w14:textId="30D4B355"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77" w:history="1">
            <w:r w:rsidR="00214C1B" w:rsidRPr="00C377C8">
              <w:rPr>
                <w:rStyle w:val="Hyperlink"/>
                <w:noProof/>
                <w:color w:val="000000" w:themeColor="text1"/>
              </w:rPr>
              <w:t>3.2</w:t>
            </w:r>
            <w:r w:rsidR="00214C1B" w:rsidRPr="00C377C8">
              <w:rPr>
                <w:rFonts w:eastAsiaTheme="minorEastAsia"/>
                <w:noProof/>
                <w:color w:val="000000" w:themeColor="text1"/>
                <w:lang w:eastAsia="en-GB"/>
              </w:rPr>
              <w:tab/>
            </w:r>
            <w:r w:rsidR="00214C1B" w:rsidRPr="00C377C8">
              <w:rPr>
                <w:rStyle w:val="Hyperlink"/>
                <w:noProof/>
                <w:color w:val="000000" w:themeColor="text1"/>
              </w:rPr>
              <w:t>What is interpretive phenomenological analysis?</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_Toc96609077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42</w:t>
            </w:r>
            <w:r w:rsidR="00214C1B" w:rsidRPr="00C377C8">
              <w:rPr>
                <w:noProof/>
                <w:webHidden/>
                <w:color w:val="000000" w:themeColor="text1"/>
              </w:rPr>
              <w:fldChar w:fldCharType="end"/>
            </w:r>
          </w:hyperlink>
        </w:p>
        <w:p w14:paraId="6E46C7C2" w14:textId="0ED3D79C"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078" w:history="1">
            <w:r w:rsidR="00214C1B" w:rsidRPr="00C377C8">
              <w:rPr>
                <w:rStyle w:val="Hyperlink"/>
                <w:noProof/>
                <w:color w:val="000000" w:themeColor="text1"/>
              </w:rPr>
              <w:t>3.2.1</w:t>
            </w:r>
            <w:r w:rsidR="00214C1B" w:rsidRPr="00C377C8">
              <w:rPr>
                <w:rFonts w:eastAsiaTheme="minorEastAsia"/>
                <w:noProof/>
                <w:color w:val="000000" w:themeColor="text1"/>
                <w:lang w:eastAsia="en-GB"/>
              </w:rPr>
              <w:tab/>
            </w:r>
            <w:r w:rsidR="00214C1B" w:rsidRPr="00C377C8">
              <w:rPr>
                <w:rStyle w:val="Hyperlink"/>
                <w:noProof/>
                <w:color w:val="000000" w:themeColor="text1"/>
              </w:rPr>
              <w:t>Research Philosophy</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_Toc96609078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43</w:t>
            </w:r>
            <w:r w:rsidR="00214C1B" w:rsidRPr="00C377C8">
              <w:rPr>
                <w:noProof/>
                <w:webHidden/>
                <w:color w:val="000000" w:themeColor="text1"/>
              </w:rPr>
              <w:fldChar w:fldCharType="end"/>
            </w:r>
          </w:hyperlink>
        </w:p>
        <w:p w14:paraId="2C6A3DD6" w14:textId="4A842C95"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079" w:history="1">
            <w:r w:rsidR="00214C1B" w:rsidRPr="00C377C8">
              <w:rPr>
                <w:rStyle w:val="Hyperlink"/>
                <w:noProof/>
                <w:color w:val="000000" w:themeColor="text1"/>
              </w:rPr>
              <w:t>3.2.2</w:t>
            </w:r>
            <w:r w:rsidR="00214C1B" w:rsidRPr="00C377C8">
              <w:rPr>
                <w:rFonts w:eastAsiaTheme="minorEastAsia"/>
                <w:noProof/>
                <w:color w:val="000000" w:themeColor="text1"/>
                <w:lang w:eastAsia="en-GB"/>
              </w:rPr>
              <w:tab/>
            </w:r>
            <w:r w:rsidR="00214C1B" w:rsidRPr="00C377C8">
              <w:rPr>
                <w:rStyle w:val="Hyperlink"/>
                <w:noProof/>
                <w:color w:val="000000" w:themeColor="text1"/>
              </w:rPr>
              <w:t>Ontology</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_Toc96609079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44</w:t>
            </w:r>
            <w:r w:rsidR="00214C1B" w:rsidRPr="00C377C8">
              <w:rPr>
                <w:noProof/>
                <w:webHidden/>
                <w:color w:val="000000" w:themeColor="text1"/>
              </w:rPr>
              <w:fldChar w:fldCharType="end"/>
            </w:r>
          </w:hyperlink>
        </w:p>
        <w:p w14:paraId="02D30500" w14:textId="3873B35C"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080" w:history="1">
            <w:r w:rsidR="00214C1B" w:rsidRPr="00C377C8">
              <w:rPr>
                <w:rStyle w:val="Hyperlink"/>
                <w:noProof/>
                <w:color w:val="000000" w:themeColor="text1"/>
              </w:rPr>
              <w:t>3.2.3</w:t>
            </w:r>
            <w:r w:rsidR="00214C1B" w:rsidRPr="00C377C8">
              <w:rPr>
                <w:rFonts w:eastAsiaTheme="minorEastAsia"/>
                <w:noProof/>
                <w:color w:val="000000" w:themeColor="text1"/>
                <w:lang w:eastAsia="en-GB"/>
              </w:rPr>
              <w:tab/>
            </w:r>
            <w:r w:rsidR="00214C1B" w:rsidRPr="00C377C8">
              <w:rPr>
                <w:rStyle w:val="Hyperlink"/>
                <w:noProof/>
                <w:color w:val="000000" w:themeColor="text1"/>
              </w:rPr>
              <w:t>Epistemology</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_Toc96609080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45</w:t>
            </w:r>
            <w:r w:rsidR="00214C1B" w:rsidRPr="00C377C8">
              <w:rPr>
                <w:noProof/>
                <w:webHidden/>
                <w:color w:val="000000" w:themeColor="text1"/>
              </w:rPr>
              <w:fldChar w:fldCharType="end"/>
            </w:r>
          </w:hyperlink>
        </w:p>
        <w:p w14:paraId="747384B3" w14:textId="151C1B42"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081" w:history="1">
            <w:r w:rsidR="00214C1B" w:rsidRPr="00C377C8">
              <w:rPr>
                <w:rStyle w:val="Hyperlink"/>
                <w:noProof/>
                <w:color w:val="000000" w:themeColor="text1"/>
              </w:rPr>
              <w:t>3.2.4</w:t>
            </w:r>
            <w:r w:rsidR="00214C1B" w:rsidRPr="00C377C8">
              <w:rPr>
                <w:rFonts w:eastAsiaTheme="minorEastAsia"/>
                <w:noProof/>
                <w:color w:val="000000" w:themeColor="text1"/>
                <w:lang w:eastAsia="en-GB"/>
              </w:rPr>
              <w:tab/>
            </w:r>
            <w:r w:rsidR="00214C1B" w:rsidRPr="00C377C8">
              <w:rPr>
                <w:rStyle w:val="Hyperlink"/>
                <w:noProof/>
                <w:color w:val="000000" w:themeColor="text1"/>
              </w:rPr>
              <w:t>Theoretical perspective</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_Toc96609081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45</w:t>
            </w:r>
            <w:r w:rsidR="00214C1B" w:rsidRPr="00C377C8">
              <w:rPr>
                <w:noProof/>
                <w:webHidden/>
                <w:color w:val="000000" w:themeColor="text1"/>
              </w:rPr>
              <w:fldChar w:fldCharType="end"/>
            </w:r>
          </w:hyperlink>
        </w:p>
        <w:p w14:paraId="0EB6AD9C" w14:textId="474B20E2"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082" w:history="1">
            <w:r w:rsidR="00214C1B" w:rsidRPr="00C377C8">
              <w:rPr>
                <w:rStyle w:val="Hyperlink"/>
                <w:noProof/>
                <w:color w:val="000000" w:themeColor="text1"/>
              </w:rPr>
              <w:t>3.2.5</w:t>
            </w:r>
            <w:r w:rsidR="00214C1B" w:rsidRPr="00C377C8">
              <w:rPr>
                <w:rFonts w:eastAsiaTheme="minorEastAsia"/>
                <w:noProof/>
                <w:color w:val="000000" w:themeColor="text1"/>
                <w:lang w:eastAsia="en-GB"/>
              </w:rPr>
              <w:tab/>
            </w:r>
            <w:r w:rsidR="00214C1B" w:rsidRPr="00C377C8">
              <w:rPr>
                <w:rStyle w:val="Hyperlink"/>
                <w:noProof/>
                <w:color w:val="000000" w:themeColor="text1"/>
              </w:rPr>
              <w:t>Human nature</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_Toc96609082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46</w:t>
            </w:r>
            <w:r w:rsidR="00214C1B" w:rsidRPr="00C377C8">
              <w:rPr>
                <w:noProof/>
                <w:webHidden/>
                <w:color w:val="000000" w:themeColor="text1"/>
              </w:rPr>
              <w:fldChar w:fldCharType="end"/>
            </w:r>
          </w:hyperlink>
        </w:p>
        <w:p w14:paraId="112EF757" w14:textId="74F7232C"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83" w:history="1">
            <w:r w:rsidR="00214C1B" w:rsidRPr="00C377C8">
              <w:rPr>
                <w:rStyle w:val="Hyperlink"/>
                <w:noProof/>
                <w:color w:val="000000" w:themeColor="text1"/>
              </w:rPr>
              <w:t>3.3</w:t>
            </w:r>
            <w:r w:rsidR="00214C1B" w:rsidRPr="00C377C8">
              <w:rPr>
                <w:rFonts w:eastAsiaTheme="minorEastAsia"/>
                <w:noProof/>
                <w:color w:val="000000" w:themeColor="text1"/>
                <w:lang w:eastAsia="en-GB"/>
              </w:rPr>
              <w:tab/>
            </w:r>
            <w:r w:rsidR="00214C1B" w:rsidRPr="00C377C8">
              <w:rPr>
                <w:rStyle w:val="Hyperlink"/>
                <w:noProof/>
                <w:color w:val="000000" w:themeColor="text1"/>
              </w:rPr>
              <w:t>Methodology</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_Toc96609083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46</w:t>
            </w:r>
            <w:r w:rsidR="00214C1B" w:rsidRPr="00C377C8">
              <w:rPr>
                <w:noProof/>
                <w:webHidden/>
                <w:color w:val="000000" w:themeColor="text1"/>
              </w:rPr>
              <w:fldChar w:fldCharType="end"/>
            </w:r>
          </w:hyperlink>
        </w:p>
        <w:p w14:paraId="51D38AE3" w14:textId="67D1FDC7"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84" w:history="1">
            <w:r w:rsidR="00214C1B" w:rsidRPr="00C377C8">
              <w:rPr>
                <w:rStyle w:val="Hyperlink"/>
                <w:noProof/>
                <w:color w:val="000000" w:themeColor="text1"/>
              </w:rPr>
              <w:t>3.4</w:t>
            </w:r>
            <w:r w:rsidR="00214C1B" w:rsidRPr="00C377C8">
              <w:rPr>
                <w:rFonts w:eastAsiaTheme="minorEastAsia"/>
                <w:noProof/>
                <w:color w:val="000000" w:themeColor="text1"/>
                <w:lang w:eastAsia="en-GB"/>
              </w:rPr>
              <w:tab/>
            </w:r>
            <w:r w:rsidR="00214C1B" w:rsidRPr="00C377C8">
              <w:rPr>
                <w:rStyle w:val="Hyperlink"/>
                <w:noProof/>
                <w:color w:val="000000" w:themeColor="text1"/>
              </w:rPr>
              <w:t>Rationale for qualitative research design</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_Toc96609084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47</w:t>
            </w:r>
            <w:r w:rsidR="00214C1B" w:rsidRPr="00C377C8">
              <w:rPr>
                <w:noProof/>
                <w:webHidden/>
                <w:color w:val="000000" w:themeColor="text1"/>
              </w:rPr>
              <w:fldChar w:fldCharType="end"/>
            </w:r>
          </w:hyperlink>
        </w:p>
        <w:p w14:paraId="3B840ED7" w14:textId="2D0CA76A"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85" w:history="1">
            <w:r w:rsidR="00214C1B" w:rsidRPr="00C377C8">
              <w:rPr>
                <w:rStyle w:val="Hyperlink"/>
                <w:noProof/>
                <w:color w:val="000000" w:themeColor="text1"/>
              </w:rPr>
              <w:t>3.5</w:t>
            </w:r>
            <w:r w:rsidR="00214C1B" w:rsidRPr="00C377C8">
              <w:rPr>
                <w:rFonts w:eastAsiaTheme="minorEastAsia"/>
                <w:noProof/>
                <w:color w:val="000000" w:themeColor="text1"/>
                <w:lang w:eastAsia="en-GB"/>
              </w:rPr>
              <w:tab/>
            </w:r>
            <w:r w:rsidR="00214C1B" w:rsidRPr="00C377C8">
              <w:rPr>
                <w:rStyle w:val="Hyperlink"/>
                <w:noProof/>
                <w:color w:val="000000" w:themeColor="text1"/>
              </w:rPr>
              <w:t>Phenomenological Approach</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_Toc96609085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48</w:t>
            </w:r>
            <w:r w:rsidR="00214C1B" w:rsidRPr="00C377C8">
              <w:rPr>
                <w:noProof/>
                <w:webHidden/>
                <w:color w:val="000000" w:themeColor="text1"/>
              </w:rPr>
              <w:fldChar w:fldCharType="end"/>
            </w:r>
          </w:hyperlink>
        </w:p>
        <w:p w14:paraId="543A28EB" w14:textId="4BF934CA"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86" w:history="1">
            <w:r w:rsidR="00214C1B" w:rsidRPr="00C377C8">
              <w:rPr>
                <w:rStyle w:val="Hyperlink"/>
                <w:noProof/>
                <w:color w:val="000000" w:themeColor="text1"/>
              </w:rPr>
              <w:t>3.6</w:t>
            </w:r>
            <w:r w:rsidR="00214C1B" w:rsidRPr="00C377C8">
              <w:rPr>
                <w:rFonts w:eastAsiaTheme="minorEastAsia"/>
                <w:noProof/>
                <w:color w:val="000000" w:themeColor="text1"/>
                <w:lang w:eastAsia="en-GB"/>
              </w:rPr>
              <w:tab/>
            </w:r>
            <w:r w:rsidR="00214C1B" w:rsidRPr="00C377C8">
              <w:rPr>
                <w:rStyle w:val="Hyperlink"/>
                <w:noProof/>
                <w:color w:val="000000" w:themeColor="text1"/>
              </w:rPr>
              <w:t>Pilot study</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_Toc96609086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49</w:t>
            </w:r>
            <w:r w:rsidR="00214C1B" w:rsidRPr="00C377C8">
              <w:rPr>
                <w:noProof/>
                <w:webHidden/>
                <w:color w:val="000000" w:themeColor="text1"/>
              </w:rPr>
              <w:fldChar w:fldCharType="end"/>
            </w:r>
          </w:hyperlink>
        </w:p>
        <w:p w14:paraId="56409EE7" w14:textId="42A76AD0"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87" w:history="1">
            <w:r w:rsidR="00214C1B" w:rsidRPr="00C377C8">
              <w:rPr>
                <w:rStyle w:val="Hyperlink"/>
                <w:noProof/>
                <w:color w:val="000000" w:themeColor="text1"/>
              </w:rPr>
              <w:t>3.7</w:t>
            </w:r>
            <w:r w:rsidR="00214C1B" w:rsidRPr="00C377C8">
              <w:rPr>
                <w:rFonts w:eastAsiaTheme="minorEastAsia"/>
                <w:noProof/>
                <w:color w:val="000000" w:themeColor="text1"/>
                <w:lang w:eastAsia="en-GB"/>
              </w:rPr>
              <w:tab/>
            </w:r>
            <w:r w:rsidR="00214C1B" w:rsidRPr="00C377C8">
              <w:rPr>
                <w:rStyle w:val="Hyperlink"/>
                <w:noProof/>
                <w:color w:val="000000" w:themeColor="text1"/>
              </w:rPr>
              <w:t>Primary data collection approach</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_Toc96609087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51</w:t>
            </w:r>
            <w:r w:rsidR="00214C1B" w:rsidRPr="00C377C8">
              <w:rPr>
                <w:noProof/>
                <w:webHidden/>
                <w:color w:val="000000" w:themeColor="text1"/>
              </w:rPr>
              <w:fldChar w:fldCharType="end"/>
            </w:r>
          </w:hyperlink>
        </w:p>
        <w:p w14:paraId="081CF477" w14:textId="08FBD8A3"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088" w:history="1">
            <w:r w:rsidR="00214C1B" w:rsidRPr="00C377C8">
              <w:rPr>
                <w:rStyle w:val="Hyperlink"/>
                <w:noProof/>
                <w:color w:val="000000" w:themeColor="text1"/>
              </w:rPr>
              <w:t>3.7.1</w:t>
            </w:r>
            <w:r w:rsidR="00214C1B" w:rsidRPr="00C377C8">
              <w:rPr>
                <w:rFonts w:eastAsiaTheme="minorEastAsia"/>
                <w:noProof/>
                <w:color w:val="000000" w:themeColor="text1"/>
                <w:lang w:eastAsia="en-GB"/>
              </w:rPr>
              <w:tab/>
            </w:r>
            <w:r w:rsidR="00214C1B" w:rsidRPr="00C377C8">
              <w:rPr>
                <w:rStyle w:val="Hyperlink"/>
                <w:noProof/>
                <w:color w:val="000000" w:themeColor="text1"/>
              </w:rPr>
              <w:t>Document study</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_Toc96609088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51</w:t>
            </w:r>
            <w:r w:rsidR="00214C1B" w:rsidRPr="00C377C8">
              <w:rPr>
                <w:noProof/>
                <w:webHidden/>
                <w:color w:val="000000" w:themeColor="text1"/>
              </w:rPr>
              <w:fldChar w:fldCharType="end"/>
            </w:r>
          </w:hyperlink>
        </w:p>
        <w:p w14:paraId="59DB25F6" w14:textId="75657C40"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089" w:history="1">
            <w:r w:rsidR="00214C1B" w:rsidRPr="00C377C8">
              <w:rPr>
                <w:rStyle w:val="Hyperlink"/>
                <w:noProof/>
                <w:color w:val="000000" w:themeColor="text1"/>
              </w:rPr>
              <w:t>3.7.2</w:t>
            </w:r>
            <w:r w:rsidR="00214C1B" w:rsidRPr="00C377C8">
              <w:rPr>
                <w:rFonts w:eastAsiaTheme="minorEastAsia"/>
                <w:noProof/>
                <w:color w:val="000000" w:themeColor="text1"/>
                <w:lang w:eastAsia="en-GB"/>
              </w:rPr>
              <w:tab/>
            </w:r>
            <w:r w:rsidR="00214C1B" w:rsidRPr="00C377C8">
              <w:rPr>
                <w:rStyle w:val="Hyperlink"/>
                <w:noProof/>
                <w:color w:val="000000" w:themeColor="text1"/>
              </w:rPr>
              <w:t>Classroom observation</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_Toc96609089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52</w:t>
            </w:r>
            <w:r w:rsidR="00214C1B" w:rsidRPr="00C377C8">
              <w:rPr>
                <w:noProof/>
                <w:webHidden/>
                <w:color w:val="000000" w:themeColor="text1"/>
              </w:rPr>
              <w:fldChar w:fldCharType="end"/>
            </w:r>
          </w:hyperlink>
        </w:p>
        <w:p w14:paraId="474C3911" w14:textId="04F006AF"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090" w:history="1">
            <w:r w:rsidR="00214C1B" w:rsidRPr="00C377C8">
              <w:rPr>
                <w:rStyle w:val="Hyperlink"/>
                <w:rFonts w:ascii="Times New Roman" w:hAnsi="Times New Roman" w:cs="Times New Roman"/>
                <w:noProof/>
                <w:color w:val="000000" w:themeColor="text1"/>
              </w:rPr>
              <w:t>3.7.3</w:t>
            </w:r>
            <w:r w:rsidR="00214C1B" w:rsidRPr="00C377C8">
              <w:rPr>
                <w:rFonts w:eastAsiaTheme="minorEastAsia"/>
                <w:noProof/>
                <w:color w:val="000000" w:themeColor="text1"/>
                <w:lang w:eastAsia="en-GB"/>
              </w:rPr>
              <w:tab/>
            </w:r>
            <w:r w:rsidR="00214C1B" w:rsidRPr="00C377C8">
              <w:rPr>
                <w:rStyle w:val="Hyperlink"/>
                <w:rFonts w:ascii="Times New Roman" w:hAnsi="Times New Roman" w:cs="Times New Roman"/>
                <w:noProof/>
                <w:color w:val="000000" w:themeColor="text1"/>
              </w:rPr>
              <w:t>Interview</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_Toc96609090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53</w:t>
            </w:r>
            <w:r w:rsidR="00214C1B" w:rsidRPr="00C377C8">
              <w:rPr>
                <w:noProof/>
                <w:webHidden/>
                <w:color w:val="000000" w:themeColor="text1"/>
              </w:rPr>
              <w:fldChar w:fldCharType="end"/>
            </w:r>
          </w:hyperlink>
        </w:p>
        <w:p w14:paraId="52360DD4" w14:textId="603A85FC"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91" w:history="1">
            <w:r w:rsidR="00214C1B" w:rsidRPr="00C377C8">
              <w:rPr>
                <w:rStyle w:val="Hyperlink"/>
                <w:noProof/>
                <w:color w:val="000000" w:themeColor="text1"/>
              </w:rPr>
              <w:t>3.8</w:t>
            </w:r>
            <w:r w:rsidR="00214C1B" w:rsidRPr="00C377C8">
              <w:rPr>
                <w:rFonts w:eastAsiaTheme="minorEastAsia"/>
                <w:noProof/>
                <w:color w:val="000000" w:themeColor="text1"/>
                <w:lang w:eastAsia="en-GB"/>
              </w:rPr>
              <w:tab/>
            </w:r>
            <w:r w:rsidR="00214C1B" w:rsidRPr="00C377C8">
              <w:rPr>
                <w:rStyle w:val="Hyperlink"/>
                <w:noProof/>
                <w:color w:val="000000" w:themeColor="text1"/>
              </w:rPr>
              <w:t>Approach to selecting study participants</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_Toc96609091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55</w:t>
            </w:r>
            <w:r w:rsidR="00214C1B" w:rsidRPr="00C377C8">
              <w:rPr>
                <w:noProof/>
                <w:webHidden/>
                <w:color w:val="000000" w:themeColor="text1"/>
              </w:rPr>
              <w:fldChar w:fldCharType="end"/>
            </w:r>
          </w:hyperlink>
        </w:p>
        <w:p w14:paraId="7EBD50E2" w14:textId="74A0291A"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92" w:history="1">
            <w:r w:rsidR="00214C1B" w:rsidRPr="00C377C8">
              <w:rPr>
                <w:rStyle w:val="Hyperlink"/>
                <w:noProof/>
                <w:color w:val="000000" w:themeColor="text1"/>
              </w:rPr>
              <w:t>3.9</w:t>
            </w:r>
            <w:r w:rsidR="00214C1B" w:rsidRPr="00C377C8">
              <w:rPr>
                <w:rFonts w:eastAsiaTheme="minorEastAsia"/>
                <w:noProof/>
                <w:color w:val="000000" w:themeColor="text1"/>
                <w:lang w:eastAsia="en-GB"/>
              </w:rPr>
              <w:tab/>
            </w:r>
            <w:r w:rsidR="00214C1B" w:rsidRPr="00C377C8">
              <w:rPr>
                <w:rStyle w:val="Hyperlink"/>
                <w:noProof/>
                <w:color w:val="000000" w:themeColor="text1"/>
              </w:rPr>
              <w:t>The role of the researcher</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_Toc96609092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56</w:t>
            </w:r>
            <w:r w:rsidR="00214C1B" w:rsidRPr="00C377C8">
              <w:rPr>
                <w:noProof/>
                <w:webHidden/>
                <w:color w:val="000000" w:themeColor="text1"/>
              </w:rPr>
              <w:fldChar w:fldCharType="end"/>
            </w:r>
          </w:hyperlink>
        </w:p>
        <w:p w14:paraId="3FD4EA42" w14:textId="7A2F4588"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93" w:history="1">
            <w:r w:rsidR="00214C1B" w:rsidRPr="00C377C8">
              <w:rPr>
                <w:rStyle w:val="Hyperlink"/>
                <w:noProof/>
                <w:color w:val="000000" w:themeColor="text1"/>
              </w:rPr>
              <w:t>3.10</w:t>
            </w:r>
            <w:r w:rsidR="00214C1B" w:rsidRPr="00C377C8">
              <w:rPr>
                <w:rFonts w:eastAsiaTheme="minorEastAsia"/>
                <w:noProof/>
                <w:color w:val="000000" w:themeColor="text1"/>
                <w:lang w:eastAsia="en-GB"/>
              </w:rPr>
              <w:tab/>
            </w:r>
            <w:r w:rsidR="00214C1B" w:rsidRPr="00C377C8">
              <w:rPr>
                <w:rStyle w:val="Hyperlink"/>
                <w:noProof/>
                <w:color w:val="000000" w:themeColor="text1"/>
              </w:rPr>
              <w:t>Ethical considerations</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_Toc96609093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58</w:t>
            </w:r>
            <w:r w:rsidR="00214C1B" w:rsidRPr="00C377C8">
              <w:rPr>
                <w:noProof/>
                <w:webHidden/>
                <w:color w:val="000000" w:themeColor="text1"/>
              </w:rPr>
              <w:fldChar w:fldCharType="end"/>
            </w:r>
          </w:hyperlink>
        </w:p>
        <w:p w14:paraId="662BBF10" w14:textId="63B7D678"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94" w:history="1">
            <w:r w:rsidR="00214C1B" w:rsidRPr="00C377C8">
              <w:rPr>
                <w:rStyle w:val="Hyperlink"/>
                <w:noProof/>
                <w:color w:val="000000" w:themeColor="text1"/>
              </w:rPr>
              <w:t>3.11</w:t>
            </w:r>
            <w:r w:rsidR="00214C1B" w:rsidRPr="00C377C8">
              <w:rPr>
                <w:rFonts w:eastAsiaTheme="minorEastAsia"/>
                <w:noProof/>
                <w:color w:val="000000" w:themeColor="text1"/>
                <w:lang w:eastAsia="en-GB"/>
              </w:rPr>
              <w:tab/>
            </w:r>
            <w:r w:rsidR="00214C1B" w:rsidRPr="00C377C8">
              <w:rPr>
                <w:rStyle w:val="Hyperlink"/>
                <w:noProof/>
                <w:color w:val="000000" w:themeColor="text1"/>
              </w:rPr>
              <w:t>Data analysis and interpretation</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_Toc96609094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62</w:t>
            </w:r>
            <w:r w:rsidR="00214C1B" w:rsidRPr="00C377C8">
              <w:rPr>
                <w:noProof/>
                <w:webHidden/>
                <w:color w:val="000000" w:themeColor="text1"/>
              </w:rPr>
              <w:fldChar w:fldCharType="end"/>
            </w:r>
          </w:hyperlink>
        </w:p>
        <w:p w14:paraId="374DC7E4" w14:textId="6E49FFAB"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95" w:history="1">
            <w:r w:rsidR="00214C1B" w:rsidRPr="00C377C8">
              <w:rPr>
                <w:rStyle w:val="Hyperlink"/>
                <w:noProof/>
                <w:color w:val="000000" w:themeColor="text1"/>
              </w:rPr>
              <w:t>3.12</w:t>
            </w:r>
            <w:r w:rsidR="00214C1B" w:rsidRPr="00C377C8">
              <w:rPr>
                <w:rFonts w:eastAsiaTheme="minorEastAsia"/>
                <w:noProof/>
                <w:color w:val="000000" w:themeColor="text1"/>
                <w:lang w:eastAsia="en-GB"/>
              </w:rPr>
              <w:tab/>
            </w:r>
            <w:r w:rsidR="00214C1B" w:rsidRPr="00C377C8">
              <w:rPr>
                <w:rStyle w:val="Hyperlink"/>
                <w:noProof/>
                <w:color w:val="000000" w:themeColor="text1"/>
              </w:rPr>
              <w:t>Validity</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_Toc96609095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64</w:t>
            </w:r>
            <w:r w:rsidR="00214C1B" w:rsidRPr="00C377C8">
              <w:rPr>
                <w:noProof/>
                <w:webHidden/>
                <w:color w:val="000000" w:themeColor="text1"/>
              </w:rPr>
              <w:fldChar w:fldCharType="end"/>
            </w:r>
          </w:hyperlink>
        </w:p>
        <w:p w14:paraId="3DFA5211" w14:textId="1C115F11"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96" w:history="1">
            <w:r w:rsidR="00214C1B" w:rsidRPr="00C377C8">
              <w:rPr>
                <w:rStyle w:val="Hyperlink"/>
                <w:noProof/>
                <w:color w:val="000000" w:themeColor="text1"/>
              </w:rPr>
              <w:t>3.13</w:t>
            </w:r>
            <w:r w:rsidR="00214C1B" w:rsidRPr="00C377C8">
              <w:rPr>
                <w:rFonts w:eastAsiaTheme="minorEastAsia"/>
                <w:noProof/>
                <w:color w:val="000000" w:themeColor="text1"/>
                <w:lang w:eastAsia="en-GB"/>
              </w:rPr>
              <w:tab/>
            </w:r>
            <w:r w:rsidR="00214C1B" w:rsidRPr="00C377C8">
              <w:rPr>
                <w:rStyle w:val="Hyperlink"/>
                <w:noProof/>
                <w:color w:val="000000" w:themeColor="text1"/>
              </w:rPr>
              <w:t>Reliability</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_Toc96609096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65</w:t>
            </w:r>
            <w:r w:rsidR="00214C1B" w:rsidRPr="00C377C8">
              <w:rPr>
                <w:noProof/>
                <w:webHidden/>
                <w:color w:val="000000" w:themeColor="text1"/>
              </w:rPr>
              <w:fldChar w:fldCharType="end"/>
            </w:r>
          </w:hyperlink>
        </w:p>
        <w:p w14:paraId="472B20A8" w14:textId="76916BC1"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97" w:history="1">
            <w:r w:rsidR="00214C1B" w:rsidRPr="00C377C8">
              <w:rPr>
                <w:rStyle w:val="Hyperlink"/>
                <w:noProof/>
                <w:color w:val="000000" w:themeColor="text1"/>
              </w:rPr>
              <w:t>3.14</w:t>
            </w:r>
            <w:r w:rsidR="00214C1B" w:rsidRPr="00C377C8">
              <w:rPr>
                <w:rFonts w:eastAsiaTheme="minorEastAsia"/>
                <w:noProof/>
                <w:color w:val="000000" w:themeColor="text1"/>
                <w:lang w:eastAsia="en-GB"/>
              </w:rPr>
              <w:tab/>
            </w:r>
            <w:r w:rsidR="00214C1B" w:rsidRPr="00C377C8">
              <w:rPr>
                <w:rStyle w:val="Hyperlink"/>
                <w:noProof/>
                <w:color w:val="000000" w:themeColor="text1"/>
              </w:rPr>
              <w:t>Reflexivity</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_Toc96609097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65</w:t>
            </w:r>
            <w:r w:rsidR="00214C1B" w:rsidRPr="00C377C8">
              <w:rPr>
                <w:noProof/>
                <w:webHidden/>
                <w:color w:val="000000" w:themeColor="text1"/>
              </w:rPr>
              <w:fldChar w:fldCharType="end"/>
            </w:r>
          </w:hyperlink>
        </w:p>
        <w:p w14:paraId="5C9095A3" w14:textId="65558AED"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098" w:history="1">
            <w:r w:rsidR="00214C1B" w:rsidRPr="00C377C8">
              <w:rPr>
                <w:rStyle w:val="Hyperlink"/>
                <w:noProof/>
                <w:color w:val="000000" w:themeColor="text1"/>
              </w:rPr>
              <w:t>3.15</w:t>
            </w:r>
            <w:r w:rsidR="00214C1B" w:rsidRPr="00C377C8">
              <w:rPr>
                <w:rFonts w:eastAsiaTheme="minorEastAsia"/>
                <w:noProof/>
                <w:color w:val="000000" w:themeColor="text1"/>
                <w:lang w:eastAsia="en-GB"/>
              </w:rPr>
              <w:tab/>
            </w:r>
            <w:r w:rsidR="00214C1B" w:rsidRPr="00C377C8">
              <w:rPr>
                <w:rStyle w:val="Hyperlink"/>
                <w:noProof/>
                <w:color w:val="000000" w:themeColor="text1"/>
              </w:rPr>
              <w:t>Conclusion</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_Toc96609098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65</w:t>
            </w:r>
            <w:r w:rsidR="00214C1B" w:rsidRPr="00C377C8">
              <w:rPr>
                <w:noProof/>
                <w:webHidden/>
                <w:color w:val="000000" w:themeColor="text1"/>
              </w:rPr>
              <w:fldChar w:fldCharType="end"/>
            </w:r>
          </w:hyperlink>
        </w:p>
        <w:p w14:paraId="31C9686E" w14:textId="41A11444" w:rsidR="00214C1B" w:rsidRPr="00C377C8" w:rsidRDefault="007D0B9D">
          <w:pPr>
            <w:pStyle w:val="TOC1"/>
            <w:tabs>
              <w:tab w:val="left" w:pos="440"/>
              <w:tab w:val="right" w:leader="dot" w:pos="10456"/>
            </w:tabs>
            <w:rPr>
              <w:rFonts w:eastAsiaTheme="minorEastAsia"/>
              <w:noProof/>
              <w:color w:val="000000" w:themeColor="text1"/>
              <w:lang w:eastAsia="en-GB"/>
            </w:rPr>
          </w:pPr>
          <w:hyperlink w:anchor="_Toc96609099" w:history="1">
            <w:r w:rsidR="00214C1B" w:rsidRPr="00C377C8">
              <w:rPr>
                <w:rStyle w:val="Hyperlink"/>
                <w:noProof/>
                <w:color w:val="000000" w:themeColor="text1"/>
              </w:rPr>
              <w:t>4</w:t>
            </w:r>
            <w:r w:rsidR="00214C1B" w:rsidRPr="00C377C8">
              <w:rPr>
                <w:rFonts w:eastAsiaTheme="minorEastAsia"/>
                <w:noProof/>
                <w:color w:val="000000" w:themeColor="text1"/>
                <w:lang w:eastAsia="en-GB"/>
              </w:rPr>
              <w:tab/>
            </w:r>
            <w:r w:rsidR="00214C1B" w:rsidRPr="00C377C8">
              <w:rPr>
                <w:rStyle w:val="Hyperlink"/>
                <w:noProof/>
                <w:color w:val="000000" w:themeColor="text1"/>
              </w:rPr>
              <w:t>Chapter 4 Findings</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_Toc96609099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67</w:t>
            </w:r>
            <w:r w:rsidR="00214C1B" w:rsidRPr="00C377C8">
              <w:rPr>
                <w:noProof/>
                <w:webHidden/>
                <w:color w:val="000000" w:themeColor="text1"/>
              </w:rPr>
              <w:fldChar w:fldCharType="end"/>
            </w:r>
          </w:hyperlink>
        </w:p>
        <w:p w14:paraId="16B8121D" w14:textId="0CDE0DA9"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100" w:history="1">
            <w:r w:rsidR="00214C1B" w:rsidRPr="00C377C8">
              <w:rPr>
                <w:rStyle w:val="Hyperlink"/>
                <w:noProof/>
                <w:color w:val="000000" w:themeColor="text1"/>
              </w:rPr>
              <w:t>4.1</w:t>
            </w:r>
            <w:r w:rsidR="00214C1B" w:rsidRPr="00C377C8">
              <w:rPr>
                <w:rFonts w:eastAsiaTheme="minorEastAsia"/>
                <w:noProof/>
                <w:color w:val="000000" w:themeColor="text1"/>
                <w:lang w:eastAsia="en-GB"/>
              </w:rPr>
              <w:tab/>
            </w:r>
            <w:r w:rsidR="00214C1B" w:rsidRPr="00C377C8">
              <w:rPr>
                <w:rStyle w:val="Hyperlink"/>
                <w:noProof/>
                <w:color w:val="000000" w:themeColor="text1"/>
              </w:rPr>
              <w:t>Introduction</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_Toc96609100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67</w:t>
            </w:r>
            <w:r w:rsidR="00214C1B" w:rsidRPr="00C377C8">
              <w:rPr>
                <w:noProof/>
                <w:webHidden/>
                <w:color w:val="000000" w:themeColor="text1"/>
              </w:rPr>
              <w:fldChar w:fldCharType="end"/>
            </w:r>
          </w:hyperlink>
        </w:p>
        <w:p w14:paraId="2E9BA752" w14:textId="0E980222"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101" w:history="1">
            <w:r w:rsidR="00214C1B" w:rsidRPr="00C377C8">
              <w:rPr>
                <w:rStyle w:val="Hyperlink"/>
                <w:noProof/>
                <w:color w:val="000000" w:themeColor="text1"/>
              </w:rPr>
              <w:t>4.2</w:t>
            </w:r>
            <w:r w:rsidR="00214C1B" w:rsidRPr="00C377C8">
              <w:rPr>
                <w:rFonts w:eastAsiaTheme="minorEastAsia"/>
                <w:noProof/>
                <w:color w:val="000000" w:themeColor="text1"/>
                <w:lang w:eastAsia="en-GB"/>
              </w:rPr>
              <w:tab/>
            </w:r>
            <w:r w:rsidR="00214C1B" w:rsidRPr="00C377C8">
              <w:rPr>
                <w:rStyle w:val="Hyperlink"/>
                <w:noProof/>
                <w:color w:val="000000" w:themeColor="text1"/>
              </w:rPr>
              <w:t>Overview of document studies, observation, and interviews</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_Toc96609101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67</w:t>
            </w:r>
            <w:r w:rsidR="00214C1B" w:rsidRPr="00C377C8">
              <w:rPr>
                <w:noProof/>
                <w:webHidden/>
                <w:color w:val="000000" w:themeColor="text1"/>
              </w:rPr>
              <w:fldChar w:fldCharType="end"/>
            </w:r>
          </w:hyperlink>
        </w:p>
        <w:p w14:paraId="246EC4E4" w14:textId="4B825422"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102" w:history="1">
            <w:r w:rsidR="00214C1B" w:rsidRPr="00C377C8">
              <w:rPr>
                <w:rStyle w:val="Hyperlink"/>
                <w:noProof/>
                <w:color w:val="000000" w:themeColor="text1"/>
              </w:rPr>
              <w:t>4.3</w:t>
            </w:r>
            <w:r w:rsidR="00214C1B" w:rsidRPr="00C377C8">
              <w:rPr>
                <w:rFonts w:eastAsiaTheme="minorEastAsia"/>
                <w:noProof/>
                <w:color w:val="000000" w:themeColor="text1"/>
                <w:lang w:eastAsia="en-GB"/>
              </w:rPr>
              <w:tab/>
            </w:r>
            <w:r w:rsidR="00214C1B" w:rsidRPr="00C377C8">
              <w:rPr>
                <w:rStyle w:val="Hyperlink"/>
                <w:noProof/>
                <w:color w:val="000000" w:themeColor="text1"/>
              </w:rPr>
              <w:t>The researcher</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_Toc96609102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68</w:t>
            </w:r>
            <w:r w:rsidR="00214C1B" w:rsidRPr="00C377C8">
              <w:rPr>
                <w:noProof/>
                <w:webHidden/>
                <w:color w:val="000000" w:themeColor="text1"/>
              </w:rPr>
              <w:fldChar w:fldCharType="end"/>
            </w:r>
          </w:hyperlink>
        </w:p>
        <w:p w14:paraId="488418F9" w14:textId="2CD497CD"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103" w:history="1">
            <w:r w:rsidR="00214C1B" w:rsidRPr="00C377C8">
              <w:rPr>
                <w:rStyle w:val="Hyperlink"/>
                <w:noProof/>
                <w:color w:val="000000" w:themeColor="text1"/>
              </w:rPr>
              <w:t>4.4</w:t>
            </w:r>
            <w:r w:rsidR="00214C1B" w:rsidRPr="00C377C8">
              <w:rPr>
                <w:rFonts w:eastAsiaTheme="minorEastAsia"/>
                <w:noProof/>
                <w:color w:val="000000" w:themeColor="text1"/>
                <w:lang w:eastAsia="en-GB"/>
              </w:rPr>
              <w:tab/>
            </w:r>
            <w:r w:rsidR="00214C1B" w:rsidRPr="00C377C8">
              <w:rPr>
                <w:rStyle w:val="Hyperlink"/>
                <w:noProof/>
                <w:color w:val="000000" w:themeColor="text1"/>
              </w:rPr>
              <w:t>Analysis</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_Toc96609103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69</w:t>
            </w:r>
            <w:r w:rsidR="00214C1B" w:rsidRPr="00C377C8">
              <w:rPr>
                <w:noProof/>
                <w:webHidden/>
                <w:color w:val="000000" w:themeColor="text1"/>
              </w:rPr>
              <w:fldChar w:fldCharType="end"/>
            </w:r>
          </w:hyperlink>
        </w:p>
        <w:p w14:paraId="0EBEE080" w14:textId="7B1CAAE6"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104" w:history="1">
            <w:r w:rsidR="00214C1B" w:rsidRPr="00C377C8">
              <w:rPr>
                <w:rStyle w:val="Hyperlink"/>
                <w:noProof/>
                <w:color w:val="000000" w:themeColor="text1"/>
              </w:rPr>
              <w:t>4.4.1</w:t>
            </w:r>
            <w:r w:rsidR="00214C1B" w:rsidRPr="00C377C8">
              <w:rPr>
                <w:rFonts w:eastAsiaTheme="minorEastAsia"/>
                <w:noProof/>
                <w:color w:val="000000" w:themeColor="text1"/>
                <w:lang w:eastAsia="en-GB"/>
              </w:rPr>
              <w:tab/>
            </w:r>
            <w:r w:rsidR="00214C1B" w:rsidRPr="00C377C8">
              <w:rPr>
                <w:rStyle w:val="Hyperlink"/>
                <w:noProof/>
                <w:color w:val="000000" w:themeColor="text1"/>
              </w:rPr>
              <w:t>Theme 1: the accounts of teaching and learning the critical interpretation of the Quran</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_Toc96609104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70</w:t>
            </w:r>
            <w:r w:rsidR="00214C1B" w:rsidRPr="00C377C8">
              <w:rPr>
                <w:noProof/>
                <w:webHidden/>
                <w:color w:val="000000" w:themeColor="text1"/>
              </w:rPr>
              <w:fldChar w:fldCharType="end"/>
            </w:r>
          </w:hyperlink>
        </w:p>
        <w:p w14:paraId="4BB75262" w14:textId="110FADF9"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105" w:history="1">
            <w:r w:rsidR="00214C1B" w:rsidRPr="00C377C8">
              <w:rPr>
                <w:rStyle w:val="Hyperlink"/>
                <w:noProof/>
                <w:color w:val="000000" w:themeColor="text1"/>
              </w:rPr>
              <w:t>4.4.2</w:t>
            </w:r>
            <w:r w:rsidR="00214C1B" w:rsidRPr="00C377C8">
              <w:rPr>
                <w:rFonts w:eastAsiaTheme="minorEastAsia"/>
                <w:noProof/>
                <w:color w:val="000000" w:themeColor="text1"/>
                <w:lang w:eastAsia="en-GB"/>
              </w:rPr>
              <w:tab/>
            </w:r>
            <w:r w:rsidR="00214C1B" w:rsidRPr="00C377C8">
              <w:rPr>
                <w:rStyle w:val="Hyperlink"/>
                <w:noProof/>
                <w:color w:val="000000" w:themeColor="text1"/>
              </w:rPr>
              <w:t>Generating interpretation from the Quranic text</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_Toc96609105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71</w:t>
            </w:r>
            <w:r w:rsidR="00214C1B" w:rsidRPr="00C377C8">
              <w:rPr>
                <w:noProof/>
                <w:webHidden/>
                <w:color w:val="000000" w:themeColor="text1"/>
              </w:rPr>
              <w:fldChar w:fldCharType="end"/>
            </w:r>
          </w:hyperlink>
        </w:p>
        <w:p w14:paraId="52E0692B" w14:textId="5E4000C1"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106" w:history="1">
            <w:r w:rsidR="00214C1B" w:rsidRPr="00C377C8">
              <w:rPr>
                <w:rStyle w:val="Hyperlink"/>
                <w:noProof/>
                <w:color w:val="000000" w:themeColor="text1"/>
              </w:rPr>
              <w:t>4.4.3</w:t>
            </w:r>
            <w:r w:rsidR="00214C1B" w:rsidRPr="00C377C8">
              <w:rPr>
                <w:rFonts w:eastAsiaTheme="minorEastAsia"/>
                <w:noProof/>
                <w:color w:val="000000" w:themeColor="text1"/>
                <w:lang w:eastAsia="en-GB"/>
              </w:rPr>
              <w:tab/>
            </w:r>
            <w:r w:rsidR="00214C1B" w:rsidRPr="00C377C8">
              <w:rPr>
                <w:rStyle w:val="Hyperlink"/>
                <w:noProof/>
                <w:color w:val="000000" w:themeColor="text1"/>
              </w:rPr>
              <w:t>Re-thinking interpretations</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_Toc96609106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73</w:t>
            </w:r>
            <w:r w:rsidR="00214C1B" w:rsidRPr="00C377C8">
              <w:rPr>
                <w:noProof/>
                <w:webHidden/>
                <w:color w:val="000000" w:themeColor="text1"/>
              </w:rPr>
              <w:fldChar w:fldCharType="end"/>
            </w:r>
          </w:hyperlink>
        </w:p>
        <w:p w14:paraId="062F8239" w14:textId="46648868"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107" w:history="1">
            <w:r w:rsidR="00214C1B" w:rsidRPr="00C377C8">
              <w:rPr>
                <w:rStyle w:val="Hyperlink"/>
                <w:noProof/>
                <w:color w:val="000000" w:themeColor="text1"/>
              </w:rPr>
              <w:t>4.4.4</w:t>
            </w:r>
            <w:r w:rsidR="00214C1B" w:rsidRPr="00C377C8">
              <w:rPr>
                <w:rFonts w:eastAsiaTheme="minorEastAsia"/>
                <w:noProof/>
                <w:color w:val="000000" w:themeColor="text1"/>
                <w:lang w:eastAsia="en-GB"/>
              </w:rPr>
              <w:tab/>
            </w:r>
            <w:r w:rsidR="00214C1B" w:rsidRPr="00C377C8">
              <w:rPr>
                <w:rStyle w:val="Hyperlink"/>
                <w:noProof/>
                <w:color w:val="000000" w:themeColor="text1"/>
              </w:rPr>
              <w:t>Experimenting with interpretations</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_Toc96609107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76</w:t>
            </w:r>
            <w:r w:rsidR="00214C1B" w:rsidRPr="00C377C8">
              <w:rPr>
                <w:noProof/>
                <w:webHidden/>
                <w:color w:val="000000" w:themeColor="text1"/>
              </w:rPr>
              <w:fldChar w:fldCharType="end"/>
            </w:r>
          </w:hyperlink>
        </w:p>
        <w:p w14:paraId="67A371E3" w14:textId="57597F3D" w:rsidR="00214C1B" w:rsidRPr="00C377C8" w:rsidRDefault="007D0B9D">
          <w:pPr>
            <w:pStyle w:val="TOC3"/>
            <w:tabs>
              <w:tab w:val="right" w:leader="dot" w:pos="10456"/>
            </w:tabs>
            <w:rPr>
              <w:rFonts w:eastAsiaTheme="minorEastAsia"/>
              <w:noProof/>
              <w:color w:val="000000" w:themeColor="text1"/>
              <w:lang w:eastAsia="en-GB"/>
            </w:rPr>
          </w:pPr>
          <w:hyperlink w:anchor="_Toc96609108" w:history="1">
            <w:r w:rsidR="00214C1B" w:rsidRPr="00C377C8">
              <w:rPr>
                <w:rStyle w:val="Hyperlink"/>
                <w:noProof/>
                <w:color w:val="000000" w:themeColor="text1"/>
              </w:rPr>
              <w:t>Summary of Theme 1</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_Toc96609108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77</w:t>
            </w:r>
            <w:r w:rsidR="00214C1B" w:rsidRPr="00C377C8">
              <w:rPr>
                <w:noProof/>
                <w:webHidden/>
                <w:color w:val="000000" w:themeColor="text1"/>
              </w:rPr>
              <w:fldChar w:fldCharType="end"/>
            </w:r>
          </w:hyperlink>
        </w:p>
        <w:p w14:paraId="0454FF9D" w14:textId="23523A7E"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109" w:history="1">
            <w:r w:rsidR="00214C1B" w:rsidRPr="00C377C8">
              <w:rPr>
                <w:rStyle w:val="Hyperlink"/>
                <w:noProof/>
                <w:color w:val="000000" w:themeColor="text1"/>
              </w:rPr>
              <w:t>4.5</w:t>
            </w:r>
            <w:r w:rsidR="00214C1B" w:rsidRPr="00C377C8">
              <w:rPr>
                <w:rFonts w:eastAsiaTheme="minorEastAsia"/>
                <w:noProof/>
                <w:color w:val="000000" w:themeColor="text1"/>
                <w:lang w:eastAsia="en-GB"/>
              </w:rPr>
              <w:tab/>
            </w:r>
            <w:r w:rsidR="00214C1B" w:rsidRPr="00C377C8">
              <w:rPr>
                <w:rStyle w:val="Hyperlink"/>
                <w:noProof/>
                <w:color w:val="000000" w:themeColor="text1"/>
              </w:rPr>
              <w:t>Theme 2: effective teachers’ traits</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_Toc96609109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78</w:t>
            </w:r>
            <w:r w:rsidR="00214C1B" w:rsidRPr="00C377C8">
              <w:rPr>
                <w:noProof/>
                <w:webHidden/>
                <w:color w:val="000000" w:themeColor="text1"/>
              </w:rPr>
              <w:fldChar w:fldCharType="end"/>
            </w:r>
          </w:hyperlink>
        </w:p>
        <w:p w14:paraId="4BDEDDF6" w14:textId="6CB11020"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110" w:history="1">
            <w:r w:rsidR="00214C1B" w:rsidRPr="00C377C8">
              <w:rPr>
                <w:rStyle w:val="Hyperlink"/>
                <w:noProof/>
                <w:color w:val="000000" w:themeColor="text1"/>
              </w:rPr>
              <w:t>4.5.1</w:t>
            </w:r>
            <w:r w:rsidR="00214C1B" w:rsidRPr="00C377C8">
              <w:rPr>
                <w:rFonts w:eastAsiaTheme="minorEastAsia"/>
                <w:noProof/>
                <w:color w:val="000000" w:themeColor="text1"/>
                <w:lang w:eastAsia="en-GB"/>
              </w:rPr>
              <w:tab/>
            </w:r>
            <w:r w:rsidR="00214C1B" w:rsidRPr="00C377C8">
              <w:rPr>
                <w:rStyle w:val="Hyperlink"/>
                <w:noProof/>
                <w:color w:val="000000" w:themeColor="text1"/>
              </w:rPr>
              <w:t>Respectfulness</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_Toc96609110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78</w:t>
            </w:r>
            <w:r w:rsidR="00214C1B" w:rsidRPr="00C377C8">
              <w:rPr>
                <w:noProof/>
                <w:webHidden/>
                <w:color w:val="000000" w:themeColor="text1"/>
              </w:rPr>
              <w:fldChar w:fldCharType="end"/>
            </w:r>
          </w:hyperlink>
        </w:p>
        <w:p w14:paraId="3FF5FB7C" w14:textId="73FD3F47"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111" w:history="1">
            <w:r w:rsidR="00214C1B" w:rsidRPr="00C377C8">
              <w:rPr>
                <w:rStyle w:val="Hyperlink"/>
                <w:noProof/>
                <w:color w:val="000000" w:themeColor="text1"/>
              </w:rPr>
              <w:t>4.5.2</w:t>
            </w:r>
            <w:r w:rsidR="00214C1B" w:rsidRPr="00C377C8">
              <w:rPr>
                <w:rFonts w:eastAsiaTheme="minorEastAsia"/>
                <w:noProof/>
                <w:color w:val="000000" w:themeColor="text1"/>
                <w:lang w:eastAsia="en-GB"/>
              </w:rPr>
              <w:tab/>
            </w:r>
            <w:r w:rsidR="00214C1B" w:rsidRPr="00C377C8">
              <w:rPr>
                <w:rStyle w:val="Hyperlink"/>
                <w:noProof/>
                <w:color w:val="000000" w:themeColor="text1"/>
              </w:rPr>
              <w:t>Knowledgeable</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_Toc96609111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80</w:t>
            </w:r>
            <w:r w:rsidR="00214C1B" w:rsidRPr="00C377C8">
              <w:rPr>
                <w:noProof/>
                <w:webHidden/>
                <w:color w:val="000000" w:themeColor="text1"/>
              </w:rPr>
              <w:fldChar w:fldCharType="end"/>
            </w:r>
          </w:hyperlink>
        </w:p>
        <w:p w14:paraId="5ABDAB12" w14:textId="0421B9AC"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112" w:history="1">
            <w:r w:rsidR="00214C1B" w:rsidRPr="00C377C8">
              <w:rPr>
                <w:rStyle w:val="Hyperlink"/>
                <w:noProof/>
                <w:color w:val="000000" w:themeColor="text1"/>
              </w:rPr>
              <w:t>4.5.3</w:t>
            </w:r>
            <w:r w:rsidR="00214C1B" w:rsidRPr="00C377C8">
              <w:rPr>
                <w:rFonts w:eastAsiaTheme="minorEastAsia"/>
                <w:noProof/>
                <w:color w:val="000000" w:themeColor="text1"/>
                <w:lang w:eastAsia="en-GB"/>
              </w:rPr>
              <w:tab/>
            </w:r>
            <w:r w:rsidR="00214C1B" w:rsidRPr="00C377C8">
              <w:rPr>
                <w:rStyle w:val="Hyperlink"/>
                <w:noProof/>
                <w:color w:val="000000" w:themeColor="text1"/>
              </w:rPr>
              <w:t>Communication skills</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_Toc96609112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81</w:t>
            </w:r>
            <w:r w:rsidR="00214C1B" w:rsidRPr="00C377C8">
              <w:rPr>
                <w:noProof/>
                <w:webHidden/>
                <w:color w:val="000000" w:themeColor="text1"/>
              </w:rPr>
              <w:fldChar w:fldCharType="end"/>
            </w:r>
          </w:hyperlink>
        </w:p>
        <w:p w14:paraId="3958C860" w14:textId="59B43F94"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113" w:history="1">
            <w:r w:rsidR="00214C1B" w:rsidRPr="00C377C8">
              <w:rPr>
                <w:rStyle w:val="Hyperlink"/>
                <w:noProof/>
                <w:color w:val="000000" w:themeColor="text1"/>
              </w:rPr>
              <w:t>4.5.4</w:t>
            </w:r>
            <w:r w:rsidR="00214C1B" w:rsidRPr="00C377C8">
              <w:rPr>
                <w:rFonts w:eastAsiaTheme="minorEastAsia"/>
                <w:noProof/>
                <w:color w:val="000000" w:themeColor="text1"/>
                <w:lang w:eastAsia="en-GB"/>
              </w:rPr>
              <w:tab/>
            </w:r>
            <w:r w:rsidR="00214C1B" w:rsidRPr="00C377C8">
              <w:rPr>
                <w:rStyle w:val="Hyperlink"/>
                <w:noProof/>
                <w:color w:val="000000" w:themeColor="text1"/>
              </w:rPr>
              <w:t>Impartiality and inclusivity</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_Toc96609113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82</w:t>
            </w:r>
            <w:r w:rsidR="00214C1B" w:rsidRPr="00C377C8">
              <w:rPr>
                <w:noProof/>
                <w:webHidden/>
                <w:color w:val="000000" w:themeColor="text1"/>
              </w:rPr>
              <w:fldChar w:fldCharType="end"/>
            </w:r>
          </w:hyperlink>
        </w:p>
        <w:p w14:paraId="1E0BE7DD" w14:textId="75D22E6C"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114" w:history="1">
            <w:r w:rsidR="00214C1B" w:rsidRPr="00C377C8">
              <w:rPr>
                <w:rStyle w:val="Hyperlink"/>
                <w:noProof/>
                <w:color w:val="000000" w:themeColor="text1"/>
              </w:rPr>
              <w:t>4.5.5</w:t>
            </w:r>
            <w:r w:rsidR="00214C1B" w:rsidRPr="00C377C8">
              <w:rPr>
                <w:rFonts w:eastAsiaTheme="minorEastAsia"/>
                <w:noProof/>
                <w:color w:val="000000" w:themeColor="text1"/>
                <w:lang w:eastAsia="en-GB"/>
              </w:rPr>
              <w:tab/>
            </w:r>
            <w:r w:rsidR="00214C1B" w:rsidRPr="00C377C8">
              <w:rPr>
                <w:rStyle w:val="Hyperlink"/>
                <w:noProof/>
                <w:color w:val="000000" w:themeColor="text1"/>
              </w:rPr>
              <w:t>Adaptability</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_Toc96609114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84</w:t>
            </w:r>
            <w:r w:rsidR="00214C1B" w:rsidRPr="00C377C8">
              <w:rPr>
                <w:noProof/>
                <w:webHidden/>
                <w:color w:val="000000" w:themeColor="text1"/>
              </w:rPr>
              <w:fldChar w:fldCharType="end"/>
            </w:r>
          </w:hyperlink>
        </w:p>
        <w:p w14:paraId="49CACCB8" w14:textId="1C4D1E27"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115" w:history="1">
            <w:r w:rsidR="00214C1B" w:rsidRPr="00C377C8">
              <w:rPr>
                <w:rStyle w:val="Hyperlink"/>
                <w:noProof/>
                <w:color w:val="000000" w:themeColor="text1"/>
              </w:rPr>
              <w:t>4.5.6</w:t>
            </w:r>
            <w:r w:rsidR="00214C1B" w:rsidRPr="00C377C8">
              <w:rPr>
                <w:rFonts w:eastAsiaTheme="minorEastAsia"/>
                <w:noProof/>
                <w:color w:val="000000" w:themeColor="text1"/>
                <w:lang w:eastAsia="en-GB"/>
              </w:rPr>
              <w:tab/>
            </w:r>
            <w:r w:rsidR="00214C1B" w:rsidRPr="00C377C8">
              <w:rPr>
                <w:rStyle w:val="Hyperlink"/>
                <w:noProof/>
                <w:color w:val="000000" w:themeColor="text1"/>
              </w:rPr>
              <w:t>Summary of theme 2</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_Toc96609115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85</w:t>
            </w:r>
            <w:r w:rsidR="00214C1B" w:rsidRPr="00C377C8">
              <w:rPr>
                <w:noProof/>
                <w:webHidden/>
                <w:color w:val="000000" w:themeColor="text1"/>
              </w:rPr>
              <w:fldChar w:fldCharType="end"/>
            </w:r>
          </w:hyperlink>
        </w:p>
        <w:p w14:paraId="041C9AF8" w14:textId="797D0A74"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116" w:history="1">
            <w:r w:rsidR="00214C1B" w:rsidRPr="00C377C8">
              <w:rPr>
                <w:rStyle w:val="Hyperlink"/>
                <w:noProof/>
                <w:color w:val="000000" w:themeColor="text1"/>
              </w:rPr>
              <w:t>4.6</w:t>
            </w:r>
            <w:r w:rsidR="00214C1B" w:rsidRPr="00C377C8">
              <w:rPr>
                <w:rFonts w:eastAsiaTheme="minorEastAsia"/>
                <w:noProof/>
                <w:color w:val="000000" w:themeColor="text1"/>
                <w:lang w:eastAsia="en-GB"/>
              </w:rPr>
              <w:tab/>
            </w:r>
            <w:r w:rsidR="00214C1B" w:rsidRPr="00C377C8">
              <w:rPr>
                <w:rStyle w:val="Hyperlink"/>
                <w:noProof/>
                <w:color w:val="000000" w:themeColor="text1"/>
              </w:rPr>
              <w:t>Theme 3: teaching strategies</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_Toc96609116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86</w:t>
            </w:r>
            <w:r w:rsidR="00214C1B" w:rsidRPr="00C377C8">
              <w:rPr>
                <w:noProof/>
                <w:webHidden/>
                <w:color w:val="000000" w:themeColor="text1"/>
              </w:rPr>
              <w:fldChar w:fldCharType="end"/>
            </w:r>
          </w:hyperlink>
        </w:p>
        <w:p w14:paraId="5871D3B0" w14:textId="7458CAD0"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117" w:history="1">
            <w:r w:rsidR="00214C1B" w:rsidRPr="00C377C8">
              <w:rPr>
                <w:rStyle w:val="Hyperlink"/>
                <w:noProof/>
                <w:color w:val="000000" w:themeColor="text1"/>
              </w:rPr>
              <w:t>4.6.1</w:t>
            </w:r>
            <w:r w:rsidR="00214C1B" w:rsidRPr="00C377C8">
              <w:rPr>
                <w:rFonts w:eastAsiaTheme="minorEastAsia"/>
                <w:noProof/>
                <w:color w:val="000000" w:themeColor="text1"/>
                <w:lang w:eastAsia="en-GB"/>
              </w:rPr>
              <w:tab/>
            </w:r>
            <w:r w:rsidR="00214C1B" w:rsidRPr="00C377C8">
              <w:rPr>
                <w:rStyle w:val="Hyperlink"/>
                <w:noProof/>
                <w:color w:val="000000" w:themeColor="text1"/>
              </w:rPr>
              <w:t>Personalised teaching</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_Toc96609117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86</w:t>
            </w:r>
            <w:r w:rsidR="00214C1B" w:rsidRPr="00C377C8">
              <w:rPr>
                <w:noProof/>
                <w:webHidden/>
                <w:color w:val="000000" w:themeColor="text1"/>
              </w:rPr>
              <w:fldChar w:fldCharType="end"/>
            </w:r>
          </w:hyperlink>
        </w:p>
        <w:p w14:paraId="21D2FE9A" w14:textId="4B292C2A"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118" w:history="1">
            <w:r w:rsidR="00214C1B" w:rsidRPr="00C377C8">
              <w:rPr>
                <w:rStyle w:val="Hyperlink"/>
                <w:noProof/>
                <w:color w:val="000000" w:themeColor="text1"/>
              </w:rPr>
              <w:t>4.6.2</w:t>
            </w:r>
            <w:r w:rsidR="00214C1B" w:rsidRPr="00C377C8">
              <w:rPr>
                <w:rFonts w:eastAsiaTheme="minorEastAsia"/>
                <w:noProof/>
                <w:color w:val="000000" w:themeColor="text1"/>
                <w:lang w:eastAsia="en-GB"/>
              </w:rPr>
              <w:tab/>
            </w:r>
            <w:r w:rsidR="00214C1B" w:rsidRPr="00C377C8">
              <w:rPr>
                <w:rStyle w:val="Hyperlink"/>
                <w:noProof/>
                <w:color w:val="000000" w:themeColor="text1"/>
              </w:rPr>
              <w:t>Multidisciplinary teaching</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_Toc96609118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87</w:t>
            </w:r>
            <w:r w:rsidR="00214C1B" w:rsidRPr="00C377C8">
              <w:rPr>
                <w:noProof/>
                <w:webHidden/>
                <w:color w:val="000000" w:themeColor="text1"/>
              </w:rPr>
              <w:fldChar w:fldCharType="end"/>
            </w:r>
          </w:hyperlink>
        </w:p>
        <w:p w14:paraId="367E107E" w14:textId="62E0981F"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119" w:history="1">
            <w:r w:rsidR="00214C1B" w:rsidRPr="00C377C8">
              <w:rPr>
                <w:rStyle w:val="Hyperlink"/>
                <w:noProof/>
                <w:color w:val="000000" w:themeColor="text1"/>
              </w:rPr>
              <w:t>4.6.3</w:t>
            </w:r>
            <w:r w:rsidR="00214C1B" w:rsidRPr="00C377C8">
              <w:rPr>
                <w:rFonts w:eastAsiaTheme="minorEastAsia"/>
                <w:noProof/>
                <w:color w:val="000000" w:themeColor="text1"/>
                <w:lang w:eastAsia="en-GB"/>
              </w:rPr>
              <w:tab/>
            </w:r>
            <w:r w:rsidR="00214C1B" w:rsidRPr="00C377C8">
              <w:rPr>
                <w:rStyle w:val="Hyperlink"/>
                <w:noProof/>
                <w:color w:val="000000" w:themeColor="text1"/>
              </w:rPr>
              <w:t>Inquiry-led teaching</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_Toc96609119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88</w:t>
            </w:r>
            <w:r w:rsidR="00214C1B" w:rsidRPr="00C377C8">
              <w:rPr>
                <w:noProof/>
                <w:webHidden/>
                <w:color w:val="000000" w:themeColor="text1"/>
              </w:rPr>
              <w:fldChar w:fldCharType="end"/>
            </w:r>
          </w:hyperlink>
        </w:p>
        <w:p w14:paraId="1D4B949B" w14:textId="50EFF562"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120" w:history="1">
            <w:r w:rsidR="00214C1B" w:rsidRPr="00C377C8">
              <w:rPr>
                <w:rStyle w:val="Hyperlink"/>
                <w:noProof/>
                <w:color w:val="000000" w:themeColor="text1"/>
              </w:rPr>
              <w:t>4.6.4</w:t>
            </w:r>
            <w:r w:rsidR="00214C1B" w:rsidRPr="00C377C8">
              <w:rPr>
                <w:rFonts w:eastAsiaTheme="minorEastAsia"/>
                <w:noProof/>
                <w:color w:val="000000" w:themeColor="text1"/>
                <w:lang w:eastAsia="en-GB"/>
              </w:rPr>
              <w:tab/>
            </w:r>
            <w:r w:rsidR="00214C1B" w:rsidRPr="00C377C8">
              <w:rPr>
                <w:rStyle w:val="Hyperlink"/>
                <w:noProof/>
                <w:color w:val="000000" w:themeColor="text1"/>
              </w:rPr>
              <w:t>Internationalisation of teaching</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_Toc96609120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90</w:t>
            </w:r>
            <w:r w:rsidR="00214C1B" w:rsidRPr="00C377C8">
              <w:rPr>
                <w:noProof/>
                <w:webHidden/>
                <w:color w:val="000000" w:themeColor="text1"/>
              </w:rPr>
              <w:fldChar w:fldCharType="end"/>
            </w:r>
          </w:hyperlink>
        </w:p>
        <w:p w14:paraId="7790C82F" w14:textId="325EAEF0"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121" w:history="1">
            <w:r w:rsidR="00214C1B" w:rsidRPr="00C377C8">
              <w:rPr>
                <w:rStyle w:val="Hyperlink"/>
                <w:noProof/>
                <w:color w:val="000000" w:themeColor="text1"/>
              </w:rPr>
              <w:t>4.6.5</w:t>
            </w:r>
            <w:r w:rsidR="00214C1B" w:rsidRPr="00C377C8">
              <w:rPr>
                <w:rFonts w:eastAsiaTheme="minorEastAsia"/>
                <w:noProof/>
                <w:color w:val="000000" w:themeColor="text1"/>
                <w:lang w:eastAsia="en-GB"/>
              </w:rPr>
              <w:tab/>
            </w:r>
            <w:r w:rsidR="00214C1B" w:rsidRPr="00C377C8">
              <w:rPr>
                <w:rStyle w:val="Hyperlink"/>
                <w:noProof/>
                <w:color w:val="000000" w:themeColor="text1"/>
              </w:rPr>
              <w:t>Real-world teaching</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_Toc96609121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91</w:t>
            </w:r>
            <w:r w:rsidR="00214C1B" w:rsidRPr="00C377C8">
              <w:rPr>
                <w:noProof/>
                <w:webHidden/>
                <w:color w:val="000000" w:themeColor="text1"/>
              </w:rPr>
              <w:fldChar w:fldCharType="end"/>
            </w:r>
          </w:hyperlink>
        </w:p>
        <w:p w14:paraId="085CB707" w14:textId="0AEAF31F"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122" w:history="1">
            <w:r w:rsidR="00214C1B" w:rsidRPr="00C377C8">
              <w:rPr>
                <w:rStyle w:val="Hyperlink"/>
                <w:noProof/>
                <w:color w:val="000000" w:themeColor="text1"/>
              </w:rPr>
              <w:t>4.6.6</w:t>
            </w:r>
            <w:r w:rsidR="00214C1B" w:rsidRPr="00C377C8">
              <w:rPr>
                <w:rFonts w:eastAsiaTheme="minorEastAsia"/>
                <w:noProof/>
                <w:color w:val="000000" w:themeColor="text1"/>
                <w:lang w:eastAsia="en-GB"/>
              </w:rPr>
              <w:tab/>
            </w:r>
            <w:r w:rsidR="00214C1B" w:rsidRPr="00C377C8">
              <w:rPr>
                <w:rStyle w:val="Hyperlink"/>
                <w:noProof/>
                <w:color w:val="000000" w:themeColor="text1"/>
              </w:rPr>
              <w:t>Summary of Theme 3</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_Toc96609122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91</w:t>
            </w:r>
            <w:r w:rsidR="00214C1B" w:rsidRPr="00C377C8">
              <w:rPr>
                <w:noProof/>
                <w:webHidden/>
                <w:color w:val="000000" w:themeColor="text1"/>
              </w:rPr>
              <w:fldChar w:fldCharType="end"/>
            </w:r>
          </w:hyperlink>
        </w:p>
        <w:p w14:paraId="67E63612" w14:textId="73A6F8A6"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123" w:history="1">
            <w:r w:rsidR="00214C1B" w:rsidRPr="00C377C8">
              <w:rPr>
                <w:rStyle w:val="Hyperlink"/>
                <w:noProof/>
                <w:color w:val="000000" w:themeColor="text1"/>
              </w:rPr>
              <w:t>4.7</w:t>
            </w:r>
            <w:r w:rsidR="00214C1B" w:rsidRPr="00C377C8">
              <w:rPr>
                <w:rFonts w:eastAsiaTheme="minorEastAsia"/>
                <w:noProof/>
                <w:color w:val="000000" w:themeColor="text1"/>
                <w:lang w:eastAsia="en-GB"/>
              </w:rPr>
              <w:tab/>
            </w:r>
            <w:r w:rsidR="00214C1B" w:rsidRPr="00C377C8">
              <w:rPr>
                <w:rStyle w:val="Hyperlink"/>
                <w:noProof/>
                <w:color w:val="000000" w:themeColor="text1"/>
              </w:rPr>
              <w:t>Theme 4: perceived pedagogical challenges in multilingual classrooms</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_Toc96609123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93</w:t>
            </w:r>
            <w:r w:rsidR="00214C1B" w:rsidRPr="00C377C8">
              <w:rPr>
                <w:noProof/>
                <w:webHidden/>
                <w:color w:val="000000" w:themeColor="text1"/>
              </w:rPr>
              <w:fldChar w:fldCharType="end"/>
            </w:r>
          </w:hyperlink>
        </w:p>
        <w:p w14:paraId="05B54907" w14:textId="0B5DDA3C"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124" w:history="1">
            <w:r w:rsidR="00214C1B" w:rsidRPr="00C377C8">
              <w:rPr>
                <w:rStyle w:val="Hyperlink"/>
                <w:noProof/>
                <w:color w:val="000000" w:themeColor="text1"/>
              </w:rPr>
              <w:t>4.7.1</w:t>
            </w:r>
            <w:r w:rsidR="00214C1B" w:rsidRPr="00C377C8">
              <w:rPr>
                <w:rFonts w:eastAsiaTheme="minorEastAsia"/>
                <w:noProof/>
                <w:color w:val="000000" w:themeColor="text1"/>
                <w:lang w:eastAsia="en-GB"/>
              </w:rPr>
              <w:tab/>
            </w:r>
            <w:r w:rsidR="00214C1B" w:rsidRPr="00C377C8">
              <w:rPr>
                <w:rStyle w:val="Hyperlink"/>
                <w:noProof/>
                <w:color w:val="000000" w:themeColor="text1"/>
              </w:rPr>
              <w:t>Linguistic and socio-cultural barriers</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_Toc96609124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93</w:t>
            </w:r>
            <w:r w:rsidR="00214C1B" w:rsidRPr="00C377C8">
              <w:rPr>
                <w:noProof/>
                <w:webHidden/>
                <w:color w:val="000000" w:themeColor="text1"/>
              </w:rPr>
              <w:fldChar w:fldCharType="end"/>
            </w:r>
          </w:hyperlink>
        </w:p>
        <w:p w14:paraId="16BF4805" w14:textId="4128238D"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125" w:history="1">
            <w:r w:rsidR="00214C1B" w:rsidRPr="00C377C8">
              <w:rPr>
                <w:rStyle w:val="Hyperlink"/>
                <w:noProof/>
                <w:color w:val="000000" w:themeColor="text1"/>
              </w:rPr>
              <w:t>4.7.2</w:t>
            </w:r>
            <w:r w:rsidR="00214C1B" w:rsidRPr="00C377C8">
              <w:rPr>
                <w:rFonts w:eastAsiaTheme="minorEastAsia"/>
                <w:noProof/>
                <w:color w:val="000000" w:themeColor="text1"/>
                <w:lang w:eastAsia="en-GB"/>
              </w:rPr>
              <w:tab/>
            </w:r>
            <w:r w:rsidR="00214C1B" w:rsidRPr="00C377C8">
              <w:rPr>
                <w:rStyle w:val="Hyperlink"/>
                <w:noProof/>
                <w:color w:val="000000" w:themeColor="text1"/>
              </w:rPr>
              <w:t>Use of technology</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_Toc96609125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95</w:t>
            </w:r>
            <w:r w:rsidR="00214C1B" w:rsidRPr="00C377C8">
              <w:rPr>
                <w:noProof/>
                <w:webHidden/>
                <w:color w:val="000000" w:themeColor="text1"/>
              </w:rPr>
              <w:fldChar w:fldCharType="end"/>
            </w:r>
          </w:hyperlink>
        </w:p>
        <w:p w14:paraId="433A9D51" w14:textId="0A5927FB"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126" w:history="1">
            <w:r w:rsidR="00214C1B" w:rsidRPr="00C377C8">
              <w:rPr>
                <w:rStyle w:val="Hyperlink"/>
                <w:noProof/>
                <w:color w:val="000000" w:themeColor="text1"/>
              </w:rPr>
              <w:t>4.7.3</w:t>
            </w:r>
            <w:r w:rsidR="00214C1B" w:rsidRPr="00C377C8">
              <w:rPr>
                <w:rFonts w:eastAsiaTheme="minorEastAsia"/>
                <w:noProof/>
                <w:color w:val="000000" w:themeColor="text1"/>
                <w:lang w:eastAsia="en-GB"/>
              </w:rPr>
              <w:tab/>
            </w:r>
            <w:r w:rsidR="00214C1B" w:rsidRPr="00C377C8">
              <w:rPr>
                <w:rStyle w:val="Hyperlink"/>
                <w:noProof/>
                <w:color w:val="000000" w:themeColor="text1"/>
              </w:rPr>
              <w:t>Teacher training and education</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_Toc96609126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96</w:t>
            </w:r>
            <w:r w:rsidR="00214C1B" w:rsidRPr="00C377C8">
              <w:rPr>
                <w:noProof/>
                <w:webHidden/>
                <w:color w:val="000000" w:themeColor="text1"/>
              </w:rPr>
              <w:fldChar w:fldCharType="end"/>
            </w:r>
          </w:hyperlink>
        </w:p>
        <w:p w14:paraId="3AB1FA6D" w14:textId="304BCB43"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127" w:history="1">
            <w:r w:rsidR="00214C1B" w:rsidRPr="00C377C8">
              <w:rPr>
                <w:rStyle w:val="Hyperlink"/>
                <w:noProof/>
                <w:color w:val="000000" w:themeColor="text1"/>
              </w:rPr>
              <w:t>4.7.4</w:t>
            </w:r>
            <w:r w:rsidR="00214C1B" w:rsidRPr="00C377C8">
              <w:rPr>
                <w:rFonts w:eastAsiaTheme="minorEastAsia"/>
                <w:noProof/>
                <w:color w:val="000000" w:themeColor="text1"/>
                <w:lang w:eastAsia="en-GB"/>
              </w:rPr>
              <w:tab/>
            </w:r>
            <w:r w:rsidR="00214C1B" w:rsidRPr="00C377C8">
              <w:rPr>
                <w:rStyle w:val="Hyperlink"/>
                <w:noProof/>
                <w:color w:val="000000" w:themeColor="text1"/>
              </w:rPr>
              <w:t>Summary of Theme 4</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_Toc96609127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98</w:t>
            </w:r>
            <w:r w:rsidR="00214C1B" w:rsidRPr="00C377C8">
              <w:rPr>
                <w:noProof/>
                <w:webHidden/>
                <w:color w:val="000000" w:themeColor="text1"/>
              </w:rPr>
              <w:fldChar w:fldCharType="end"/>
            </w:r>
          </w:hyperlink>
        </w:p>
        <w:p w14:paraId="58E104CF" w14:textId="22A61990"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128" w:history="1">
            <w:r w:rsidR="00214C1B" w:rsidRPr="00C377C8">
              <w:rPr>
                <w:rStyle w:val="Hyperlink"/>
                <w:noProof/>
                <w:color w:val="000000" w:themeColor="text1"/>
              </w:rPr>
              <w:t>4.8</w:t>
            </w:r>
            <w:r w:rsidR="00214C1B" w:rsidRPr="00C377C8">
              <w:rPr>
                <w:rFonts w:eastAsiaTheme="minorEastAsia"/>
                <w:noProof/>
                <w:color w:val="000000" w:themeColor="text1"/>
                <w:lang w:eastAsia="en-GB"/>
              </w:rPr>
              <w:tab/>
            </w:r>
            <w:r w:rsidR="00214C1B" w:rsidRPr="00C377C8">
              <w:rPr>
                <w:rStyle w:val="Hyperlink"/>
                <w:noProof/>
                <w:color w:val="000000" w:themeColor="text1"/>
              </w:rPr>
              <w:t>Conclusion</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_Toc96609128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98</w:t>
            </w:r>
            <w:r w:rsidR="00214C1B" w:rsidRPr="00C377C8">
              <w:rPr>
                <w:noProof/>
                <w:webHidden/>
                <w:color w:val="000000" w:themeColor="text1"/>
              </w:rPr>
              <w:fldChar w:fldCharType="end"/>
            </w:r>
          </w:hyperlink>
        </w:p>
        <w:p w14:paraId="4B82518A" w14:textId="0D4D8BB6" w:rsidR="00214C1B" w:rsidRPr="00C377C8" w:rsidRDefault="007D0B9D">
          <w:pPr>
            <w:pStyle w:val="TOC1"/>
            <w:tabs>
              <w:tab w:val="left" w:pos="440"/>
              <w:tab w:val="right" w:leader="dot" w:pos="10456"/>
            </w:tabs>
            <w:rPr>
              <w:rFonts w:eastAsiaTheme="minorEastAsia"/>
              <w:noProof/>
              <w:color w:val="000000" w:themeColor="text1"/>
              <w:lang w:eastAsia="en-GB"/>
            </w:rPr>
          </w:pPr>
          <w:hyperlink w:anchor="_Toc96609129" w:history="1">
            <w:r w:rsidR="00214C1B" w:rsidRPr="00C377C8">
              <w:rPr>
                <w:rStyle w:val="Hyperlink"/>
                <w:noProof/>
                <w:color w:val="000000" w:themeColor="text1"/>
              </w:rPr>
              <w:t>5</w:t>
            </w:r>
            <w:r w:rsidR="00214C1B" w:rsidRPr="00C377C8">
              <w:rPr>
                <w:rFonts w:eastAsiaTheme="minorEastAsia"/>
                <w:noProof/>
                <w:color w:val="000000" w:themeColor="text1"/>
                <w:lang w:eastAsia="en-GB"/>
              </w:rPr>
              <w:tab/>
            </w:r>
            <w:r w:rsidR="00214C1B" w:rsidRPr="00C377C8">
              <w:rPr>
                <w:rStyle w:val="Hyperlink"/>
                <w:noProof/>
                <w:color w:val="000000" w:themeColor="text1"/>
              </w:rPr>
              <w:t>Chapter 5 Discussions</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_Toc96609129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100</w:t>
            </w:r>
            <w:r w:rsidR="00214C1B" w:rsidRPr="00C377C8">
              <w:rPr>
                <w:noProof/>
                <w:webHidden/>
                <w:color w:val="000000" w:themeColor="text1"/>
              </w:rPr>
              <w:fldChar w:fldCharType="end"/>
            </w:r>
          </w:hyperlink>
        </w:p>
        <w:p w14:paraId="617EFAE4" w14:textId="1A3D0A5A"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130" w:history="1">
            <w:r w:rsidR="00214C1B" w:rsidRPr="00C377C8">
              <w:rPr>
                <w:rStyle w:val="Hyperlink"/>
                <w:noProof/>
                <w:color w:val="000000" w:themeColor="text1"/>
              </w:rPr>
              <w:t>5.1</w:t>
            </w:r>
            <w:r w:rsidR="00214C1B" w:rsidRPr="00C377C8">
              <w:rPr>
                <w:rFonts w:eastAsiaTheme="minorEastAsia"/>
                <w:noProof/>
                <w:color w:val="000000" w:themeColor="text1"/>
                <w:lang w:eastAsia="en-GB"/>
              </w:rPr>
              <w:tab/>
            </w:r>
            <w:r w:rsidR="00214C1B" w:rsidRPr="00C377C8">
              <w:rPr>
                <w:rStyle w:val="Hyperlink"/>
                <w:rFonts w:eastAsia="Calibri"/>
                <w:noProof/>
                <w:color w:val="000000" w:themeColor="text1"/>
              </w:rPr>
              <w:t>Introduction</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_Toc96609130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100</w:t>
            </w:r>
            <w:r w:rsidR="00214C1B" w:rsidRPr="00C377C8">
              <w:rPr>
                <w:noProof/>
                <w:webHidden/>
                <w:color w:val="000000" w:themeColor="text1"/>
              </w:rPr>
              <w:fldChar w:fldCharType="end"/>
            </w:r>
          </w:hyperlink>
        </w:p>
        <w:p w14:paraId="5F6BDBE9" w14:textId="1143C671"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131" w:history="1">
            <w:r w:rsidR="00214C1B" w:rsidRPr="00C377C8">
              <w:rPr>
                <w:rStyle w:val="Hyperlink"/>
                <w:rFonts w:eastAsia="Calibri"/>
                <w:noProof/>
                <w:color w:val="000000" w:themeColor="text1"/>
              </w:rPr>
              <w:t>5.2</w:t>
            </w:r>
            <w:r w:rsidR="00214C1B" w:rsidRPr="00C377C8">
              <w:rPr>
                <w:rFonts w:eastAsiaTheme="minorEastAsia"/>
                <w:noProof/>
                <w:color w:val="000000" w:themeColor="text1"/>
                <w:lang w:eastAsia="en-GB"/>
              </w:rPr>
              <w:tab/>
            </w:r>
            <w:r w:rsidR="00214C1B" w:rsidRPr="00C377C8">
              <w:rPr>
                <w:rStyle w:val="Hyperlink"/>
                <w:rFonts w:eastAsia="Calibri"/>
                <w:noProof/>
                <w:color w:val="000000" w:themeColor="text1"/>
              </w:rPr>
              <w:t>Factors that influence the interpretation of the Quran</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_Toc96609131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100</w:t>
            </w:r>
            <w:r w:rsidR="00214C1B" w:rsidRPr="00C377C8">
              <w:rPr>
                <w:noProof/>
                <w:webHidden/>
                <w:color w:val="000000" w:themeColor="text1"/>
              </w:rPr>
              <w:fldChar w:fldCharType="end"/>
            </w:r>
          </w:hyperlink>
        </w:p>
        <w:p w14:paraId="47E066BD" w14:textId="5C1E05D4"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132" w:history="1">
            <w:r w:rsidR="00214C1B" w:rsidRPr="00C377C8">
              <w:rPr>
                <w:rStyle w:val="Hyperlink"/>
                <w:rFonts w:eastAsia="Calibri"/>
                <w:noProof/>
                <w:color w:val="000000" w:themeColor="text1"/>
              </w:rPr>
              <w:t>5.3</w:t>
            </w:r>
            <w:r w:rsidR="00214C1B" w:rsidRPr="00C377C8">
              <w:rPr>
                <w:rFonts w:eastAsiaTheme="minorEastAsia"/>
                <w:noProof/>
                <w:color w:val="000000" w:themeColor="text1"/>
                <w:lang w:eastAsia="en-GB"/>
              </w:rPr>
              <w:tab/>
            </w:r>
            <w:r w:rsidR="00214C1B" w:rsidRPr="00C377C8">
              <w:rPr>
                <w:rStyle w:val="Hyperlink"/>
                <w:rFonts w:eastAsia="Calibri"/>
                <w:noProof/>
                <w:color w:val="000000" w:themeColor="text1"/>
              </w:rPr>
              <w:t>Linguistic aspects of critical interpretations of the Quran</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_Toc96609132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104</w:t>
            </w:r>
            <w:r w:rsidR="00214C1B" w:rsidRPr="00C377C8">
              <w:rPr>
                <w:noProof/>
                <w:webHidden/>
                <w:color w:val="000000" w:themeColor="text1"/>
              </w:rPr>
              <w:fldChar w:fldCharType="end"/>
            </w:r>
          </w:hyperlink>
        </w:p>
        <w:p w14:paraId="06D24C7C" w14:textId="13DB4C80"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133" w:history="1">
            <w:r w:rsidR="00214C1B" w:rsidRPr="00C377C8">
              <w:rPr>
                <w:rStyle w:val="Hyperlink"/>
                <w:rFonts w:eastAsia="Calibri"/>
                <w:noProof/>
                <w:color w:val="000000" w:themeColor="text1"/>
              </w:rPr>
              <w:t>5.4</w:t>
            </w:r>
            <w:r w:rsidR="00214C1B" w:rsidRPr="00C377C8">
              <w:rPr>
                <w:rFonts w:eastAsiaTheme="minorEastAsia"/>
                <w:noProof/>
                <w:color w:val="000000" w:themeColor="text1"/>
                <w:lang w:eastAsia="en-GB"/>
              </w:rPr>
              <w:tab/>
            </w:r>
            <w:r w:rsidR="00214C1B" w:rsidRPr="00C377C8">
              <w:rPr>
                <w:rStyle w:val="Hyperlink"/>
                <w:rFonts w:eastAsia="Calibri"/>
                <w:noProof/>
                <w:color w:val="000000" w:themeColor="text1"/>
              </w:rPr>
              <w:t>Factors influencing teaching of the critical interpretation of the Quran</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_Toc96609133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107</w:t>
            </w:r>
            <w:r w:rsidR="00214C1B" w:rsidRPr="00C377C8">
              <w:rPr>
                <w:noProof/>
                <w:webHidden/>
                <w:color w:val="000000" w:themeColor="text1"/>
              </w:rPr>
              <w:fldChar w:fldCharType="end"/>
            </w:r>
          </w:hyperlink>
        </w:p>
        <w:p w14:paraId="4CCCF322" w14:textId="335F1F79"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134" w:history="1">
            <w:r w:rsidR="00214C1B" w:rsidRPr="00C377C8">
              <w:rPr>
                <w:rStyle w:val="Hyperlink"/>
                <w:rFonts w:eastAsia="Calibri"/>
                <w:noProof/>
                <w:color w:val="000000" w:themeColor="text1"/>
              </w:rPr>
              <w:t>5.5</w:t>
            </w:r>
            <w:r w:rsidR="00214C1B" w:rsidRPr="00C377C8">
              <w:rPr>
                <w:rFonts w:eastAsiaTheme="minorEastAsia"/>
                <w:noProof/>
                <w:color w:val="000000" w:themeColor="text1"/>
                <w:lang w:eastAsia="en-GB"/>
              </w:rPr>
              <w:tab/>
            </w:r>
            <w:r w:rsidR="00214C1B" w:rsidRPr="00C377C8">
              <w:rPr>
                <w:rStyle w:val="Hyperlink"/>
                <w:rFonts w:eastAsia="Calibri"/>
                <w:noProof/>
                <w:color w:val="000000" w:themeColor="text1"/>
              </w:rPr>
              <w:t>Re-thinking the role of a teacher</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_Toc96609134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112</w:t>
            </w:r>
            <w:r w:rsidR="00214C1B" w:rsidRPr="00C377C8">
              <w:rPr>
                <w:noProof/>
                <w:webHidden/>
                <w:color w:val="000000" w:themeColor="text1"/>
              </w:rPr>
              <w:fldChar w:fldCharType="end"/>
            </w:r>
          </w:hyperlink>
        </w:p>
        <w:p w14:paraId="6D984121" w14:textId="77FD968C"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135" w:history="1">
            <w:r w:rsidR="00214C1B" w:rsidRPr="00C377C8">
              <w:rPr>
                <w:rStyle w:val="Hyperlink"/>
                <w:noProof/>
                <w:color w:val="000000" w:themeColor="text1"/>
              </w:rPr>
              <w:t>5.6</w:t>
            </w:r>
            <w:r w:rsidR="00214C1B" w:rsidRPr="00C377C8">
              <w:rPr>
                <w:rFonts w:eastAsiaTheme="minorEastAsia"/>
                <w:noProof/>
                <w:color w:val="000000" w:themeColor="text1"/>
                <w:lang w:eastAsia="en-GB"/>
              </w:rPr>
              <w:tab/>
            </w:r>
            <w:r w:rsidR="00214C1B" w:rsidRPr="00C377C8">
              <w:rPr>
                <w:rStyle w:val="Hyperlink"/>
                <w:noProof/>
                <w:color w:val="000000" w:themeColor="text1"/>
              </w:rPr>
              <w:t>Understanding approaches to effective teaching</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_Toc96609135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117</w:t>
            </w:r>
            <w:r w:rsidR="00214C1B" w:rsidRPr="00C377C8">
              <w:rPr>
                <w:noProof/>
                <w:webHidden/>
                <w:color w:val="000000" w:themeColor="text1"/>
              </w:rPr>
              <w:fldChar w:fldCharType="end"/>
            </w:r>
          </w:hyperlink>
        </w:p>
        <w:p w14:paraId="050790C5" w14:textId="121622D4"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136" w:history="1">
            <w:r w:rsidR="00214C1B" w:rsidRPr="00C377C8">
              <w:rPr>
                <w:rStyle w:val="Hyperlink"/>
                <w:rFonts w:eastAsia="Calibri"/>
                <w:noProof/>
                <w:color w:val="000000" w:themeColor="text1"/>
              </w:rPr>
              <w:t>5.7</w:t>
            </w:r>
            <w:r w:rsidR="00214C1B" w:rsidRPr="00C377C8">
              <w:rPr>
                <w:rFonts w:eastAsiaTheme="minorEastAsia"/>
                <w:noProof/>
                <w:color w:val="000000" w:themeColor="text1"/>
                <w:lang w:eastAsia="en-GB"/>
              </w:rPr>
              <w:tab/>
            </w:r>
            <w:r w:rsidR="00214C1B" w:rsidRPr="00C377C8">
              <w:rPr>
                <w:rStyle w:val="Hyperlink"/>
                <w:noProof/>
                <w:color w:val="000000" w:themeColor="text1"/>
              </w:rPr>
              <w:t>Barriers to effective teaching</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_Toc96609136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124</w:t>
            </w:r>
            <w:r w:rsidR="00214C1B" w:rsidRPr="00C377C8">
              <w:rPr>
                <w:noProof/>
                <w:webHidden/>
                <w:color w:val="000000" w:themeColor="text1"/>
              </w:rPr>
              <w:fldChar w:fldCharType="end"/>
            </w:r>
          </w:hyperlink>
        </w:p>
        <w:p w14:paraId="0E4979C3" w14:textId="65EA5595"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137" w:history="1">
            <w:r w:rsidR="00214C1B" w:rsidRPr="00C377C8">
              <w:rPr>
                <w:rStyle w:val="Hyperlink"/>
                <w:noProof/>
                <w:color w:val="000000" w:themeColor="text1"/>
              </w:rPr>
              <w:t>5.8</w:t>
            </w:r>
            <w:r w:rsidR="00214C1B" w:rsidRPr="00C377C8">
              <w:rPr>
                <w:rFonts w:eastAsiaTheme="minorEastAsia"/>
                <w:noProof/>
                <w:color w:val="000000" w:themeColor="text1"/>
                <w:lang w:eastAsia="en-GB"/>
              </w:rPr>
              <w:tab/>
            </w:r>
            <w:r w:rsidR="00214C1B" w:rsidRPr="00C377C8">
              <w:rPr>
                <w:rStyle w:val="Hyperlink"/>
                <w:noProof/>
                <w:color w:val="000000" w:themeColor="text1"/>
              </w:rPr>
              <w:t>Outputs: defining effective teaching</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_Toc96609137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125</w:t>
            </w:r>
            <w:r w:rsidR="00214C1B" w:rsidRPr="00C377C8">
              <w:rPr>
                <w:noProof/>
                <w:webHidden/>
                <w:color w:val="000000" w:themeColor="text1"/>
              </w:rPr>
              <w:fldChar w:fldCharType="end"/>
            </w:r>
          </w:hyperlink>
        </w:p>
        <w:p w14:paraId="33D0D70D" w14:textId="736C4E3A"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138" w:history="1">
            <w:r w:rsidR="00214C1B" w:rsidRPr="00C377C8">
              <w:rPr>
                <w:rStyle w:val="Hyperlink"/>
                <w:rFonts w:eastAsia="Calibri"/>
                <w:noProof/>
                <w:color w:val="000000" w:themeColor="text1"/>
              </w:rPr>
              <w:t>5.9</w:t>
            </w:r>
            <w:r w:rsidR="00214C1B" w:rsidRPr="00C377C8">
              <w:rPr>
                <w:rFonts w:eastAsiaTheme="minorEastAsia"/>
                <w:noProof/>
                <w:color w:val="000000" w:themeColor="text1"/>
                <w:lang w:eastAsia="en-GB"/>
              </w:rPr>
              <w:tab/>
            </w:r>
            <w:r w:rsidR="00214C1B" w:rsidRPr="00C377C8">
              <w:rPr>
                <w:rStyle w:val="Hyperlink"/>
                <w:rFonts w:eastAsia="Calibri"/>
                <w:noProof/>
                <w:color w:val="000000" w:themeColor="text1"/>
              </w:rPr>
              <w:t>Effective Teaching Framework</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_Toc96609138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126</w:t>
            </w:r>
            <w:r w:rsidR="00214C1B" w:rsidRPr="00C377C8">
              <w:rPr>
                <w:noProof/>
                <w:webHidden/>
                <w:color w:val="000000" w:themeColor="text1"/>
              </w:rPr>
              <w:fldChar w:fldCharType="end"/>
            </w:r>
          </w:hyperlink>
        </w:p>
        <w:p w14:paraId="6DD6E3D0" w14:textId="5B0006EA"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139" w:history="1">
            <w:r w:rsidR="00214C1B" w:rsidRPr="00C377C8">
              <w:rPr>
                <w:rStyle w:val="Hyperlink"/>
                <w:rFonts w:eastAsia="Calibri"/>
                <w:noProof/>
                <w:color w:val="000000" w:themeColor="text1"/>
              </w:rPr>
              <w:t>5.10</w:t>
            </w:r>
            <w:r w:rsidR="00214C1B" w:rsidRPr="00C377C8">
              <w:rPr>
                <w:rFonts w:eastAsiaTheme="minorEastAsia"/>
                <w:noProof/>
                <w:color w:val="000000" w:themeColor="text1"/>
                <w:lang w:eastAsia="en-GB"/>
              </w:rPr>
              <w:tab/>
            </w:r>
            <w:r w:rsidR="00214C1B" w:rsidRPr="00C377C8">
              <w:rPr>
                <w:rStyle w:val="Hyperlink"/>
                <w:rFonts w:eastAsia="Calibri"/>
                <w:noProof/>
                <w:color w:val="000000" w:themeColor="text1"/>
              </w:rPr>
              <w:t>Conclusion</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_Toc96609139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131</w:t>
            </w:r>
            <w:r w:rsidR="00214C1B" w:rsidRPr="00C377C8">
              <w:rPr>
                <w:noProof/>
                <w:webHidden/>
                <w:color w:val="000000" w:themeColor="text1"/>
              </w:rPr>
              <w:fldChar w:fldCharType="end"/>
            </w:r>
          </w:hyperlink>
        </w:p>
        <w:p w14:paraId="67EE9773" w14:textId="1D3F6965" w:rsidR="00214C1B" w:rsidRPr="00C377C8" w:rsidRDefault="007D0B9D">
          <w:pPr>
            <w:pStyle w:val="TOC1"/>
            <w:tabs>
              <w:tab w:val="left" w:pos="440"/>
              <w:tab w:val="right" w:leader="dot" w:pos="10456"/>
            </w:tabs>
            <w:rPr>
              <w:rFonts w:eastAsiaTheme="minorEastAsia"/>
              <w:noProof/>
              <w:color w:val="000000" w:themeColor="text1"/>
              <w:lang w:eastAsia="en-GB"/>
            </w:rPr>
          </w:pPr>
          <w:hyperlink w:anchor="_Toc96609140" w:history="1">
            <w:r w:rsidR="00214C1B" w:rsidRPr="00C377C8">
              <w:rPr>
                <w:rStyle w:val="Hyperlink"/>
                <w:noProof/>
                <w:color w:val="000000" w:themeColor="text1"/>
              </w:rPr>
              <w:t>6</w:t>
            </w:r>
            <w:r w:rsidR="00214C1B" w:rsidRPr="00C377C8">
              <w:rPr>
                <w:rFonts w:eastAsiaTheme="minorEastAsia"/>
                <w:noProof/>
                <w:color w:val="000000" w:themeColor="text1"/>
                <w:lang w:eastAsia="en-GB"/>
              </w:rPr>
              <w:tab/>
            </w:r>
            <w:r w:rsidR="00214C1B" w:rsidRPr="00C377C8">
              <w:rPr>
                <w:rStyle w:val="Hyperlink"/>
                <w:noProof/>
                <w:color w:val="000000" w:themeColor="text1"/>
              </w:rPr>
              <w:t>Chapter 6 Conclusion and Recommendations</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_Toc96609140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133</w:t>
            </w:r>
            <w:r w:rsidR="00214C1B" w:rsidRPr="00C377C8">
              <w:rPr>
                <w:noProof/>
                <w:webHidden/>
                <w:color w:val="000000" w:themeColor="text1"/>
              </w:rPr>
              <w:fldChar w:fldCharType="end"/>
            </w:r>
          </w:hyperlink>
        </w:p>
        <w:p w14:paraId="4734FE67" w14:textId="5424C539"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141" w:history="1">
            <w:r w:rsidR="00214C1B" w:rsidRPr="00C377C8">
              <w:rPr>
                <w:rStyle w:val="Hyperlink"/>
                <w:noProof/>
                <w:color w:val="000000" w:themeColor="text1"/>
              </w:rPr>
              <w:t>6.1</w:t>
            </w:r>
            <w:r w:rsidR="00214C1B" w:rsidRPr="00C377C8">
              <w:rPr>
                <w:rFonts w:eastAsiaTheme="minorEastAsia"/>
                <w:noProof/>
                <w:color w:val="000000" w:themeColor="text1"/>
                <w:lang w:eastAsia="en-GB"/>
              </w:rPr>
              <w:tab/>
            </w:r>
            <w:r w:rsidR="00214C1B" w:rsidRPr="00C377C8">
              <w:rPr>
                <w:rStyle w:val="Hyperlink"/>
                <w:noProof/>
                <w:color w:val="000000" w:themeColor="text1"/>
              </w:rPr>
              <w:t>Introduction</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_Toc96609141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133</w:t>
            </w:r>
            <w:r w:rsidR="00214C1B" w:rsidRPr="00C377C8">
              <w:rPr>
                <w:noProof/>
                <w:webHidden/>
                <w:color w:val="000000" w:themeColor="text1"/>
              </w:rPr>
              <w:fldChar w:fldCharType="end"/>
            </w:r>
          </w:hyperlink>
        </w:p>
        <w:p w14:paraId="57109746" w14:textId="64985DA5"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142" w:history="1">
            <w:r w:rsidR="00214C1B" w:rsidRPr="00C377C8">
              <w:rPr>
                <w:rStyle w:val="Hyperlink"/>
                <w:noProof/>
                <w:color w:val="000000" w:themeColor="text1"/>
              </w:rPr>
              <w:t>6.2</w:t>
            </w:r>
            <w:r w:rsidR="00214C1B" w:rsidRPr="00C377C8">
              <w:rPr>
                <w:rFonts w:eastAsiaTheme="minorEastAsia"/>
                <w:noProof/>
                <w:color w:val="000000" w:themeColor="text1"/>
                <w:lang w:eastAsia="en-GB"/>
              </w:rPr>
              <w:tab/>
            </w:r>
            <w:r w:rsidR="00214C1B" w:rsidRPr="00C377C8">
              <w:rPr>
                <w:rStyle w:val="Hyperlink"/>
                <w:noProof/>
                <w:color w:val="000000" w:themeColor="text1"/>
              </w:rPr>
              <w:t>Research objectives and questions</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_Toc96609142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133</w:t>
            </w:r>
            <w:r w:rsidR="00214C1B" w:rsidRPr="00C377C8">
              <w:rPr>
                <w:noProof/>
                <w:webHidden/>
                <w:color w:val="000000" w:themeColor="text1"/>
              </w:rPr>
              <w:fldChar w:fldCharType="end"/>
            </w:r>
          </w:hyperlink>
        </w:p>
        <w:p w14:paraId="32883AD0" w14:textId="6C1F7A15"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143" w:history="1">
            <w:r w:rsidR="00214C1B" w:rsidRPr="00C377C8">
              <w:rPr>
                <w:rStyle w:val="Hyperlink"/>
                <w:noProof/>
                <w:color w:val="000000" w:themeColor="text1"/>
              </w:rPr>
              <w:t>6.3</w:t>
            </w:r>
            <w:r w:rsidR="00214C1B" w:rsidRPr="00C377C8">
              <w:rPr>
                <w:rFonts w:eastAsiaTheme="minorEastAsia"/>
                <w:noProof/>
                <w:color w:val="000000" w:themeColor="text1"/>
                <w:lang w:eastAsia="en-GB"/>
              </w:rPr>
              <w:tab/>
            </w:r>
            <w:r w:rsidR="00214C1B" w:rsidRPr="00C377C8">
              <w:rPr>
                <w:rStyle w:val="Hyperlink"/>
                <w:noProof/>
                <w:color w:val="000000" w:themeColor="text1"/>
              </w:rPr>
              <w:t>Summary of research outcomes</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_Toc96609143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134</w:t>
            </w:r>
            <w:r w:rsidR="00214C1B" w:rsidRPr="00C377C8">
              <w:rPr>
                <w:noProof/>
                <w:webHidden/>
                <w:color w:val="000000" w:themeColor="text1"/>
              </w:rPr>
              <w:fldChar w:fldCharType="end"/>
            </w:r>
          </w:hyperlink>
        </w:p>
        <w:p w14:paraId="2F4503FF" w14:textId="5A2D33C8"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144" w:history="1">
            <w:r w:rsidR="00214C1B" w:rsidRPr="00C377C8">
              <w:rPr>
                <w:rStyle w:val="Hyperlink"/>
                <w:noProof/>
                <w:color w:val="000000" w:themeColor="text1"/>
              </w:rPr>
              <w:t>6.3.1</w:t>
            </w:r>
            <w:r w:rsidR="00214C1B" w:rsidRPr="00C377C8">
              <w:rPr>
                <w:rFonts w:eastAsiaTheme="minorEastAsia"/>
                <w:noProof/>
                <w:color w:val="000000" w:themeColor="text1"/>
                <w:lang w:eastAsia="en-GB"/>
              </w:rPr>
              <w:tab/>
            </w:r>
            <w:r w:rsidR="00214C1B" w:rsidRPr="00C377C8">
              <w:rPr>
                <w:rStyle w:val="Hyperlink"/>
                <w:noProof/>
                <w:color w:val="000000" w:themeColor="text1"/>
              </w:rPr>
              <w:t>Summary</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_Toc96609144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138</w:t>
            </w:r>
            <w:r w:rsidR="00214C1B" w:rsidRPr="00C377C8">
              <w:rPr>
                <w:noProof/>
                <w:webHidden/>
                <w:color w:val="000000" w:themeColor="text1"/>
              </w:rPr>
              <w:fldChar w:fldCharType="end"/>
            </w:r>
          </w:hyperlink>
        </w:p>
        <w:p w14:paraId="05B71D97" w14:textId="08D6DA68"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145" w:history="1">
            <w:r w:rsidR="00214C1B" w:rsidRPr="00C377C8">
              <w:rPr>
                <w:rStyle w:val="Hyperlink"/>
                <w:noProof/>
                <w:color w:val="000000" w:themeColor="text1"/>
              </w:rPr>
              <w:t>6.3.2</w:t>
            </w:r>
            <w:r w:rsidR="00214C1B" w:rsidRPr="00C377C8">
              <w:rPr>
                <w:rFonts w:eastAsiaTheme="minorEastAsia"/>
                <w:noProof/>
                <w:color w:val="000000" w:themeColor="text1"/>
                <w:lang w:eastAsia="en-GB"/>
              </w:rPr>
              <w:tab/>
            </w:r>
            <w:r w:rsidR="00214C1B" w:rsidRPr="00C377C8">
              <w:rPr>
                <w:rStyle w:val="Hyperlink"/>
                <w:noProof/>
                <w:color w:val="000000" w:themeColor="text1"/>
              </w:rPr>
              <w:t>Contribution to knowledge</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_Toc96609145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139</w:t>
            </w:r>
            <w:r w:rsidR="00214C1B" w:rsidRPr="00C377C8">
              <w:rPr>
                <w:noProof/>
                <w:webHidden/>
                <w:color w:val="000000" w:themeColor="text1"/>
              </w:rPr>
              <w:fldChar w:fldCharType="end"/>
            </w:r>
          </w:hyperlink>
        </w:p>
        <w:p w14:paraId="5CF6D610" w14:textId="76BF4DB4"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146" w:history="1">
            <w:r w:rsidR="00214C1B" w:rsidRPr="00C377C8">
              <w:rPr>
                <w:rStyle w:val="Hyperlink"/>
                <w:noProof/>
                <w:color w:val="000000" w:themeColor="text1"/>
              </w:rPr>
              <w:t>6.3.3</w:t>
            </w:r>
            <w:r w:rsidR="00214C1B" w:rsidRPr="00C377C8">
              <w:rPr>
                <w:rFonts w:eastAsiaTheme="minorEastAsia"/>
                <w:noProof/>
                <w:color w:val="000000" w:themeColor="text1"/>
                <w:lang w:eastAsia="en-GB"/>
              </w:rPr>
              <w:tab/>
            </w:r>
            <w:r w:rsidR="00214C1B" w:rsidRPr="00C377C8">
              <w:rPr>
                <w:rStyle w:val="Hyperlink"/>
                <w:noProof/>
                <w:color w:val="000000" w:themeColor="text1"/>
              </w:rPr>
              <w:t>Recommendations to institutional leaders</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_Toc96609146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141</w:t>
            </w:r>
            <w:r w:rsidR="00214C1B" w:rsidRPr="00C377C8">
              <w:rPr>
                <w:noProof/>
                <w:webHidden/>
                <w:color w:val="000000" w:themeColor="text1"/>
              </w:rPr>
              <w:fldChar w:fldCharType="end"/>
            </w:r>
          </w:hyperlink>
        </w:p>
        <w:p w14:paraId="047F0419" w14:textId="6B5A091F"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147" w:history="1">
            <w:r w:rsidR="00214C1B" w:rsidRPr="00C377C8">
              <w:rPr>
                <w:rStyle w:val="Hyperlink"/>
                <w:noProof/>
                <w:color w:val="000000" w:themeColor="text1"/>
              </w:rPr>
              <w:t>6.3.4</w:t>
            </w:r>
            <w:r w:rsidR="00214C1B" w:rsidRPr="00C377C8">
              <w:rPr>
                <w:rFonts w:eastAsiaTheme="minorEastAsia"/>
                <w:noProof/>
                <w:color w:val="000000" w:themeColor="text1"/>
                <w:lang w:eastAsia="en-GB"/>
              </w:rPr>
              <w:tab/>
            </w:r>
            <w:r w:rsidR="00214C1B" w:rsidRPr="00C377C8">
              <w:rPr>
                <w:rStyle w:val="Hyperlink"/>
                <w:noProof/>
                <w:color w:val="000000" w:themeColor="text1"/>
              </w:rPr>
              <w:t>Recommendations for teachers of interpretation studies</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_Toc96609147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142</w:t>
            </w:r>
            <w:r w:rsidR="00214C1B" w:rsidRPr="00C377C8">
              <w:rPr>
                <w:noProof/>
                <w:webHidden/>
                <w:color w:val="000000" w:themeColor="text1"/>
              </w:rPr>
              <w:fldChar w:fldCharType="end"/>
            </w:r>
          </w:hyperlink>
        </w:p>
        <w:p w14:paraId="17CCF638" w14:textId="599D515D" w:rsidR="00214C1B" w:rsidRPr="00C377C8" w:rsidRDefault="007D0B9D">
          <w:pPr>
            <w:pStyle w:val="TOC3"/>
            <w:tabs>
              <w:tab w:val="left" w:pos="1320"/>
              <w:tab w:val="right" w:leader="dot" w:pos="10456"/>
            </w:tabs>
            <w:rPr>
              <w:rFonts w:eastAsiaTheme="minorEastAsia"/>
              <w:noProof/>
              <w:color w:val="000000" w:themeColor="text1"/>
              <w:lang w:eastAsia="en-GB"/>
            </w:rPr>
          </w:pPr>
          <w:hyperlink w:anchor="_Toc96609148" w:history="1">
            <w:r w:rsidR="00214C1B" w:rsidRPr="00C377C8">
              <w:rPr>
                <w:rStyle w:val="Hyperlink"/>
                <w:noProof/>
                <w:color w:val="000000" w:themeColor="text1"/>
              </w:rPr>
              <w:t>6.3.5</w:t>
            </w:r>
            <w:r w:rsidR="00214C1B" w:rsidRPr="00C377C8">
              <w:rPr>
                <w:rFonts w:eastAsiaTheme="minorEastAsia"/>
                <w:noProof/>
                <w:color w:val="000000" w:themeColor="text1"/>
                <w:lang w:eastAsia="en-GB"/>
              </w:rPr>
              <w:tab/>
            </w:r>
            <w:r w:rsidR="00214C1B" w:rsidRPr="00C377C8">
              <w:rPr>
                <w:rStyle w:val="Hyperlink"/>
                <w:noProof/>
                <w:color w:val="000000" w:themeColor="text1"/>
              </w:rPr>
              <w:t>Recommendations for future research</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_Toc96609148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143</w:t>
            </w:r>
            <w:r w:rsidR="00214C1B" w:rsidRPr="00C377C8">
              <w:rPr>
                <w:noProof/>
                <w:webHidden/>
                <w:color w:val="000000" w:themeColor="text1"/>
              </w:rPr>
              <w:fldChar w:fldCharType="end"/>
            </w:r>
          </w:hyperlink>
        </w:p>
        <w:p w14:paraId="2D0E9298" w14:textId="2D7E05F0"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149" w:history="1">
            <w:r w:rsidR="00214C1B" w:rsidRPr="00C377C8">
              <w:rPr>
                <w:rStyle w:val="Hyperlink"/>
                <w:noProof/>
                <w:color w:val="000000" w:themeColor="text1"/>
              </w:rPr>
              <w:t>6.4</w:t>
            </w:r>
            <w:r w:rsidR="00214C1B" w:rsidRPr="00C377C8">
              <w:rPr>
                <w:rFonts w:eastAsiaTheme="minorEastAsia"/>
                <w:noProof/>
                <w:color w:val="000000" w:themeColor="text1"/>
                <w:lang w:eastAsia="en-GB"/>
              </w:rPr>
              <w:tab/>
            </w:r>
            <w:r w:rsidR="00214C1B" w:rsidRPr="00C377C8">
              <w:rPr>
                <w:rStyle w:val="Hyperlink"/>
                <w:noProof/>
                <w:color w:val="000000" w:themeColor="text1"/>
              </w:rPr>
              <w:t>Strengths and weaknesses</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_Toc96609149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144</w:t>
            </w:r>
            <w:r w:rsidR="00214C1B" w:rsidRPr="00C377C8">
              <w:rPr>
                <w:noProof/>
                <w:webHidden/>
                <w:color w:val="000000" w:themeColor="text1"/>
              </w:rPr>
              <w:fldChar w:fldCharType="end"/>
            </w:r>
          </w:hyperlink>
        </w:p>
        <w:p w14:paraId="231A994D" w14:textId="1DCAF9DB"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150" w:history="1">
            <w:r w:rsidR="00214C1B" w:rsidRPr="00C377C8">
              <w:rPr>
                <w:rStyle w:val="Hyperlink"/>
                <w:noProof/>
                <w:color w:val="000000" w:themeColor="text1"/>
              </w:rPr>
              <w:t>6.5</w:t>
            </w:r>
            <w:r w:rsidR="00214C1B" w:rsidRPr="00C377C8">
              <w:rPr>
                <w:rFonts w:eastAsiaTheme="minorEastAsia"/>
                <w:noProof/>
                <w:color w:val="000000" w:themeColor="text1"/>
                <w:lang w:eastAsia="en-GB"/>
              </w:rPr>
              <w:tab/>
            </w:r>
            <w:r w:rsidR="00214C1B" w:rsidRPr="00C377C8">
              <w:rPr>
                <w:rStyle w:val="Hyperlink"/>
                <w:noProof/>
                <w:color w:val="000000" w:themeColor="text1"/>
              </w:rPr>
              <w:t>Outcome in form of personal and professional development</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_Toc96609150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145</w:t>
            </w:r>
            <w:r w:rsidR="00214C1B" w:rsidRPr="00C377C8">
              <w:rPr>
                <w:noProof/>
                <w:webHidden/>
                <w:color w:val="000000" w:themeColor="text1"/>
              </w:rPr>
              <w:fldChar w:fldCharType="end"/>
            </w:r>
          </w:hyperlink>
        </w:p>
        <w:p w14:paraId="4E77EEC5" w14:textId="12CE6253" w:rsidR="00214C1B" w:rsidRPr="00C377C8" w:rsidRDefault="007D0B9D">
          <w:pPr>
            <w:pStyle w:val="TOC2"/>
            <w:tabs>
              <w:tab w:val="left" w:pos="880"/>
              <w:tab w:val="right" w:leader="dot" w:pos="10456"/>
            </w:tabs>
            <w:rPr>
              <w:rFonts w:eastAsiaTheme="minorEastAsia"/>
              <w:noProof/>
              <w:color w:val="000000" w:themeColor="text1"/>
              <w:lang w:eastAsia="en-GB"/>
            </w:rPr>
          </w:pPr>
          <w:hyperlink w:anchor="_Toc96609151" w:history="1">
            <w:r w:rsidR="00214C1B" w:rsidRPr="00C377C8">
              <w:rPr>
                <w:rStyle w:val="Hyperlink"/>
                <w:noProof/>
                <w:color w:val="000000" w:themeColor="text1"/>
              </w:rPr>
              <w:t>6.6</w:t>
            </w:r>
            <w:r w:rsidR="00214C1B" w:rsidRPr="00C377C8">
              <w:rPr>
                <w:rFonts w:eastAsiaTheme="minorEastAsia"/>
                <w:noProof/>
                <w:color w:val="000000" w:themeColor="text1"/>
                <w:lang w:eastAsia="en-GB"/>
              </w:rPr>
              <w:tab/>
            </w:r>
            <w:r w:rsidR="00214C1B" w:rsidRPr="00C377C8">
              <w:rPr>
                <w:rStyle w:val="Hyperlink"/>
                <w:noProof/>
                <w:color w:val="000000" w:themeColor="text1"/>
              </w:rPr>
              <w:t>Conclusion</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_Toc96609151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146</w:t>
            </w:r>
            <w:r w:rsidR="00214C1B" w:rsidRPr="00C377C8">
              <w:rPr>
                <w:noProof/>
                <w:webHidden/>
                <w:color w:val="000000" w:themeColor="text1"/>
              </w:rPr>
              <w:fldChar w:fldCharType="end"/>
            </w:r>
          </w:hyperlink>
        </w:p>
        <w:p w14:paraId="6A0FE690" w14:textId="562AC51D" w:rsidR="00214C1B" w:rsidRPr="00C377C8" w:rsidRDefault="007D0B9D">
          <w:pPr>
            <w:pStyle w:val="TOC1"/>
            <w:tabs>
              <w:tab w:val="left" w:pos="440"/>
              <w:tab w:val="right" w:leader="dot" w:pos="10456"/>
            </w:tabs>
            <w:rPr>
              <w:rFonts w:eastAsiaTheme="minorEastAsia"/>
              <w:noProof/>
              <w:color w:val="000000" w:themeColor="text1"/>
              <w:lang w:eastAsia="en-GB"/>
            </w:rPr>
          </w:pPr>
          <w:hyperlink w:anchor="_Toc96609152" w:history="1">
            <w:r w:rsidR="00214C1B" w:rsidRPr="00C377C8">
              <w:rPr>
                <w:rStyle w:val="Hyperlink"/>
                <w:noProof/>
                <w:color w:val="000000" w:themeColor="text1"/>
              </w:rPr>
              <w:t>1.</w:t>
            </w:r>
            <w:r w:rsidR="00214C1B" w:rsidRPr="00C377C8">
              <w:rPr>
                <w:rFonts w:eastAsiaTheme="minorEastAsia"/>
                <w:noProof/>
                <w:color w:val="000000" w:themeColor="text1"/>
                <w:lang w:eastAsia="en-GB"/>
              </w:rPr>
              <w:tab/>
            </w:r>
            <w:r w:rsidR="00214C1B" w:rsidRPr="00C377C8">
              <w:rPr>
                <w:rStyle w:val="Hyperlink"/>
                <w:noProof/>
                <w:color w:val="000000" w:themeColor="text1"/>
              </w:rPr>
              <w:t>References</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_Toc96609152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180</w:t>
            </w:r>
            <w:r w:rsidR="00214C1B" w:rsidRPr="00C377C8">
              <w:rPr>
                <w:noProof/>
                <w:webHidden/>
                <w:color w:val="000000" w:themeColor="text1"/>
              </w:rPr>
              <w:fldChar w:fldCharType="end"/>
            </w:r>
          </w:hyperlink>
        </w:p>
        <w:p w14:paraId="7F0D0AD5" w14:textId="1BB4E123" w:rsidR="00214C1B" w:rsidRPr="00C377C8" w:rsidRDefault="007D0B9D">
          <w:pPr>
            <w:pStyle w:val="TOC2"/>
            <w:tabs>
              <w:tab w:val="right" w:leader="dot" w:pos="10456"/>
            </w:tabs>
            <w:rPr>
              <w:rFonts w:eastAsiaTheme="minorEastAsia"/>
              <w:noProof/>
              <w:color w:val="000000" w:themeColor="text1"/>
              <w:lang w:eastAsia="en-GB"/>
            </w:rPr>
          </w:pPr>
          <w:hyperlink w:anchor="_Toc96609153" w:history="1">
            <w:r w:rsidR="00214C1B" w:rsidRPr="00C377C8">
              <w:rPr>
                <w:rStyle w:val="Hyperlink"/>
                <w:noProof/>
                <w:color w:val="000000" w:themeColor="text1"/>
              </w:rPr>
              <w:t>Appendices</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_Toc96609153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190</w:t>
            </w:r>
            <w:r w:rsidR="00214C1B" w:rsidRPr="00C377C8">
              <w:rPr>
                <w:noProof/>
                <w:webHidden/>
                <w:color w:val="000000" w:themeColor="text1"/>
              </w:rPr>
              <w:fldChar w:fldCharType="end"/>
            </w:r>
          </w:hyperlink>
        </w:p>
        <w:p w14:paraId="32659C7E" w14:textId="6A64DFB0" w:rsidR="00214C1B" w:rsidRPr="00C377C8" w:rsidRDefault="007D0B9D">
          <w:pPr>
            <w:pStyle w:val="TOC2"/>
            <w:tabs>
              <w:tab w:val="right" w:leader="dot" w:pos="10456"/>
            </w:tabs>
            <w:rPr>
              <w:rFonts w:eastAsiaTheme="minorEastAsia"/>
              <w:noProof/>
              <w:color w:val="000000" w:themeColor="text1"/>
              <w:lang w:eastAsia="en-GB"/>
            </w:rPr>
          </w:pPr>
          <w:hyperlink w:anchor="_Toc96609154" w:history="1">
            <w:r w:rsidR="00214C1B" w:rsidRPr="00C377C8">
              <w:rPr>
                <w:rStyle w:val="Hyperlink"/>
                <w:rFonts w:eastAsia="Times New Roman"/>
                <w:noProof/>
                <w:color w:val="000000" w:themeColor="text1"/>
                <w:lang w:eastAsia="en-GB"/>
              </w:rPr>
              <w:t>Appendix 1: Information Sheet</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_Toc96609154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190</w:t>
            </w:r>
            <w:r w:rsidR="00214C1B" w:rsidRPr="00C377C8">
              <w:rPr>
                <w:noProof/>
                <w:webHidden/>
                <w:color w:val="000000" w:themeColor="text1"/>
              </w:rPr>
              <w:fldChar w:fldCharType="end"/>
            </w:r>
          </w:hyperlink>
        </w:p>
        <w:p w14:paraId="7F316536" w14:textId="79CEB4B8" w:rsidR="00214C1B" w:rsidRPr="00C377C8" w:rsidRDefault="007D0B9D">
          <w:pPr>
            <w:pStyle w:val="TOC2"/>
            <w:tabs>
              <w:tab w:val="right" w:leader="dot" w:pos="10456"/>
            </w:tabs>
            <w:rPr>
              <w:rFonts w:eastAsiaTheme="minorEastAsia"/>
              <w:noProof/>
              <w:color w:val="000000" w:themeColor="text1"/>
              <w:lang w:eastAsia="en-GB"/>
            </w:rPr>
          </w:pPr>
          <w:hyperlink w:anchor="_Toc96609155" w:history="1">
            <w:r w:rsidR="00214C1B" w:rsidRPr="00C377C8">
              <w:rPr>
                <w:rStyle w:val="Hyperlink"/>
                <w:noProof/>
                <w:color w:val="000000" w:themeColor="text1"/>
              </w:rPr>
              <w:t>Appendix 2: Consent form</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_Toc96609155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193</w:t>
            </w:r>
            <w:r w:rsidR="00214C1B" w:rsidRPr="00C377C8">
              <w:rPr>
                <w:noProof/>
                <w:webHidden/>
                <w:color w:val="000000" w:themeColor="text1"/>
              </w:rPr>
              <w:fldChar w:fldCharType="end"/>
            </w:r>
          </w:hyperlink>
        </w:p>
        <w:p w14:paraId="2504C7D9" w14:textId="54E80AF4" w:rsidR="00214C1B" w:rsidRPr="00C377C8" w:rsidRDefault="007D0B9D">
          <w:pPr>
            <w:pStyle w:val="TOC2"/>
            <w:tabs>
              <w:tab w:val="right" w:leader="dot" w:pos="10456"/>
            </w:tabs>
            <w:rPr>
              <w:rFonts w:eastAsiaTheme="minorEastAsia"/>
              <w:noProof/>
              <w:color w:val="000000" w:themeColor="text1"/>
              <w:lang w:eastAsia="en-GB"/>
            </w:rPr>
          </w:pPr>
          <w:hyperlink w:anchor="_Toc96609156" w:history="1">
            <w:r w:rsidR="00214C1B" w:rsidRPr="00C377C8">
              <w:rPr>
                <w:rStyle w:val="Hyperlink"/>
                <w:noProof/>
                <w:color w:val="000000" w:themeColor="text1"/>
              </w:rPr>
              <w:t>Appendix 3: Questions for teachers</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_Toc96609156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195</w:t>
            </w:r>
            <w:r w:rsidR="00214C1B" w:rsidRPr="00C377C8">
              <w:rPr>
                <w:noProof/>
                <w:webHidden/>
                <w:color w:val="000000" w:themeColor="text1"/>
              </w:rPr>
              <w:fldChar w:fldCharType="end"/>
            </w:r>
          </w:hyperlink>
        </w:p>
        <w:p w14:paraId="437393CB" w14:textId="6137AD0C" w:rsidR="00214C1B" w:rsidRPr="00C377C8" w:rsidRDefault="007D0B9D">
          <w:pPr>
            <w:pStyle w:val="TOC2"/>
            <w:tabs>
              <w:tab w:val="right" w:leader="dot" w:pos="10456"/>
            </w:tabs>
            <w:rPr>
              <w:rFonts w:eastAsiaTheme="minorEastAsia"/>
              <w:noProof/>
              <w:color w:val="000000" w:themeColor="text1"/>
              <w:lang w:eastAsia="en-GB"/>
            </w:rPr>
          </w:pPr>
          <w:hyperlink w:anchor="_Toc96609157" w:history="1">
            <w:r w:rsidR="00214C1B" w:rsidRPr="00C377C8">
              <w:rPr>
                <w:rStyle w:val="Hyperlink"/>
                <w:noProof/>
                <w:color w:val="000000" w:themeColor="text1"/>
              </w:rPr>
              <w:t>Appendix 4: Interview Questions for Students</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_Toc96609157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197</w:t>
            </w:r>
            <w:r w:rsidR="00214C1B" w:rsidRPr="00C377C8">
              <w:rPr>
                <w:noProof/>
                <w:webHidden/>
                <w:color w:val="000000" w:themeColor="text1"/>
              </w:rPr>
              <w:fldChar w:fldCharType="end"/>
            </w:r>
          </w:hyperlink>
        </w:p>
        <w:p w14:paraId="43F9A2EB" w14:textId="792CC4DA" w:rsidR="00214C1B" w:rsidRPr="00C377C8" w:rsidRDefault="007D0B9D">
          <w:pPr>
            <w:pStyle w:val="TOC2"/>
            <w:tabs>
              <w:tab w:val="right" w:leader="dot" w:pos="10456"/>
            </w:tabs>
            <w:rPr>
              <w:rFonts w:eastAsiaTheme="minorEastAsia"/>
              <w:noProof/>
              <w:color w:val="000000" w:themeColor="text1"/>
              <w:lang w:eastAsia="en-GB"/>
            </w:rPr>
          </w:pPr>
          <w:hyperlink w:anchor="_Toc96609158" w:history="1">
            <w:r w:rsidR="00214C1B" w:rsidRPr="00C377C8">
              <w:rPr>
                <w:rStyle w:val="Hyperlink"/>
                <w:noProof/>
                <w:color w:val="000000" w:themeColor="text1"/>
              </w:rPr>
              <w:t>Appendix 5: Transcription of data 1</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_Toc96609158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198</w:t>
            </w:r>
            <w:r w:rsidR="00214C1B" w:rsidRPr="00C377C8">
              <w:rPr>
                <w:noProof/>
                <w:webHidden/>
                <w:color w:val="000000" w:themeColor="text1"/>
              </w:rPr>
              <w:fldChar w:fldCharType="end"/>
            </w:r>
          </w:hyperlink>
        </w:p>
        <w:p w14:paraId="5AEBF8D9" w14:textId="2AA15E63" w:rsidR="00214C1B" w:rsidRPr="00C377C8" w:rsidRDefault="007D0B9D">
          <w:pPr>
            <w:pStyle w:val="TOC2"/>
            <w:tabs>
              <w:tab w:val="right" w:leader="dot" w:pos="10456"/>
            </w:tabs>
            <w:rPr>
              <w:rFonts w:eastAsiaTheme="minorEastAsia"/>
              <w:noProof/>
              <w:color w:val="000000" w:themeColor="text1"/>
              <w:lang w:eastAsia="en-GB"/>
            </w:rPr>
          </w:pPr>
          <w:hyperlink w:anchor="_Toc96609159" w:history="1">
            <w:r w:rsidR="00214C1B" w:rsidRPr="00C377C8">
              <w:rPr>
                <w:rStyle w:val="Hyperlink"/>
                <w:noProof/>
                <w:color w:val="000000" w:themeColor="text1"/>
              </w:rPr>
              <w:t>Appendix 7: Notes from classroom observation</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_Toc96609159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212</w:t>
            </w:r>
            <w:r w:rsidR="00214C1B" w:rsidRPr="00C377C8">
              <w:rPr>
                <w:noProof/>
                <w:webHidden/>
                <w:color w:val="000000" w:themeColor="text1"/>
              </w:rPr>
              <w:fldChar w:fldCharType="end"/>
            </w:r>
          </w:hyperlink>
        </w:p>
        <w:p w14:paraId="29B670C1" w14:textId="59FD6364" w:rsidR="00214C1B" w:rsidRPr="00C377C8" w:rsidRDefault="007D0B9D">
          <w:pPr>
            <w:pStyle w:val="TOC2"/>
            <w:tabs>
              <w:tab w:val="right" w:leader="dot" w:pos="10456"/>
            </w:tabs>
            <w:rPr>
              <w:rFonts w:eastAsiaTheme="minorEastAsia"/>
              <w:noProof/>
              <w:color w:val="000000" w:themeColor="text1"/>
              <w:lang w:eastAsia="en-GB"/>
            </w:rPr>
          </w:pPr>
          <w:hyperlink w:anchor="_Toc96609160" w:history="1">
            <w:r w:rsidR="00214C1B" w:rsidRPr="00C377C8">
              <w:rPr>
                <w:rStyle w:val="Hyperlink"/>
                <w:noProof/>
                <w:color w:val="000000" w:themeColor="text1"/>
              </w:rPr>
              <w:t>Appendix 8: Classroom presentation</w:t>
            </w:r>
            <w:r w:rsidR="00214C1B" w:rsidRPr="00C377C8">
              <w:rPr>
                <w:noProof/>
                <w:webHidden/>
                <w:color w:val="000000" w:themeColor="text1"/>
              </w:rPr>
              <w:tab/>
            </w:r>
            <w:r w:rsidR="00214C1B" w:rsidRPr="00C377C8">
              <w:rPr>
                <w:noProof/>
                <w:webHidden/>
                <w:color w:val="000000" w:themeColor="text1"/>
              </w:rPr>
              <w:fldChar w:fldCharType="begin"/>
            </w:r>
            <w:r w:rsidR="00214C1B" w:rsidRPr="00C377C8">
              <w:rPr>
                <w:noProof/>
                <w:webHidden/>
                <w:color w:val="000000" w:themeColor="text1"/>
              </w:rPr>
              <w:instrText xml:space="preserve"> PAGEREF _Toc96609160 \h </w:instrText>
            </w:r>
            <w:r w:rsidR="00214C1B" w:rsidRPr="00C377C8">
              <w:rPr>
                <w:noProof/>
                <w:webHidden/>
                <w:color w:val="000000" w:themeColor="text1"/>
              </w:rPr>
            </w:r>
            <w:r w:rsidR="00214C1B" w:rsidRPr="00C377C8">
              <w:rPr>
                <w:noProof/>
                <w:webHidden/>
                <w:color w:val="000000" w:themeColor="text1"/>
              </w:rPr>
              <w:fldChar w:fldCharType="separate"/>
            </w:r>
            <w:r w:rsidR="0069347B" w:rsidRPr="00C377C8">
              <w:rPr>
                <w:noProof/>
                <w:webHidden/>
                <w:color w:val="000000" w:themeColor="text1"/>
              </w:rPr>
              <w:t>213</w:t>
            </w:r>
            <w:r w:rsidR="00214C1B" w:rsidRPr="00C377C8">
              <w:rPr>
                <w:noProof/>
                <w:webHidden/>
                <w:color w:val="000000" w:themeColor="text1"/>
              </w:rPr>
              <w:fldChar w:fldCharType="end"/>
            </w:r>
          </w:hyperlink>
        </w:p>
        <w:p w14:paraId="6C66F0DE" w14:textId="5710605F" w:rsidR="00506729" w:rsidRPr="00C377C8" w:rsidRDefault="00506729" w:rsidP="006267A8">
          <w:pPr>
            <w:rPr>
              <w:color w:val="000000" w:themeColor="text1"/>
            </w:rPr>
          </w:pPr>
          <w:r w:rsidRPr="00C377C8">
            <w:rPr>
              <w:b/>
              <w:bCs/>
              <w:noProof/>
              <w:color w:val="000000" w:themeColor="text1"/>
            </w:rPr>
            <w:fldChar w:fldCharType="end"/>
          </w:r>
        </w:p>
      </w:sdtContent>
    </w:sdt>
    <w:p w14:paraId="4433772C" w14:textId="77777777" w:rsidR="00D06B7C" w:rsidRPr="00C377C8" w:rsidRDefault="00D06B7C" w:rsidP="006267A8">
      <w:pPr>
        <w:rPr>
          <w:color w:val="000000" w:themeColor="text1"/>
        </w:rPr>
      </w:pPr>
    </w:p>
    <w:p w14:paraId="056FBD03" w14:textId="77777777" w:rsidR="00D06B7C" w:rsidRPr="00C377C8" w:rsidRDefault="00D06B7C" w:rsidP="006267A8">
      <w:pPr>
        <w:pStyle w:val="TOCHeading"/>
        <w:ind w:right="0"/>
        <w:rPr>
          <w:color w:val="000000" w:themeColor="text1"/>
        </w:rPr>
      </w:pPr>
    </w:p>
    <w:p w14:paraId="2AB2D064" w14:textId="23F2123C" w:rsidR="00D06B7C" w:rsidRPr="00C377C8" w:rsidRDefault="00D06B7C" w:rsidP="006267A8">
      <w:pPr>
        <w:rPr>
          <w:rFonts w:ascii="Times New Roman" w:hAnsi="Times New Roman" w:cs="Times New Roman"/>
          <w:b/>
          <w:color w:val="000000" w:themeColor="text1"/>
          <w:sz w:val="36"/>
          <w:szCs w:val="28"/>
        </w:rPr>
      </w:pPr>
      <w:r w:rsidRPr="00C377C8">
        <w:rPr>
          <w:color w:val="000000" w:themeColor="text1"/>
        </w:rPr>
        <w:br w:type="page"/>
      </w:r>
    </w:p>
    <w:p w14:paraId="721E426C" w14:textId="77777777" w:rsidR="00C75FDD" w:rsidRPr="00C377C8" w:rsidRDefault="00C75FDD" w:rsidP="00461178">
      <w:pPr>
        <w:pStyle w:val="Heading1"/>
        <w:ind w:right="0"/>
        <w:sectPr w:rsidR="00C75FDD" w:rsidRPr="00C377C8" w:rsidSect="00C75FDD">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pgNumType w:fmt="lowerRoman" w:start="1"/>
          <w:cols w:space="708"/>
          <w:docGrid w:linePitch="360"/>
        </w:sectPr>
      </w:pPr>
      <w:bookmarkStart w:id="9" w:name="_Toc83818631"/>
    </w:p>
    <w:p w14:paraId="28F15DED" w14:textId="1B38EE64" w:rsidR="006846A5" w:rsidRPr="00C377C8" w:rsidRDefault="006846A5" w:rsidP="00461178">
      <w:pPr>
        <w:pStyle w:val="Heading1"/>
        <w:ind w:right="0"/>
      </w:pPr>
      <w:bookmarkStart w:id="10" w:name="_Toc96609043"/>
      <w:r w:rsidRPr="00C377C8">
        <w:lastRenderedPageBreak/>
        <w:t>Chapter 1 Introduction</w:t>
      </w:r>
      <w:bookmarkEnd w:id="9"/>
      <w:bookmarkEnd w:id="10"/>
    </w:p>
    <w:p w14:paraId="4EAD1F85" w14:textId="77777777" w:rsidR="006846A5" w:rsidRPr="00C377C8" w:rsidRDefault="006846A5" w:rsidP="00461178">
      <w:pPr>
        <w:pStyle w:val="Heading2"/>
        <w:ind w:left="2268"/>
      </w:pPr>
      <w:bookmarkStart w:id="11" w:name="_Toc83818632"/>
      <w:bookmarkStart w:id="12" w:name="_Toc96609044"/>
      <w:r w:rsidRPr="00C377C8">
        <w:t>Introduction</w:t>
      </w:r>
      <w:bookmarkEnd w:id="11"/>
      <w:bookmarkEnd w:id="12"/>
    </w:p>
    <w:p w14:paraId="629F03A9" w14:textId="77777777"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purpose of this study was to design a framework for effective teaching of the critical interpretation of the Quran in multilingual classrooms, which is essential in improving the quality of teaching in Muslim faith-based institutes and colleges. To my knowledge, no previous research has investigated the pedagogy of the critical interpretation of the Quran in multilingual classrooms. In response to the ambiguity existing around teaching the critical interpretation of the Quran, the study offers a framework that teachers can use to make the process of teaching and learning more transparent for themselves, as well as for students. Initial and further Islamic education (Dars-e-Nizami) curriculum is centred around Islamic sciences (Mohammad, 2015), but it does not include courses on teaching and learning. As a result, graduates who opt to teach it face several issues in the classroom starting with lesson planning through to the assessment of students. Therefore, exploring teachers’ and students’ perspectives on effective teaching may help improve the quality of teaching as proposed by Salili and Hoosain (2001), Creese (2005), Denos (2009) and Bonnet and Siemund (2016). </w:t>
      </w:r>
    </w:p>
    <w:p w14:paraId="095C5C24" w14:textId="77777777"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Previous research studies (Beyer, 1995; Brown, 2009; Horvath and Forte, 2011; Thayer-Bacon, 2000) have found that teaching critical thinking skills is essential for students enrolled in professional programmes, and the interpretation of the Quran is not an exception. Previous studies have also indicated that deficiencies in critical thinking skills among students can be due to the particular educational system, teaching practices and ways in which students get involved in the learning process (De Sanchez, 1995; Meltzer and Palau, 1996; Norris et al., 2009). Therefore, those teaching the critical interpretation of the Quran must be sufficiently educated and skilled in using a considerate and responsive pedagogy to students’ educational needs from diverse linguistic and cultural backgrounds (Wagner, 2010; Wansbrough and Rippin, 2004).</w:t>
      </w:r>
    </w:p>
    <w:p w14:paraId="37477A37" w14:textId="77777777"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When we speak about effective teaching of the critical interpretation of the Quran, the current study does not undermine Islamic institutes' work and contribution to education. Their practice contains a lot of good, but to complete the task of effective teaching, one needs to be realistic about existing practices and how things can be done better. The best advice could come from those involved in learning and teaching the </w:t>
      </w:r>
      <w:r w:rsidRPr="00C377C8">
        <w:rPr>
          <w:rFonts w:ascii="Times New Roman" w:hAnsi="Times New Roman" w:cs="Times New Roman"/>
          <w:color w:val="000000" w:themeColor="text1"/>
          <w:sz w:val="24"/>
          <w:szCs w:val="24"/>
        </w:rPr>
        <w:lastRenderedPageBreak/>
        <w:t>critical interpretation of the Quran in multilingual classrooms. These multilingual classrooms exist because, firstly, the Muslims immigrated from different parts of the world to the United Kingdom (UK) and they speak and use different languages as means of communication. Secondly, the original language of the Quran is Arabic, which is used as a source language for generating ideas. Hence, students switch from English to Arabic and from Arabic to English. Therefore, the current study explores teachers and students' perspectives on effectively teaching the critical interpretation of the Quran in multilingual classes. The current study's findings might help new teachers to improve their teaching practices and significantly impact students' outcomes in developing critical thinking skills. This chapter introduces the reader to rationale and background of the current study and positions it within the literature, outlines its research aims and objectives, while also discussing its contribution to existing literature.</w:t>
      </w:r>
    </w:p>
    <w:p w14:paraId="4C285F1B" w14:textId="77777777" w:rsidR="006846A5" w:rsidRPr="00C377C8" w:rsidRDefault="006846A5" w:rsidP="00461178">
      <w:pPr>
        <w:pStyle w:val="Heading2"/>
        <w:ind w:left="2268"/>
      </w:pPr>
      <w:bookmarkStart w:id="13" w:name="_Toc83818633"/>
      <w:bookmarkStart w:id="14" w:name="_Toc96609045"/>
      <w:r w:rsidRPr="00C377C8">
        <w:t>Research objectives and thesis aim</w:t>
      </w:r>
      <w:bookmarkEnd w:id="13"/>
      <w:bookmarkEnd w:id="14"/>
      <w:r w:rsidRPr="00C377C8">
        <w:t xml:space="preserve"> </w:t>
      </w:r>
    </w:p>
    <w:p w14:paraId="43D56174" w14:textId="77777777"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current study's research aim is to understand teachers’ and students’ perspectives on effective teaching of the critical interpretation of the Quran in multilingual classrooms; and, based on their perspectives, to design an effective teaching framework for the critical interpretation of the Quran. The study is concerned with the way teaching of the critical interpretation appears for research participants when they teach in multilingual classrooms. </w:t>
      </w:r>
    </w:p>
    <w:p w14:paraId="6C088664" w14:textId="77777777"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The aim is achieved by exploring and examining the factors that influence the interpretation of the Quran and its pedagogy, effective teachers’ traits, identification of effective teaching and learning strategies, and barriers to effective teaching. This is achieved by interviewing both teachers and students, conducting non-participatory classroom observations, and studying the contents used for teaching and learning the critical interpretation of the Quran [see appendices]. My own personal teaching and learning experience was used to interpret the data, especially the hidden parts of teaching, and to design a teaching framework for effective teaching and learning of the critical interpretation of the Quran. This kind of framework does not currently exist within academia and educational practice in this context. It is hoped that the proposed teaching framework will highlight how to teach the critical interpretation of the Quran effectively. It will, therefore, address the following primary research question:</w:t>
      </w:r>
    </w:p>
    <w:p w14:paraId="1E188FB5" w14:textId="77777777"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How do teachers and students of the critical interpretation of the Quran make sense of effective teaching in multilingual classrooms?  </w:t>
      </w:r>
    </w:p>
    <w:p w14:paraId="2F4DE374" w14:textId="77777777"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lastRenderedPageBreak/>
        <w:t>The secondary questions are:</w:t>
      </w:r>
    </w:p>
    <w:p w14:paraId="5A1BA4AB" w14:textId="77777777" w:rsidR="006846A5" w:rsidRPr="00C377C8" w:rsidRDefault="006846A5" w:rsidP="00461178">
      <w:pPr>
        <w:pStyle w:val="ListParagraph"/>
        <w:numPr>
          <w:ilvl w:val="0"/>
          <w:numId w:val="4"/>
        </w:numPr>
        <w:spacing w:line="360" w:lineRule="auto"/>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What do teachers and students think about how teaching of the critical interpretation of the Quran is carried out in multilingual classrooms?</w:t>
      </w:r>
    </w:p>
    <w:p w14:paraId="7189118E" w14:textId="77777777" w:rsidR="006846A5" w:rsidRPr="00C377C8" w:rsidRDefault="006846A5" w:rsidP="00461178">
      <w:pPr>
        <w:pStyle w:val="ListParagraph"/>
        <w:numPr>
          <w:ilvl w:val="0"/>
          <w:numId w:val="4"/>
        </w:numPr>
        <w:spacing w:line="360" w:lineRule="auto"/>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What are some of the traits of effective teachers involved in teaching of the critical interpretation of the Quran in multilingual classrooms?</w:t>
      </w:r>
    </w:p>
    <w:p w14:paraId="327361D5" w14:textId="77777777" w:rsidR="006846A5" w:rsidRPr="00C377C8" w:rsidRDefault="006846A5" w:rsidP="00461178">
      <w:pPr>
        <w:pStyle w:val="ListParagraph"/>
        <w:numPr>
          <w:ilvl w:val="0"/>
          <w:numId w:val="4"/>
        </w:numPr>
        <w:spacing w:line="360" w:lineRule="auto"/>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What types of teaching strategies are useful for developing students’ critical thinking skills for the interpretation of the Quran in multilingual classrooms?</w:t>
      </w:r>
    </w:p>
    <w:p w14:paraId="0F7CFBED" w14:textId="77777777"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current study tends to focus upon teachers and students’ perspectives based on their experiences. My orientation towards understanding the pedagogy of the critical interpretation is open but process oriented that is why ‘exploring’ has been used more commonly than any other verb. The use of ‘exploring’ is consistent with IPA’s inductive process (Smith, Flowers and Larkin, 2012 p. 46). I assume that teachers and students’ perspectives can tell about their involvement in the process of teaching and learning the critical interpretation of the Quran and they make sense of different factors which influence the phenomenon. The research questions are directed towards meaning and research participants’ understandings and situated within multilingual context. Second-tier research questions are used to explore theory of effective teaching. </w:t>
      </w:r>
    </w:p>
    <w:p w14:paraId="48D97AE1" w14:textId="77777777"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The proposed framework [ see section 5.8 for more details] may provide scaffold and help existing and new teachers to facilitate students to generate interpretation from the text, compare different interpretations and apply different interpretations in different contexts. The study's findings and outcomes may also empower new teachers to effectively plan and deliver a more inclusive form of teaching so that the students can generate and criticise different interpretations without any fear of harassment. This could result in students’ attainment in terms of developing critical thinking skills.</w:t>
      </w:r>
    </w:p>
    <w:p w14:paraId="5A4BE407" w14:textId="77777777"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 The research findings would make a unique contribution within Quranic exegesis and interpretation because of the multidisciplinary nature of the subject. Previous scholars have focused more on interpreting the Quran but neglected its pedagogy. To our knowledge, no study has specifically studied effective teaching of the critical interpretation of the Quran from the first-person perspective, which is central to how the act of teaching is constituted. The study may also expand readers’ theoretical understandings related to the pedagogy of critical thinking skills, interpretation studies and teaching and learning in multilingual classrooms. </w:t>
      </w:r>
    </w:p>
    <w:p w14:paraId="2C77B5AA" w14:textId="77777777" w:rsidR="006846A5" w:rsidRPr="00C377C8" w:rsidRDefault="006846A5" w:rsidP="00461178">
      <w:pPr>
        <w:pStyle w:val="Heading2"/>
        <w:ind w:left="2268"/>
      </w:pPr>
      <w:r w:rsidRPr="00C377C8">
        <w:lastRenderedPageBreak/>
        <w:t xml:space="preserve">  </w:t>
      </w:r>
      <w:bookmarkStart w:id="15" w:name="_Toc83818634"/>
      <w:bookmarkStart w:id="16" w:name="_Toc96609046"/>
      <w:r w:rsidRPr="00C377C8">
        <w:t>Study background</w:t>
      </w:r>
      <w:bookmarkEnd w:id="15"/>
      <w:bookmarkEnd w:id="16"/>
    </w:p>
    <w:p w14:paraId="0780FB6D" w14:textId="77777777"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During the last two decades, there has been a dramatic increase in Islamic schools, institutes, and colleges in the UK. Since 9/11 terrorist attack on the United States, there has been a rapid change in attitude towards Muslims, making more foreign imams and teachers face issues with work permit and immigration. At the same time, the need for local imams and Islamic studies teachers has increased. These developments have led to changes in the way teaching and learning is seen in Muslim faith-based institutes. Where once mosques were seen as centres for daily prayers, places for funeral and marriages, and Quran classes, the expectations have changed. Mosques functioning as centres for education, offering a wide range of courses to produce graduates who can take the role of an imam within the UK (Lewis and Hamid, 2018). While many of these changes have been welcome and have enhanced mosque reputations, they have also presented challenges for teaching that need to be understood. </w:t>
      </w:r>
    </w:p>
    <w:p w14:paraId="7A3A2EB4" w14:textId="77777777"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Interpretation of the Quran is one of the compulsory subjects within Dars-e-Nizami Curriculum, in which students learn how to interpret the Quranic text and analyse different interpretations. Most of the Sunni Institutes teaching Dars-e-Nizami teach intertextual interpretation of the Quran (Tafsir bil Mathur) using a classical framework for teaching and learning. This framework focuses on the interpretation of the Quran through the Quran, through Ahadith and through Aathar (sayings of the companions). Intertextual teaching framework was developed and utilised to understand the divine text in the 9th century (Ahmad, 2018, p.142), but it does not support teachers in addressing practical issues they face in the process of teaching. As the robust research shows, the classical framework of teaching Tafsir helps teachers to link ‘the text’ back to the context (9th century Arabia) in which it was revealed. Not only does it ignore the context in which the Quran is interpreted, but it also diminishes the role of an interpreter. Additionally, the intertextual model has been promoted by conventionalist and literalist scholars who negate the role of reason and critical thinking skills in the process of interpretation. </w:t>
      </w:r>
    </w:p>
    <w:p w14:paraId="251EB2BE" w14:textId="77777777"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In recent years, critical thinking skills have been recognised and valued when interpreting the Quran (Sardar, 2018; Zahid, 2015), but the key question of how to teach the critical interpretation of the Quran in multilingual classrooms effectively remains unanswered. It is widely considered that one of the best ways to understand effective teaching is to ask both teachers and students, as they are the ones who are involved in the process of teaching and learning (Ghufron and Ermawati, 2018; Kail </w:t>
      </w:r>
      <w:r w:rsidRPr="00C377C8">
        <w:rPr>
          <w:rFonts w:ascii="Times New Roman" w:hAnsi="Times New Roman" w:cs="Times New Roman"/>
          <w:color w:val="000000" w:themeColor="text1"/>
          <w:sz w:val="24"/>
          <w:szCs w:val="24"/>
        </w:rPr>
        <w:lastRenderedPageBreak/>
        <w:t xml:space="preserve">and Trimbur, 2000; Yama, 1987). There is a consensus that students’ feedback and teachers’ reflection on their teaching practice are valid indicators for understanding the pedagogy and effective teaching (Cohen, 1981; Feldman, 1989; Marsh and Bailey, 1993; Martens et al., 2004; McCoy et al., 2014; Rudduck and McIntyre, 2007). To date, current literature has not adequately explored both teachers’ and students’ perspectives on effective teaching of the critical interpretation in multilingual classrooms. Calls have been made for the exploration of the teaching practice of existing teachers working within faith schools and institutions (Ali, 2009; Buang and Chew, 2014; Chapman, 2016; Ebbiary, 2017). It is widely accepted that the quality of teaching needs to be improved within Muslim faith institutions, and more collaborative endeavours and exchange of experience are required to facilitate improvements in students’ experience and attainment (Ali, 2009; Fair, 2009; Inamullah et al., 2010; Moj, 2015). Many state universities and institutes of higher education share a commitment to professionalism in teaching and providing opportunities to teachers for the development of their practice. The aim being to overcome many issues faced within classrooms (Erickson et al., 2005). Notably, Continuous Professional Development (CPD) is an integral part of enhancing both the quality and the effectiveness of teaching (Schleicher, 2011). When it comes to faith-based institutes, this area needs a lot more of academic and institutional attention to improve. </w:t>
      </w:r>
    </w:p>
    <w:p w14:paraId="25BBE689" w14:textId="77777777"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 have been working as a teacher of critical interpretation of the Quran and through interactions with colleagues across different institutions found that the concept of effective teaching is poorly understood because education training is not part of Dars-e-Nizami curriculum. A small number of teachers go through teaching courses before taking their role as a teacher within this discipline. In addition, universities across the globe, including British universities, do not offer subject-specific training and education within this discipline. Therefore, exploring both teachers’ and students’ perspectives on effective teaching, studying the documents, reviewing teaching and learning contents, and observing their classrooms will enable the researcher to design an effective teaching framework. This could help existing and new teachers to align their goals with learning activities and to create a safe environment, where students and teachers work together to critically examine different interpretations of the Quran. </w:t>
      </w:r>
    </w:p>
    <w:p w14:paraId="3487E27F" w14:textId="77777777" w:rsidR="006846A5" w:rsidRPr="00C377C8" w:rsidRDefault="006846A5" w:rsidP="00461178">
      <w:pPr>
        <w:pStyle w:val="Heading2"/>
        <w:ind w:left="2268"/>
      </w:pPr>
      <w:bookmarkStart w:id="17" w:name="_Toc83818635"/>
      <w:bookmarkStart w:id="18" w:name="_Toc96609047"/>
      <w:r w:rsidRPr="00C377C8">
        <w:lastRenderedPageBreak/>
        <w:t>Contextual setting of the current research study</w:t>
      </w:r>
      <w:bookmarkEnd w:id="17"/>
      <w:bookmarkEnd w:id="18"/>
    </w:p>
    <w:p w14:paraId="5C08FBF9" w14:textId="77777777"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This section examines the contextual setting within which the current study was carried out. A brief description and an analysis of the complex contextual setting provides readers with an understanding and clarity of the current study's intended outcomes, as well as of the intent and direction of the writing. </w:t>
      </w:r>
    </w:p>
    <w:p w14:paraId="5FB7777E" w14:textId="77777777" w:rsidR="006846A5" w:rsidRPr="00C377C8" w:rsidRDefault="006846A5" w:rsidP="00461178">
      <w:pPr>
        <w:pStyle w:val="Heading3"/>
        <w:numPr>
          <w:ilvl w:val="2"/>
          <w:numId w:val="3"/>
        </w:numPr>
        <w:spacing w:line="360" w:lineRule="auto"/>
        <w:ind w:left="2268"/>
        <w:jc w:val="both"/>
        <w:rPr>
          <w:rFonts w:ascii="Times New Roman" w:hAnsi="Times New Roman" w:cs="Times New Roman"/>
          <w:sz w:val="24"/>
        </w:rPr>
      </w:pPr>
      <w:bookmarkStart w:id="19" w:name="_Toc83818636"/>
      <w:bookmarkStart w:id="20" w:name="_Toc96609048"/>
      <w:r w:rsidRPr="00C377C8">
        <w:rPr>
          <w:rFonts w:ascii="Times New Roman" w:hAnsi="Times New Roman" w:cs="Times New Roman"/>
          <w:sz w:val="24"/>
        </w:rPr>
        <w:t>Historical context</w:t>
      </w:r>
      <w:bookmarkEnd w:id="19"/>
      <w:bookmarkEnd w:id="20"/>
    </w:p>
    <w:p w14:paraId="1C6FF62A" w14:textId="77777777"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This study was undertaken in the UK before and during COVID-19 pandemic and Brexit. The current political, economic, and cultural situation impacts all communities irrespective of their background, and Muslims are not an exception. Existing research showed that hate crimes against Muslims is a continuously rising phenomenon (Goddard, 2018). Muslims face questions on the teachings of the Quran in the context of homosexuality, radicalisation, the veil, freedom of expression, evolution, music, art and many more (Mohammad, 2019; Sardar, 2012). The majority of Muslims living in the UK are from South Asia, the Middle East, Africa and Trinidad and Tobago. They arrived in the early 1950s and initially received a warm welcome (Beckford, 2015; Shain, 2011). However, with the changing socio-political dynamics, the attitude towards the `Muslim community, the Quran and their institutions has changed. If the present socio-political climate, as well as current events are considered, it could help to explain the attitudes of those teaching critical interpretation of the Quran, the way teachers and students re-think different interpretations of the Quran and relate the text with the current situation. Therefore, it is important to know what constitutes effective teaching of the critical interpretation of the Quran in this historical context.</w:t>
      </w:r>
    </w:p>
    <w:p w14:paraId="0E43777C" w14:textId="77777777" w:rsidR="006846A5" w:rsidRPr="00C377C8" w:rsidRDefault="006846A5" w:rsidP="00461178">
      <w:pPr>
        <w:pStyle w:val="Heading3"/>
        <w:numPr>
          <w:ilvl w:val="2"/>
          <w:numId w:val="3"/>
        </w:numPr>
        <w:spacing w:line="360" w:lineRule="auto"/>
        <w:ind w:left="2268"/>
        <w:jc w:val="both"/>
        <w:rPr>
          <w:rFonts w:ascii="Times New Roman" w:hAnsi="Times New Roman" w:cs="Times New Roman"/>
          <w:sz w:val="24"/>
        </w:rPr>
      </w:pPr>
      <w:bookmarkStart w:id="21" w:name="_Toc83818637"/>
      <w:bookmarkStart w:id="22" w:name="_Toc96609049"/>
      <w:r w:rsidRPr="00C377C8">
        <w:rPr>
          <w:rFonts w:ascii="Times New Roman" w:hAnsi="Times New Roman" w:cs="Times New Roman"/>
          <w:sz w:val="24"/>
        </w:rPr>
        <w:t>Physical context</w:t>
      </w:r>
      <w:bookmarkEnd w:id="21"/>
      <w:bookmarkEnd w:id="22"/>
    </w:p>
    <w:p w14:paraId="4D4B9BCD" w14:textId="2D15F292"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Mosques are religious institutions Muslims attend to pray and worship, give, and receive Islamic education and meet fellow Muslims (Alsaawi, 2017). Religious education is a fundamental part of these mosques as they offer regular classes to children, young people, and adults from Monday to Friday, and even on weekends (Sahin, 2018; Shah, 2013). These classes last between one and two hours depending on the setting and number of students. The aim of these classes is twofold: to teach children and young people Quran reading and impart basic knowledge of Islam with the aim of motivating children and young people to practice, especially the five pillars (Suryadi, 2019). Some mosques have developed curricula for children and young people and cover Islamic studies from level one to five and advanced level (Zahid, 2015). At some point, Muslims in Britain felt the need to provide higher education in </w:t>
      </w:r>
      <w:r w:rsidRPr="00C377C8">
        <w:rPr>
          <w:rFonts w:ascii="Times New Roman" w:hAnsi="Times New Roman" w:cs="Times New Roman"/>
          <w:color w:val="000000" w:themeColor="text1"/>
          <w:sz w:val="24"/>
          <w:szCs w:val="24"/>
        </w:rPr>
        <w:lastRenderedPageBreak/>
        <w:t xml:space="preserve">Islamic studies to students who wanted to pursue a career as ministers of religion, researchers, and academics (Lewis, 2014). Within the last five decades, many Deobandis and Bralvis established Dar-ul-Ulooms based on the 18th or 19th century predecessors from the sub-continent (Moosa 2015, p. 104). In the UK, two of the earliest Deobandi seminaries were established at Bury and Dewsbury in the 1980s and 1990s (Gilliat-Ray 2005). Birt </w:t>
      </w:r>
      <w:r w:rsidR="00511C2C" w:rsidRPr="00C377C8">
        <w:rPr>
          <w:rFonts w:ascii="Times New Roman" w:hAnsi="Times New Roman" w:cs="Times New Roman"/>
          <w:color w:val="000000" w:themeColor="text1"/>
          <w:sz w:val="24"/>
          <w:szCs w:val="24"/>
        </w:rPr>
        <w:t>(2005</w:t>
      </w:r>
      <w:r w:rsidRPr="00C377C8">
        <w:rPr>
          <w:rFonts w:ascii="Times New Roman" w:hAnsi="Times New Roman" w:cs="Times New Roman"/>
          <w:color w:val="000000" w:themeColor="text1"/>
          <w:sz w:val="24"/>
          <w:szCs w:val="24"/>
        </w:rPr>
        <w:t xml:space="preserve">) found that more than thirty seminaries in the UK and eighty percent of graduates come from Sunni </w:t>
      </w:r>
      <w:r w:rsidR="006552F9" w:rsidRPr="00C377C8">
        <w:rPr>
          <w:rFonts w:ascii="Times New Roman" w:hAnsi="Times New Roman" w:cs="Times New Roman"/>
          <w:color w:val="000000" w:themeColor="text1"/>
          <w:sz w:val="24"/>
          <w:szCs w:val="24"/>
        </w:rPr>
        <w:t>background,</w:t>
      </w:r>
      <w:r w:rsidRPr="00C377C8">
        <w:rPr>
          <w:rFonts w:ascii="Times New Roman" w:hAnsi="Times New Roman" w:cs="Times New Roman"/>
          <w:color w:val="000000" w:themeColor="text1"/>
          <w:sz w:val="24"/>
          <w:szCs w:val="24"/>
        </w:rPr>
        <w:t xml:space="preserve"> but religious teachers are often considered poorly educated (Ebbiary, 2017) but Sidat (2018) argued that these seminaries are very traditional, but now moving towards modern teaching.</w:t>
      </w:r>
    </w:p>
    <w:p w14:paraId="68A4D373" w14:textId="77777777"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Besides traditional mosques and Dar-ul-Ulooms, many Muslim organisations (Muslim hands, Minhaj ul Quran, UK Islamic mission) have established colleges following the British education system. Within the last two decades, the number of available college courses have risen in the UK (Zahid, 2016). They offer B.A. and M. As in Islamic studies and Qur'anic sciences. In addition to having traditional Islamic courses, these colleges offer secondary education and higher education as they are affiliated with local UK universities and exams boards. However, many institutes are still independent using the name of institutes or academies. </w:t>
      </w:r>
    </w:p>
    <w:p w14:paraId="1650C3AA" w14:textId="77777777"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There have been a few studies on Dar-ul-Ulooms (Beckford and Gilliat-Ray, 2005; Ebbiary, 2017, Sidat, 2018), but no research was found on teaching practices in the critical interpretation of the Quran. Therefore, the contextual settings for this research are those institutes and academies, which offer Dars-e-Nizami programme. Many of the teachers involved in teaching the critical interpretation of the Quran immigrated from the sub-continent after completing Dars e Nizami, but with no formal qualification of teaching. Some teachers obtain level three to level five in education and training, which substantially impacts their teaching practices. Therefore, these teachers can potentially share improved perspectives on effective teaching compared to those who did not receive any formal qualification in education and training. Moreover, these teachers learn Arabic and English as foreign languages.</w:t>
      </w:r>
    </w:p>
    <w:p w14:paraId="336EFEEA" w14:textId="77777777" w:rsidR="006846A5" w:rsidRPr="00C377C8" w:rsidRDefault="006846A5" w:rsidP="00461178">
      <w:pPr>
        <w:pStyle w:val="Heading3"/>
        <w:numPr>
          <w:ilvl w:val="2"/>
          <w:numId w:val="3"/>
        </w:numPr>
        <w:spacing w:line="360" w:lineRule="auto"/>
        <w:ind w:left="2268"/>
        <w:jc w:val="both"/>
        <w:rPr>
          <w:rFonts w:ascii="Times New Roman" w:hAnsi="Times New Roman" w:cs="Times New Roman"/>
          <w:sz w:val="24"/>
        </w:rPr>
      </w:pPr>
      <w:bookmarkStart w:id="23" w:name="_Toc83818638"/>
      <w:bookmarkStart w:id="24" w:name="_Toc96609050"/>
      <w:r w:rsidRPr="00C377C8">
        <w:rPr>
          <w:rFonts w:ascii="Times New Roman" w:hAnsi="Times New Roman" w:cs="Times New Roman"/>
          <w:sz w:val="24"/>
        </w:rPr>
        <w:t>Cultural context</w:t>
      </w:r>
      <w:bookmarkEnd w:id="23"/>
      <w:bookmarkEnd w:id="24"/>
    </w:p>
    <w:p w14:paraId="44362CA7" w14:textId="77777777"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Britain is a multicultural, multi-faith and multilingual society, where people from different beliefs, culture, and languages live and work together.  British society holds values like the rule of law, individual liberty, democracy, and mutual respect, which bind people together (Biddington, 2021). Muslims in the UK come from different ethnic backgrounds and bring their culture and languages with them. This is seen as both enriching but also sometimes perceived as a threat to Western values (Ahmed, </w:t>
      </w:r>
      <w:r w:rsidRPr="00C377C8">
        <w:rPr>
          <w:rFonts w:ascii="Times New Roman" w:hAnsi="Times New Roman" w:cs="Times New Roman"/>
          <w:color w:val="000000" w:themeColor="text1"/>
          <w:sz w:val="24"/>
          <w:szCs w:val="24"/>
        </w:rPr>
        <w:lastRenderedPageBreak/>
        <w:t xml:space="preserve">2015). In addition, cross-ethnic and multi-faith religious marriages are taking place (Brockway, 2010) bringing different cultures closer together. Moreover, British Muslims speak several languages including English, Arabic, Urdu, Bangla, Hindi, Mirpuri, and some European languages (Elgamri, 2008). </w:t>
      </w:r>
    </w:p>
    <w:p w14:paraId="6D5BCDBE" w14:textId="77777777"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Although Muslim Institute culture is of interest, this can be explored separately. In the process of teaching and learning the critical interpretation of the Quran, teachers and students interact with one another through different cultural capitals, which impact course climate and its contents, teachers-students’ relation and classroom delivery. The cultural capital teachers and students bring into class impacts the way they re-think different interpretations because they use it to maintain power and status, their actions are influenced by their deep founded and unconscious beliefs, and languages are used as a mechanism of power (Bourdieu, 1977).</w:t>
      </w:r>
    </w:p>
    <w:p w14:paraId="75F0F25F" w14:textId="77777777" w:rsidR="006846A5" w:rsidRPr="00C377C8" w:rsidRDefault="006846A5" w:rsidP="00461178">
      <w:pPr>
        <w:pStyle w:val="Heading3"/>
        <w:numPr>
          <w:ilvl w:val="2"/>
          <w:numId w:val="3"/>
        </w:numPr>
        <w:spacing w:line="360" w:lineRule="auto"/>
        <w:ind w:left="2268"/>
        <w:jc w:val="both"/>
        <w:rPr>
          <w:rFonts w:ascii="Times New Roman" w:hAnsi="Times New Roman" w:cs="Times New Roman"/>
          <w:sz w:val="24"/>
        </w:rPr>
      </w:pPr>
      <w:bookmarkStart w:id="25" w:name="_Toc83818639"/>
      <w:bookmarkStart w:id="26" w:name="_Toc96609051"/>
      <w:r w:rsidRPr="00C377C8">
        <w:rPr>
          <w:rFonts w:ascii="Times New Roman" w:hAnsi="Times New Roman" w:cs="Times New Roman"/>
          <w:sz w:val="24"/>
        </w:rPr>
        <w:t>Situational context (multilingual)</w:t>
      </w:r>
      <w:bookmarkEnd w:id="25"/>
      <w:bookmarkEnd w:id="26"/>
    </w:p>
    <w:p w14:paraId="378F2C8F" w14:textId="77777777"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Teaching and learning of the critical interpretation of the Quran takes place in multilingual classrooms, where multiple languages are used for teaching and learning (Edwards, 2012; Moosa, 2015; Zeeshan, 2017). This multilingual context is part and parcel of teaching and learning of the critical interpretation of the Quran, as it cannot be separated from it. Students immerse into the Quranic text, which is in Arabic; they generate ideas through morphological, syntactic, and contextual analyses and transfer their views and interpretation into English. After generating interpretations, they move to identify other people’s positions, arguments, and conclusions. They evaluate the evidence for different interpretations and weigh the different interpretations fairly. When they weigh different arguments, they again use a different text in Arabic. Thus, the situational context of the current study is multilingual classrooms, where students speak English, Arabic and most often Urdu, if they cannot speak English and speak Urdu as their first language. Those who speak Urdu have either immigrated from other European countries or Pakistan and India. They use these languages to maintain power and ideologies. </w:t>
      </w:r>
    </w:p>
    <w:p w14:paraId="0AAD4225" w14:textId="77777777"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These physical, social, cultural, and linguistic contexts are interlinked, they cannot be separated from one another and make a social field for the study. As Bourdieu (2011) stated, these social arrangements consist of multiple fields and have a significant impact on teachers and students’ actions in the process of interpretations, as teachers use multilingual contents, switch from Arabic to English and English to Arabic in the process of teaching, learning or giving feedback. Therefore, the focus of the current work is on multilingual contexts, but other contexts cannot be neglected due to social </w:t>
      </w:r>
      <w:r w:rsidRPr="00C377C8">
        <w:rPr>
          <w:rFonts w:ascii="Times New Roman" w:hAnsi="Times New Roman" w:cs="Times New Roman"/>
          <w:color w:val="000000" w:themeColor="text1"/>
          <w:sz w:val="24"/>
          <w:szCs w:val="24"/>
        </w:rPr>
        <w:lastRenderedPageBreak/>
        <w:t xml:space="preserve">arrangements and multi-dimensional capital. Hence, it is expected that the current study will make a valuable and a unique contribution to education and religious pedagogy because these contexts will be used to explain lived experiences and perspectives of research participants to understand the concept of effective teaching of the critical interpretation of the Quran. </w:t>
      </w:r>
    </w:p>
    <w:p w14:paraId="33CF30E7" w14:textId="77777777" w:rsidR="006846A5" w:rsidRPr="00C377C8" w:rsidRDefault="006846A5" w:rsidP="00461178">
      <w:pPr>
        <w:pStyle w:val="Heading2"/>
        <w:spacing w:line="360" w:lineRule="auto"/>
        <w:ind w:left="2268"/>
        <w:rPr>
          <w:sz w:val="24"/>
          <w:szCs w:val="24"/>
        </w:rPr>
      </w:pPr>
      <w:r w:rsidRPr="00C377C8">
        <w:rPr>
          <w:sz w:val="24"/>
          <w:szCs w:val="24"/>
        </w:rPr>
        <w:t xml:space="preserve"> </w:t>
      </w:r>
      <w:bookmarkStart w:id="27" w:name="_Toc83818640"/>
      <w:bookmarkStart w:id="28" w:name="_Toc96609052"/>
      <w:r w:rsidRPr="00C377C8">
        <w:rPr>
          <w:sz w:val="24"/>
          <w:szCs w:val="24"/>
        </w:rPr>
        <w:t>Justification for the study and its significance</w:t>
      </w:r>
      <w:bookmarkEnd w:id="27"/>
      <w:bookmarkEnd w:id="28"/>
    </w:p>
    <w:p w14:paraId="2E93CEE2" w14:textId="521D7361"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motivation for exploring the concept of effective teaching of the critical interpretation of the Quran is gleaned from both relevant existing literature [see literature review] and my personal experience of teaching the critical interpretation in multilingual classrooms. I conducted </w:t>
      </w:r>
      <w:r w:rsidR="00FA3F85" w:rsidRPr="00C377C8">
        <w:rPr>
          <w:rFonts w:ascii="Times New Roman" w:hAnsi="Times New Roman" w:cs="Times New Roman"/>
          <w:color w:val="000000" w:themeColor="text1"/>
          <w:sz w:val="24"/>
          <w:szCs w:val="24"/>
        </w:rPr>
        <w:t>detailed research of existing literature</w:t>
      </w:r>
      <w:r w:rsidRPr="00C377C8">
        <w:rPr>
          <w:rFonts w:ascii="Times New Roman" w:hAnsi="Times New Roman" w:cs="Times New Roman"/>
          <w:color w:val="000000" w:themeColor="text1"/>
          <w:sz w:val="24"/>
          <w:szCs w:val="24"/>
        </w:rPr>
        <w:t xml:space="preserve"> and found that classical scholars from the Middle East have focused more on Tafsir bil Mathur (Mawdūdī and Ḫān, 2010; Sayis and 'Umayrat, 2010; ʻUs̲mānī and Abdur Rehman, 2000) and principles of interpretation (Ibn Taymiyya and Ansari, 1414; Walīallāh ad-Dihlawī and Anṣārī, 1987) than on teaching of the critical interpretation of the Quran. Similarly, Western Muslim scholars have focused more on teaching basic Islamic studies or Quran Classes (Siddiqui, 2020), culture (Frenkel, 2008), and gender studies compared to teaching the critical interpretation of the Quran (Seedat, 2013). Further, Western academics have also investigated teaching of different subjects including mathematics, languages, and literature (Duncan, 1918; Sinai, 2017; Perrott, 2014) but have not researched the pedagogy of the interpretation of the Quran. The existing gap in the field of pedagogy of Tafsir highlights the importance of the current study. </w:t>
      </w:r>
    </w:p>
    <w:p w14:paraId="77747A15" w14:textId="77777777"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Speaking from personal experience, I have been teaching the critical interpretation of the Quran and Hadith (Islamic Prophetic traditions) since 2010 when I moved to the UK and started teaching at a faith-based institute. The classes I taught have always been diverse in language, culture, and age distribution. Some of the students spoke English as their first language, while others spoke Urdu, Mirpuri, and Punjabi. Likewise, some of the students were good at Arabic syntax and morphology, while others struggled with it. The institute expected me to teach the interpretation of the Quran in English whilst the source language of the Quran is Arabic. </w:t>
      </w:r>
    </w:p>
    <w:p w14:paraId="4A7C6A7E" w14:textId="77777777"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 started teaching as I was taught, referencing from one book, and then lecturing. Soon, I realised that students were losing interest. Therefore, I approached teachers working at other institutes to seek help, but they did not have any framework to support new or prospective teachers. The institute where I was working did not offer any teacher training or CPD opportunities. Eventually, I pursued a certificate in teaching and training; after gaining this qualification, I became a more confident and innovative </w:t>
      </w:r>
      <w:r w:rsidRPr="00C377C8">
        <w:rPr>
          <w:rFonts w:ascii="Times New Roman" w:hAnsi="Times New Roman" w:cs="Times New Roman"/>
          <w:color w:val="000000" w:themeColor="text1"/>
          <w:sz w:val="24"/>
          <w:szCs w:val="24"/>
        </w:rPr>
        <w:lastRenderedPageBreak/>
        <w:t>teacher. I also realised that students engaged more and showed a greater aptitude for learning. The existing support for new teachers drew my attention to a gap in teacher training and set the bases and initial thinking behind the current study. The reason for undertaking this research was the assumption that designing a teaching framework for critical interpretation of the Quran will enable teachers to improve their practice.</w:t>
      </w:r>
    </w:p>
    <w:p w14:paraId="220E4F26" w14:textId="77777777"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 Teaching of the interpretation of the Quran dates back to the sixth/seventh century AD, when Prophet Muhammad himself interpreted the text for the Companions. Ahzami (2017) explored the works of famous companions including Ali bin Talib, Abdullah bin Masood, Abdullah bin Abbas and Aisha binte Abi Bakr and concluded that they mainly relied on ‘traditions of the Prophet’, and sometimes ‘used their own opinions’ in the process of interpretation. Tabieen (successors of the companions) also used Ahadith and Aathar to interpret the Quran. Both companions’ and their successors’ work relied on the material handed down from the time of the Prophet Muhammad. Later, the interpreters started using a number of different approaches to explain the text including linguistic, legal and spiritual aspects. Waliullah and Ansari (2004, p. 45) categorised the interpreters of Quran into seven groups including Muhaditheen (specialists in Hadith), Mutakalimeen (dialectic theologians), Asuleyeen (Jurists), Nahvi (expert in literal and syntactic meanings), Udbah (literary), Qurrah (morphologists) and Sufis (spiritualists). </w:t>
      </w:r>
    </w:p>
    <w:p w14:paraId="19FF2373" w14:textId="77777777"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interpreters from these categories interpreted the Quran using different approaches, including theological, linguistic, and literary, but were criticised by traditionalists for embellishment, digressions, and distractions (Campanini and Higgitt, 2011). Abdul-Raof (2012) found that many interpretations like Jalalain employ several strategies, but their goal was still to explain immediate meanings of the Quranic text. Furthermore, Fakhry (2015) noted that most of the interpretive works were compiled in Arabic, Urdu or Persian, and only few interpretations have been translated to English. Mawdūdī and Ḫān (2010) further highlighted that many of the interpretive works were written during the pre-scientific revolution and did not explain scientific phenomenon and revelations. Lastly, the works on interpretation studies available in English are mainly just translations of exegesis written many years ago in different contexts and languages (Ali, 2010, p. 122). </w:t>
      </w:r>
    </w:p>
    <w:p w14:paraId="6BFFA08E" w14:textId="7A318A6B"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The works on the interpretation of the Quran in South Asia were mainly written after the 17th century and compiled in Persian, Urdu, Hindi, and Bengali. Prominent exegetes who worked on the interpretation of Quran include Ashraf Ali Thanvi (1943), Ubaidullah Sindhi 1964, Mawdudi (1971), Muhammad (1992), Sa’idi (2008), al-</w:t>
      </w:r>
      <w:r w:rsidRPr="00C377C8">
        <w:rPr>
          <w:rFonts w:ascii="Times New Roman" w:hAnsi="Times New Roman" w:cs="Times New Roman"/>
          <w:color w:val="000000" w:themeColor="text1"/>
          <w:sz w:val="24"/>
          <w:szCs w:val="24"/>
        </w:rPr>
        <w:lastRenderedPageBreak/>
        <w:t xml:space="preserve">Qadri, </w:t>
      </w:r>
      <w:r w:rsidR="00511C2C" w:rsidRPr="00C377C8">
        <w:rPr>
          <w:rFonts w:ascii="Times New Roman" w:hAnsi="Times New Roman" w:cs="Times New Roman"/>
          <w:color w:val="000000" w:themeColor="text1"/>
          <w:sz w:val="24"/>
          <w:szCs w:val="24"/>
        </w:rPr>
        <w:t>2018; Islahi</w:t>
      </w:r>
      <w:r w:rsidRPr="00C377C8">
        <w:rPr>
          <w:rFonts w:ascii="Times New Roman" w:hAnsi="Times New Roman" w:cs="Times New Roman"/>
          <w:color w:val="000000" w:themeColor="text1"/>
          <w:sz w:val="24"/>
          <w:szCs w:val="24"/>
        </w:rPr>
        <w:t xml:space="preserve"> (2019),). Thanvi’s ‘Bayaan-ul-Quran’ deals with theological issues. Shah (2010) and Islahi (2019) mostly responded to the objections posed by orientalists. Sa’idi ’s Tibyan ul-Quran (the explanation of the Quran) is a critical interpretation because he compared different interpreters' viewpoints and gave his views based on textual pieces of evidence. Mohammad (2018) adopted scientific and socio-cultural approaches in his work. </w:t>
      </w:r>
    </w:p>
    <w:p w14:paraId="48BF671D" w14:textId="77777777"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Some of the works mentioned above were translated into English and are now being used as ‘teaching and learning material’. However, the existing body of literature of Quranic exegesis and interpretation makes it clear that it deals with different types of interpretations; much of it was produced in different times and places and ignored the context in which people would eventually receive the text. These interpretive works are not linked to the pedagogy of the critical interpretation of the Quran. </w:t>
      </w:r>
    </w:p>
    <w:p w14:paraId="71E3A35E" w14:textId="77777777"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Many teachers use the “framework of Tafsir bil Mathoor’, an intertextual framework which is gleaned from other verses of Quran, Ahadith and works of companions. In my view, this framework is limited although it can be used as a model for measuring the validity of the interpretation. However, it does not enhance students’ critical thinking skills because it neglects both the local context and the readers’ role in interpreting the text. This is against the teachings of the Quran as the Quran invites people to reflect upon the universe and the signs of God.</w:t>
      </w:r>
    </w:p>
    <w:p w14:paraId="44FF3333" w14:textId="0875383E"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In contrast, research showed that teaching the New and the Old Testaments is an old established practice in the UK. Effective teaching of the Bible is defined as ‘students having an opportunity to explore life’s big questions or the teacher supporting students’ intellectual development through the text’ (Wilhoit and Ryken, 1988). In an effective teaching and learning environment, students have the necessary support to ‘crack the concepts behind the text and religious experience in the classroom’ (Cooling, 1994 p.148). Cantrell (2005) argued that only an effective teacher can ensure efficient teaching because ‘he believes what he teaches, he lives what he </w:t>
      </w:r>
      <w:r w:rsidR="006552F9" w:rsidRPr="00C377C8">
        <w:rPr>
          <w:rFonts w:ascii="Times New Roman" w:hAnsi="Times New Roman" w:cs="Times New Roman"/>
          <w:color w:val="000000" w:themeColor="text1"/>
          <w:sz w:val="24"/>
          <w:szCs w:val="24"/>
        </w:rPr>
        <w:t>teaches,</w:t>
      </w:r>
      <w:r w:rsidRPr="00C377C8">
        <w:rPr>
          <w:rFonts w:ascii="Times New Roman" w:hAnsi="Times New Roman" w:cs="Times New Roman"/>
          <w:color w:val="000000" w:themeColor="text1"/>
          <w:sz w:val="24"/>
          <w:szCs w:val="24"/>
        </w:rPr>
        <w:t xml:space="preserve"> and he has a goal to serve God’. Wilhoit and Ryken (2012, p. 32) and See (2015) prescribed lecturing, role play, dialogue, and discussion as effective teaching methods for developing students’ critical thinking skills. This brief overview of effective teaching of the Bible also illustrates that teaching the Bible is an established field, and Muslim academics and teachers can benefit from examining it. The current study can be considered as an extension to this field, by extending it to the Quran. </w:t>
      </w:r>
    </w:p>
    <w:p w14:paraId="0D5C14A8" w14:textId="77777777"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lastRenderedPageBreak/>
        <w:t xml:space="preserve">The above brief analysis of the background shows that teaching the critical interpretation of the Quran has been inadequately served by both interpreters of the Quranic text and educationists. This argument illustrates an ongoing need to explore this phenomenon further.  Reflective practice has increasingly become an area of exploration within academia, especially with raising educational standards leading to performance management and whole-school improvement planning (Zwozdiak-Myers, 2012). The current study will help to manage teaching and learning better, monitor teachers’ performance and arrange CPD courses for teachers. </w:t>
      </w:r>
    </w:p>
    <w:p w14:paraId="20911E71" w14:textId="77777777"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A body of research has emerged in recent decades, which captures the stories of teachers from different disciplines who strive to become effective practitioners (Clandinin and Connelly, 2004; Langer et al, 2017; Kuger, Jude and Kaplan, 2017), but little is known about the reflection of teachers and students who are involved in teaching and learning the critical interpretation of the Quran. Like other qualitative research on teachers’ and students’ accounts of effective teaching, the current study will benefit existing and new teachers in terms of modifying their teaching styles and enabling them to engage students in generating interpretation, identifying other interpreters’ positions, arguments and conclusions. Ultimately, effective teaching framework may help teachers to plan and deliver lessons more effectively. </w:t>
      </w:r>
    </w:p>
    <w:p w14:paraId="7A498B5F" w14:textId="77777777" w:rsidR="006846A5"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Finally, this study is socially and politically significant as there are around 40 faith-based institutions and colleges and more than four thousand Mosques in the UK, whereby there is a need of a framework for imams and teachers who teach the critical interpretation of the Quran to ensure effective teaching and students’ learning experiences enrichment. Critical thinking skills may enable students to respond better to challenging social, cultural, and political issues. Therefore, this study is highly significant from educational, social, and cultural perspectives.</w:t>
      </w:r>
    </w:p>
    <w:p w14:paraId="7274AFCC" w14:textId="77777777" w:rsidR="006846A5" w:rsidRPr="00C377C8" w:rsidRDefault="006846A5" w:rsidP="00461178">
      <w:pPr>
        <w:pStyle w:val="Heading2"/>
        <w:spacing w:line="360" w:lineRule="auto"/>
        <w:ind w:left="2268"/>
        <w:rPr>
          <w:sz w:val="24"/>
          <w:szCs w:val="24"/>
        </w:rPr>
      </w:pPr>
      <w:r w:rsidRPr="00C377C8">
        <w:rPr>
          <w:sz w:val="24"/>
          <w:szCs w:val="24"/>
        </w:rPr>
        <w:t xml:space="preserve"> </w:t>
      </w:r>
      <w:bookmarkStart w:id="29" w:name="_Toc83818641"/>
      <w:bookmarkStart w:id="30" w:name="_Toc96609053"/>
      <w:r w:rsidRPr="00C377C8">
        <w:rPr>
          <w:sz w:val="24"/>
          <w:szCs w:val="24"/>
        </w:rPr>
        <w:t>Conclusion</w:t>
      </w:r>
      <w:bookmarkEnd w:id="29"/>
      <w:bookmarkEnd w:id="30"/>
    </w:p>
    <w:p w14:paraId="018921B8" w14:textId="77777777" w:rsidR="00FC2D0A" w:rsidRPr="00C377C8" w:rsidRDefault="006846A5"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This chapter has provided an overview of the current study and explained the contexts in which the data was generated. Understanding the complexity of contexts, helped to develop research questions and select the right methodology for generating data using different methods of data collection. The research questions and overall objectives were discussed in detail followed by the importance and justification of the study. The following chapter provides a critique of the relevant literature on the interpretation of the Quran and its effective teaching and highlights the gap that the current study aims to fill.</w:t>
      </w:r>
    </w:p>
    <w:p w14:paraId="048DEDCF" w14:textId="77777777" w:rsidR="009719B8" w:rsidRPr="00C377C8" w:rsidRDefault="009719B8" w:rsidP="00461178">
      <w:pPr>
        <w:pStyle w:val="Heading1"/>
        <w:ind w:right="0"/>
      </w:pPr>
      <w:bookmarkStart w:id="31" w:name="_Toc83818642"/>
      <w:bookmarkStart w:id="32" w:name="_Toc96609054"/>
      <w:r w:rsidRPr="00C377C8">
        <w:lastRenderedPageBreak/>
        <w:t>Chapter 2 Literature Review</w:t>
      </w:r>
      <w:bookmarkEnd w:id="31"/>
      <w:bookmarkEnd w:id="32"/>
    </w:p>
    <w:p w14:paraId="53E8E1D1" w14:textId="77777777" w:rsidR="009719B8" w:rsidRPr="00C377C8" w:rsidRDefault="009719B8" w:rsidP="00461178">
      <w:pPr>
        <w:pStyle w:val="Heading2"/>
        <w:ind w:left="2268"/>
      </w:pPr>
      <w:bookmarkStart w:id="33" w:name="_Toc83818643"/>
      <w:bookmarkStart w:id="34" w:name="_Toc96609055"/>
      <w:r w:rsidRPr="00C377C8">
        <w:t>Introduction</w:t>
      </w:r>
      <w:bookmarkEnd w:id="33"/>
      <w:bookmarkEnd w:id="34"/>
    </w:p>
    <w:p w14:paraId="282BF1A9" w14:textId="77777777" w:rsidR="009719B8" w:rsidRPr="00C377C8" w:rsidRDefault="009719B8" w:rsidP="00461178">
      <w:pPr>
        <w:spacing w:line="48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This chapter presents a literature review and forms the basis for the current study. It helps to maximize the relevance and originality of the current study and informs my methodology. Teaching is considered a noble profession and has been hugely emphasised in the Quran and in the traditions of the prophet Muhammad. Thus, exploring ‘what makes teaching effective of the critical interpretation of the Quran’ is an important area of investigation. This section provides a brief historical background of teaching of the interpretation of the Quran, methodologies adopted by different people to interpret the Quran and their relevance to the current study, a critical overview of previous studies linked to teaching of critical interpretations and related areas, and finally draws the conclusion.</w:t>
      </w:r>
    </w:p>
    <w:p w14:paraId="38E2A388" w14:textId="77777777" w:rsidR="009719B8" w:rsidRPr="00C377C8" w:rsidRDefault="009719B8" w:rsidP="00461178">
      <w:pPr>
        <w:pStyle w:val="Heading2"/>
        <w:ind w:left="2268"/>
      </w:pPr>
      <w:r w:rsidRPr="00C377C8">
        <w:t xml:space="preserve"> </w:t>
      </w:r>
      <w:bookmarkStart w:id="35" w:name="_Toc83818644"/>
      <w:bookmarkStart w:id="36" w:name="_Toc96609056"/>
      <w:r w:rsidRPr="00C377C8">
        <w:t>Importance of teaching and learning in Islam</w:t>
      </w:r>
      <w:bookmarkEnd w:id="35"/>
      <w:bookmarkEnd w:id="36"/>
      <w:r w:rsidRPr="00C377C8">
        <w:t xml:space="preserve"> </w:t>
      </w:r>
    </w:p>
    <w:p w14:paraId="69A868A7"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Teaching is seen as a noble profession within Islam (Abdul-Raof, 2012). Research in Muslim scriptures found that the act of acquiring and imparting knowledge has been largely emphasised (Mawdudi, 1971; Ali, 2002; Saeed, 2014). Azhar (2019, p. 47) argued that Prophet Muhammad, the founder of Islam, has encouraged his followers to acquire knowledge and made its acquisition obligatory upon them. He quoted a hadith narrated by Ibn Masud, which stated that he has heard the messenger of Allah saying, “there is no envy except in two: a person whom God has given wealth and he spends it in the right way, and a person whom Allah has given wisdom and knowledge and he gives his decisions accordingly and teaches to other” (Bukhari, Hadith:1409). Furthermore, Prophet Muhammad (PBUH) valued and acknowledged ‘teachers of the Quran’. He said, “the best among you are those who learn and teach the Quran’ (Bukhari, Hadith: 5027). He also motivated his companions to learn the Quran and teach it to others. The cousin of the messenger of Allah, Abdullah bin Abbas, was among the scholars of the companions. He was known as the explainer of the Quran. The Prophet (PBUH) invoked God for the benefit of Ibn Abbas “O Allah teach him fiqh in the religion and interpretation” (Albari, Volume 1, p. 205). </w:t>
      </w:r>
    </w:p>
    <w:p w14:paraId="7CC3BD1C"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lastRenderedPageBreak/>
        <w:t xml:space="preserve">Besides teachers, he also valued and acknowledged students and inspired them to understand and learn the interpretation of the Quran. He asserted, “O people! Knowledge only comes by learning and understanding only comes by seeking understanding. For whomever Allah intends good, He gives him/her understanding of the religion” (Al Mujam al Kabir, Hadith No :929). Muhammad’s sayings (Ahadith) and Quranic teachings have inspired and stimulated people at different times to excel in reading, memorising, and interpreting the Quran. However, despite the emphasis on teaching and learning, Muslim scholars and academics had little focus on the issues teachers face in different classrooms. </w:t>
      </w:r>
    </w:p>
    <w:p w14:paraId="7C3AD155" w14:textId="77777777" w:rsidR="009719B8" w:rsidRPr="00C377C8" w:rsidRDefault="009719B8" w:rsidP="00461178">
      <w:pPr>
        <w:pStyle w:val="Heading2"/>
        <w:ind w:left="2268"/>
      </w:pPr>
      <w:r w:rsidRPr="00C377C8">
        <w:t xml:space="preserve"> </w:t>
      </w:r>
      <w:bookmarkStart w:id="37" w:name="_Toc83818645"/>
      <w:bookmarkStart w:id="38" w:name="_Toc96609057"/>
      <w:r w:rsidRPr="00C377C8">
        <w:t>Introduction of the Quran</w:t>
      </w:r>
      <w:bookmarkEnd w:id="37"/>
      <w:bookmarkEnd w:id="38"/>
    </w:p>
    <w:p w14:paraId="777D94F3"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Quran is the Muslim scripture and the holy book. Muslims use the Quran as a fundamental source of guidance (McAuliffe et al., 2012). It was revealed to the Prophet Muhammad through the agency of angel Gabriel in the Arabian Peninsula in the early seventh century (Ahzami, 2017). The Quran was revealed partly in Makkah, and partly in Madina, Muhammad’s hometown, where he settled down after migration, and subsequently introduced the constitution and established the state of Madina (Asad, 2012; Ahmad, 2018). The Quran was revealed in Quraishi dialect, the language spoken in times of the Prophet Muhammad but intended for the whole of the humanity (Ahmad, 2018; Robinson, 2004). It has currently been translated into more than hundred languages. </w:t>
      </w:r>
    </w:p>
    <w:p w14:paraId="27C81DD9"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Muslims are expected to live their life according to the Quran as God said, “O those who believe follow Allah and follow the Messenger” (Quran, 4:59). Therefore, it has an enormous impact on their daily personal, social, political, and economic lives (Nouman, 2013, p. 121), and many Muslims seek guidance from the Quran in everyday life. Thus, the contents may include a range of issues that Muslims face in different times and spaces, from interpersonal to socio-political.</w:t>
      </w:r>
    </w:p>
    <w:p w14:paraId="432DD324" w14:textId="77777777" w:rsidR="009719B8" w:rsidRPr="00C377C8" w:rsidRDefault="009719B8" w:rsidP="00461178">
      <w:pPr>
        <w:pStyle w:val="Heading2"/>
        <w:ind w:left="2268"/>
      </w:pPr>
      <w:r w:rsidRPr="00C377C8">
        <w:t xml:space="preserve"> </w:t>
      </w:r>
      <w:bookmarkStart w:id="39" w:name="_Toc83818646"/>
      <w:bookmarkStart w:id="40" w:name="_Toc96609058"/>
      <w:r w:rsidRPr="00C377C8">
        <w:t>The Quranic text: understanding form and function</w:t>
      </w:r>
      <w:bookmarkEnd w:id="39"/>
      <w:bookmarkEnd w:id="40"/>
    </w:p>
    <w:p w14:paraId="5009E697" w14:textId="13704A5C" w:rsidR="009719B8" w:rsidRPr="00C377C8" w:rsidRDefault="009719B8" w:rsidP="00461178">
      <w:pPr>
        <w:spacing w:line="48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Muslim scholars emphasise understanding the form and functions of Quranic text in order to generate interpretations or critically analyse different interpretations (Sa’idi, 2014; Sardar; 2018 and Islahi,2019) and they combine micro, meso and macro –level interpretation. At micro level, students analyse lexical item by looking at their form and functions. For example, in Arabic, words are categorised into three types: Asmaa </w:t>
      </w:r>
      <w:r w:rsidRPr="00C377C8">
        <w:rPr>
          <w:rFonts w:ascii="Times New Roman" w:hAnsi="Times New Roman" w:cs="Times New Roman"/>
          <w:color w:val="000000" w:themeColor="text1"/>
          <w:sz w:val="24"/>
          <w:szCs w:val="24"/>
        </w:rPr>
        <w:lastRenderedPageBreak/>
        <w:t xml:space="preserve">(nouns), Afaal (verbs) and Huroof (words, which do not have meanings on their own, but become meaningful in context) (Zafar, 2017). This is quite different to English, which is used as a target language, as English words are categorised into nouns, pronouns, adjectives, verbs, adverbs, prepositions, interjections, and conjunctions (Muhammad, 1992; Rosset, 2003). The difficulty lies, because what is adjective in English, is treated noun in Arabic. This causes a lot of difficult for those students who have to generate ideas from one language to the other. Meso-level involves studying the target audience. At the macro level, students are concerned with intertextual elements and </w:t>
      </w:r>
      <w:r w:rsidR="00E61523" w:rsidRPr="00C377C8">
        <w:rPr>
          <w:rFonts w:ascii="Times New Roman" w:hAnsi="Times New Roman" w:cs="Times New Roman"/>
          <w:color w:val="000000" w:themeColor="text1"/>
          <w:sz w:val="24"/>
          <w:szCs w:val="24"/>
        </w:rPr>
        <w:t>consider</w:t>
      </w:r>
      <w:r w:rsidRPr="00C377C8">
        <w:rPr>
          <w:rFonts w:ascii="Times New Roman" w:hAnsi="Times New Roman" w:cs="Times New Roman"/>
          <w:color w:val="000000" w:themeColor="text1"/>
          <w:sz w:val="24"/>
          <w:szCs w:val="24"/>
        </w:rPr>
        <w:t xml:space="preserve"> the broad socio-cultural contexts that are affecting the interpretations of the Quran (Alvesson and Karreman, 2000). </w:t>
      </w:r>
    </w:p>
    <w:p w14:paraId="26E018E1" w14:textId="77777777" w:rsidR="009719B8" w:rsidRPr="00C377C8" w:rsidRDefault="009719B8" w:rsidP="00461178">
      <w:pPr>
        <w:spacing w:line="48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When the Quran was revealed, Prophet Muhammad (PBUH) used to recite it to companions and instruct them to write (Mawdudi, 2004, Vol.1, p. 13), but the focus was never on understanding forms and functions of different words (Nunn, 2013). It was recited orally and written down on objects such as bones, stokes, and leather to preserve its text and explained if there were any difficulties in understanding it (Sardar, 2012). As Mohammad (2015) argued, understanding the form and the function of Quranic text became important for interpretation when Islam expanded to non-Arabic speaking communities who endeavoured to interpret Quran in their own languages, which was not possible without understanding forms and functions of different words. </w:t>
      </w:r>
    </w:p>
    <w:p w14:paraId="7E274A66" w14:textId="77777777" w:rsidR="009719B8" w:rsidRPr="00C377C8" w:rsidRDefault="009719B8" w:rsidP="00461178">
      <w:pPr>
        <w:spacing w:line="48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Furthermore, Ahmad (2019) argued that local accents started to affect the form of different words, and Omer (RA), the second Caliph, was concerned about the loss of the form of the Quran and persuaded Abu Bakr (RA) to preserve it, which was later completed in times of Usman (RA). Ahmad (2019, p. 72) and Farooq (2007, p. 121) stated that if Usman (RA) had not acted timely, the form and the structure of the Quran might have changed, as happened with the Bible and Torah. </w:t>
      </w:r>
    </w:p>
    <w:p w14:paraId="445E2304" w14:textId="77777777" w:rsidR="009719B8" w:rsidRPr="00C377C8" w:rsidRDefault="009719B8" w:rsidP="00461178">
      <w:pPr>
        <w:spacing w:line="48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lastRenderedPageBreak/>
        <w:t xml:space="preserve">Further to different words and phrases, understanding syntax of the Quranic verses is equally important in the process of interpretation. Existing works highlighted that the Quran is not a chronological book, and the reader should not expect a sequential narrative such as book of Genesis (Muhammad, 1992; Sardar, 2012). The structure of the Quran varies from verse to verse and chapter to chapter (Ahmad, 2019, p. 19). The longest chapter consists of 286 verses (Chapter 2), and the shortest chapter consists of three (Chapter 108). Similarly, a verse can consist of one or two letters (Huruf–Muqqtiat), whereas the longest verse contains ten sentences (Robinson, 2004, p. 162). Therefore, understanding form and structure of the Quran helps the reader to interpret the Quran, or critically analyse the interpretations of the Quran generated by other scholars. al-Saawi (2017) stated that understanding form and syntax of the Arabic language is essential for understanding the meanings of the Quran. </w:t>
      </w:r>
    </w:p>
    <w:p w14:paraId="6A7222F2" w14:textId="77777777" w:rsidR="009719B8" w:rsidRPr="00C377C8" w:rsidRDefault="009719B8" w:rsidP="00461178">
      <w:pPr>
        <w:spacing w:line="48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Moreover, in order to understand the function of different verses, students should have a good understanding of context, as the Quran’s chapters are classified as Makkan and Medinan depending on whether the chapter was revealed during the Prophet’s stay in Makkah, or after his immigration to Madina (Zaidi, 2004). However, it was found that there are no hard and fast rules, as many verses, which were revealed in Makkah, were made part of the Medinan chapters by the Prophet of God (Saeed, 2014; Muhammad, 2018; Zarzour, 2020). This inter-contextuality causes a barrier to novice readers in understanding the function of different verses of the Quran (Sayyuti, 2017). Furthermore, Salma (2004, p. 12) categorised verses of the Quran into three types based on the hadith Jibrail: Iman (verses linked with the beliefs), Islam (verses related to the five pillars of Islam) and Ehsan (verses linked to manners and spirituality). He argued that some contents of the Quran advocate beliefs about God, Prophets, and the world hereafter; others deal with Islamic pillars, matrimonial, and economic affairs; while others relate to personal, moral, and spiritual development. Similarly, many narratives of earlier Prophets and their communities, historical events in the time of </w:t>
      </w:r>
      <w:r w:rsidRPr="00C377C8">
        <w:rPr>
          <w:rFonts w:ascii="Times New Roman" w:hAnsi="Times New Roman" w:cs="Times New Roman"/>
          <w:color w:val="000000" w:themeColor="text1"/>
          <w:sz w:val="24"/>
          <w:szCs w:val="24"/>
        </w:rPr>
        <w:lastRenderedPageBreak/>
        <w:t xml:space="preserve">Prophet and Prophets before him also appear in detail (Khan, 2010). Sardar (2012) proposed that many verses of the Quran dealt with identity, power, and jihad. Similarly, gender roles, responsibilities, and rights are also part of the Quran (Saeed, 2014). </w:t>
      </w:r>
    </w:p>
    <w:p w14:paraId="37B39D98" w14:textId="77777777" w:rsidR="009719B8" w:rsidRPr="00C377C8" w:rsidRDefault="009719B8" w:rsidP="00461178">
      <w:pPr>
        <w:spacing w:line="48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Muslims look up to the Quran to find solutions for simple and complex theological and political conflicts (Ramadan, 2009). The Quran introduces itself as a book of guidance, which is why Muslims use it as the first source of argument (Maudūdī, Anṣārī and Muḥammad, 2010). Prophet Muhammad also stated: “I am leaving two things among you. You will never be lost as long as you follow them. They are the Quran and my Sunnah” (Sahih Muslim, Hadith: 2408). Therefore, people have motivation to understand and interpret the Quran for a fulfilment of religious duties. Soon, the correct interpretation of the Quran became the focus of Muslim scholars and a particular branch called Tafsir (Interpretation). With changing societies, the Quran's interpreters have been accommodating new ideas in their understanding of the Quran and its guidance for Muslim communities (Hidayatullah, A., 2014). With this view in mind, the current study is highly significant, because the findings will help us understand the barriers teachers and students face in the process of the Quran’s interpretation. In short, the function of the verses of the Quran keeps move from faith to practice.</w:t>
      </w:r>
    </w:p>
    <w:p w14:paraId="00B1977B" w14:textId="77777777" w:rsidR="009719B8" w:rsidRPr="00C377C8" w:rsidRDefault="009719B8" w:rsidP="00461178">
      <w:pPr>
        <w:pStyle w:val="Heading2"/>
        <w:ind w:left="2268"/>
      </w:pPr>
      <w:r w:rsidRPr="00C377C8">
        <w:t xml:space="preserve"> </w:t>
      </w:r>
      <w:bookmarkStart w:id="41" w:name="_Toc83818647"/>
      <w:bookmarkStart w:id="42" w:name="_Toc96609059"/>
      <w:r w:rsidRPr="00C377C8">
        <w:t>About the course</w:t>
      </w:r>
      <w:bookmarkEnd w:id="41"/>
      <w:bookmarkEnd w:id="42"/>
      <w:r w:rsidRPr="00C377C8">
        <w:t xml:space="preserve"> </w:t>
      </w:r>
    </w:p>
    <w:p w14:paraId="380CF332"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color w:val="000000" w:themeColor="text1"/>
        </w:rPr>
        <w:t xml:space="preserve"> </w:t>
      </w:r>
      <w:r w:rsidRPr="00C377C8">
        <w:rPr>
          <w:rFonts w:ascii="Times New Roman" w:hAnsi="Times New Roman" w:cs="Times New Roman"/>
          <w:color w:val="000000" w:themeColor="text1"/>
          <w:sz w:val="24"/>
          <w:szCs w:val="24"/>
        </w:rPr>
        <w:t xml:space="preserve">The critical interpretation of the Quran is one of the core subjects in Dars-e-Nizami. A lot was written on the ultimate goal of Dars-e-Nizami, which is to produce Muslim scholars and community leaders (Miftahi, 2015).  Based on my own experience of learning and teaching, students, throughout their learning of the critical interpretation of the Quran, are ideally introduced to a wide range of subjects and critical skills that are essential for studying meanings of the Quran. Students are taught Arabic language including morphology, syntax, rhetoric, Hadith, history and principles of interpretations of Quran and Hadith. In the Dars-e-Nizami, most attention is given to </w:t>
      </w:r>
      <w:r w:rsidRPr="00C377C8">
        <w:rPr>
          <w:rFonts w:ascii="Times New Roman" w:hAnsi="Times New Roman" w:cs="Times New Roman"/>
          <w:color w:val="000000" w:themeColor="text1"/>
          <w:sz w:val="24"/>
          <w:szCs w:val="24"/>
        </w:rPr>
        <w:lastRenderedPageBreak/>
        <w:t xml:space="preserve">Arabic language so that students can identify different forms of words and phrases in the Quran. In Nahv (Syntax), they learn how words and phrases are organised to convey complete sense. Moreover, they are taught about how syntactic change results in semantic changes. On the re-thinking pathway, students should ideally learn skills to compare different interpretations produced by different authors in different times and regions. Furthermore, students should learn how to contrast different arguments that different interpreters used to support their ideas. </w:t>
      </w:r>
    </w:p>
    <w:p w14:paraId="63DA90C4"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Students are often assessed twice in each semester, but this may differ from institute to institute. During the assessment, students are given different tasks to complete, such as recognition of different words and phrases, translation from Arabic to English or any other target language, and critical analysis of different verses of the Quran. As I could not find much written evidence about the purpose of the course, I assume that it varies depending on the part of the world it is taught in, the type of education system in which both students and teachers are engaged, and the person teaching. This is an important point, because an effective teacher prepares their activities in light of institute policies, students’ needs and teacher’s own ethos. The contents of the course of the “critical interpretation of the Quran” also vary across different institutions. For example, Tafsir e Jalalayan and Tafsir Badawi are taught in most institutions. These are briefly introduced below.</w:t>
      </w:r>
    </w:p>
    <w:p w14:paraId="52F09F12" w14:textId="77777777" w:rsidR="009719B8" w:rsidRPr="00C377C8" w:rsidRDefault="009719B8" w:rsidP="00461178">
      <w:pPr>
        <w:pStyle w:val="Heading3"/>
        <w:numPr>
          <w:ilvl w:val="2"/>
          <w:numId w:val="3"/>
        </w:numPr>
        <w:spacing w:line="360" w:lineRule="auto"/>
        <w:ind w:left="2268"/>
        <w:jc w:val="both"/>
        <w:rPr>
          <w:rFonts w:ascii="Times New Roman" w:hAnsi="Times New Roman" w:cs="Times New Roman"/>
        </w:rPr>
      </w:pPr>
      <w:bookmarkStart w:id="43" w:name="_Toc83818648"/>
      <w:bookmarkStart w:id="44" w:name="_Toc96609060"/>
      <w:r w:rsidRPr="00C377C8">
        <w:rPr>
          <w:rFonts w:ascii="Times New Roman" w:hAnsi="Times New Roman" w:cs="Times New Roman"/>
        </w:rPr>
        <w:t>Introduction to Badawi</w:t>
      </w:r>
      <w:bookmarkEnd w:id="43"/>
      <w:bookmarkEnd w:id="44"/>
      <w:r w:rsidRPr="00C377C8">
        <w:rPr>
          <w:rFonts w:ascii="Times New Roman" w:hAnsi="Times New Roman" w:cs="Times New Roman"/>
        </w:rPr>
        <w:t xml:space="preserve"> </w:t>
      </w:r>
    </w:p>
    <w:p w14:paraId="741356A5"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Abdullah’s Badawi is a famous book of Tafsir and is an essential part of Dars-e-Nizami curriculum. This book discusses the Quran’s verses using Hadith and Sunnah, as well as its literal and metaphorical meanings, philosophical arguments, it elaborates on different recital patterns and methods, intellectual and rational arguments, and purpose of revelation. Raza and Abdusamad (2015) stated about Badawi: </w:t>
      </w:r>
    </w:p>
    <w:p w14:paraId="24EFE15E"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“It is a magnificent piece of writing, and beyond human endeavour of appreciation. He has relied on Tafsir Kashshaf while discussing denotative and connotative meanings, while discussing wisdom behind different revelations, he relied on Tafsir Kabir, and for morphological and syntactic discussion, he relied on Asfahani’work”.  </w:t>
      </w:r>
    </w:p>
    <w:p w14:paraId="21A59C81"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main characteristic of Tafsir e Badawi is that it is an embodiment of Tafsir bil Mathur (intertextual) and Tafsir Bil Rae (interpretation based on reason). On the one hand, Badawi uses intertextual arguments when explaining different verses. On the other hand, he uses his own derivational skills. Furthermore, he avoids quoting other </w:t>
      </w:r>
      <w:r w:rsidRPr="00C377C8">
        <w:rPr>
          <w:rFonts w:ascii="Times New Roman" w:hAnsi="Times New Roman" w:cs="Times New Roman"/>
          <w:color w:val="000000" w:themeColor="text1"/>
          <w:sz w:val="24"/>
          <w:szCs w:val="24"/>
        </w:rPr>
        <w:lastRenderedPageBreak/>
        <w:t xml:space="preserve">scriptures but relies more on his own intellectual argument. He seems to be influenced by Imam Shafi in fiqh issues. </w:t>
      </w:r>
    </w:p>
    <w:p w14:paraId="6971D408"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Yet, Badawi has been criticised; for example, scholars such as Ibn Tamiya argued that it quoted weak Ahadith when discussing prophets’ attributes. However, Ghulam (2012) argued that within the principles of Ahadith, weak Ahadith can be used in these discussions. Another objection claimed that Badawi was influenced by Muh’tazilah and Greek philosophy (Raza and Abdussamad, 2015, p. 130). </w:t>
      </w:r>
    </w:p>
    <w:p w14:paraId="4EE02892" w14:textId="77777777" w:rsidR="009719B8" w:rsidRPr="00C377C8" w:rsidRDefault="009719B8" w:rsidP="00461178">
      <w:pPr>
        <w:pStyle w:val="Heading3"/>
        <w:numPr>
          <w:ilvl w:val="2"/>
          <w:numId w:val="3"/>
        </w:numPr>
        <w:spacing w:line="360" w:lineRule="auto"/>
        <w:ind w:left="2268"/>
        <w:jc w:val="both"/>
        <w:rPr>
          <w:rFonts w:ascii="Times New Roman" w:hAnsi="Times New Roman" w:cs="Times New Roman"/>
        </w:rPr>
      </w:pPr>
      <w:bookmarkStart w:id="45" w:name="_Toc83818649"/>
      <w:bookmarkStart w:id="46" w:name="_Toc96609061"/>
      <w:r w:rsidRPr="00C377C8">
        <w:rPr>
          <w:rFonts w:ascii="Times New Roman" w:hAnsi="Times New Roman" w:cs="Times New Roman"/>
        </w:rPr>
        <w:t>Introduction to tafsir Jalalayn</w:t>
      </w:r>
      <w:bookmarkEnd w:id="45"/>
      <w:bookmarkEnd w:id="46"/>
    </w:p>
    <w:p w14:paraId="088157F0"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Tafsir of two Jalal (al-Jalalayn) is a fifteenth century tafsir written by two Egyptian scholars of the Shafi-Mazhab, Jalal al-Din Mohammad bin Ahmad al-Mahali and his student Jalal al Din Abdul Rehman bin Abi Bakar al-Suyuti. It is another recommended book, which is taught within the Dars-e-Nizami curriculum. The Tafsir al-Jalalayn is usually categorised as an intertextual interpretation, mostly relying on other verses of the Quran and traditions from the Prophet Mohammad (PBUH). However, authors used several different approaches including linguistic analysis, legal, and sharia commentary. They relied on Shafi Mazhab when explaining legal or sharia issues within the text. Furthermore, Rasool (2014) identified that the two Jalals also shed light on “the occasions of the revelation” to contextualise the text. Akram (2011) argued that it also indicated which verses are abrogated, and which verses abrogate. Islahi (1994) revealed that the Tafsir noted different “Qirat” and readings, and briefly discussed their divergent emphasis on the reader. In short, the overall goal of this tafsir is to help readers understand the immediate meanings of the Quran, free from digressions, distractions, embellishment or superfluousness (Hamza, 2012). </w:t>
      </w:r>
    </w:p>
    <w:p w14:paraId="65173F11"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It is important to note that the English translation of Jalalayn is available, but no translation of Badawi was found. The general practice of Muslim teachers is that they use Arabic text of these interpretations in order to build students’ critical and linguistic skills in their discussions. Therefore, the current study will fill the gap by exploring teachers’ and students’ views on effective teaching of the critical interpretation of the Quran. </w:t>
      </w:r>
    </w:p>
    <w:p w14:paraId="47DB67CF" w14:textId="77777777" w:rsidR="009719B8" w:rsidRPr="00C377C8" w:rsidRDefault="009719B8" w:rsidP="00461178">
      <w:pPr>
        <w:pStyle w:val="Heading2"/>
        <w:spacing w:line="360" w:lineRule="auto"/>
        <w:ind w:left="2268"/>
      </w:pPr>
      <w:bookmarkStart w:id="47" w:name="_Toc83818650"/>
      <w:bookmarkStart w:id="48" w:name="_Toc96609062"/>
      <w:r w:rsidRPr="00C377C8">
        <w:t>Difference between the interpretation of the Quran and the critical interpretation of the Quran</w:t>
      </w:r>
      <w:bookmarkEnd w:id="47"/>
      <w:bookmarkEnd w:id="48"/>
    </w:p>
    <w:p w14:paraId="472A5AF9"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Many books exist that outline the difference between Tafsir and Tawil. Morphologically speaking and as Al-Akk (1986, p. 23) pointed out, the word ‘tafsir’ </w:t>
      </w:r>
      <w:r w:rsidRPr="00C377C8">
        <w:rPr>
          <w:rFonts w:ascii="Times New Roman" w:hAnsi="Times New Roman" w:cs="Times New Roman"/>
          <w:color w:val="000000" w:themeColor="text1"/>
          <w:sz w:val="24"/>
          <w:szCs w:val="24"/>
        </w:rPr>
        <w:lastRenderedPageBreak/>
        <w:t xml:space="preserve">comes from the root word ‘fassara’ meaning ‘to expound’ or ‘to explain’. Similarly, in terms of critical interpretation, al-Zamakhshari (1988, p. 11) stated that the word ‘tafsir’ is related to the word ‘tafsirah’ meaning ‘an investigation into the given matter’. Linguistically speaking, the word tafsir is a noun derived from the verb ‘safara’, which means ‘to expose’ or ‘uncover’ (al-Asqalani, 1982, p. 23). In short, the word ‘tafsir’ signifies clarification, elucidation, and elaboration. </w:t>
      </w:r>
    </w:p>
    <w:p w14:paraId="3EF0D614"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It can be argued that interpretation is also referred to as ‘ta ‘wil’, which is controversial among academics because it has acquired a double-edged meaning (Adul-Raof, 2015). Linguistically speaking, the term ‘ta ‘wil’ is derived from the verb ‘a’la’, which means ‘to return to something’ (al-Zarkashi, 1988, p. 15). Semantically speaking, it refers to the analysis of the significance of the Qur’anic lexical items through hypothetical evidence (al-Zamakhshari, 1988). Thus, an interpreter ignores literal or denotative meanings of the word but prefers connotative meanings based on probability. However, al-Tabri (d. 310/927) and al-Maturidi (d.333/944) have used these terms interchangeably. </w:t>
      </w:r>
    </w:p>
    <w:p w14:paraId="38518C04"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Academic differ in terms of their opinion on the relation between Tafsir and Ta’wil. Nahvi (207) and Tabri (839–923 AD) argued that they are synonyms but according to Maturidi (853-944), as Götz (1965) stated: “Ta’wil or critical interpretation of the Quran is to choose and prefer one meaning to the other”.  Al-Rumiy (2012) argued that determination of meanings of a Quranic verse by another verse and sayings of the Prophet are Tafsir; but, if the meanings are determined based on scholarly opinions, then it is known as Ta’wil. Saeed (2015) noted that the emergence of different political groups in the form of Mu’tazillah, the Kharjities, the Shiah or theological groups such as Qadariyya and Jabriyya intensified interpretation based on reason and identifying differences and similarities between different interpretations falls into the category of critical interpretation of the Quran. These political and theological groups used reason to interpret the Quran’s verses to support their agenda. Therefore, in studying critical interpretation of the Quran, students learn how to analyse different arguments and evidence that different interpreters use to support their chosen interpretation (Amir and Mohd Yusoff, 2017). Within Tafsir, they critically analyse different textual evidences different authors used to support their interpretations. Similarly, if the contents are taking from Rafsir bil Rai, they critically analyse socio-cultural and linguistic aspects in order to determine the reliability of an interpretation.  Additionally, they analyse the application of an interpretation in different socio-cultural contexts. </w:t>
      </w:r>
    </w:p>
    <w:p w14:paraId="2B754B9F" w14:textId="77777777" w:rsidR="009719B8" w:rsidRPr="00C377C8" w:rsidRDefault="009719B8" w:rsidP="00461178">
      <w:pPr>
        <w:pStyle w:val="Heading2"/>
        <w:spacing w:line="360" w:lineRule="auto"/>
        <w:ind w:left="2268"/>
      </w:pPr>
      <w:r w:rsidRPr="00C377C8">
        <w:lastRenderedPageBreak/>
        <w:t xml:space="preserve"> </w:t>
      </w:r>
      <w:bookmarkStart w:id="49" w:name="_Toc83818651"/>
      <w:bookmarkStart w:id="50" w:name="_Toc96609063"/>
      <w:r w:rsidRPr="00C377C8">
        <w:t>Sources of interpretation of the Quran</w:t>
      </w:r>
      <w:bookmarkEnd w:id="49"/>
      <w:bookmarkEnd w:id="50"/>
    </w:p>
    <w:p w14:paraId="4DE2E841"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Classical Islamic scholars developed some principles of interpretation based on the following hadith of Prophet Muhammad:</w:t>
      </w:r>
    </w:p>
    <w:p w14:paraId="14F4E91F"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حَدَّثَنَا حَفْصُ بْنُ عُمَرَ، عَنْ شُعْبَةَ، عَنْ أَبِي عَوْنٍ، عَنِ الْحَارِثِ بْنِ عَمْرِو بْنِ أَخِي الْمُغِيرَةِ بْنِ شُعْبَةَ، عَنْ أُنَاسٍ، مِنْ أَهْلِ حِمْصَ مِنْ أَصْحَابِ مُعَاذِ بْنِ جَبَلٍ أَنَّ رَسُولَ اللَّهِ صلى الله عليه وسلم لَمَّا أَرَادَ أَنْ يَبْعَثَ مُعَاذًا إِلَى الْيَمَنِ قَالَ ‏"‏ كَيْفَ تَقْضِي إِذَا عَرَضَ لَكَ قَضَاءٌ ‏"‏ ‏.‏ قَالَ أَقْضِي بِكِتَابِ اللَّهِ ‏.‏ قَالَ ‏"‏ فَإِنْ لَمْ تَجِدْ فِي كِتَابِ اللَّهِ ‏"‏ ‏.‏ قَالَ فَبِسُنَّةِ رَسُولِ اللَّهِ صلى الله عليه وسلم ‏.‏ قَالَ ‏"‏ فَإِنْ لَمْ تَجِدْ فِي سُنَّةِ رَسُولِ اللَّهِ صلى الله عليه وسلم وَلاَ فِي كِتَابِ اللَّهِ ‏"‏ ‏.‏ قَالَ أَجْتَهِدُ رَأْيِي وَلاَ آلُو ‏.‏ فَضَرَبَ رَسُولُ اللَّهِ صلى الله عليه وسلم صَدْرَهُ وَقَالَ ‏"‏ الْحَمْدُ لِلَّهِ الَّذِي وَفَّقَ رَسُولَ رَسُولِ اللَّهِ لِمَا يُرْضِي رَسُولَ اللَّهِ ‏"‏ ‏</w:t>
      </w:r>
    </w:p>
    <w:p w14:paraId="12A00622"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p>
    <w:p w14:paraId="2017FEDA"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When the Messenger of Allah intended to send Mu'adh ibn Jabal to Yemen, he (PBUH) asked: “How will you judge between the people on any issue?” Mu’adh said: “I shall judge in the light of the book of Allah (Quran)”. The Messenger asked: “what if you do not find it in the book of Allah”? Mu’adh said: “(I will decide) in the light of the Sunnah of the Messenger of Allah”. The Messenger asked: “What if you do not find it in the Sunnah of the Messenger of Allah and in Allah's Book?” Mu’adh replied: “I shall do my best to form an opinion, and I shall spare no effort”. The Messenger of Allah then patted him on the chest and reassured him: “Praise be to Allah who has helped the messenger of the Messenger of Allah to answers which please the Messenger of Allah” (Sunan Abi Dawud, 3592). </w:t>
      </w:r>
    </w:p>
    <w:p w14:paraId="5398A306"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above hadith illustrates that Prophet Muhammad inspired Mu’adh to help and support people using Quran, hadith, and personal opinion when giving rulings about anything but to use reason if something is not found in the Quran and Sunnah. Therefore, intertextual interpreters use this hadith as a framework when interpreting the Quran and use the following methodology when they interpret the Quran. </w:t>
      </w:r>
    </w:p>
    <w:p w14:paraId="21B2EF01" w14:textId="77777777" w:rsidR="009719B8" w:rsidRPr="00C377C8" w:rsidRDefault="009719B8" w:rsidP="00461178">
      <w:pPr>
        <w:pStyle w:val="Heading3"/>
        <w:numPr>
          <w:ilvl w:val="2"/>
          <w:numId w:val="3"/>
        </w:numPr>
        <w:spacing w:line="360" w:lineRule="auto"/>
        <w:ind w:left="2268"/>
        <w:jc w:val="both"/>
        <w:rPr>
          <w:rFonts w:ascii="Times New Roman" w:hAnsi="Times New Roman" w:cs="Times New Roman"/>
        </w:rPr>
      </w:pPr>
      <w:bookmarkStart w:id="51" w:name="_Toc83818652"/>
      <w:bookmarkStart w:id="52" w:name="_Toc96609064"/>
      <w:r w:rsidRPr="00C377C8">
        <w:rPr>
          <w:rFonts w:ascii="Times New Roman" w:hAnsi="Times New Roman" w:cs="Times New Roman"/>
        </w:rPr>
        <w:t>Interpretation of the Quran through the Quran</w:t>
      </w:r>
      <w:bookmarkEnd w:id="51"/>
      <w:bookmarkEnd w:id="52"/>
    </w:p>
    <w:p w14:paraId="6887BA53"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above-mentioned hadith from Abu Dawud illustrates that the first tool or source of interpretation is the Quran itself, then the Hadith, and then the opinion of the companions. Mawdudi (1996, p. 21) and Saeedi (2014) argued that the best method of understanding the Quran is to "understand the Quran through the Quran" as “what is mentioned in general terms in one place in the Quran, is usually explained in another place”. Wild (1996, p.89) also referred to the Quran as "the most meta-textual and most self-referential holy text”. Saleh (2004) concluded that “there is no other holy </w:t>
      </w:r>
      <w:r w:rsidRPr="00C377C8">
        <w:rPr>
          <w:rFonts w:ascii="Times New Roman" w:hAnsi="Times New Roman" w:cs="Times New Roman"/>
          <w:color w:val="000000" w:themeColor="text1"/>
          <w:sz w:val="24"/>
          <w:szCs w:val="24"/>
        </w:rPr>
        <w:lastRenderedPageBreak/>
        <w:t xml:space="preserve">book”, which draws back on itself for explanation as often. As the Quran was revealed in the 7th century, it is important to understand what the text meant back then, although teachers will have to relate it with the communities that students come from to enable them to understand what the text means now. </w:t>
      </w:r>
    </w:p>
    <w:p w14:paraId="3A03EE80" w14:textId="77777777" w:rsidR="009719B8" w:rsidRPr="00C377C8" w:rsidRDefault="009719B8" w:rsidP="00461178">
      <w:pPr>
        <w:pStyle w:val="Heading3"/>
        <w:numPr>
          <w:ilvl w:val="2"/>
          <w:numId w:val="3"/>
        </w:numPr>
        <w:spacing w:line="360" w:lineRule="auto"/>
        <w:ind w:left="2268"/>
        <w:jc w:val="both"/>
        <w:rPr>
          <w:rFonts w:ascii="Times New Roman" w:hAnsi="Times New Roman" w:cs="Times New Roman"/>
        </w:rPr>
      </w:pPr>
      <w:bookmarkStart w:id="53" w:name="_Toc83818653"/>
      <w:bookmarkStart w:id="54" w:name="_Toc96609065"/>
      <w:r w:rsidRPr="00C377C8">
        <w:rPr>
          <w:rFonts w:ascii="Times New Roman" w:hAnsi="Times New Roman" w:cs="Times New Roman"/>
        </w:rPr>
        <w:t>Interpretation of the Quran through Ahadith</w:t>
      </w:r>
      <w:bookmarkEnd w:id="53"/>
      <w:bookmarkEnd w:id="54"/>
      <w:r w:rsidRPr="00C377C8">
        <w:rPr>
          <w:rFonts w:ascii="Times New Roman" w:hAnsi="Times New Roman" w:cs="Times New Roman"/>
        </w:rPr>
        <w:t xml:space="preserve"> </w:t>
      </w:r>
    </w:p>
    <w:p w14:paraId="43E17100"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second tool used for the Quran’s interpretation is the “Sunnah or Hadith: the sayings and doings of the Prophets", since Wahid ud din (2011, p. 65) argued that the God gave Prophet Muhammad (PBUH) a role of the interpreter. In order to support his argument, he quoted a verse from the Quran: "Surely, And We have not sent down the book to you (O Muhammad), except that you may explain clearly unto them those things in which they differ and as a guidance and a mercy for a folk who believe (16:64). The scholars agreed that the first exegete of the Quran is Prophet Muhammad (PBUH) who explained the unclear passages to his companions (Ghulam, 2014, p. 123; Mawdudi, 1996; Mohammad, 2016, p. 46). Abdul-Raof (2012) revealed that Prophet Muhammad has not explained the whole text of the Quran for multiple reasons: some verses were self-explanatory, the companions also witnessed events taking place in their time, and the Quran was also revealed in their language. Sardar (2018, p. 21) said that the Sunnah is also a revelation from Allah as much as the Quran, although the Sunnah is not recited as the Quran. However, the Quran’s interpretation is not limited to Prophet Muhammad (PBUH), as the Quran inspires readers to constantly reflect and analyse the Quran’s verses and this notion has been challenged by female scholars including Mernissi, and Lakeland (2006). </w:t>
      </w:r>
    </w:p>
    <w:p w14:paraId="3AB8F84C" w14:textId="77777777" w:rsidR="009719B8" w:rsidRPr="00C377C8" w:rsidRDefault="009719B8" w:rsidP="00461178">
      <w:pPr>
        <w:pStyle w:val="Heading3"/>
        <w:numPr>
          <w:ilvl w:val="2"/>
          <w:numId w:val="3"/>
        </w:numPr>
        <w:spacing w:line="360" w:lineRule="auto"/>
        <w:ind w:left="2268"/>
        <w:jc w:val="both"/>
        <w:rPr>
          <w:rFonts w:ascii="Times New Roman" w:hAnsi="Times New Roman" w:cs="Times New Roman"/>
        </w:rPr>
      </w:pPr>
      <w:bookmarkStart w:id="55" w:name="_Toc83818654"/>
      <w:bookmarkStart w:id="56" w:name="_Toc96609066"/>
      <w:r w:rsidRPr="00C377C8">
        <w:rPr>
          <w:rFonts w:ascii="Times New Roman" w:hAnsi="Times New Roman" w:cs="Times New Roman"/>
        </w:rPr>
        <w:t>Interpretation of the Quran through the companions’ sayings</w:t>
      </w:r>
      <w:bookmarkEnd w:id="55"/>
      <w:bookmarkEnd w:id="56"/>
    </w:p>
    <w:p w14:paraId="651A59A4"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The third tool of the Quran’s interpretation is "the statements of the companions" (Mohammad, 2015), as their opinions are also a reliable source in the process of interpretation. As Abdul-Raof (2012), Mohammad (2015) and Javed (2017) pointed out, the companions witnessed the revelation, incidents and occurrences in the life of the Prophet; moreover, the Quran was revealed in their language; finally, they did not employ a hypothetical opinion. Shah (1996, p.77) stated that “the companions were the most knowledgeable in interpretation for they witnessed those situations and incidents that we did not”. However, as Javed (2017) said, our world has changed and the Quran itself invites people to reflect, think and use reason to understand the text of the Quran. Israr (2002) pointed out that if one wants to understand theological issues, then this is the best way, but if one wants to interpret other verses, which are linked with science and social issues, then consider the present context.</w:t>
      </w:r>
    </w:p>
    <w:p w14:paraId="3EEDE735"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lastRenderedPageBreak/>
        <w:t xml:space="preserve">This framework is extremely limited in its approach, as it ignores the role of a reader, society, culture, and different power structures, which influence interpretation. Additionally, it does not address the practical issues that teachers face in the process of learning and teaching. At the same time, understanding this model of interpretation is highly important in the current study, because verses of the Quran, Ahadith, and the sayings of the companions are used as an argument and source of evidence to support different positions. Therefore, the current study may be considered as an extension of this framework. </w:t>
      </w:r>
    </w:p>
    <w:p w14:paraId="47CBB50B" w14:textId="77777777" w:rsidR="009719B8" w:rsidRPr="00C377C8" w:rsidRDefault="009719B8" w:rsidP="00461178">
      <w:pPr>
        <w:pStyle w:val="Heading2"/>
        <w:spacing w:line="360" w:lineRule="auto"/>
        <w:ind w:left="2268"/>
      </w:pPr>
      <w:r w:rsidRPr="00C377C8">
        <w:t xml:space="preserve"> </w:t>
      </w:r>
      <w:bookmarkStart w:id="57" w:name="_Toc83818655"/>
      <w:bookmarkStart w:id="58" w:name="_Toc96609067"/>
      <w:r w:rsidRPr="00C377C8">
        <w:t>The critical interpretation of the Quran</w:t>
      </w:r>
      <w:bookmarkEnd w:id="57"/>
      <w:bookmarkEnd w:id="58"/>
    </w:p>
    <w:p w14:paraId="4460EE60" w14:textId="77777777" w:rsidR="00912EAB" w:rsidRPr="00C377C8" w:rsidRDefault="00912EAB" w:rsidP="00912EAB">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Critical interpretation with reference to Biblical studies means scientific investigation or interpretation of the text with a reference to historical origin, text, composition, and transmission of the text (Gokker, 2005). For critical interpretations of the text, different theories including historical criticism, formalism, structuralism, post-structuralism, liberation theology and feminist criticism were applied within Western literature. New approaches were developed to replace traditional ways of reading the Bible with the advent of enlightenment (Ferguson and Duncan, 1987). Schleiermacher developed a new approach to reading the Bible with this contextual framework, which emphasised personal experience concerning the sacred text and its author (Nimmo, 2013). He emphasised grammatical and psychological aspects of interpretation. In support of Schleiermacher’s psychological aspects, Betti (1987) argued that knowledge is not a passive mirror of reality but is determined by how we approach and comprehend it.</w:t>
      </w:r>
    </w:p>
    <w:p w14:paraId="55A5C4FF" w14:textId="77777777" w:rsidR="00912EAB" w:rsidRPr="00C377C8" w:rsidRDefault="00912EAB" w:rsidP="00912EAB">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Along with psychological interpretation, historical critical interpreters have been involved in a detailed analysis of a text in conformity with original language and historical situation (Barton, 1998). Contrary to this, the formalists attempted to focus not on the author's intention but on the text itself. On the one hand, French anthropologist Levi Strauss used structural approaches to interpret the sacred text</w:t>
      </w:r>
      <w:r w:rsidRPr="00C377C8">
        <w:rPr>
          <w:rStyle w:val="selectable"/>
          <w:rFonts w:ascii="Open Sans" w:hAnsi="Open Sans" w:cs="Open Sans"/>
          <w:color w:val="000000" w:themeColor="text1"/>
          <w:sz w:val="20"/>
          <w:szCs w:val="20"/>
        </w:rPr>
        <w:t xml:space="preserve"> (Levi-Strauss, 1955)</w:t>
      </w:r>
      <w:r w:rsidRPr="00C377C8">
        <w:rPr>
          <w:rFonts w:ascii="Times New Roman" w:hAnsi="Times New Roman" w:cs="Times New Roman"/>
          <w:color w:val="000000" w:themeColor="text1"/>
          <w:sz w:val="24"/>
          <w:szCs w:val="24"/>
        </w:rPr>
        <w:t>. On the other hand, the post-structuralists focused more on interpreting texts in relation to social structures and powers (Gokker, 2005). Liberation theologians’ focus is on understanding the text through the voice of poor people as they believe that God speaks through the poor and that the Bible can only be understood when seen from their perspective (Gutierrez, 1983). In turn, feminist scholars argued that the established canon of literary works was developed and maintained by males, and female voices have been ignored (Liladhar, 1999).</w:t>
      </w:r>
    </w:p>
    <w:p w14:paraId="73699E89" w14:textId="40DFCCBB" w:rsidR="00912EAB" w:rsidRPr="00C377C8" w:rsidRDefault="00912EAB" w:rsidP="00C85079">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lastRenderedPageBreak/>
        <w:t xml:space="preserve">Critical interpretation within the Islamic world became prominent in the 19th century. Before that, Muslim scholars used Hadith, Aathar, Sirah (biography of the prophet) and history as a tool for Quran’s interpretation. Modern Muslim thinkers in the 19th century tried to liberate Quranic studies from Taqlid, which was more inclined to accept the interpretations using classical tools. This change stemmed not from academic problems but because of global and real-world issues. Muhammad Abduh, Maududi, Amin Islahi, Sir Sayyed Ahmad khan, Fazalur Rahman, Mohammad Arkoun, Farid Esack, Fatima Mernissi, </w:t>
      </w:r>
      <w:r w:rsidR="005B5ECE" w:rsidRPr="00C377C8">
        <w:rPr>
          <w:rFonts w:ascii="Times New Roman" w:hAnsi="Times New Roman" w:cs="Times New Roman"/>
          <w:color w:val="000000" w:themeColor="text1"/>
          <w:sz w:val="24"/>
          <w:szCs w:val="24"/>
        </w:rPr>
        <w:t xml:space="preserve">Dabashi, </w:t>
      </w:r>
      <w:r w:rsidRPr="00C377C8">
        <w:rPr>
          <w:rFonts w:ascii="Times New Roman" w:hAnsi="Times New Roman" w:cs="Times New Roman"/>
          <w:color w:val="000000" w:themeColor="text1"/>
          <w:sz w:val="24"/>
          <w:szCs w:val="24"/>
        </w:rPr>
        <w:t xml:space="preserve">Tahir ul Qadri presented the Quran with more consideration to real-world issues and to the contexts in which Muslims live and work. For example, Sir Syed Ahmad Khan employed rational approaches to understanding the Quran. Fazlur Rahman, Abu Zayd and Farid Esack focused on sociological and historical issues when interpreting the Quran. Fazlur Rahman (1980) and Abu Zyad (2004) argued that the interpretation of the Quran must be critically re-thought in relation to contemporary social and intellectual realities. </w:t>
      </w:r>
      <w:r w:rsidR="00C85079" w:rsidRPr="00C377C8">
        <w:rPr>
          <w:rFonts w:ascii="Times New Roman" w:hAnsi="Times New Roman" w:cs="Times New Roman"/>
          <w:color w:val="000000" w:themeColor="text1"/>
          <w:sz w:val="24"/>
          <w:szCs w:val="24"/>
        </w:rPr>
        <w:t xml:space="preserve">Dabashi (2010) advocated for the theological interpretation which values diversity and co-existence. </w:t>
      </w:r>
      <w:r w:rsidRPr="00C377C8">
        <w:rPr>
          <w:rFonts w:ascii="Times New Roman" w:hAnsi="Times New Roman" w:cs="Times New Roman"/>
          <w:color w:val="000000" w:themeColor="text1"/>
          <w:sz w:val="24"/>
          <w:szCs w:val="24"/>
        </w:rPr>
        <w:t xml:space="preserve">Arkoun (2019) suggested the Saussurean linguistic approach as a critical method for interpreting the Quran. </w:t>
      </w:r>
    </w:p>
    <w:p w14:paraId="06548263" w14:textId="0AF727F2" w:rsidR="00AD4DC6" w:rsidRPr="00C377C8" w:rsidRDefault="00E11C72" w:rsidP="00AD4DC6">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I see c</w:t>
      </w:r>
      <w:r w:rsidR="009719B8" w:rsidRPr="00C377C8">
        <w:rPr>
          <w:rFonts w:ascii="Times New Roman" w:hAnsi="Times New Roman" w:cs="Times New Roman"/>
          <w:color w:val="000000" w:themeColor="text1"/>
          <w:sz w:val="24"/>
          <w:szCs w:val="24"/>
        </w:rPr>
        <w:t>ritical interpretation is reflective and is directed towards analysing arguments, recognising pros and cons of different interpretations, and reaching a conclusion based on either primary or hypothetical evidence. Therefore, critical thinking skills play a pivotal role in interpreting the sacred text (Rodrigues and Harding, 2008</w:t>
      </w:r>
      <w:r w:rsidR="00AD4DC6" w:rsidRPr="00C377C8">
        <w:rPr>
          <w:rFonts w:ascii="Times New Roman" w:hAnsi="Times New Roman" w:cs="Times New Roman"/>
          <w:color w:val="000000" w:themeColor="text1"/>
          <w:sz w:val="24"/>
          <w:szCs w:val="24"/>
        </w:rPr>
        <w:t>; Taylor, 2010; Rollins, 2010, Rahim, 2011; Eales, 2017 and Zubair, 2013)</w:t>
      </w:r>
    </w:p>
    <w:p w14:paraId="6644733F" w14:textId="35F3EFB2"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Critical interpreters can identify other people’s positions, question the validity of that position, evaluate resources used, weigh up opposing arguments, recognise techniques within the text, reflect on the major themes, draw a conclusion, and present a point of view (McMillen and Weyers, 2013, p. 77). Moreover, Facione (2015) argued that a critical interpreter could comprehend and express meanings or the significance of ideas, identify intended and actual meanings, identify elements needed to draw reasonable conclusions or form hypotheses, and finally, present their findings clearly and coherently. Mohammad (2015, p.233) claimed that any interpretation that lacks creativity and imagination is not an interpretation but a reproduction of the same text. By reproduction, he meant “the product of the intersection of the text. The text does not change along with time and space”.</w:t>
      </w:r>
    </w:p>
    <w:p w14:paraId="6A3F584D" w14:textId="020DF6B8" w:rsidR="00912EAB" w:rsidRPr="00C377C8" w:rsidRDefault="00912EAB" w:rsidP="000A528C">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I did not impose my understanding of critical interpretation on the research participants but was keen to</w:t>
      </w:r>
      <w:r w:rsidR="00E11C72" w:rsidRPr="00C377C8">
        <w:rPr>
          <w:rFonts w:ascii="Times New Roman" w:hAnsi="Times New Roman" w:cs="Times New Roman"/>
          <w:color w:val="000000" w:themeColor="text1"/>
          <w:sz w:val="24"/>
          <w:szCs w:val="24"/>
        </w:rPr>
        <w:t xml:space="preserve"> hear</w:t>
      </w:r>
      <w:r w:rsidRPr="00C377C8">
        <w:rPr>
          <w:rFonts w:ascii="Times New Roman" w:hAnsi="Times New Roman" w:cs="Times New Roman"/>
          <w:color w:val="000000" w:themeColor="text1"/>
          <w:sz w:val="24"/>
          <w:szCs w:val="24"/>
        </w:rPr>
        <w:t xml:space="preserve"> </w:t>
      </w:r>
      <w:r w:rsidR="00E11C72" w:rsidRPr="00C377C8">
        <w:rPr>
          <w:rFonts w:ascii="Times New Roman" w:hAnsi="Times New Roman" w:cs="Times New Roman"/>
          <w:color w:val="000000" w:themeColor="text1"/>
          <w:sz w:val="24"/>
          <w:szCs w:val="24"/>
        </w:rPr>
        <w:t xml:space="preserve">teachers and students’ </w:t>
      </w:r>
      <w:r w:rsidRPr="00C377C8">
        <w:rPr>
          <w:rFonts w:ascii="Times New Roman" w:hAnsi="Times New Roman" w:cs="Times New Roman"/>
          <w:color w:val="000000" w:themeColor="text1"/>
          <w:sz w:val="24"/>
          <w:szCs w:val="24"/>
        </w:rPr>
        <w:t xml:space="preserve">understanding of the critical </w:t>
      </w:r>
      <w:r w:rsidRPr="00C377C8">
        <w:rPr>
          <w:rFonts w:ascii="Times New Roman" w:hAnsi="Times New Roman" w:cs="Times New Roman"/>
          <w:color w:val="000000" w:themeColor="text1"/>
          <w:sz w:val="24"/>
          <w:szCs w:val="24"/>
        </w:rPr>
        <w:lastRenderedPageBreak/>
        <w:t>interpretation of the Quran. It allowed me to build the interview on their understanding of the critical interpretation rather than imposing specific fixed concepts on them, as the understanding of the critical interpretation may differ from person to person.</w:t>
      </w:r>
    </w:p>
    <w:p w14:paraId="43ABEA93" w14:textId="77777777" w:rsidR="009719B8" w:rsidRPr="00C377C8" w:rsidRDefault="009719B8" w:rsidP="00461178">
      <w:pPr>
        <w:pStyle w:val="Heading2"/>
        <w:spacing w:line="360" w:lineRule="auto"/>
        <w:ind w:left="2268"/>
      </w:pPr>
      <w:bookmarkStart w:id="59" w:name="_Toc83818656"/>
      <w:bookmarkStart w:id="60" w:name="_Toc96609068"/>
      <w:r w:rsidRPr="00C377C8">
        <w:t>Interpretive approaches</w:t>
      </w:r>
      <w:bookmarkEnd w:id="59"/>
      <w:bookmarkEnd w:id="60"/>
      <w:r w:rsidRPr="00C377C8">
        <w:t xml:space="preserve"> </w:t>
      </w:r>
    </w:p>
    <w:p w14:paraId="3552DE5F"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Critical study of the existing literature on Tafsir from companions’ times till today shows that Muslim scholars employ different approaches or ‘uslub’ in the process of interpretation of the Quran. The main difference between these approaches is related to the following:</w:t>
      </w:r>
    </w:p>
    <w:p w14:paraId="4729BB9A"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The number of details in the analysis, and pieces of evidence in the Qur’anic discourse;</w:t>
      </w:r>
    </w:p>
    <w:p w14:paraId="270EDBAA"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use of intertextuality and intra-textuality; </w:t>
      </w:r>
    </w:p>
    <w:p w14:paraId="000DBEA3"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Numbers of verses accounted for;</w:t>
      </w:r>
    </w:p>
    <w:p w14:paraId="2A571755"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interpretation is provided at a lexical, utterance or textual levels (Abdul-Raof, 2012, p. 92). </w:t>
      </w:r>
    </w:p>
    <w:p w14:paraId="6A26E07C"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first approach identified in the literature is known as ‘Tafsir e Tahlili’, in which all the verses within any chapter are analysed (Sa’idi, 2014). Tafsir e Tahlili is comprehensive in nature as verse-by-verse analysis is done. Iqbal (2015) stated that this is a traditional method, in which a particular number of selected verses, or one chapter is sometimes analysed using different textual evidence as analytical tools. Furthermore, Ateeq (2009, p. 89) observed that in the analytical approach an interpreter analyses the text through spiritual, social, or theological lenses. Al-Tabri (2008), al-Thalibi (2011), al-Wahidi (2011), and Al-Baghawi (2011) employed analytical, interpretive approaches in their Tafsir works and explained denotative and connotative meanings of different verses, stylistic features, syntactic and contextual meanings alongside their jurisprudential rulings (Abdul-Raof, 2015). Moreover, text is interpreted based on pieces of evidence drawn from the Quran, traditions or Ahadith / Athar (Ahzami, 2017). Ibn Kathir (1300/1373, p. 4) argued that such interpretation is praiseworthy because an interpreter relies on authentic resources as pieces of evidence. Furthermore, he emphasised that the use of these textual resources in the process of interpretation is the safest method of experimenting with ideas because it offers protection against errors and any deviation (Al-Qattan, 2006). Furthermore, Abdul-Raof (2017) found that Al-Jassas (1984), Al-Suyuti (2018) and Iṣlāḥī (2006) interpreted the Quran using comparative approaches to understand the Quran and its meanings. </w:t>
      </w:r>
    </w:p>
    <w:p w14:paraId="707EDCE5" w14:textId="58AE1682"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lastRenderedPageBreak/>
        <w:t xml:space="preserve">Another approach identified in the tafsir works is “al Muqarin”, in which the interpreter is involved in the act of comparing different interpretations produced by different authors (Akbar, 2019). They evaluate different views and weigh pieces of evidence that different interpreters used in support of their views (Abdul-Raof, 2015). In his ‘Tibyaan’, Sa’idi (2014) accepted or rejected opinions of different </w:t>
      </w:r>
      <w:r w:rsidR="00664358" w:rsidRPr="00C377C8">
        <w:rPr>
          <w:rFonts w:ascii="Times New Roman" w:hAnsi="Times New Roman" w:cs="Times New Roman"/>
          <w:color w:val="000000" w:themeColor="text1"/>
          <w:sz w:val="24"/>
          <w:szCs w:val="24"/>
        </w:rPr>
        <w:t>scholars or</w:t>
      </w:r>
      <w:r w:rsidRPr="00C377C8">
        <w:rPr>
          <w:rFonts w:ascii="Times New Roman" w:hAnsi="Times New Roman" w:cs="Times New Roman"/>
          <w:color w:val="000000" w:themeColor="text1"/>
          <w:sz w:val="24"/>
          <w:szCs w:val="24"/>
        </w:rPr>
        <w:t xml:space="preserve"> gave one opinion preference over the other. </w:t>
      </w:r>
    </w:p>
    <w:p w14:paraId="4DED33F4"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Another approach is known as synoptic, also known as ‘Ijmali’, in which an interpreter provides the main idea of the text instead of a detailed description. Additionally, this type of interpretation does not give a detailed linguistic elucidation but instead relies on explaining general meanings, communicative functions, and moral aims of verses (Abdul-Raof, 2015). Musharaf (2018) employed a synoptic interpretive approach in his recent work and divided different chapters into units. The drawback of this approach is that, although it provides the main idea, it does not analyse different sources of evidence to support an idea. The critics like Ibn Kathir and Ibn Taymiya argued that synoptic interpretations are subjective and may contradict classical sources of arguments. The disadvantage of the synoptic approach is that learners may not have had the opportunity to go into details of reasons and contexts of revelation. Contemporary interpreters Israr (2002), Malik (2011) and Mushraf (2018) adopted this approach in their works. </w:t>
      </w:r>
    </w:p>
    <w:p w14:paraId="1FEEEDBC"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Haqqani (2017) identified another approach to the interpretation of the Quran, in which authors did not follow the sequential pattern of the verses and Suras but evaluated only the verses discussing a particular issue. Raof (2013) argued that this approach can be subjective or objective; in many cases, the author uses subjective approach in thematic analysis. It also differs from other approaches in that it does not produce a detailed interpretation of verses as done in comparative and analytical approaches (Guest, MacQueen and Namey, 2012; Gulen, 2019). Furthermore, in thematic approach an interpreter may be involved in identifying patterned meanings across different texts. One of the advantages of this approach is that it is flexible, which means it can be used in classroom discussions and dialogue, whereby students can share their owns views and perspectives. al-Ghazali’s thematic commentary is an excellent example of this approach, in which he focused on the organic unity of each chapter highlighting the logic that runs through the whole chapter and its unifying components (Rizwan, 2011). Similarly, Zainab (1995) produced a thematic interpretation but only provided a few lines of explanation of each verse based on </w:t>
      </w:r>
      <w:r w:rsidRPr="00C377C8">
        <w:rPr>
          <w:rFonts w:ascii="Times New Roman" w:hAnsi="Times New Roman" w:cs="Times New Roman"/>
          <w:color w:val="000000" w:themeColor="text1"/>
          <w:sz w:val="24"/>
          <w:szCs w:val="24"/>
        </w:rPr>
        <w:lastRenderedPageBreak/>
        <w:t>context and theological beliefs including the omnipotence of God, monotheism, and status of the Messenger.</w:t>
      </w:r>
    </w:p>
    <w:p w14:paraId="2C2313D3" w14:textId="0E3C85A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Many notable scholars such as Syed Qutub, al-Ghazali, al-Sh’rawi, and al-Turabi employed literary approach in their works. In the literary approach, an interpreter does not engage in theological or philosophical issues but focuses more on understanding literary terms including similes, metaphors, irony, </w:t>
      </w:r>
      <w:r w:rsidR="00664358" w:rsidRPr="00C377C8">
        <w:rPr>
          <w:rFonts w:ascii="Times New Roman" w:hAnsi="Times New Roman" w:cs="Times New Roman"/>
          <w:color w:val="000000" w:themeColor="text1"/>
          <w:sz w:val="24"/>
          <w:szCs w:val="24"/>
        </w:rPr>
        <w:t>analogies,</w:t>
      </w:r>
      <w:r w:rsidRPr="00C377C8">
        <w:rPr>
          <w:rFonts w:ascii="Times New Roman" w:hAnsi="Times New Roman" w:cs="Times New Roman"/>
          <w:color w:val="000000" w:themeColor="text1"/>
          <w:sz w:val="24"/>
          <w:szCs w:val="24"/>
        </w:rPr>
        <w:t xml:space="preserve"> and their communicative function. Bint al Shati used literary approach to read the Quranic </w:t>
      </w:r>
      <w:r w:rsidR="00664358" w:rsidRPr="00C377C8">
        <w:rPr>
          <w:rFonts w:ascii="Times New Roman" w:hAnsi="Times New Roman" w:cs="Times New Roman"/>
          <w:color w:val="000000" w:themeColor="text1"/>
          <w:sz w:val="24"/>
          <w:szCs w:val="24"/>
        </w:rPr>
        <w:t>text and</w:t>
      </w:r>
      <w:r w:rsidRPr="00C377C8">
        <w:rPr>
          <w:rFonts w:ascii="Times New Roman" w:hAnsi="Times New Roman" w:cs="Times New Roman"/>
          <w:color w:val="000000" w:themeColor="text1"/>
          <w:sz w:val="24"/>
          <w:szCs w:val="24"/>
        </w:rPr>
        <w:t xml:space="preserve"> focused more on the linguistic aspects using modern methods of thematic and philological analysis (Abdul Rehman, 1961). Ghamdi (2015) pointed out that the language of the Quran is a miracle in its imagery, structure, and rhetoric. Additionally, he argued that the issue of revelation remains debatable among people, but none have challenged the beauty of its language. As al-Khalidi (1996) highlighted, the literary approach helps to understand the wonders of the Quran (Gharaib ul Quran), abrogation (Naskh), rarities, and occasions of revelation. Islahi (1996), Muhammad (1992) and Ghamdi (2015) argued that the interpreter should also see beyond the language and focus more on the function of the divine text as Prophet Muhammad and his companions (Abu Bakr, Ali, Abdullah bin Abbas, Abdullah bin Masood, and Aisha) did. </w:t>
      </w:r>
    </w:p>
    <w:p w14:paraId="58BC46EA"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Furthermore, literary approach in the critical interpretation of the Quran also includes historical and cultural methods, as Abdul-Raof (2015) noted. In the historical approach, interpreters see the text through the lens of the context in which it was revealed, interpreted, and transmitted (Prevenier and Hovell, 2001). Early Muslim interpreters used ‘structuralism’ or ‘formalism’ in their approach as they devoted their attention to ‘literary forms’ rather than social and historical context. Female Muslim scholars like Hidayatullah (2014) and Bauer (2015) also wrote their interpretation of the Quran using ‘gender theory’ and ‘cultural theories’. They objected to the position of male authors and argued that they were produced and influenced by patriarchal voice, and that female voices were missing. Naguib (2015) examined the limitations which arise from constructing Quranic hermeneutics on the basis of opposing relations in which male and female authors construct the interpretation and advocated for a Muslim feminist hermeneutics which affirms the original purity of divine text. Similarly, Webb and Wadud (2000) focuses upon the Quran and prophetic narrations interpreting them from a feminist perspective. </w:t>
      </w:r>
    </w:p>
    <w:p w14:paraId="49F960DD"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These approaches are found in written works of Interpretations, and no research was found on which approaches teachers of Tafsir employ in the process of teaching and learning and their impact on students’ critical thinking skills. it is hoped that </w:t>
      </w:r>
      <w:r w:rsidRPr="00C377C8">
        <w:rPr>
          <w:rFonts w:ascii="Times New Roman" w:hAnsi="Times New Roman" w:cs="Times New Roman"/>
          <w:color w:val="000000" w:themeColor="text1"/>
          <w:sz w:val="24"/>
          <w:szCs w:val="24"/>
        </w:rPr>
        <w:lastRenderedPageBreak/>
        <w:t xml:space="preserve">understanding of these exegetical approaches may enable me to interpret the data in this study. </w:t>
      </w:r>
    </w:p>
    <w:p w14:paraId="7F05E0AA" w14:textId="77777777" w:rsidR="009719B8" w:rsidRPr="00C377C8" w:rsidRDefault="009719B8" w:rsidP="00461178">
      <w:pPr>
        <w:pStyle w:val="Heading2"/>
        <w:spacing w:line="360" w:lineRule="auto"/>
        <w:ind w:left="2268"/>
      </w:pPr>
      <w:bookmarkStart w:id="61" w:name="_Toc83818657"/>
      <w:bookmarkStart w:id="62" w:name="_Toc96609069"/>
      <w:r w:rsidRPr="00C377C8">
        <w:t>Pedagogy of other Sacred Texts</w:t>
      </w:r>
      <w:bookmarkEnd w:id="61"/>
      <w:bookmarkEnd w:id="62"/>
      <w:r w:rsidRPr="00C377C8">
        <w:t xml:space="preserve"> </w:t>
      </w:r>
    </w:p>
    <w:p w14:paraId="1F88C68E"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Unlike the Quran, the pedagogy of the Bible is an established academic field with many studies conducted on its teachings. Wilhoit and Ryken (2012) stated that an effective teaching of the Bible is about teaching the truth, the big idea, and bridging the gap between the times of the Bible and the present. They asserted that effective teaching helps students find ‘the subject’ and ‘the compliment’. Moreover, (LeFever, 2011) argued that an effective teaching helps students understand what the text meant in the past as opposed to what it means now. Like the Quran, the Bible is also interpreted using the Bible but does not have other sources such as Jesus or his companions interpreting the sacred text. </w:t>
      </w:r>
    </w:p>
    <w:p w14:paraId="5D360588"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A considerable body of literature exists on effective and creative teaching methods for the Bible studies (Danielson, 2010; Warren, 2006). Previous research showed that an effective teacher speaks with authority as Jesus spoke. For example, “You have heard this, but I tell you” (Matthew 5:22). Similarly, the Bible studies’ teachers use storytelling as the most common teaching method, using role-play and dialogue, where one of the students reads the story, and others contribute as to what it means to them (Warren, 2006). Amanze, Nkomazana and Kealotswe (2010) recommended questioning, dialogue, and discussions among the most effective methods to engage students to explore different themes within the text. </w:t>
      </w:r>
    </w:p>
    <w:p w14:paraId="7C7F2B56"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Similarly, the research on Guru Granth Sahib and Hindu scriptures focused on the teachings of Guru, rather than on teaching itself. Some resources for the General Certificate of Secondary Education (GCSE) students have been developed but they focus more on the introduction of Guru and his teachings, not on Guru Granth Sahib. Further research is needed on why these faith traditions have not focused on teaching the book, but rather on explaining or interpreting different books. The current study may draw researchers’ and academics’ attention to teaching practices of faith-based institutes. Therefore, the current study will make a significant contribution to existing knowledge of interpretation. </w:t>
      </w:r>
    </w:p>
    <w:p w14:paraId="35AE88E4" w14:textId="77777777" w:rsidR="009719B8" w:rsidRPr="00C377C8" w:rsidRDefault="009719B8" w:rsidP="00461178">
      <w:pPr>
        <w:pStyle w:val="Heading2"/>
        <w:spacing w:line="360" w:lineRule="auto"/>
        <w:ind w:left="2268"/>
      </w:pPr>
      <w:r w:rsidRPr="00C377C8">
        <w:t xml:space="preserve"> </w:t>
      </w:r>
      <w:bookmarkStart w:id="63" w:name="_Toc83818658"/>
      <w:bookmarkStart w:id="64" w:name="_Toc96609070"/>
      <w:r w:rsidRPr="00C377C8">
        <w:t>Teachers’ traits</w:t>
      </w:r>
      <w:bookmarkEnd w:id="63"/>
      <w:bookmarkEnd w:id="64"/>
      <w:r w:rsidRPr="00C377C8">
        <w:t xml:space="preserve"> </w:t>
      </w:r>
    </w:p>
    <w:p w14:paraId="03C6560B" w14:textId="38AEF225"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In the earlier section, approaches to the interpretation of the Quran identified in the existing literature of Tafsir were discussed. It also becomes vivid that Muslim scholars </w:t>
      </w:r>
      <w:r w:rsidRPr="00C377C8">
        <w:rPr>
          <w:rFonts w:ascii="Times New Roman" w:hAnsi="Times New Roman" w:cs="Times New Roman"/>
          <w:color w:val="000000" w:themeColor="text1"/>
          <w:sz w:val="24"/>
          <w:szCs w:val="24"/>
        </w:rPr>
        <w:lastRenderedPageBreak/>
        <w:t xml:space="preserve">have focused on writing </w:t>
      </w:r>
      <w:r w:rsidR="00664358" w:rsidRPr="00C377C8">
        <w:rPr>
          <w:rFonts w:ascii="Times New Roman" w:hAnsi="Times New Roman" w:cs="Times New Roman"/>
          <w:color w:val="000000" w:themeColor="text1"/>
          <w:sz w:val="24"/>
          <w:szCs w:val="24"/>
        </w:rPr>
        <w:t>Tafsir,</w:t>
      </w:r>
      <w:r w:rsidRPr="00C377C8">
        <w:rPr>
          <w:rFonts w:ascii="Times New Roman" w:hAnsi="Times New Roman" w:cs="Times New Roman"/>
          <w:color w:val="000000" w:themeColor="text1"/>
          <w:sz w:val="24"/>
          <w:szCs w:val="24"/>
        </w:rPr>
        <w:t xml:space="preserve"> and translation works without paying attention to the pedagogy of Tafsir, and especially practical issues teachers face in multilingual classrooms. The teacher plays a central role in teaching the critical </w:t>
      </w:r>
      <w:r w:rsidR="00664358" w:rsidRPr="00C377C8">
        <w:rPr>
          <w:rFonts w:ascii="Times New Roman" w:hAnsi="Times New Roman" w:cs="Times New Roman"/>
          <w:color w:val="000000" w:themeColor="text1"/>
          <w:sz w:val="24"/>
          <w:szCs w:val="24"/>
        </w:rPr>
        <w:t>interpretation,</w:t>
      </w:r>
      <w:r w:rsidRPr="00C377C8">
        <w:rPr>
          <w:rFonts w:ascii="Times New Roman" w:hAnsi="Times New Roman" w:cs="Times New Roman"/>
          <w:color w:val="000000" w:themeColor="text1"/>
          <w:sz w:val="24"/>
          <w:szCs w:val="24"/>
        </w:rPr>
        <w:t xml:space="preserve"> but no literature was found on the traits of an effective teacher of the critical interpretation of the Quran. Understanding traits of an effective teacher is essential because effective teaching cannot be identified without exploring the role of a teacher, as well as the knowledge and skills one needs to deliver effective lessons (Stronge, 2018). Therefore, this section looks at some of the traits and skills of an effective teacher identified in other disciplines. </w:t>
      </w:r>
    </w:p>
    <w:p w14:paraId="6ADF94D9"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Previous research suggests that teachers play a significant role in the process of learning and teaching as they perform different roles within the classroom (Bell, 1962; Bender, 2014; Blackburn, 2014; Bluestein, 2011; Cook, 1999; Dabell, 2019). Bennett (2012) defined a trait as a particular characteristic that can produce a particular type of behaviour. In turn, a skill is the ability to perform an activity or a job well, because someone has practiced it (Cambridge Dictionary, 2020). For this study, teacher’s traits and skills can be classified as personal and intellectual. </w:t>
      </w:r>
    </w:p>
    <w:p w14:paraId="1E5E3328" w14:textId="5FF8FACC"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earliest corpus-based research within Islam has focused on Quran teachers’ affective traits (al-Kubaissiy, 2007). Nouman (2007) and Iqbal (2019, p.84) proposed that a teacher of the Quran and Sunnah must be pious, just, truthful, and humble. Moreover, they stated that teachers should have a good knowledge of Islamic sources like the Quran and Sunnah. Though these traits are important and key in building rapport with students, they are not sufficient to run a class smoothly in multilingual classrooms. Attas (1979) saw teacher’s traits through the lens of spirituality and asserted that an effective teacher must have knowledge of Zahir (which can be attained through five senses) and </w:t>
      </w:r>
      <w:r w:rsidR="00664358" w:rsidRPr="00C377C8">
        <w:rPr>
          <w:rFonts w:ascii="Times New Roman" w:hAnsi="Times New Roman" w:cs="Times New Roman"/>
          <w:color w:val="000000" w:themeColor="text1"/>
          <w:sz w:val="24"/>
          <w:szCs w:val="24"/>
        </w:rPr>
        <w:t>B</w:t>
      </w:r>
      <w:r w:rsidRPr="00C377C8">
        <w:rPr>
          <w:rFonts w:ascii="Times New Roman" w:hAnsi="Times New Roman" w:cs="Times New Roman"/>
          <w:color w:val="000000" w:themeColor="text1"/>
          <w:sz w:val="24"/>
          <w:szCs w:val="24"/>
        </w:rPr>
        <w:t xml:space="preserve">atin (which is attained through imagination and intuition). </w:t>
      </w:r>
    </w:p>
    <w:p w14:paraId="1EDD55C8"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There has been a large amount of research in Western and Euro-centric literature not only on personal traits but also on intellectual traits and skills of teachers working in different contexts, and teaching different subjects (Bennett, 2012; Collins, 2009; Devito, 1997; Hoskins, 1987; Lautzenheiser, 1993; Stronge, 2018). Stronge and Connelly (2007) proposed the top qualities of effective teachers as: being knowledgeable, having the ability to understand students’ different learning and emotional needs, possessing the skills needed to manage a class, being able to plan and deliver a lesson successfully, and make assessments thereafter giving constructive feedback. Furthermore, McEwan-Adkins and McEwan-Adkins (2010) identified effective teachers’ traits as good communicators, content knowledge, understanding </w:t>
      </w:r>
      <w:r w:rsidRPr="00C377C8">
        <w:rPr>
          <w:rFonts w:ascii="Times New Roman" w:hAnsi="Times New Roman" w:cs="Times New Roman"/>
          <w:color w:val="000000" w:themeColor="text1"/>
          <w:sz w:val="24"/>
          <w:szCs w:val="24"/>
        </w:rPr>
        <w:lastRenderedPageBreak/>
        <w:t>of roles and responsibilities, and understanding educational policies. Bishop and Hines (2012, p. 45) argued that effective teachers prepare students for the future. Similarly, Brophy (2010) and Cangelosi (1990) found that effective teachers motivate students to learn and to actively participate in learning activities, to cooperate with teachers and peers in completing different learning tasks. In addition, Springer, Reider and Morgan (2017) found that creativity and using flights of imagination to introduce a topic are essential traits of an effective teacher.</w:t>
      </w:r>
    </w:p>
    <w:p w14:paraId="2C30A1BD"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Muslim academics focused more on the teacher’s character and knowledge, which are essential for fostering spiritual and emotional resilience. Ahmad and Abdusamad (2015, p. 23) stated that an interpreter of the Quran must be proficient in Arabic language and its grammar, semantics, and pragmatics, knowledge of Hadith literature, recitation, knowledge of abrogation, the context of the revelation, and history. However, doing an interpretation and teaching it, especially in multilingual classrooms with students of many languages and backgrounds, are two different things. </w:t>
      </w:r>
    </w:p>
    <w:p w14:paraId="60B99F75" w14:textId="77777777" w:rsidR="009719B8" w:rsidRPr="00C377C8" w:rsidRDefault="009719B8" w:rsidP="00461178">
      <w:pPr>
        <w:spacing w:line="360" w:lineRule="auto"/>
        <w:ind w:left="2268"/>
        <w:jc w:val="both"/>
        <w:rPr>
          <w:rFonts w:ascii="Times New Roman" w:hAnsi="Times New Roman" w:cs="Times New Roman"/>
          <w:color w:val="000000" w:themeColor="text1"/>
        </w:rPr>
      </w:pPr>
      <w:r w:rsidRPr="00C377C8">
        <w:rPr>
          <w:rFonts w:ascii="Times New Roman" w:hAnsi="Times New Roman" w:cs="Times New Roman"/>
          <w:color w:val="000000" w:themeColor="text1"/>
          <w:sz w:val="24"/>
          <w:szCs w:val="24"/>
        </w:rPr>
        <w:t xml:space="preserve"> On the other hand, Western scholars (Furoy, Wong and Wong, 2004; Hansen, 2009; Hayes, 2006; Jensen, 2012; Manalo, 2019) focused more on teacher’s professional traits and abilities to teach different subjects in a monolingual context. As no research was found on traits of an effective teacher of the critical interpretation of the Quran in multilingual classrooms, exploring teachers’ and students’ perspectives on its effective teaching in multilingual classrooms will help to identify what is missing in teacher training, and what support teachers need to teach effectively. It is hoped that the current study’s findings will help design a teaching framework that existing and new teachers may use to teach more effectively.</w:t>
      </w:r>
      <w:r w:rsidRPr="00C377C8">
        <w:rPr>
          <w:rFonts w:ascii="Times New Roman" w:hAnsi="Times New Roman" w:cs="Times New Roman"/>
          <w:color w:val="000000" w:themeColor="text1"/>
        </w:rPr>
        <w:t xml:space="preserve"> </w:t>
      </w:r>
    </w:p>
    <w:p w14:paraId="4C273680" w14:textId="77777777" w:rsidR="009719B8" w:rsidRPr="00C377C8" w:rsidRDefault="009719B8" w:rsidP="00461178">
      <w:pPr>
        <w:pStyle w:val="Heading2"/>
        <w:spacing w:line="360" w:lineRule="auto"/>
        <w:ind w:left="2268"/>
      </w:pPr>
      <w:r w:rsidRPr="00C377C8">
        <w:t xml:space="preserve"> </w:t>
      </w:r>
      <w:bookmarkStart w:id="65" w:name="_Toc83818659"/>
      <w:bookmarkStart w:id="66" w:name="_Toc96609071"/>
      <w:r w:rsidRPr="00C377C8">
        <w:t>Pedagogical issues in multilingual classrooms</w:t>
      </w:r>
      <w:bookmarkEnd w:id="65"/>
      <w:bookmarkEnd w:id="66"/>
      <w:r w:rsidRPr="00C377C8">
        <w:t xml:space="preserve"> </w:t>
      </w:r>
    </w:p>
    <w:p w14:paraId="1762B507"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need for understanding the concept of effective teaching of the critical interpretation of the Quran in multilingual classrooms arose in the early days of Islam, when many people from different linguistic backgrounds embraced it. However, Muslim scholars focused on textual aspects of the Quran, its language, divine voice etc. but did not pay enough attention to issues that teachers of the interpretation of the Quran faced in the classrooms, from preparing lessons to giving feedback to students. The reasons are still unknown and can be explored in future research. This section focuses on pedagogical issues in multilingual classrooms. </w:t>
      </w:r>
    </w:p>
    <w:p w14:paraId="40C78FEE"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Multilingualism in British schools is not a new phenomenon, yet it has become more common in recent years after mass migration to the UK, transnational mobility, and </w:t>
      </w:r>
      <w:r w:rsidRPr="00C377C8">
        <w:rPr>
          <w:rFonts w:ascii="Times New Roman" w:hAnsi="Times New Roman" w:cs="Times New Roman"/>
          <w:color w:val="000000" w:themeColor="text1"/>
          <w:sz w:val="24"/>
          <w:szCs w:val="24"/>
        </w:rPr>
        <w:lastRenderedPageBreak/>
        <w:t>widespread of Information and Communications Technology (ICT) (Cenoz and Gorter, 2015). Auer and Wei (2009) pointed out that modern multilingualism has spread widely and is characterised by the use of languages that are originally from foreign distant lands. Additionally, mass immigration, technologies and social media have contributed to changing classroom environment from monolingual to multilingual classrooms. The statistics on the use of other languages in British Schools show that multilingualism is increasing (Office for National Statistics, 2011). The use of Arabic, Urdu, Mirpuri, and Gujrati in faith schools is growing much faster than the use of English (Shain, 2015). Mass immigration and the use of different languages for understanding religion in culturally diverse communities have given multilingualism a clear visibility (Sṭavans and Hoffmann, 2015)</w:t>
      </w:r>
    </w:p>
    <w:p w14:paraId="42E974C1"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Religious studies teachers, like all other teachers in state schools, are encountering students from various cultural, ethnic, and linguistic backgrounds. Due to the influx of immigrants to the UK in 1950s, the number of students and teachers who speak Arabic, Urdu, and Mirpuri as their native languages has grown dramatically. The majority of research data on the phenomenon of multilingualism exists for school populations. A 2008 survey of English schools showed that London, Birmingham, Manchester, and Bradford were the most linguistically diverse areas in the UK. These cities had the highest number of students who speak a language other than English, with nearly 45% of the primary school population and over 35% in secondary education (Department for Education and Skills, 2009). The reality of multilingualism dictates that both teachers and students must be prepared to interact and work with those who do not share the same language (King, 2011). </w:t>
      </w:r>
    </w:p>
    <w:p w14:paraId="1130DB0B"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There are three types of multilingualism in terms of language use: sequential, simultaneous, and coordinate multilingualism (Bialystok, 2009). These types are differentiated in terms of “how, when, and where to learn a foreign language” (Dhillon and Wanjiru, 2013, p.22). In sequential multilingualism, the person learns two or more languages in the same context one after the other, as many of the foreign language teachers working in the UK learnt both English and Arabic in the same environment. By contrast, in simultaneous multilingualism, the person receives language input from two or more different languages at the same time. Many of the young people born and brought up in the UK use English in schools but use other languages such as Urdu, Mirpuri, and Gujrati at home. In coordinated multilingualism, multilinguals decode words of one language using the words from another language (Romaine, 1995, pp. 78-79). </w:t>
      </w:r>
    </w:p>
    <w:p w14:paraId="1A50010D"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lastRenderedPageBreak/>
        <w:t xml:space="preserve">Although there is no research on the challenges that teachers of the critical interpretation of the Quran face in multilingual classroom, there are many studies conducted on the challenges that language teachers face in multilingual classrooms. Khan and Khan (2016) conducted a study to explore English teachers’ challenges in multilingual classrooms in different cities of Punjab. Results of the study revealed that college students found it difficult to learn English due to a lack of teacher training and education, education policy, and examination system. Similarly, Haukas (2016) found that knowledge of the first language while learning second and third languages was highly useful, as students learnt many expressions based on their first language by switching from one language to the other. Additionally, Cammagay (2014) highlighted that teachers should be properly trained to teach effectively in multilingual classes, as untrained teachers’ strategies were not based on students’ existing skills, knowledge, or educational needs. </w:t>
      </w:r>
    </w:p>
    <w:p w14:paraId="0A451137"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Tanveer (2017) examined that the students with fluency in the second language or foreign language try to dominate in multilingual classrooms, when learning English as a second language or foreign language and control the classrooms. Therefore, students who are still developing their communication skills feel less empowered to participate in discussion when discussion different perspectives and interpretations. He advocated for personalized and student-centred approaches to ensure equality among students. This inequality can also be linked with race, religion and politics as Mieschbuehler (2020) advocated that teachers must break down cultural and political barriers to ensure real equality in higher education. This can also be applied in multilingual classrooms too. </w:t>
      </w:r>
    </w:p>
    <w:p w14:paraId="16B21505"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Code-switching and code-borrowing (alteration between two languages) were identified as key challenges that teachers and students encounter in multilingual classrooms (Zubaida, 2017). According to Gysels (1992), both teachers and learners use code-switching in multilingual classrooms for two reasons: firstly, to fill in a conceptual gap; secondly, for other multiple communicative purposes. Teachers and students switch from Arabic to English for communicative purposes as the source language of the Quran is Arabic, but students use English as a target language. During a pilot study, it was found that teachers also switch to other languages including Gujrati, Mirpuri, Punjabi, and Urdu to fill a conceptual gap. Zubaida (2017) identified that proficiency of both source and target languages is essential; if interpreters lack competence in any language, they will fail to effectively communicate their ideas to others. Mohammad (2015) argued that many orientalists generate faulty </w:t>
      </w:r>
      <w:r w:rsidRPr="00C377C8">
        <w:rPr>
          <w:rFonts w:ascii="Times New Roman" w:hAnsi="Times New Roman" w:cs="Times New Roman"/>
          <w:color w:val="000000" w:themeColor="text1"/>
          <w:sz w:val="24"/>
          <w:szCs w:val="24"/>
        </w:rPr>
        <w:lastRenderedPageBreak/>
        <w:t xml:space="preserve">interpretations due to lack of competence in Arabic language. In his study on ‘Imams’ language use in mosque Sermons’, Alsaawi (2017) found that they use code-switching as a tool of explanation or clarification especially for those who are not bilingual. The issue of code-switching in the process of teaching critical interpretation of the Quran is not so straightforward as the nature of interpretation of the Quran is interlingual. In intralingual interpretation, both source and target languages are the same in some places (e.g. Saudi Arabia), while in other places, the source and the target languages are different (the UK and all other counties, where Arabic is not used as a mean of communication). </w:t>
      </w:r>
    </w:p>
    <w:p w14:paraId="48DD1078"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Previous research also highlights that all languages have different and unique signifiers, which have conceptual limitations. As a result, interpreters often find it difficult to express the same concept using different signs (Ismaili, 2015). For instance, the word ‘Jihad’ is translated as ‘a holy war’ in English, but in Arabic it has a broader semantic field and is referred to as ‘any activity in which people are helped at improving their spiritual and emotional, social and political, educational and economic well-being’ (Mohammad, 2017). Hence, it has been given a negative connotation in English. Therefore, finding an equivalence and adaptation is one of the challenges that interpreters of the Quran face (Santman, 2000). As Jakobson (1954) pointed out, there is ordinarily no full equivalence between words in different languages, and achieving equivalence becomes much harder if teachers or learners have not yet developed the competence in both target and source languages.</w:t>
      </w:r>
    </w:p>
    <w:p w14:paraId="63CDB983"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Much research has been conducted on interpreters’ competence in source languages. As Abdul-Raof (2015) asserted, in order to have a critical view of the Qur’anic text, an interpreter should possess advanced linguistic and stylistic competences. Additionally, they must be well- equipped with a pool of linguistic and stylistic devices that enable them to undertake critical textual analysis of the Quran. Al-Tabri (2005), Al-Karmani (1996) and Al-Qurtabi (1997) have identified linguistic features including co-preferentiality, repetition, intertextuality, prepositions, abstractness, semantic ambiguity, ellipsis, partial synonymy, and Arabic rhetoric. Mohammad (2018) stated that a lack of linguistic competence in the source language sometimes leads to poor interpretation of the sacred text. In turn, al-Nasafi (1996) noted that a poor interpretation of sacred texts would lead to the destruction of their religion. </w:t>
      </w:r>
    </w:p>
    <w:p w14:paraId="6652C256"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A growing number of Muslim scholars identified many other challenges in bringing the Islamic law into an alignment with the Western democratic society. al-Naim (2008, p. 283) illustrated how a Quranic verse was used to deny women’s basic rights to hold </w:t>
      </w:r>
      <w:r w:rsidRPr="00C377C8">
        <w:rPr>
          <w:rFonts w:ascii="Times New Roman" w:hAnsi="Times New Roman" w:cs="Times New Roman"/>
          <w:color w:val="000000" w:themeColor="text1"/>
          <w:sz w:val="24"/>
          <w:szCs w:val="24"/>
        </w:rPr>
        <w:lastRenderedPageBreak/>
        <w:t xml:space="preserve">a public office, which entails to exercise authority over men. Similarly, he pointed out that other interpretations have been used to “restrict women’s rights to speak in public” and engage with them. Furthermore, El-Fadl (2016, p. 271) argued that many Orthodox and Wahabi interpretations of the Quranic verses have led to dehumanizing of different communities. This is also one of the challenges that teachers of the interpretation of the Quran working in Western societies face; therefore, the current study will be a significant contribution to the pedagogy of the interpretation of the Quran in multilingual classrooms.  </w:t>
      </w:r>
    </w:p>
    <w:p w14:paraId="0FF63EBA" w14:textId="77777777" w:rsidR="009719B8" w:rsidRPr="00C377C8" w:rsidRDefault="009719B8" w:rsidP="00461178">
      <w:pPr>
        <w:spacing w:line="360" w:lineRule="auto"/>
        <w:ind w:left="2268"/>
        <w:jc w:val="both"/>
        <w:rPr>
          <w:rFonts w:ascii="Times New Roman" w:hAnsi="Times New Roman" w:cs="Times New Roman"/>
          <w:color w:val="000000" w:themeColor="text1"/>
        </w:rPr>
      </w:pPr>
    </w:p>
    <w:p w14:paraId="74D1251B" w14:textId="017044E0" w:rsidR="009719B8" w:rsidRPr="00C377C8" w:rsidRDefault="009719B8" w:rsidP="00461178">
      <w:pPr>
        <w:pStyle w:val="Heading2"/>
        <w:spacing w:line="360" w:lineRule="auto"/>
        <w:ind w:left="2268"/>
      </w:pPr>
      <w:bookmarkStart w:id="67" w:name="_Toc83818660"/>
      <w:bookmarkStart w:id="68" w:name="_Toc96609072"/>
      <w:r w:rsidRPr="00C377C8">
        <w:t>The concept of effective teaching</w:t>
      </w:r>
      <w:bookmarkEnd w:id="67"/>
      <w:bookmarkEnd w:id="68"/>
      <w:r w:rsidRPr="00C377C8">
        <w:t xml:space="preserve"> </w:t>
      </w:r>
      <w:r w:rsidR="00A03160" w:rsidRPr="00C377C8">
        <w:t>and Effective teaching Framework</w:t>
      </w:r>
    </w:p>
    <w:p w14:paraId="16897E36"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This section considers characteristics of effective teaching found both in previous research through researchers’ perspectives and from perspectives of teachers of different subjects. It looks at general characteristics, identifies gaps, and relates with the current study. </w:t>
      </w:r>
    </w:p>
    <w:p w14:paraId="33BBABC5"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Previous research showed that there is no standard definition or consensus among academics and scholars on the definition of effective teaching (Duncan, 1918; Hunt, Easton, 2019; Wiseman and Touzel, 2009; Laar, 1996). Additionally, Watson and Thompson (2014) asserted that this is made more difficult by a lack of consensus of terminology among professionals noting varying terms including good, best, or effective teaching. Perryman et al. (2011) also argued that the concept of effective teaching may differ according to the nature and context of those involved in the process of learning and teaching. This paves way for the current study, because both the nature of the subject and its context have not been explored in the previous research. </w:t>
      </w:r>
    </w:p>
    <w:p w14:paraId="41B9695A"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Since the 1950s, the focus of research on effective teaching has been on examining teaching processes, classroom environment (Bluestein, 2011; Hue and Li, 2008), as well as students’ learning and classroom strategies (Bell, 1962; Bleakley and Carrigan, 1994; Burns and Sinfield, 2004; Francis et al., 1996; Major, Harris and Zakrajsek, 2019; Mouly and Mouly, 1973; Perrott, 2014). Furthermore, Crosling, Thomas and Heagney (2008), Martin-Kniep and Picone-Zocchia (2009), and Jacob and Wilder (2010) investigated and linked effective teaching with students’ attainment. Their findings concluded that effective teaching is measured by what students learn and their </w:t>
      </w:r>
      <w:r w:rsidRPr="00C377C8">
        <w:rPr>
          <w:rFonts w:ascii="Times New Roman" w:hAnsi="Times New Roman" w:cs="Times New Roman"/>
          <w:color w:val="000000" w:themeColor="text1"/>
          <w:sz w:val="24"/>
          <w:szCs w:val="24"/>
        </w:rPr>
        <w:lastRenderedPageBreak/>
        <w:t xml:space="preserve">ability to display their learning. Van Hoover (1994, p. 24) linked effective teaching with planning, delivery, and assessment. </w:t>
      </w:r>
    </w:p>
    <w:p w14:paraId="010B71CC"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Some authors have categorised effective teaching into two devotions. The first type is focused on the exploration of a teacher’s personality and intellectual traits, because authors asserted that it is a teacher who makes teaching effective or ineffective (Bennett, 2012; Kottler, Zehm and Kottler, 2005). Authors focused on teaching skills and generic features of effective teaching and revealed that the most effective teachers have a profound knowledge of their subject, are able to set high but realistic goals, and facilitate student learning in an appropriate manner (Aubrey, 1994; Lumsden, 1997; Mishra, 2009). </w:t>
      </w:r>
    </w:p>
    <w:p w14:paraId="2F195941"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researchers within the second category focused more on teaching contents and strategies, and student engagement (Braskamp et al., 1984; Centra, 1994; Christenson, Reschly and Wylie, 2013).  Similarly, Ehly and Topping (2009) suggested that critical dimensions of effective teaching include teacher’s subject knowledge, curriculum-teaching methods, and understanding of internal and external influences and knowledge of his teaching. Furthermore, he suggested that teachers should have decisive powers about choosing classroom strategies and overt behaviour to foster and promote learning. Moreover, Eryaman and Bruce (2004, p. 12) found that effective teachers can build a strong relationship with students. Likewise, Miller (2003) argued that effective teachers are those that are caring, patient, and kind. Dunne and Wragg (1994) suggested that effective classroom teachers are considerate to students’ needs and aspirations, and they prepare their lesson with students in mind. Less effective teachers have been identified as less engaging, with no aspirations for themselves or students (Falk, Blumenreich and Abani, 2012), whereas Mujis and Reynolds (2016) claimed that ways of teaching are also rooted in teacher’s background and biography, whereby these factors influence the kind of teachers they have become. </w:t>
      </w:r>
    </w:p>
    <w:p w14:paraId="7A81EAA7" w14:textId="1286B081"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In the context of different subjects, the concept of teaching has been linked to teachers’ beliefs and values, understanding of the curriculum, and students’ diverse needs and</w:t>
      </w:r>
      <w:r w:rsidR="003E5B47" w:rsidRPr="00C377C8">
        <w:rPr>
          <w:rFonts w:ascii="Times New Roman" w:hAnsi="Times New Roman" w:cs="Times New Roman"/>
          <w:color w:val="000000" w:themeColor="text1"/>
          <w:sz w:val="24"/>
          <w:szCs w:val="24"/>
        </w:rPr>
        <w:t xml:space="preserve"> learning </w:t>
      </w:r>
      <w:r w:rsidRPr="00C377C8">
        <w:rPr>
          <w:rFonts w:ascii="Times New Roman" w:hAnsi="Times New Roman" w:cs="Times New Roman"/>
          <w:color w:val="000000" w:themeColor="text1"/>
          <w:sz w:val="24"/>
          <w:szCs w:val="24"/>
        </w:rPr>
        <w:t xml:space="preserve">outcomes (Barwell, 2009; Freeman and Freeman, 2000; Hernández, 1997). For example, a teacher who perceives teaching as a tool for transferring information may end up </w:t>
      </w:r>
      <w:r w:rsidR="00EA1793" w:rsidRPr="00C377C8">
        <w:rPr>
          <w:rFonts w:ascii="Times New Roman" w:hAnsi="Times New Roman" w:cs="Times New Roman"/>
          <w:color w:val="000000" w:themeColor="text1"/>
          <w:sz w:val="24"/>
          <w:szCs w:val="24"/>
        </w:rPr>
        <w:t xml:space="preserve">achieving </w:t>
      </w:r>
      <w:r w:rsidRPr="00C377C8">
        <w:rPr>
          <w:rFonts w:ascii="Times New Roman" w:hAnsi="Times New Roman" w:cs="Times New Roman"/>
          <w:color w:val="000000" w:themeColor="text1"/>
          <w:sz w:val="24"/>
          <w:szCs w:val="24"/>
        </w:rPr>
        <w:t xml:space="preserve">with fewer or no learning outcomes (Hayes, 2006). Contrary, a teacher who perceives teaching as a tool for developing students’ knowledge and skills would have </w:t>
      </w:r>
      <w:r w:rsidR="003E5B47" w:rsidRPr="00C377C8">
        <w:rPr>
          <w:rFonts w:ascii="Times New Roman" w:hAnsi="Times New Roman" w:cs="Times New Roman"/>
          <w:color w:val="000000" w:themeColor="text1"/>
          <w:sz w:val="24"/>
          <w:szCs w:val="24"/>
        </w:rPr>
        <w:t xml:space="preserve">success in aching </w:t>
      </w:r>
      <w:r w:rsidR="0086267E" w:rsidRPr="00C377C8">
        <w:rPr>
          <w:rFonts w:ascii="Times New Roman" w:hAnsi="Times New Roman" w:cs="Times New Roman"/>
          <w:color w:val="000000" w:themeColor="text1"/>
          <w:sz w:val="24"/>
          <w:szCs w:val="24"/>
        </w:rPr>
        <w:t>students’ learning</w:t>
      </w:r>
      <w:r w:rsidR="003E5B47" w:rsidRPr="00C377C8">
        <w:rPr>
          <w:rFonts w:ascii="Times New Roman" w:hAnsi="Times New Roman" w:cs="Times New Roman"/>
          <w:color w:val="000000" w:themeColor="text1"/>
          <w:sz w:val="24"/>
          <w:szCs w:val="24"/>
        </w:rPr>
        <w:t xml:space="preserve"> </w:t>
      </w:r>
      <w:r w:rsidRPr="00C377C8">
        <w:rPr>
          <w:rFonts w:ascii="Times New Roman" w:hAnsi="Times New Roman" w:cs="Times New Roman"/>
          <w:color w:val="000000" w:themeColor="text1"/>
          <w:sz w:val="24"/>
          <w:szCs w:val="24"/>
        </w:rPr>
        <w:t xml:space="preserve">outcomes and more profound learning (Sit, 2017). Hernández (1997) found that teachers who used different approaches </w:t>
      </w:r>
      <w:r w:rsidRPr="00C377C8">
        <w:rPr>
          <w:rFonts w:ascii="Times New Roman" w:hAnsi="Times New Roman" w:cs="Times New Roman"/>
          <w:color w:val="000000" w:themeColor="text1"/>
          <w:sz w:val="24"/>
          <w:szCs w:val="24"/>
        </w:rPr>
        <w:lastRenderedPageBreak/>
        <w:t xml:space="preserve">based on the context, classroom environment and students’ learning needs achieved better learning outcomes. </w:t>
      </w:r>
    </w:p>
    <w:p w14:paraId="6513FE6A" w14:textId="7B010FA0"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Goel (2019) linked effective teaching with the knowledge of teaching theories and argued that it helps teachers to use considerate teaching methods, which may enhance students’ learning experiences. When a teacher chooses a particular way to teach, it impacts the whole learning process and, directly or indirectly, the derived outcomes (Cohen, Kulik and Kulik, 1982). Similarly, Gibbs and Coffey (2004) emphasised that knowledge of teaching theories helps classroom teachers to ensure that what being taught is relevant and that the way it is taught is aligned with students’ needs. Moreover, it facilitates good choices of instructional strategies that help students further in achieving their goals. Likewise, Green and Hutchings (2018) stated that behaviourism, cognitivism, constructivism etc. can offer an opportunity for a teacher and facilitator to think critically about learning and education. Trowler and Cooper (2002) clarified that learning and teaching theories offer frameworks that help teachers understand how resources are used, how knowledge is co-created, and how learning takes place in formal and informal settings. </w:t>
      </w:r>
    </w:p>
    <w:p w14:paraId="40D82F49" w14:textId="1A0B4CEF" w:rsidR="00D5444F" w:rsidRPr="00C377C8" w:rsidRDefault="00D5444F" w:rsidP="00A03160">
      <w:pPr>
        <w:shd w:val="clear" w:color="auto" w:fill="FFFFFF"/>
        <w:spacing w:before="100" w:beforeAutospacing="1" w:after="90" w:line="360" w:lineRule="auto"/>
        <w:ind w:left="2268"/>
        <w:jc w:val="both"/>
        <w:rPr>
          <w:rFonts w:ascii="Times New Roman" w:eastAsia="Calibri" w:hAnsi="Times New Roman" w:cs="Times New Roman"/>
          <w:b/>
          <w:bCs/>
          <w:color w:val="000000" w:themeColor="text1"/>
          <w:sz w:val="24"/>
          <w:szCs w:val="24"/>
          <w:shd w:val="clear" w:color="auto" w:fill="FFFFFF"/>
        </w:rPr>
      </w:pPr>
      <w:r w:rsidRPr="00C377C8">
        <w:rPr>
          <w:rFonts w:ascii="Times New Roman" w:eastAsia="Calibri" w:hAnsi="Times New Roman" w:cs="Times New Roman"/>
          <w:color w:val="000000" w:themeColor="text1"/>
          <w:sz w:val="24"/>
          <w:szCs w:val="24"/>
        </w:rPr>
        <w:t xml:space="preserve">Several frameworks have attempted to describe effective teaching, but these frameworks were developed as a result of research conducted in school contexts and in relation to contents. Coe, Aloisi, Higgins and Major (2014) listed six common components that teachers should consider when assessing their practice for improved students’ outcomes. The components of effective teaching include content knowledge, quality of instruction, classroom climate, classroom management, teacher beliefs and professional behaviour. Authors highlighted that these components are broad and can be interpreted differently. </w:t>
      </w:r>
    </w:p>
    <w:p w14:paraId="409ADD0F" w14:textId="77777777" w:rsidR="00D5444F" w:rsidRPr="00C377C8" w:rsidRDefault="00D5444F" w:rsidP="00A03160">
      <w:pPr>
        <w:shd w:val="clear" w:color="auto" w:fill="FFFFFF"/>
        <w:spacing w:before="100" w:beforeAutospacing="1" w:after="9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Similarly, Jack, Baenen and Regan (2017) designed the effective teaching framework to provide a common language and lens to understand teachers’ and school leaders’ needs and resources to create a safe environment for effective teaching and learning. They identified several barriers to effective teaching including confusion about expectations, lack of communication from central services, leadership changes and lack of training and support for teachers. The effective teaching framework suggests effective teaching is about establishing a growth mindset, curriculum planning, instructional strategies, and cultural proficiency. </w:t>
      </w:r>
    </w:p>
    <w:p w14:paraId="6B906F64" w14:textId="77777777" w:rsidR="00AA0DBF" w:rsidRDefault="00AA0DBF" w:rsidP="00F8610A">
      <w:pPr>
        <w:shd w:val="clear" w:color="auto" w:fill="FFFFFF"/>
        <w:spacing w:before="100" w:beforeAutospacing="1" w:after="90" w:line="360" w:lineRule="auto"/>
        <w:ind w:left="2268"/>
        <w:jc w:val="both"/>
        <w:rPr>
          <w:rFonts w:ascii="Times New Roman" w:eastAsia="Calibri" w:hAnsi="Times New Roman" w:cs="Times New Roman"/>
          <w:color w:val="000000" w:themeColor="text1"/>
          <w:sz w:val="24"/>
          <w:szCs w:val="24"/>
        </w:rPr>
      </w:pPr>
    </w:p>
    <w:p w14:paraId="5FC8D616" w14:textId="691F9549" w:rsidR="00F8610A" w:rsidRPr="00C377C8" w:rsidRDefault="00AA0DBF" w:rsidP="00AA0DBF">
      <w:pPr>
        <w:shd w:val="clear" w:color="auto" w:fill="FFFFFF"/>
        <w:spacing w:before="100" w:beforeAutospacing="1" w:after="90" w:line="360" w:lineRule="auto"/>
        <w:ind w:left="2268"/>
        <w:jc w:val="both"/>
        <w:rPr>
          <w:rFonts w:ascii="Times New Roman" w:eastAsia="Calibri" w:hAnsi="Times New Roman" w:cs="Times New Roman"/>
          <w:color w:val="000000" w:themeColor="text1"/>
          <w:sz w:val="24"/>
          <w:szCs w:val="24"/>
        </w:rPr>
      </w:pPr>
      <w:r>
        <w:rPr>
          <w:rStyle w:val="Strong"/>
          <w:rFonts w:ascii="Open Sans" w:hAnsi="Open Sans" w:cs="Open Sans"/>
          <w:color w:val="666666"/>
          <w:sz w:val="20"/>
          <w:szCs w:val="20"/>
          <w:shd w:val="clear" w:color="auto" w:fill="FFFFFF"/>
        </w:rPr>
        <w:lastRenderedPageBreak/>
        <w:t> </w:t>
      </w:r>
      <w:r>
        <w:rPr>
          <w:rStyle w:val="selectable"/>
          <w:rFonts w:ascii="Open Sans" w:hAnsi="Open Sans" w:cs="Open Sans"/>
          <w:color w:val="000000"/>
          <w:sz w:val="20"/>
          <w:szCs w:val="20"/>
          <w:shd w:val="clear" w:color="auto" w:fill="FFFFFF"/>
        </w:rPr>
        <w:t>Ko, Sammons and Bakkum (2014)</w:t>
      </w:r>
      <w:r w:rsidR="00D5444F" w:rsidRPr="00C377C8">
        <w:rPr>
          <w:rFonts w:ascii="Times New Roman" w:eastAsia="Calibri" w:hAnsi="Times New Roman" w:cs="Times New Roman"/>
          <w:color w:val="000000" w:themeColor="text1"/>
          <w:sz w:val="24"/>
          <w:szCs w:val="24"/>
        </w:rPr>
        <w:t xml:space="preserve"> wrote a review on effective teaching for Education Development Trust, which showed that teachers’ content knowledge is a necessity for achieving good teaching. Without sound subject knowledge a teacher may not engage students in productive discussions and challenge them effectively. Additionally, the review identified several characteristics of good schools such as consistency of planning and delivery, culture of professional development, assessment of teaching and learning and addressing students’ needs, interests, and concerns. The current study will fill in the existing</w:t>
      </w:r>
      <w:r w:rsidR="00D5444F" w:rsidRPr="00C377C8" w:rsidDel="0022709C">
        <w:rPr>
          <w:rFonts w:ascii="Times New Roman" w:eastAsia="Calibri" w:hAnsi="Times New Roman" w:cs="Times New Roman"/>
          <w:color w:val="000000" w:themeColor="text1"/>
          <w:sz w:val="24"/>
          <w:szCs w:val="24"/>
        </w:rPr>
        <w:t xml:space="preserve"> </w:t>
      </w:r>
      <w:r w:rsidR="00D5444F" w:rsidRPr="00C377C8">
        <w:rPr>
          <w:rFonts w:ascii="Times New Roman" w:eastAsia="Calibri" w:hAnsi="Times New Roman" w:cs="Times New Roman"/>
          <w:color w:val="000000" w:themeColor="text1"/>
          <w:sz w:val="24"/>
          <w:szCs w:val="24"/>
        </w:rPr>
        <w:t xml:space="preserve">gap between state schools and independent faith institutes and highlight some of the common challenges and opportunities for excellence in teaching and learning. </w:t>
      </w:r>
    </w:p>
    <w:p w14:paraId="06B25E3B" w14:textId="7EB796F9" w:rsidR="00FB6B91" w:rsidRPr="00C377C8" w:rsidRDefault="00F8610A" w:rsidP="00FB6B91">
      <w:pPr>
        <w:shd w:val="clear" w:color="auto" w:fill="FFFFFF"/>
        <w:spacing w:before="100" w:beforeAutospacing="1" w:after="90" w:line="360" w:lineRule="auto"/>
        <w:ind w:left="2268"/>
        <w:jc w:val="both"/>
        <w:rPr>
          <w:rFonts w:ascii="Times New Roman" w:eastAsia="Times New Roman" w:hAnsi="Times New Roman" w:cs="Times New Roman"/>
          <w:color w:val="000000" w:themeColor="text1"/>
          <w:sz w:val="24"/>
          <w:szCs w:val="24"/>
          <w:lang w:eastAsia="en-GB"/>
        </w:rPr>
      </w:pPr>
      <w:r w:rsidRPr="00C377C8">
        <w:rPr>
          <w:rFonts w:ascii="Times New Roman" w:eastAsia="Calibri" w:hAnsi="Times New Roman" w:cs="Times New Roman"/>
          <w:color w:val="000000" w:themeColor="text1"/>
          <w:sz w:val="24"/>
          <w:szCs w:val="24"/>
        </w:rPr>
        <w:t xml:space="preserve">Freire (2018) relates effective teaching and learning with social justice, </w:t>
      </w:r>
      <w:r w:rsidR="00683ACD" w:rsidRPr="00C377C8">
        <w:rPr>
          <w:rFonts w:ascii="Times New Roman" w:eastAsia="Calibri" w:hAnsi="Times New Roman" w:cs="Times New Roman"/>
          <w:color w:val="000000" w:themeColor="text1"/>
          <w:sz w:val="24"/>
          <w:szCs w:val="24"/>
        </w:rPr>
        <w:t>equity,</w:t>
      </w:r>
      <w:r w:rsidRPr="00C377C8">
        <w:rPr>
          <w:rFonts w:ascii="Times New Roman" w:eastAsia="Calibri" w:hAnsi="Times New Roman" w:cs="Times New Roman"/>
          <w:color w:val="000000" w:themeColor="text1"/>
          <w:sz w:val="24"/>
          <w:szCs w:val="24"/>
        </w:rPr>
        <w:t xml:space="preserve"> and democracy. The goal of teaching for him is to protect human rights and saves people from oppression</w:t>
      </w:r>
      <w:r w:rsidR="00683ACD" w:rsidRPr="00C377C8">
        <w:rPr>
          <w:rFonts w:ascii="Times New Roman" w:eastAsia="Calibri" w:hAnsi="Times New Roman" w:cs="Times New Roman"/>
          <w:color w:val="000000" w:themeColor="text1"/>
          <w:sz w:val="24"/>
          <w:szCs w:val="24"/>
        </w:rPr>
        <w:t xml:space="preserve"> through an awakening of the critical consciousness. The field of critical pedagogy continues to evolve and develop and influence the practice of teaching and learning. Hooks (2013) advocated that effective teaching is a per</w:t>
      </w:r>
      <w:r w:rsidR="00FB6B91" w:rsidRPr="00C377C8">
        <w:rPr>
          <w:rFonts w:ascii="Times New Roman" w:eastAsia="Calibri" w:hAnsi="Times New Roman" w:cs="Times New Roman"/>
          <w:color w:val="000000" w:themeColor="text1"/>
          <w:sz w:val="24"/>
          <w:szCs w:val="24"/>
        </w:rPr>
        <w:t xml:space="preserve">formative act that offers the space for change. </w:t>
      </w:r>
      <w:r w:rsidR="00FB6B91" w:rsidRPr="00C377C8">
        <w:rPr>
          <w:rFonts w:ascii="Times New Roman" w:eastAsia="Times New Roman" w:hAnsi="Times New Roman" w:cs="Times New Roman"/>
          <w:color w:val="000000" w:themeColor="text1"/>
          <w:sz w:val="24"/>
          <w:szCs w:val="24"/>
          <w:lang w:eastAsia="en-GB"/>
        </w:rPr>
        <w:t xml:space="preserve">McLaren and Kincheloe (2007) views effective teaching as a critical pedagogy embedded in scholarship and critical thinking skills. </w:t>
      </w:r>
      <w:r w:rsidR="00FB6B91" w:rsidRPr="00C377C8">
        <w:rPr>
          <w:rFonts w:ascii="Times New Roman" w:eastAsia="Calibri" w:hAnsi="Times New Roman" w:cs="Times New Roman"/>
          <w:color w:val="000000" w:themeColor="text1"/>
          <w:sz w:val="24"/>
          <w:szCs w:val="24"/>
        </w:rPr>
        <w:t>This can be linked to effective teaching of the critical interpretation of the Quran because safe classrooms allow students to see beyond the existing power structures which oppress certain people and communities.</w:t>
      </w:r>
    </w:p>
    <w:p w14:paraId="4B1426C3" w14:textId="1A2909C0"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There are different views among theorists and educators about the ways of teaching thinking</w:t>
      </w:r>
      <w:r w:rsidR="00D5444F" w:rsidRPr="00C377C8">
        <w:rPr>
          <w:rFonts w:ascii="Times New Roman" w:hAnsi="Times New Roman" w:cs="Times New Roman"/>
          <w:color w:val="000000" w:themeColor="text1"/>
          <w:sz w:val="24"/>
          <w:szCs w:val="24"/>
        </w:rPr>
        <w:t xml:space="preserve"> skills</w:t>
      </w:r>
      <w:r w:rsidRPr="00C377C8">
        <w:rPr>
          <w:rFonts w:ascii="Times New Roman" w:hAnsi="Times New Roman" w:cs="Times New Roman"/>
          <w:color w:val="000000" w:themeColor="text1"/>
          <w:sz w:val="24"/>
          <w:szCs w:val="24"/>
        </w:rPr>
        <w:t xml:space="preserve"> and especially critical thinking skills. </w:t>
      </w:r>
      <w:r w:rsidR="00D5444F" w:rsidRPr="00C377C8">
        <w:rPr>
          <w:rFonts w:ascii="Times New Roman" w:hAnsi="Times New Roman" w:cs="Times New Roman"/>
          <w:color w:val="000000" w:themeColor="text1"/>
          <w:sz w:val="24"/>
          <w:szCs w:val="24"/>
        </w:rPr>
        <w:t>One set of educationists, Mansilla and Gardner (2008)</w:t>
      </w:r>
      <w:r w:rsidRPr="00C377C8">
        <w:rPr>
          <w:rFonts w:ascii="Times New Roman" w:hAnsi="Times New Roman" w:cs="Times New Roman"/>
          <w:color w:val="000000" w:themeColor="text1"/>
          <w:sz w:val="24"/>
          <w:szCs w:val="24"/>
        </w:rPr>
        <w:t xml:space="preserve"> argued that academic disciplines embody ‘distinct ways of thinking about the world’ and that should be emphasised in schools to enable young people to interpret the world in distinctive ways that characterise thinking of experienced people within the field. By contrast, Noddings (2008) argued against this view citing that teachers should also teach students to think like expert interpreters do. She argued that there is a possibility of more than one way of thinking, and teachers should aim at showing students how to use the text to think about their purpose. </w:t>
      </w:r>
    </w:p>
    <w:p w14:paraId="5F1FE326" w14:textId="2AF213EA"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Allison and Rehm (2007) conducted a qualitative study in Florida’s multilingual and diverse middle </w:t>
      </w:r>
      <w:r w:rsidR="00D5444F" w:rsidRPr="00C377C8">
        <w:rPr>
          <w:rFonts w:ascii="Times New Roman" w:hAnsi="Times New Roman" w:cs="Times New Roman"/>
          <w:color w:val="000000" w:themeColor="text1"/>
          <w:sz w:val="24"/>
          <w:szCs w:val="24"/>
        </w:rPr>
        <w:t>schools,</w:t>
      </w:r>
      <w:r w:rsidRPr="00C377C8">
        <w:rPr>
          <w:rFonts w:ascii="Times New Roman" w:hAnsi="Times New Roman" w:cs="Times New Roman"/>
          <w:color w:val="000000" w:themeColor="text1"/>
          <w:sz w:val="24"/>
          <w:szCs w:val="24"/>
        </w:rPr>
        <w:t xml:space="preserve"> and they identified several effective teaching strategies including visuals, peer tutoring, cooperative learning, and alternative ways of assessment. Visuals have been previously mentioned in research as extremely helpful while teaching any concepts in any classroom, but in multilingual classrooms </w:t>
      </w:r>
      <w:r w:rsidRPr="00C377C8">
        <w:rPr>
          <w:rFonts w:ascii="Times New Roman" w:hAnsi="Times New Roman" w:cs="Times New Roman"/>
          <w:color w:val="000000" w:themeColor="text1"/>
          <w:sz w:val="24"/>
          <w:szCs w:val="24"/>
        </w:rPr>
        <w:lastRenderedPageBreak/>
        <w:t xml:space="preserve">particularly (Carrier, 2005). Critical interpretation is cross-cultural, students move from 6th century culture of the Arab Peninsula to modern British or Western culture, so visual aids may be useful tools in teaching the critical interpretation of the sacred text in such multilingual classes. Florida teachers recommended the second effective strategy of peer tutoring for multi-ethnic, multi-racial and multilingual classrooms. This can be highly effective in teaching interpretation (Curtin, 2006; Snowman and Beihler, 2003), as pairing students into groups with similar or different linguistic competences in both source and target language may enhance their learning, whilst also helping teachers to develop friendship and improve classroom behaviour. A wealth of research has also demonstrated that cooperative learning is an instructional tool, which is used by many teachers in multilingual classrooms to enhance literacy and improve communication skills (Crandell, 1999; Slavin, 1990; Wills, 2007). </w:t>
      </w:r>
    </w:p>
    <w:p w14:paraId="655A209D"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Lastly, feedback is often found to be an important component of effective teaching and learning as a way of helping and supporting students to understand the gaps in their learning and boosting their confidence to achieve the best in the process of the knowledge construction (Callender, Franco-Watkins and Roberts, 2015; Koopmans, 2010). Eyers and Hill (2016, p. 121) pointed out that without constructive feedback students may not know their progress and how to further it. For effective teaching, both formal and informal, verbal and written, direct and indirect methods were recognised. Van der Boom and Jang (2018) illustrated that feedback should be constructive and not demotivating. Machin et al. (2013) argued that a teacher should not underestimate the potential of feedback in transforming student’s learning and interest. Poor feedback, such as quick comments, does not identify ‘what a student has achieved’ and ‘what they need to improve and how to develop knowledge and skills further’ (Rogers, 2007, p.89). Furthermore, for effective teaching and learning, it was suggested that students should be asked to reflect and to provide their thoughts during oral feedback even if a teacher is giving them written feedback. </w:t>
      </w:r>
    </w:p>
    <w:p w14:paraId="4DA211E2" w14:textId="3386593B"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There is a considerable volume of up-to-date literature on teaching different subjects in multilingual classrooms and how multilingualism influences teaching approaches (Lee, 2013; Paquet-Gauthier and Beaulieu, 2015). According to Matthew (2014, p.77), multilingual people can ‘code and decode different concepts in different languages and switch from one language to the other when they converse with interlocutors who are using other </w:t>
      </w:r>
      <w:r w:rsidR="00D5444F" w:rsidRPr="00C377C8">
        <w:rPr>
          <w:rFonts w:ascii="Times New Roman" w:hAnsi="Times New Roman" w:cs="Times New Roman"/>
          <w:color w:val="000000" w:themeColor="text1"/>
          <w:sz w:val="24"/>
          <w:szCs w:val="24"/>
        </w:rPr>
        <w:t>languages</w:t>
      </w:r>
      <w:r w:rsidRPr="00C377C8">
        <w:rPr>
          <w:rFonts w:ascii="Times New Roman" w:hAnsi="Times New Roman" w:cs="Times New Roman"/>
          <w:color w:val="000000" w:themeColor="text1"/>
          <w:sz w:val="24"/>
          <w:szCs w:val="24"/>
        </w:rPr>
        <w:t xml:space="preserve">. The experience of multilingualism has significant consequences for students’ cognitive performance. </w:t>
      </w:r>
    </w:p>
    <w:p w14:paraId="5D94E5B0" w14:textId="35A33AC6"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lastRenderedPageBreak/>
        <w:t xml:space="preserve">Increased diversity in religious schools has drawn </w:t>
      </w:r>
      <w:r w:rsidR="00D5444F" w:rsidRPr="00C377C8">
        <w:rPr>
          <w:rFonts w:ascii="Times New Roman" w:hAnsi="Times New Roman" w:cs="Times New Roman"/>
          <w:color w:val="000000" w:themeColor="text1"/>
          <w:sz w:val="24"/>
          <w:szCs w:val="24"/>
        </w:rPr>
        <w:t>academics</w:t>
      </w:r>
      <w:r w:rsidRPr="00C377C8">
        <w:rPr>
          <w:rFonts w:ascii="Times New Roman" w:hAnsi="Times New Roman" w:cs="Times New Roman"/>
          <w:color w:val="000000" w:themeColor="text1"/>
          <w:sz w:val="24"/>
          <w:szCs w:val="24"/>
        </w:rPr>
        <w:t xml:space="preserve"> and researchers’ attention to challenges associated with multilingualism (Darling, 2005; Hodges, 2001). Some researchers argued that meeting the needs of students who only speak one language and do not know the source language may end up in frustration, development of behavioural issues, and disruption in the classroom (Singh, 2001). Similarly, foreign language teachers from different linguistic backgrounds may simultaneously experience barriers to effective communication (Braunmüller and Gabriel, 2012; Makodia, 2009; Rai and Rai, 2009). Therefore, foreign language teachers must become educated and skilled in using different methods and strategies, particularly those that are considerate and responsive to the linguistic needs of young people from diverse linguistic backgrounds (Darling, 2005; Davis, 1995; Hefflin, 2002; Johnson, 2005).</w:t>
      </w:r>
    </w:p>
    <w:p w14:paraId="343C81EE" w14:textId="2C7346D8"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There is a general understanding among researchers that, despite some of the pedagogical aspects being common across different disciplines, a significant proportion of the criteria will be </w:t>
      </w:r>
      <w:r w:rsidR="003C473C" w:rsidRPr="00C377C8">
        <w:rPr>
          <w:rFonts w:ascii="Times New Roman" w:hAnsi="Times New Roman" w:cs="Times New Roman"/>
          <w:color w:val="000000" w:themeColor="text1"/>
          <w:sz w:val="24"/>
          <w:szCs w:val="24"/>
        </w:rPr>
        <w:t>discipline specific</w:t>
      </w:r>
      <w:r w:rsidRPr="00C377C8">
        <w:rPr>
          <w:rFonts w:ascii="Times New Roman" w:hAnsi="Times New Roman" w:cs="Times New Roman"/>
          <w:color w:val="000000" w:themeColor="text1"/>
          <w:sz w:val="24"/>
          <w:szCs w:val="24"/>
        </w:rPr>
        <w:t xml:space="preserve"> (Akpaca, 2020; Fillmore, Kempler and Wang, 2014; Johnson, 2011; Joyce, 2017; Mead and Beadle, 2017; O Neil, 1999; Richards and Rodgers, 2015). Teaching critical interpretation of the Quran in multilingual classes is not an exception. However, due to the multifaceted nature of teaching interpretation of the Quran, there is a need to recognize that ‘what teachers teach’ is as important as ‘how they teach’ (Shulman, 1986). I was unable to find any criteria set by faith-based institutes offering Dars-i-Nizami to assess the quality of their teaching or methodologies. However, the current research is based on perspectives of both foreign language teachers and students and, thus, may help new teachers to evaluate or review their practice and identify problems. They may change their teaching practices, which should result in greater learner engagement, satisfaction, and attainment. </w:t>
      </w:r>
    </w:p>
    <w:p w14:paraId="10515E02" w14:textId="77777777" w:rsidR="009719B8" w:rsidRPr="00C377C8" w:rsidRDefault="009719B8" w:rsidP="00461178">
      <w:pPr>
        <w:pStyle w:val="Heading2"/>
        <w:spacing w:line="360" w:lineRule="auto"/>
        <w:ind w:left="2268"/>
      </w:pPr>
      <w:bookmarkStart w:id="69" w:name="_Toc83818661"/>
      <w:bookmarkStart w:id="70" w:name="_Toc96609073"/>
      <w:r w:rsidRPr="00C377C8">
        <w:t>Teachers’ and students’ perception as an indicator of effective teaching</w:t>
      </w:r>
      <w:bookmarkEnd w:id="69"/>
      <w:bookmarkEnd w:id="70"/>
    </w:p>
    <w:p w14:paraId="1C901E56"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Professional teachers are always keen to evaluate the effectiveness of their practice and develop new strategies of teaching and learning (Dymoke and Harrison, 2008; Farrell, 2004). Savage and Fautley (2013) outlined students’ attainment and satisfaction, students’ feedback, other stakeholders’ views, as well as a teachers’ reflection as possible methods of measuring teaching effectiveness. Self-evaluation and review help teachers to identify problems with their practice and enable them to </w:t>
      </w:r>
      <w:r w:rsidRPr="00C377C8">
        <w:rPr>
          <w:rFonts w:ascii="Times New Roman" w:hAnsi="Times New Roman" w:cs="Times New Roman"/>
          <w:color w:val="000000" w:themeColor="text1"/>
          <w:sz w:val="24"/>
          <w:szCs w:val="24"/>
        </w:rPr>
        <w:lastRenderedPageBreak/>
        <w:t>change their approach. Similarly, students’ impartial and fair feedback also helps to identify gaps or issues they might be facing in the process of learning and teaching (Pollock and Ford, 2009; Webber and Lupart, 2012). Previous research has also shown that formal internal assessments to evaluate teachers’ performance can hardly provide an accurate picture of teaching due to external influences like presence of instructors and fear of getting bad grades amongst other factor that impact students’ opinion (Lovat and Toomey, 2009).</w:t>
      </w:r>
    </w:p>
    <w:p w14:paraId="5FE89824"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Independent feedback from both students and teachers is more reliable in understanding ‘teaching’ as they work together in class and this type of feedback constructs more knowledge than any other method (Nunan, 2003). Students are attending classes for hours taking notes from teachers but can leave the class with little or no understanding of the subject (Russ, 2012; Bennett, 2012). Similarly, teachers may deliver a one-hour lecture, use PowerPoint, go through the slides, but students may not be responsive and cooperative (Cangelosi, 1990). Knowles and Lander’s (2011) study of diversity, equality, and achievement found that the process of learning becomes more productive when both students and teachers know each other’s strengths and weaknesses and are cooperative in the process of learning. Their feedback to each other on what is going on in the classroom can lead to a better understanding of effective teaching in a particular context (Cohen, Manion and Morrison, 2012). </w:t>
      </w:r>
    </w:p>
    <w:p w14:paraId="7921812E"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Shahzad (2018) studied teachers’ perception of teaching methods in Pakistan and revealed that teachers see their performance through students’ results. Furthermore, Hussain (2020) found that teachers’ evaluation of their own practices can improve them. These studies provide evidence that exploring teachers’ and students’ views of effective teaching of the critical interpretation of the Quran is helpful for designing a framework of education, which may improve teachers’ performance in the classroom environment. </w:t>
      </w:r>
    </w:p>
    <w:p w14:paraId="1565B554" w14:textId="77777777" w:rsidR="009719B8" w:rsidRPr="00C377C8" w:rsidRDefault="009719B8" w:rsidP="00461178">
      <w:pPr>
        <w:pStyle w:val="Heading2"/>
        <w:spacing w:line="360" w:lineRule="auto"/>
        <w:ind w:left="2268"/>
      </w:pPr>
      <w:bookmarkStart w:id="71" w:name="_Toc83818662"/>
      <w:bookmarkStart w:id="72" w:name="_Toc96609074"/>
      <w:r w:rsidRPr="00C377C8">
        <w:t>Conclusion</w:t>
      </w:r>
      <w:bookmarkEnd w:id="71"/>
      <w:bookmarkEnd w:id="72"/>
      <w:r w:rsidRPr="00C377C8">
        <w:t xml:space="preserve"> </w:t>
      </w:r>
    </w:p>
    <w:p w14:paraId="79EA157A"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This chapter critically examined the literature on the interpretation of the Quran, multilingualism, and effective teaching. I presented the literature whilst adopting thematic approach because of the triangulation and complexity of the subject. I endeavoured to identify different trends and patterns within the interpretation of the Quran, the exiting pattern between interpretation and the critical interpretation of the Quran, debates and contradictions between different scholars, and influential studies </w:t>
      </w:r>
      <w:r w:rsidRPr="00C377C8">
        <w:rPr>
          <w:rFonts w:ascii="Times New Roman" w:hAnsi="Times New Roman" w:cs="Times New Roman"/>
          <w:color w:val="000000" w:themeColor="text1"/>
          <w:sz w:val="24"/>
          <w:szCs w:val="24"/>
        </w:rPr>
        <w:lastRenderedPageBreak/>
        <w:t xml:space="preserve">within the field. Particularly, research examined the phenomenon of multilingualism and the concept of effective teaching. </w:t>
      </w:r>
    </w:p>
    <w:p w14:paraId="2446F1D7"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I emphasised the gap by explaining how Muslim scholars focused on writing tafsir and neglected practical issues that both teachers and students face in the process of teaching and learning the critical interpretation of the Quran. Similarly, Western scholars have conducted several studies on teaching, teaching methods, effective teaching of the Bible, teaching different subjects in multilingual classrooms, but no study has looked at teaching the interpretation of the Quran or teaching critical interpretation in multilingual classrooms. I believe that exploring teachers’ and students’ perspectives on effective teaching of the critical interpretation of the Quran in multilingual classroom will bridge this existing gap. Furthermore, the outcomes may benefit both existing and new teachers in improving their teaching.</w:t>
      </w:r>
    </w:p>
    <w:p w14:paraId="50B89D25" w14:textId="77777777" w:rsidR="00DD7D0A" w:rsidRPr="00C377C8" w:rsidRDefault="00DD7D0A" w:rsidP="00461178">
      <w:pPr>
        <w:spacing w:line="360" w:lineRule="auto"/>
        <w:ind w:left="2268"/>
        <w:jc w:val="both"/>
        <w:rPr>
          <w:rFonts w:ascii="Times New Roman" w:hAnsi="Times New Roman" w:cs="Times New Roman"/>
          <w:color w:val="000000" w:themeColor="text1"/>
          <w:sz w:val="24"/>
          <w:szCs w:val="24"/>
        </w:rPr>
      </w:pPr>
    </w:p>
    <w:p w14:paraId="55717EB0" w14:textId="77777777" w:rsidR="00DD7D0A" w:rsidRPr="00C377C8" w:rsidRDefault="00DD7D0A" w:rsidP="00461178">
      <w:pPr>
        <w:spacing w:line="360" w:lineRule="auto"/>
        <w:ind w:left="2268"/>
        <w:jc w:val="both"/>
        <w:rPr>
          <w:rFonts w:ascii="Times New Roman" w:hAnsi="Times New Roman" w:cs="Times New Roman"/>
          <w:color w:val="000000" w:themeColor="text1"/>
          <w:sz w:val="24"/>
          <w:szCs w:val="24"/>
        </w:rPr>
      </w:pPr>
    </w:p>
    <w:p w14:paraId="7E161581" w14:textId="77777777" w:rsidR="009719B8" w:rsidRPr="00C377C8" w:rsidRDefault="009719B8" w:rsidP="00461178">
      <w:pPr>
        <w:ind w:left="2268"/>
        <w:rPr>
          <w:color w:val="000000" w:themeColor="text1"/>
        </w:rPr>
      </w:pPr>
      <w:r w:rsidRPr="00C377C8">
        <w:rPr>
          <w:color w:val="000000" w:themeColor="text1"/>
        </w:rPr>
        <w:br w:type="page"/>
      </w:r>
    </w:p>
    <w:p w14:paraId="3628D55B" w14:textId="50351B9F" w:rsidR="009719B8" w:rsidRPr="00C377C8" w:rsidRDefault="009719B8" w:rsidP="00997CF9">
      <w:pPr>
        <w:pStyle w:val="Heading1"/>
        <w:ind w:right="0"/>
      </w:pPr>
      <w:bookmarkStart w:id="73" w:name="_Toc83818663"/>
      <w:bookmarkStart w:id="74" w:name="_Toc96609075"/>
      <w:r w:rsidRPr="00C377C8">
        <w:lastRenderedPageBreak/>
        <w:t>Chapter 3 Methodology</w:t>
      </w:r>
      <w:bookmarkEnd w:id="73"/>
      <w:bookmarkEnd w:id="74"/>
    </w:p>
    <w:p w14:paraId="5DE68D4A" w14:textId="77777777" w:rsidR="009719B8" w:rsidRPr="00C377C8" w:rsidRDefault="009719B8" w:rsidP="00461178">
      <w:pPr>
        <w:pStyle w:val="Heading2"/>
        <w:ind w:left="2268"/>
      </w:pPr>
      <w:bookmarkStart w:id="75" w:name="_Toc83818664"/>
      <w:bookmarkStart w:id="76" w:name="_Toc96609076"/>
      <w:r w:rsidRPr="00C377C8">
        <w:t>Introduction</w:t>
      </w:r>
      <w:bookmarkEnd w:id="75"/>
      <w:bookmarkEnd w:id="76"/>
      <w:r w:rsidRPr="00C377C8">
        <w:t xml:space="preserve"> </w:t>
      </w:r>
    </w:p>
    <w:p w14:paraId="70C72A2B"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This chapter aims to describe the methodology adopted in the current research to conduct the study in a controlled manner and illustrates what is involved in this study. It explains why interpretive phenomenological analysis was selected for the current study. Furthermore, it presents the theoretical underpinning of the approach and explains different stages of the current study. Additionally, it discusses epistemological, ontological, and philosophical positions of the research and its impact on different choices made about the research process including methodological approach, data collection methods, approaches to data analysis. It also critically analyses chosen research methods for reliable outcomes, and why one method was given preference over the other. It also addresses the question of why I included observation and document studies to complement semi-structured interviews. Furthermore, it discusses the challenges I faced in the process of study amidst COVID-19. It explains the sample size and the selection criteria for respondents. Additionally, it explains questions’ preparation and getting them validated through supervisors and critical colleagues. It also illustrates why I used NVivo to quantify the emerging themes and its use in managing the data. Finally, this chapter addresses issues of validity and reliability and how they were addressed within the current research.</w:t>
      </w:r>
    </w:p>
    <w:p w14:paraId="23A9AF1B" w14:textId="77777777" w:rsidR="009719B8" w:rsidRPr="00C377C8" w:rsidRDefault="009719B8" w:rsidP="00461178">
      <w:pPr>
        <w:pStyle w:val="Heading2"/>
        <w:ind w:left="2268"/>
      </w:pPr>
      <w:r w:rsidRPr="00C377C8">
        <w:t xml:space="preserve"> </w:t>
      </w:r>
      <w:bookmarkStart w:id="77" w:name="_Toc83818665"/>
      <w:bookmarkStart w:id="78" w:name="_Toc96609077"/>
      <w:r w:rsidRPr="00C377C8">
        <w:t>What is interpretive phenomenological analysis?</w:t>
      </w:r>
      <w:bookmarkEnd w:id="77"/>
      <w:bookmarkEnd w:id="78"/>
    </w:p>
    <w:p w14:paraId="3FAF5F79" w14:textId="1645ADB4"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Smith, Flowers and Larkin (2012, p. 1) and Menan (2014, p. 9) defined Interpretive Phenomenological Analysis (IPA) as a qualitative research approach committed to examination of how people make sense of their life experiences. IPA is used in psychology and social sciences to explore experience in its own terms. Husserl asserted that researchers in phenomenological paradigm must go back to things, rather than attempting to fix experience in predefined abstract categories (Engelland, 2020). This means that interpretive phenomenological research is based on the assumption that knowledge is co-created or refined through social interactive tools such as language, culture and shared meanings (Riaz, 2016). Additionally, as the current study is based on the close relationship between </w:t>
      </w:r>
      <w:r w:rsidR="00A03160" w:rsidRPr="00C377C8">
        <w:rPr>
          <w:rFonts w:ascii="Times New Roman" w:hAnsi="Times New Roman" w:cs="Times New Roman"/>
          <w:color w:val="000000" w:themeColor="text1"/>
          <w:sz w:val="24"/>
          <w:szCs w:val="24"/>
        </w:rPr>
        <w:t>me</w:t>
      </w:r>
      <w:r w:rsidRPr="00C377C8">
        <w:rPr>
          <w:rFonts w:ascii="Times New Roman" w:hAnsi="Times New Roman" w:cs="Times New Roman"/>
          <w:color w:val="000000" w:themeColor="text1"/>
          <w:sz w:val="24"/>
          <w:szCs w:val="24"/>
        </w:rPr>
        <w:t xml:space="preserve">, the subject under investigation and the research participants which is in line with the interpretive paradigm. Moreover, the aim of the study is not to test any theory, but the greater aim is to produce an understanding of the teaching of the critical interpretation of the Quran in multilingual </w:t>
      </w:r>
      <w:r w:rsidRPr="00C377C8">
        <w:rPr>
          <w:rFonts w:ascii="Times New Roman" w:hAnsi="Times New Roman" w:cs="Times New Roman"/>
          <w:color w:val="000000" w:themeColor="text1"/>
          <w:sz w:val="24"/>
          <w:szCs w:val="24"/>
        </w:rPr>
        <w:lastRenderedPageBreak/>
        <w:t xml:space="preserve">classrooms, therefore it was decided to adopt interpretive paradigm for the current study. In contrast, positivists assume that reality is independent and objective and can be separated from the researcher and the researched (Detmer, 2013), which does not align with my belief system. </w:t>
      </w:r>
    </w:p>
    <w:p w14:paraId="45EE756E" w14:textId="77777777" w:rsidR="009719B8" w:rsidRPr="00C377C8" w:rsidRDefault="009719B8" w:rsidP="00461178">
      <w:pPr>
        <w:pStyle w:val="Heading3"/>
        <w:numPr>
          <w:ilvl w:val="2"/>
          <w:numId w:val="3"/>
        </w:numPr>
        <w:spacing w:line="360" w:lineRule="auto"/>
        <w:ind w:left="2268"/>
      </w:pPr>
      <w:bookmarkStart w:id="79" w:name="_Toc83818666"/>
      <w:bookmarkStart w:id="80" w:name="_Toc96609078"/>
      <w:r w:rsidRPr="00C377C8">
        <w:t>Research Philosophy</w:t>
      </w:r>
      <w:bookmarkEnd w:id="79"/>
      <w:bookmarkEnd w:id="80"/>
    </w:p>
    <w:p w14:paraId="681BD9F2"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Holden and Lynch (2004, p. 12) argued that there is no right or wrong philosophical stance or belief within social research. Many researchers call for a combination of philosophies to improve the quality of research (Herrera, 2001; Hughes, 2016; Kaplan and Duchon, 1998) but many still believe that any scientific research based on a single philosophy can produce more concrete results (Creswell, 2013; Scott and Usher, 1996 and Zahavi, 2019). Therefore, philosophy in research is “the use of abstract ideas and beliefs that inform research, help in the process of formulating hypotheses or research questions and ensures reliable and valid results” (Smith, Flowers and Larkins, 2012). It also guides researchers in the process of research to move from one step to another in the process of their enquiry. Therefore, a researcher needs to have clarity about their beliefs about reality because It helps researchers to develop its shape and design (Hughes and Sharrock, 2016). </w:t>
      </w:r>
    </w:p>
    <w:p w14:paraId="0F8502B7"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In the current study, my research philosophy is interpretive and based on Husserl’s views that ‘in order to understand experience we have to go back to things’. Hence, in order to understand the effectiveness of teaching, we will have to go back to people who experience it on a day-to-day basis, as this experience is embedded in a context and is transformative in nature. This philosophical stance allows me to explore teaching and learning experiences in such way that, as far as possible, enables me to generate data and interpret it in its own terms, rather than as a predetermined category system (Smith, Flowers and Larkin, 2012, p. 32). Furthermore, the research pursues an ideographic commitment, situating both teachers and students in a particular context, and listening to their personal perspectives. Hatch and Cunliffe (2006, p. 46) labelled the interpretive paradigm as ‘anti-positivist’, while Mngnadi (2018) termed it as ‘post-positivist’ due to the opposing nature of social and natural sciences. Research in social sciences is viewed either constructivist or rationalistic, the latter being more closely related to a positivist perspective. Denzin and Lincoln (2005, p. 96) has used a term of “interpretive framework” to describe how people make sense of the respondents’ point of view and discover knowledge. Therefore, this study can be considered an interpretive phenomenological study.  </w:t>
      </w:r>
    </w:p>
    <w:p w14:paraId="7CC5EC3C"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lastRenderedPageBreak/>
        <w:t>Moreover, I believe that the social reality is not stable and objective and can be described from different points of view based on the context and external interferences as stated by (Gan and Lodder, 2014). I contend that the reality of teaching of the critical interpretation of the Quran can be understood when the researcher has an insider knowledge and gone through similar experience. Halling (2008, p. 145) stated that a phenomenologist researcher does not listen to respondent stories but constantly pays attention to and reflects on their own stories. The following sections analyse different components of my philosophy, namely ontology, epistemology, theoretical perspective, and methodology.</w:t>
      </w:r>
    </w:p>
    <w:p w14:paraId="5004BE1F" w14:textId="77777777" w:rsidR="009719B8" w:rsidRPr="00C377C8" w:rsidRDefault="009719B8" w:rsidP="00461178">
      <w:pPr>
        <w:pStyle w:val="Heading3"/>
        <w:numPr>
          <w:ilvl w:val="2"/>
          <w:numId w:val="3"/>
        </w:numPr>
        <w:ind w:left="2268"/>
      </w:pPr>
      <w:bookmarkStart w:id="81" w:name="_Toc83818667"/>
      <w:bookmarkStart w:id="82" w:name="_Toc96609079"/>
      <w:r w:rsidRPr="00C377C8">
        <w:t>Ontology</w:t>
      </w:r>
      <w:bookmarkEnd w:id="81"/>
      <w:bookmarkEnd w:id="82"/>
      <w:r w:rsidRPr="00C377C8">
        <w:t xml:space="preserve">  </w:t>
      </w:r>
    </w:p>
    <w:p w14:paraId="60FE7CB5"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Ontology refers to researcher’s worldview about the social reality (Balaike, 2007, p. 8; Arp, Smith and Spear, 2015). My ontological claim in this study is based on interpretivist approach that social reality is co-created and can be altered by the knower. The ontological assumptions underlying hermeneutic phenomenology approach indicate that there is no distinction between the individual and the experience, the reality is co-constituted, and one cannot exist without the other (Heidegger, 1927/1962). From this perspective, Heidegger (1927/1962) saw bracketing as impossible, as one cannot stand outside of pre-understanding and historicity of one's experience. However, it is noted that people’s perspectives change with time and space (Evans, Talmon and Sanders, 1997; Newton and Riveros, 2014; Thomas, 2007). </w:t>
      </w:r>
    </w:p>
    <w:p w14:paraId="1E03169B"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As previously stated, the current study aims to explore perspectives of teachers and students on effective teaching of the critical interpretation of the Quran in multilingual classrooms. Therefore, I believe that the real concept of effective teaching of any subject can only be understood though voices of those who teach and learn it, and not of those who teach and learn any other subject and in different contexts. This ontological position is important for rigour (Harris, 2008, p. 61; Effingham, 2013). Furthermore, I believe that the reality is continuously changing, and identified experiences may not be replicable in the same or different group at another time (Gall, Gall and Borg, 2007). </w:t>
      </w:r>
    </w:p>
    <w:p w14:paraId="7786EC88" w14:textId="6ACA426F"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The term ontology also refers to researcher’s world view and their religious or political beliefs. I belong to the Sunni Hanafi school of thought, but I am open to different opinions and views and believe that different interpretations represent different truths, which are determined through external factors including authors, intertextual knowledge, their culture, and language. Therefore, teaching and learning can be a first-</w:t>
      </w:r>
      <w:r w:rsidRPr="00C377C8">
        <w:rPr>
          <w:rFonts w:ascii="Times New Roman" w:hAnsi="Times New Roman" w:cs="Times New Roman"/>
          <w:color w:val="000000" w:themeColor="text1"/>
          <w:sz w:val="24"/>
          <w:szCs w:val="24"/>
        </w:rPr>
        <w:lastRenderedPageBreak/>
        <w:t xml:space="preserve">order activity or a second-order intellectual and affective response to teaching – remembering, regretting, celebrating, and so forth. I was concerned with everyday experience of teaching and learning, which becomes “an experience of importance” as both teachers and students reflect on the significance of different classroom activities and </w:t>
      </w:r>
      <w:r w:rsidR="004F42A9" w:rsidRPr="00C377C8">
        <w:rPr>
          <w:rFonts w:ascii="Times New Roman" w:hAnsi="Times New Roman" w:cs="Times New Roman"/>
          <w:color w:val="000000" w:themeColor="text1"/>
          <w:sz w:val="24"/>
          <w:szCs w:val="24"/>
        </w:rPr>
        <w:t>actions,</w:t>
      </w:r>
      <w:r w:rsidRPr="00C377C8">
        <w:rPr>
          <w:rFonts w:ascii="Times New Roman" w:hAnsi="Times New Roman" w:cs="Times New Roman"/>
          <w:color w:val="000000" w:themeColor="text1"/>
          <w:sz w:val="24"/>
          <w:szCs w:val="24"/>
        </w:rPr>
        <w:t xml:space="preserve"> they take to achieve learning outcomes. Hence, the current study is concerned with teachers’ and students’ experiences, which can be understood through an examination of the perspectives they express and the way I interpret them (Bryman and Bell, 2009; Clegg, 2018; Creswell, 1998; Parker, 1998).</w:t>
      </w:r>
    </w:p>
    <w:p w14:paraId="0E2D0E67" w14:textId="77777777" w:rsidR="009719B8" w:rsidRPr="00C377C8" w:rsidRDefault="009719B8" w:rsidP="00461178">
      <w:pPr>
        <w:pStyle w:val="Heading3"/>
        <w:numPr>
          <w:ilvl w:val="2"/>
          <w:numId w:val="3"/>
        </w:numPr>
        <w:ind w:left="2268"/>
      </w:pPr>
      <w:bookmarkStart w:id="83" w:name="_Toc83818668"/>
      <w:bookmarkStart w:id="84" w:name="_Toc96609080"/>
      <w:r w:rsidRPr="00C377C8">
        <w:t>Epistemology</w:t>
      </w:r>
      <w:bookmarkEnd w:id="83"/>
      <w:bookmarkEnd w:id="84"/>
      <w:r w:rsidRPr="00C377C8">
        <w:t xml:space="preserve"> </w:t>
      </w:r>
    </w:p>
    <w:p w14:paraId="718E3598"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Epistemology is concerned with how one goes about uncovering knowledge and learning about the reality (Fumerton, 2009; Coffey, 2013). It relates to different ways of making sense of significant lived experiences in a specific context. I believe that reality is socially constructed as proposed by Russ (2014). Therefore, the best way to examine it is to ask those who experience the reality or the phenomenon and then make sense of that reality through their reflections and by seeking feedback of those who are part of that experience. It is also important to note that at an individual level everyone’s experience may differ from each other within the same setting due to its subjective nature but can be made more generalised by studying different experiences in the same context. </w:t>
      </w:r>
    </w:p>
    <w:p w14:paraId="764116A2" w14:textId="0CCDC0E2" w:rsidR="009719B8" w:rsidRPr="00C377C8" w:rsidRDefault="009719B8" w:rsidP="00631837">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It is important to recognise that access to experience always depends on what participants report back to researchers, and that their account needs to be interpreted to understand the given experience. Hence, the study does not aim to find an absolute truth about the phenomenon; instead, the aim is to explore and interpret perspectives of those who experience and reflect on their experiences (Corbally and O’Neill, 2014). In sum, the reality of teaching is determined by research participants' perspectives, context, and the researcher's ontological position.</w:t>
      </w:r>
    </w:p>
    <w:p w14:paraId="3A0E36F8" w14:textId="77777777" w:rsidR="009719B8" w:rsidRPr="00C377C8" w:rsidRDefault="009719B8" w:rsidP="00461178">
      <w:pPr>
        <w:pStyle w:val="Heading3"/>
        <w:numPr>
          <w:ilvl w:val="2"/>
          <w:numId w:val="3"/>
        </w:numPr>
        <w:ind w:left="2268"/>
      </w:pPr>
      <w:bookmarkStart w:id="85" w:name="_Toc83818669"/>
      <w:bookmarkStart w:id="86" w:name="_Toc96609081"/>
      <w:r w:rsidRPr="00C377C8">
        <w:t>Theoretical perspective</w:t>
      </w:r>
      <w:bookmarkEnd w:id="85"/>
      <w:bookmarkEnd w:id="86"/>
      <w:r w:rsidRPr="00C377C8">
        <w:t xml:space="preserve"> </w:t>
      </w:r>
    </w:p>
    <w:p w14:paraId="4E5F9425"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third element is theoretical perspective, or a way of looking at and experiencing the phenomenon, which is inevitably influenced by observer's values, beliefs, and biases (Crotty, 2015, p. 9). “It is a metaphorical position in which our social and personal attributes are convened” (Anderson, 1997, p. 94). I believe that reality is multifaceted, relative, and depends on other systems of meanings and contexts as Carson et al. (2001, p. 5) stated. The knowledge I want to acquire about education and interpretation is socially constructed, rather than objectively determined and perceived (Berger and Luckman, 1967, p. 3: in Hudson and Ozanne, 1988; Sarantakos, 2005). </w:t>
      </w:r>
      <w:r w:rsidRPr="00C377C8">
        <w:rPr>
          <w:rFonts w:ascii="Times New Roman" w:hAnsi="Times New Roman" w:cs="Times New Roman"/>
          <w:color w:val="000000" w:themeColor="text1"/>
          <w:sz w:val="24"/>
          <w:szCs w:val="24"/>
        </w:rPr>
        <w:lastRenderedPageBreak/>
        <w:t xml:space="preserve">Therefore, I avoided a rigid structural framework that positivists adopt (Grbich, 2004). This theoretical perspective established the basis for the appropriate methodology and research design. In this study, an interpretive framework is adopted due to the nature of this study, where realities are understandable in the form of perceptible construction (Darder, 2017; Hammersley, 2019). </w:t>
      </w:r>
    </w:p>
    <w:p w14:paraId="43C3374B"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I have some prior insight of teaching the critical interpretation of the Quran, but I assume that this is insufficient in developing a solid structure due to the complex nature of the context and perceived nature of reality (Leftridge, 2006). I remained all-embracing to the new knowledge throughout the study with the help of research participants. This collaborative approach is consistent with the interpretive belief that humans can adapt to situations in different times and places (Elliot, 2005). Therefore, this study aims to understand and interpret the phenomenon of teaching critical interpretation of the Quran as experienced and interpreted by teachers and students, rather than to predict what effective teaching is.</w:t>
      </w:r>
    </w:p>
    <w:p w14:paraId="332D08A5" w14:textId="77777777" w:rsidR="009719B8" w:rsidRPr="00C377C8" w:rsidRDefault="009719B8" w:rsidP="00461178">
      <w:pPr>
        <w:pStyle w:val="Heading3"/>
        <w:numPr>
          <w:ilvl w:val="2"/>
          <w:numId w:val="3"/>
        </w:numPr>
        <w:ind w:left="2268"/>
      </w:pPr>
      <w:bookmarkStart w:id="87" w:name="_Toc83818670"/>
      <w:bookmarkStart w:id="88" w:name="_Toc96609082"/>
      <w:r w:rsidRPr="00C377C8">
        <w:t>Human nature</w:t>
      </w:r>
      <w:bookmarkEnd w:id="87"/>
      <w:bookmarkEnd w:id="88"/>
      <w:r w:rsidRPr="00C377C8">
        <w:t xml:space="preserve"> </w:t>
      </w:r>
    </w:p>
    <w:p w14:paraId="61B177F5" w14:textId="77777777" w:rsidR="009719B8" w:rsidRPr="00C377C8" w:rsidRDefault="009719B8" w:rsidP="00461178">
      <w:pPr>
        <w:spacing w:line="360" w:lineRule="auto"/>
        <w:ind w:left="2268"/>
        <w:jc w:val="both"/>
        <w:rPr>
          <w:rFonts w:ascii="Times New Roman" w:hAnsi="Times New Roman" w:cs="Times New Roman"/>
          <w:color w:val="000000" w:themeColor="text1"/>
        </w:rPr>
      </w:pPr>
      <w:r w:rsidRPr="00C377C8">
        <w:rPr>
          <w:rFonts w:ascii="Times New Roman" w:hAnsi="Times New Roman" w:cs="Times New Roman"/>
          <w:color w:val="000000" w:themeColor="text1"/>
        </w:rPr>
        <w:t>Drawing upon interpretative concepts, I explore and make sense of the experience based on participants’ detailed accounts, but these accounts can be deterministic (determined by the environment or context) or voluntarists (not determined by the environment) as categorised by Dewey (2013, p. 23). In the current study, research participants were assured of confidentiality, and the value of their contribution was explained so that they felt free to share their thoughts independently. It has also been recognised that professionals work within frameworks and policies, which sometimes restrict their voice resulting in speaking the language or discourse of an institute (Wearmouth and Goodwyn, 2019). However, it is hoped that teachers and students will express their views freely without any fear of intimidation (Cohn and Kottkamp, 1993).</w:t>
      </w:r>
    </w:p>
    <w:p w14:paraId="7053DFEC" w14:textId="77777777" w:rsidR="009719B8" w:rsidRPr="00C377C8" w:rsidRDefault="009719B8" w:rsidP="00461178">
      <w:pPr>
        <w:pStyle w:val="Heading2"/>
        <w:ind w:left="2268"/>
      </w:pPr>
      <w:bookmarkStart w:id="89" w:name="_Toc83818671"/>
      <w:bookmarkStart w:id="90" w:name="_Toc96609083"/>
      <w:r w:rsidRPr="00C377C8">
        <w:t>Methodology</w:t>
      </w:r>
      <w:bookmarkEnd w:id="89"/>
      <w:bookmarkEnd w:id="90"/>
      <w:r w:rsidRPr="00C377C8">
        <w:t xml:space="preserve"> </w:t>
      </w:r>
    </w:p>
    <w:p w14:paraId="5CC24C7B"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prime reason for choosing IPA over any other qualitative approach was due to its consistency with ontological beliefs, epistemological position of understanding the reality, and understanding of human nature as this has a practical impact upon the research (Buchert, 2021; Holden and Lynch, 2004). I adopted an interpretive philosophical stance of reality having many layers and forms, which can be seen and understood through different lenses. This firm belief allowed me to find an appropriate research methodology for producing data that answers the research questions (Hammersley and Atkinson, 1995; McCall, 2000). </w:t>
      </w:r>
    </w:p>
    <w:p w14:paraId="24FCEC51" w14:textId="77777777" w:rsidR="009719B8" w:rsidRPr="00C377C8" w:rsidRDefault="009719B8" w:rsidP="00461178">
      <w:pPr>
        <w:pStyle w:val="Heading2"/>
        <w:ind w:left="2268"/>
      </w:pPr>
      <w:bookmarkStart w:id="91" w:name="_Toc83818672"/>
      <w:bookmarkStart w:id="92" w:name="_Toc96609084"/>
      <w:r w:rsidRPr="00C377C8">
        <w:t>Rationale for qualitative research design</w:t>
      </w:r>
      <w:bookmarkEnd w:id="91"/>
      <w:bookmarkEnd w:id="92"/>
      <w:r w:rsidRPr="00C377C8">
        <w:t xml:space="preserve"> </w:t>
      </w:r>
    </w:p>
    <w:p w14:paraId="1602ACE8"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choice of a qualitative research design is consistent with my philosophical stance of subjective learning. Crabtree and Miller (2000); Maxwell and Poth (2013) and White and McBurney (2013) emphasised that a good design with consistent components that work well together promotes an efficient and successful functioning. By contrast, a flawed design leads to poor conclusion and failure (Mitchell and Jolley, 2013). </w:t>
      </w:r>
    </w:p>
    <w:p w14:paraId="7FAFECB6"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Two broad categories of designs have been identified by Marshell and Miles (1999) and De Vries (2018): linear and reflexive. In linear process, the researchers approach it step-by-step. On the other hand, in reflexive research design, researchers re-construct reality by critically interpreting and reflecting. This study proposes a reflexive design due to the complexity of the research context, research questions, and researcher’s own background as they are highly interlinked and influence each other. Moreover, reflexive designs fit more with exploratory and analytic research than quantitative research (Vaus, 2007). The researcher was careful about choosing research parameters to remain focused on relevant ideas, rather than being led by fascinating information. I recognise that some facts about interpretation of the Quran are known, but more contextual information is needed (Sekaran and Bougie, 2010, pp. 103-104), and the gap in interpretation studies can only be filled by a detailed exploration of teaching and learning phenomenon within multilingual classes. It is acknowledged that the selected research design also blends some elements of a descriptive design as it builds upon and applies what is already known (Tafsir bil Mathur) in the literature as part of the exploration. </w:t>
      </w:r>
    </w:p>
    <w:p w14:paraId="1B18F74F"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This study follows the underpinnings of hermeneutic phenomenological approach adopting “a flexible norm that connects theoretical paradigms to various means of inquiry for collecting lived data” (Detmer, D., 2013, p. 14). I have been considerate in that I did not digress from the strategies and made sure that I invite research participants to offer a rich, detailed, and first-person account of their experiences. In-depth semi-structured interviews, non-participatory classroom observations and documents’ studies were thought to be the best means of accessing such accounts (Best and Kahn, 2016; Cohen, Manion and Morrison, 2017; Larkin, Eatough and Osborn, 2011; Larkin, Watts and Clifton, 2006).  I have been constantly reflecting and interpreting throughout the process of generating data using different tools. Specifically, during the interview phase of the research, many of the questions were generated by attentive listening to what research participants had said, and observation was used in time and space to bring in more of my own interpretation and ideas. </w:t>
      </w:r>
    </w:p>
    <w:p w14:paraId="27D44879" w14:textId="77777777" w:rsidR="009719B8" w:rsidRPr="00C377C8" w:rsidRDefault="009719B8" w:rsidP="00461178">
      <w:pPr>
        <w:pStyle w:val="Heading2"/>
        <w:ind w:left="2268"/>
      </w:pPr>
      <w:bookmarkStart w:id="93" w:name="_Toc83818673"/>
      <w:bookmarkStart w:id="94" w:name="_Toc96609085"/>
      <w:r w:rsidRPr="00C377C8">
        <w:t>Phenomenological Approach</w:t>
      </w:r>
      <w:bookmarkEnd w:id="93"/>
      <w:bookmarkEnd w:id="94"/>
      <w:r w:rsidRPr="00C377C8">
        <w:t xml:space="preserve"> </w:t>
      </w:r>
    </w:p>
    <w:p w14:paraId="51CD6703" w14:textId="5240D664" w:rsidR="00D905A4" w:rsidRPr="00C377C8" w:rsidRDefault="009719B8" w:rsidP="008817CC">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Based on my ontological and epistemological position, I adopted phenomenological approach to explore and describe the common meaning for individuals involved in teaching and learning and experiencing the phenomenon. The basic approach was to identify the phenomenon and collect data from teachers and students and develop a composite description of their perspectives based on their experiences (Creswell, 1998; Mcgovern, 2017). As I have already stated that phenomenology draws heavily on the writings of Edmund Husserl (1970) and those who expanded his works including Heidegger, Satre etc. Heidegger took up Husserl’s work</w:t>
      </w:r>
      <w:r w:rsidR="008817CC" w:rsidRPr="00C377C8">
        <w:rPr>
          <w:rFonts w:ascii="Times New Roman" w:hAnsi="Times New Roman" w:cs="Times New Roman"/>
          <w:color w:val="000000" w:themeColor="text1"/>
          <w:sz w:val="24"/>
          <w:szCs w:val="24"/>
        </w:rPr>
        <w:t>s</w:t>
      </w:r>
      <w:r w:rsidRPr="00C377C8">
        <w:rPr>
          <w:rFonts w:ascii="Times New Roman" w:hAnsi="Times New Roman" w:cs="Times New Roman"/>
          <w:color w:val="000000" w:themeColor="text1"/>
          <w:sz w:val="24"/>
          <w:szCs w:val="24"/>
        </w:rPr>
        <w:t xml:space="preserve"> </w:t>
      </w:r>
      <w:r w:rsidR="00631837" w:rsidRPr="00C377C8">
        <w:rPr>
          <w:rFonts w:ascii="Times New Roman" w:hAnsi="Times New Roman" w:cs="Times New Roman"/>
          <w:color w:val="000000" w:themeColor="text1"/>
          <w:sz w:val="24"/>
          <w:szCs w:val="24"/>
        </w:rPr>
        <w:t>initially,</w:t>
      </w:r>
      <w:r w:rsidRPr="00C377C8">
        <w:rPr>
          <w:rFonts w:ascii="Times New Roman" w:hAnsi="Times New Roman" w:cs="Times New Roman"/>
          <w:color w:val="000000" w:themeColor="text1"/>
          <w:sz w:val="24"/>
          <w:szCs w:val="24"/>
        </w:rPr>
        <w:t xml:space="preserve"> but he did not agree with his views on human experience and eventually developed hermeneutic phenomenology. Heidegger believed consciousness could not be separate from the world since it is a part of people’s experience. </w:t>
      </w:r>
      <w:r w:rsidR="00631837" w:rsidRPr="00C377C8">
        <w:rPr>
          <w:rFonts w:ascii="Times New Roman" w:hAnsi="Times New Roman" w:cs="Times New Roman"/>
          <w:color w:val="000000" w:themeColor="text1"/>
          <w:sz w:val="24"/>
          <w:szCs w:val="24"/>
        </w:rPr>
        <w:t xml:space="preserve">It relates to my own philosophy that </w:t>
      </w:r>
      <w:r w:rsidRPr="00C377C8">
        <w:rPr>
          <w:rFonts w:ascii="Times New Roman" w:hAnsi="Times New Roman" w:cs="Times New Roman"/>
          <w:color w:val="000000" w:themeColor="text1"/>
          <w:sz w:val="24"/>
          <w:szCs w:val="24"/>
        </w:rPr>
        <w:t xml:space="preserve">a person’s social, cultural, religious, political, and other backgrounds influence the way people make sense of the world; and </w:t>
      </w:r>
      <w:r w:rsidR="00631837" w:rsidRPr="00C377C8">
        <w:rPr>
          <w:rFonts w:ascii="Times New Roman" w:hAnsi="Times New Roman" w:cs="Times New Roman"/>
          <w:color w:val="000000" w:themeColor="text1"/>
          <w:sz w:val="24"/>
          <w:szCs w:val="24"/>
        </w:rPr>
        <w:t xml:space="preserve">that is why </w:t>
      </w:r>
      <w:r w:rsidRPr="00C377C8">
        <w:rPr>
          <w:rFonts w:ascii="Times New Roman" w:hAnsi="Times New Roman" w:cs="Times New Roman"/>
          <w:color w:val="000000" w:themeColor="text1"/>
          <w:sz w:val="24"/>
          <w:szCs w:val="24"/>
        </w:rPr>
        <w:t xml:space="preserve">for this study, it was important to </w:t>
      </w:r>
      <w:r w:rsidR="008817CC" w:rsidRPr="00C377C8">
        <w:rPr>
          <w:rFonts w:ascii="Times New Roman" w:hAnsi="Times New Roman" w:cs="Times New Roman"/>
          <w:color w:val="000000" w:themeColor="text1"/>
          <w:sz w:val="24"/>
          <w:szCs w:val="24"/>
        </w:rPr>
        <w:t>select research participants from my own cultural and linguistic background</w:t>
      </w:r>
      <w:r w:rsidRPr="00C377C8">
        <w:rPr>
          <w:rFonts w:ascii="Times New Roman" w:hAnsi="Times New Roman" w:cs="Times New Roman"/>
          <w:color w:val="000000" w:themeColor="text1"/>
          <w:sz w:val="24"/>
          <w:szCs w:val="24"/>
        </w:rPr>
        <w:t xml:space="preserve"> (Savin-Baden and Major, 2013). </w:t>
      </w:r>
    </w:p>
    <w:p w14:paraId="443E4965" w14:textId="28EF3BE0" w:rsidR="009719B8" w:rsidRPr="00C377C8" w:rsidRDefault="009719B8" w:rsidP="00D905A4">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Phenomenology is widely used in psychology, nursing, and education (Booth, 1997; Gunzenhauser and Gerstl-Pepin, 2006; Smith, Flowers and Larkin, 2013) and is different from many qualitative approaches because it focuses on the context of an experience as opposed to transcendental phenomenology and phenomenography. It is based on Bretano’s (1973) concept of intentionality and takes a non-dualistic ontological perspective, where object and subject do not exist independently (Harris, 2000: cited in Harris, 2008, p. 63; Prosser and Trigwell, 1997). Both students and teachers come from different backgrounds and start with many wonders. </w:t>
      </w:r>
      <w:r w:rsidR="00D905A4" w:rsidRPr="00C377C8">
        <w:rPr>
          <w:rFonts w:ascii="Times New Roman" w:hAnsi="Times New Roman" w:cs="Times New Roman"/>
          <w:color w:val="000000" w:themeColor="text1"/>
          <w:sz w:val="24"/>
          <w:szCs w:val="24"/>
        </w:rPr>
        <w:t>Therefore, research participants’ cultural and linguistic background influence their choices in the process of delivery and assessment.</w:t>
      </w:r>
    </w:p>
    <w:p w14:paraId="7CD8B80B" w14:textId="69CEDF10" w:rsidR="00D905A4" w:rsidRPr="00C377C8" w:rsidRDefault="00D905A4" w:rsidP="00D905A4">
      <w:pPr>
        <w:shd w:val="clear" w:color="auto" w:fill="FFFFFF"/>
        <w:spacing w:line="360" w:lineRule="auto"/>
        <w:ind w:left="2268"/>
        <w:jc w:val="both"/>
        <w:rPr>
          <w:rFonts w:ascii="Times New Roman" w:eastAsia="Calibri" w:hAnsi="Times New Roman" w:cs="Times New Roman"/>
          <w:color w:val="000000" w:themeColor="text1"/>
          <w:sz w:val="24"/>
          <w:szCs w:val="24"/>
          <w:shd w:val="clear" w:color="auto" w:fill="FFFFFF"/>
        </w:rPr>
      </w:pPr>
      <w:r w:rsidRPr="00C377C8">
        <w:rPr>
          <w:rFonts w:ascii="Times New Roman" w:eastAsia="Times New Roman" w:hAnsi="Times New Roman" w:cs="Times New Roman"/>
          <w:color w:val="000000" w:themeColor="text1"/>
          <w:sz w:val="24"/>
          <w:szCs w:val="24"/>
          <w:lang w:eastAsia="en-GB"/>
        </w:rPr>
        <w:t>Phenomenology was given preference to critical realism for several reasons. Firstly, critical realism is a meta-theory, and it does not offer a procedure for conducting social research. While phenomenology is a method, which addresses data collection and its interpretation. Secondly, critical realism differs from phenomenology at the level of ontology and uses a realist ontology of reality being external (Morgan, 2017), while I believe the reality is not just out there, but it is contextual and subjective. Thirdly, critical realism is difficult to describe because it captures a variety of stances. Although the claim is that it sits between positivism and interpretivism, it is more aligned with positivisms’ objective realities and our accounts being fallible, and realism implies a pledge to truth</w:t>
      </w:r>
      <w:r w:rsidRPr="00C377C8">
        <w:rPr>
          <w:rFonts w:ascii="Times New Roman" w:eastAsia="Calibri" w:hAnsi="Times New Roman" w:cs="Times New Roman"/>
          <w:color w:val="000000" w:themeColor="text1"/>
          <w:sz w:val="24"/>
          <w:szCs w:val="24"/>
          <w:shd w:val="clear" w:color="auto" w:fill="FFFFFF"/>
        </w:rPr>
        <w:t xml:space="preserve">. </w:t>
      </w:r>
      <w:r w:rsidRPr="00C377C8">
        <w:rPr>
          <w:rFonts w:ascii="Times New Roman" w:eastAsia="Times New Roman" w:hAnsi="Times New Roman" w:cs="Times New Roman"/>
          <w:color w:val="000000" w:themeColor="text1"/>
          <w:sz w:val="24"/>
          <w:szCs w:val="24"/>
          <w:lang w:eastAsia="en-GB"/>
        </w:rPr>
        <w:t>Finally, my research questions and personal belief about the nature of reality were aligned with phenomenology.</w:t>
      </w:r>
    </w:p>
    <w:p w14:paraId="243AE7AD"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Phenomenology allowed me to study this phenomenon from the inside (Heinamaa, Hartimo and Miettinen, 2014). In other words, instead of studying teaching as a general concept, it allowed me to examine both teachers’ and students’ perspectives to understand the concept of effective teaching and relate it to my own experience (Herzog, 2015). The current study operates a double hermeneutic: hermeneutics of empathy and hermeneutics of suspicion (Van Manen, 2017). The former approach attempts to reconstruct the original experience in its own terms; the latter uses theoretical perspectives from the outside to make sense of the phenomenon.  Smith (2004) and Skinta and Brandrett (2016) proposed that IPA can take a centre-ground position, where interpretive work can be arbitrated to be appropriate if it discloses the meaning of the experience, which is referred to as dualistic epistemology. </w:t>
      </w:r>
    </w:p>
    <w:p w14:paraId="7BB4606F" w14:textId="77777777" w:rsidR="009719B8" w:rsidRPr="00C377C8" w:rsidRDefault="009719B8" w:rsidP="00461178">
      <w:pPr>
        <w:pStyle w:val="Heading2"/>
        <w:ind w:left="2268"/>
      </w:pPr>
      <w:bookmarkStart w:id="95" w:name="_Toc83818674"/>
      <w:bookmarkStart w:id="96" w:name="_Toc96609086"/>
      <w:r w:rsidRPr="00C377C8">
        <w:t>Pilot study</w:t>
      </w:r>
      <w:bookmarkEnd w:id="95"/>
      <w:bookmarkEnd w:id="96"/>
      <w:r w:rsidRPr="00C377C8">
        <w:t xml:space="preserve"> </w:t>
      </w:r>
    </w:p>
    <w:p w14:paraId="51E475B7"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Prior to the main study, a pilot study was conducted to get familiar with some potential challenges concerning research participants, interviewing, as well as data collection, its storing, and interpretation. Moreover, pilot study was a good practice to test and enhance the validity and reliability of the research (Hall, 2008, p. 79). According to Baker (1994, pp. 182-183) and Mocorro (2017, p. 865), a pilot study is a pre-test or 'trying out' of a particular research instrument. In the current study, the pilot study was conducted with one participant, a teacher who was engaged in teaching of the interpretation of the Quran in a multilingual classroom. The reason for including only one participant was to develop and test the adequacy of a semi-structured interview, design a research protocol, and establish whether the questioning techniques were effective before the main study was launched (Crow and Edwards, 2013).  </w:t>
      </w:r>
    </w:p>
    <w:p w14:paraId="4484D3E8"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pilot study was conducted in September 2017. The research participant was interviewed in his office, as he thought that it would be more comfortable than any other space, thus, facilitating drawing more data. Prior to this, invitation letters were sent to 18 Islamic institutes, but only a few agreed to participate in the study. It helped me to estimate and recognise potential participants as emphasised by Citro, Ilgen and Marrett (2003) and Crow and Edwards (2013). The research participant was the first one who responded and showed eagerness to take part, and was thus selected for the initial study. I remained in contact with other people to offer them participation in the main study. </w:t>
      </w:r>
    </w:p>
    <w:p w14:paraId="36C250BC"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Analysing data generating methods and feedback from examiners and teachers helped to refine research questions and make them simpler, more open, and more process-oriented (Kvale and Brinkmann, 2009; Smith, Flowers and Larkins; 2012). Some of the questions had to be explained to the participant twice for him to understand due to use of unclear technical terms. The benefit of a simple and clear language is that a receiver can understand it without any difficulties and may give more detailed and clear answers to questions (Bhatnagar and Bhatnagar, 2012). Contrary, a difficult and abstract language causes barrier to effective communication, leads to poor feedback and response from the receiver (Collins, 2009; Hunt, 1985; Roebuck, 1998). </w:t>
      </w:r>
    </w:p>
    <w:p w14:paraId="57A013E3"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This process has also facilitated me to ground questions in my epistemological position. Additionally, I discussed the language aspect of questions with the supervisory team and embedded their feedback to direct questions towards phenomenological material. Eventually, the finalised questions focused upon participants’ understanding of their experience. The benefit of this consideration was quite evident as interviews in the main study went smoothly and did not cause any confusion. </w:t>
      </w:r>
    </w:p>
    <w:p w14:paraId="3327D244"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Furthermore, I learnt that participants should be given an adequate time to consider whether they wish to participate. The research participant signed the consent form, but it became clear later that he did not understand the issue of confidentiality. Learning from this practice, I made sure that at different stages participants understood all the relevant information. I went through the information sheet and consent form with each participant for the second time, to ensure they understood ethical issues and what was involved in the current study. Moreover, it appeared that participants may require more clarity around the time commitment, as the pilot participant kept the door open to keep an eye on his students who were memorising the holy Quran in the main hall, which caused a disruption in the process. </w:t>
      </w:r>
    </w:p>
    <w:p w14:paraId="19BA5CA3"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Some other important lessons from the pilot included: when to interrupt the interviewee without losing any important data, using two devices for recording and ensuring they are fully charged. Lastly, a pilot study revealed that a small study sample would suffice, as there was a lot of data produced by just one interview, which fits with phenomenological interpretative approach. To conclude with, the pilot study helped me to prepare questions, which were embedded in my epistemological position and focused upon people’s experience and the meanings of their experience. </w:t>
      </w:r>
    </w:p>
    <w:p w14:paraId="1D809C34" w14:textId="77777777" w:rsidR="009719B8" w:rsidRPr="00C377C8" w:rsidRDefault="009719B8" w:rsidP="00461178">
      <w:pPr>
        <w:pStyle w:val="Heading2"/>
        <w:ind w:left="2268"/>
      </w:pPr>
      <w:bookmarkStart w:id="97" w:name="_Toc83818675"/>
      <w:bookmarkStart w:id="98" w:name="_Toc96609087"/>
      <w:r w:rsidRPr="00C377C8">
        <w:t>Primary data collection approach</w:t>
      </w:r>
      <w:bookmarkEnd w:id="97"/>
      <w:bookmarkEnd w:id="98"/>
      <w:r w:rsidRPr="00C377C8">
        <w:t xml:space="preserve"> </w:t>
      </w:r>
    </w:p>
    <w:p w14:paraId="69F53933"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Phenomenologists have developed three frameworks (phenomenology, hermeneutics, and ideography) to frame research design and process of the analysis (Smith, Flowers and Larkins, 2012, pp. 27-31). It has been widely recognised that they all draw on Husserl’s work (Harris, 2016). While selecting tools for data collection, Yüksel and Yıldırım (2015) noted that hermeneutic phenomenologists focus on the concept of intentionality, which refers to doing something deliberately. It is the intention of this research to rely on pre-existing research designs of hermeneutic phenomenology. I was open and transparent about using the methodology to enter the world of teaching and learning through different ways to generate rich data. Different research tools used in this study are discussed in the following sections. </w:t>
      </w:r>
    </w:p>
    <w:p w14:paraId="7FA05036" w14:textId="77777777" w:rsidR="009719B8" w:rsidRPr="00C377C8" w:rsidRDefault="009719B8" w:rsidP="00461178">
      <w:pPr>
        <w:pStyle w:val="Heading3"/>
        <w:numPr>
          <w:ilvl w:val="2"/>
          <w:numId w:val="3"/>
        </w:numPr>
        <w:ind w:left="2268"/>
      </w:pPr>
      <w:bookmarkStart w:id="99" w:name="_Toc83818676"/>
      <w:bookmarkStart w:id="100" w:name="_Toc96609088"/>
      <w:r w:rsidRPr="00C377C8">
        <w:t>Document study</w:t>
      </w:r>
      <w:bookmarkEnd w:id="99"/>
      <w:bookmarkEnd w:id="100"/>
    </w:p>
    <w:p w14:paraId="44321D08"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Many researchers in education field have used document as a qualitative research method, in which they interpret documents to give voice and meaning to a phenomenon (Richards and Robinson, 2003; Sewell, 2010). Sullivan (2001) asserted that document studies are a great way to have first-person accounts of an individual’s actions, experiences, and beliefs. MacNaughton and Hughes (2009, p. 11) pointed out that documents are physical objects, which give deeper insight into educational phenomena. In this study, document studies were used along with non-participatory observations and in-depth interviews to seek convergence and corroboration with contextual knowledge. The purpose of this triangulation was to provide a ‘confluence of evidence’ that breads ‘credibility’ (Bowen, 2009; Cohen, Manion and Morrison, 2017). Corroborating findings across data is highly useful to reduce the impact of potential bias and to ensure validity. Only lesson plans and classroom PowerPoint presentations were gathered because they were directly linked to contents and teaching and learning strategies or the decisions teachers made during the lesson what to include and exclude in lesson’s planning. The focus was on quality of classroom resources and activities rather than their quantity (Bowen, 2009). Moreover, the document studies eased the burden and helped to construct the contextual knowledge before interviewing participants. It also helped participants to reveal information with greater confidence as they knew it was already in researcher’s knowledge (Rapley, 2007). </w:t>
      </w:r>
    </w:p>
    <w:p w14:paraId="519087A8"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 noted two major benefits of document analysis: it allowed me to reflect on my own understanding of the teaching phenomenon, and design research questions. Therefore, it was clarified that the sole objective of studying lesson plans was to have a contextual knowledge about the phenomenon, which was being interpreted. It was also used to determine which strategies were being used and how students and teachers interact, generate interpretations, and analyse and re-think in multilingual classrooms. It was also found out that some teachers may not have slides or lesson plans, which could be an extra pressure for teachers to produce. They were made aware that it was absolutely not essential to share slides or resources, which is why one of the teachers simply named the books he was using in the classroom.  </w:t>
      </w:r>
    </w:p>
    <w:p w14:paraId="30B12A60" w14:textId="77777777" w:rsidR="009719B8" w:rsidRPr="00C377C8" w:rsidRDefault="009719B8" w:rsidP="00461178">
      <w:pPr>
        <w:pStyle w:val="Heading3"/>
        <w:numPr>
          <w:ilvl w:val="2"/>
          <w:numId w:val="3"/>
        </w:numPr>
        <w:ind w:left="2268"/>
      </w:pPr>
      <w:bookmarkStart w:id="101" w:name="_Toc83818677"/>
      <w:bookmarkStart w:id="102" w:name="_Toc96609089"/>
      <w:r w:rsidRPr="00C377C8">
        <w:t>Classroom observation</w:t>
      </w:r>
      <w:bookmarkEnd w:id="101"/>
      <w:bookmarkEnd w:id="102"/>
      <w:r w:rsidRPr="00C377C8">
        <w:t xml:space="preserve"> </w:t>
      </w:r>
    </w:p>
    <w:p w14:paraId="17B35F66"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Within interpretative phenomenological framework, observation has been used as a useful method to gain understanding of the actual phenomenon of selected research community in particular settings (Smith, Flowers and Larkins, 2012). Jorgensen (1989) and Li, Liping and Khan (2019, p. 126) asserted that observation as a research method is more embedded in social sciences than in natural sciences. It enables a researcher to probe into the phenomenon by using their five senses (Erlandson, 1993). In the classroom, the researcher can observe both verbal and non-verbal behaviours of students and teachers and engagement, which provides researcher with information about the phenomenon of interest. As a researcher in the current study, I examined if teachers had clear objectives and diversity of the resources used in classrooms, students’ involvement in the process of generating and analysing different interpretations, teachers’ and students’ interactions in a form of dialogue, classroom atmosphere, students’ engagement in different activities and group work, classroom assessment and feedback. My own experience and contextual knowledge helped me to interpret different classroom activities. Specifically, my own knowledge of Arabic language ensured a deeper analysis of the classroom contents. </w:t>
      </w:r>
    </w:p>
    <w:p w14:paraId="575F7A36"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 did not participate in classrooms activities for two reasons: firstly, to minimise my influence on teaching and learning practice; secondly, to focus more on the interpretation of teaching and learning practice. This was an uphill task, but practical guidelines and principles as proposed by Ashworth and Lucas (2000) and Cohen, Manion and Morrison (2017) made the process easier. To this end, I was aware of my own perspective on effective teaching and how to give research participants freedom to express and recognise what has been done in the existing literature on interpretation studies. </w:t>
      </w:r>
    </w:p>
    <w:p w14:paraId="04E03F44"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 was acting as an insider because I had a vast knowledge and experience of teaching critical interpretation of the Quran in similar settings. It was advantageous to interpret many classrooms activities. For example, when students analysed literal and syntactic meanings of the Arabic text, I knew what was going on, understood the questions and different responses. In ethnographic research, Bernard (2002) asserted that an anthropologist needs to maintain a sense of objectivity, but in phenomenological study, the researcher has the freedom to record his own and participants’ feelings during any activity and make sense of them. These personal reflections and interpretations enrich the data and were useful for the outcomes of this research (Spradley, 1980, p. 59; Taylor and Wallace, 2007, p. 107). </w:t>
      </w:r>
    </w:p>
    <w:p w14:paraId="29E7B86B"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In addition, these observations were used as a recall tool for interviews. Students and teachers were reminded of their strategies to refresh the memory, which possibly enabled them to reflect and elaborate further (Frankfort-Nachmias and Nachmias, 1996; Schutt and Check, 2011). It felt as if participants were more open and helpful in constructing data when they were reminded of a particular classroom activity or issue. This mixed method approach proved beneficial because both the researchers and research participants were able to reflect on an issue several times, which shows originality and reliability of data. </w:t>
      </w:r>
    </w:p>
    <w:p w14:paraId="399ABADC" w14:textId="77777777" w:rsidR="009719B8" w:rsidRPr="00C377C8" w:rsidRDefault="009719B8" w:rsidP="00461178">
      <w:pPr>
        <w:pStyle w:val="Heading3"/>
        <w:numPr>
          <w:ilvl w:val="2"/>
          <w:numId w:val="3"/>
        </w:numPr>
        <w:spacing w:line="360" w:lineRule="auto"/>
        <w:ind w:left="2268"/>
        <w:jc w:val="both"/>
        <w:rPr>
          <w:rFonts w:ascii="Times New Roman" w:hAnsi="Times New Roman" w:cs="Times New Roman"/>
        </w:rPr>
      </w:pPr>
      <w:bookmarkStart w:id="103" w:name="_Toc83818678"/>
      <w:bookmarkStart w:id="104" w:name="_Toc96609090"/>
      <w:r w:rsidRPr="00C377C8">
        <w:rPr>
          <w:rFonts w:ascii="Times New Roman" w:hAnsi="Times New Roman" w:cs="Times New Roman"/>
        </w:rPr>
        <w:t>Interview</w:t>
      </w:r>
      <w:bookmarkEnd w:id="103"/>
      <w:bookmarkEnd w:id="104"/>
      <w:r w:rsidRPr="00C377C8">
        <w:rPr>
          <w:rFonts w:ascii="Times New Roman" w:hAnsi="Times New Roman" w:cs="Times New Roman"/>
        </w:rPr>
        <w:t xml:space="preserve"> </w:t>
      </w:r>
    </w:p>
    <w:p w14:paraId="7FFF6987"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interview can be recognised as a ‘conversation with a purpose’ (Flowers, 2010). The selection of semi-structured interviews was informed by the current study’s research questions and aims. One benefit of using an in-depth interview is conversations’ facilitation, which permitted participants to tell their stories in their own words and share as much information as they could. The aim was to only gather as much as I believed was needed to answer the research questions. I relied on a small sample size (eight interviews), which is in accordance with IPA (Smith, Flowers and Larkins, 2012, p. 54). In an IPA interview, research questions are pitched at an open and abstract level, and interview is set up as an event, which helps the researcher and participants to generate data (Ashworth, 2008). </w:t>
      </w:r>
    </w:p>
    <w:p w14:paraId="0480578F"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interview was both semi-structured and in-depth. Semi-structured refers to the fact that the research is open to be guided by participants' responses (Efron and Ravid, 2019) whilst also being based on researchers’ own perspectives and reflections (Booth, 1997; Marton, 1994; Seidman, 2014), as well as literature gaps. In an in-depth interview, the researcher and research participants keep discussing the issues until they are satisfied and have nothing to add (Booth, 1997). </w:t>
      </w:r>
    </w:p>
    <w:p w14:paraId="4AABB1A3"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In the current study, the data collection took place in four institutes over a period of six months commencing in January 2020. Six semi-structured interviews were conducted face-to-face with three teachers and three students. Due to COVID-19 pandemic, the remaining two interviews with one teacher and one student were conducted online. It was possible to examine teachers’ actions and perspectives before conducting interviews. </w:t>
      </w:r>
    </w:p>
    <w:p w14:paraId="37CA85E5"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use of audio recordings re-enforced researcher’s intention to avoid influencing participants and offering them an opportunity to express their own views independently. Participants were encouraged to constantly reflect on their responses and construct meaningful data (Elton-Chalcraft, Hansen and Twiselton, 2008), but the researcher asked probing questions when he wanted to make the data clearer and more concrete. I did not use a video recorder as it could potentially affect participants’ responses (Stopher, 2012). An inbuilt phone voice recorder was used as it was thought to be less affecting than the presence of a separate voice recorder. There is no definitive answer as to whether the presence of a researcher or a tape recorder has a significant impact on the quality of data. However, it helped me to, for example, reduce the level of noise or interviewing at the time or space with minimal noise. Paterson (1994) and Cohen, Manion and Morrison (2017) suggested that interview participants might present themselves, their experiences, opinions, and attitudes more favourably when they know that they are being recorded. To have genuine data and to identify such gaps, non-participatory observation and study of lesson plans were included. </w:t>
      </w:r>
    </w:p>
    <w:p w14:paraId="6F7F6733"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The duration of interviews ranged between 40 and 56 minutes. Questions were designed to gather information about both teachers’ and students’ background, their experience of teaching and learning interpretation, the knowledge they have about issues related to interpretation, critical interpretation, teaching and learning in multilingual classrooms, their expectations from students, their assessment methods and feedback. The face-to-face interviews were more productive than the online ones, because during a former I was aware of the interview setting, was able to understand non-verbal communication and facial expression. At the same time, online interviews were more cost and time effective. Teachers were given a liberty to choose a suitable date and time for the interview. The interviews were held after the classroom observation and its benefit was obvious as participants were relaxed, and the researcher took this as an opportunity to build more rapport with them. Teachers and students were cooperative and participated in the process enthusiastically. In most cases, they were eager to give their views about teacher training and the role of different stakeholders in improving the education system.</w:t>
      </w:r>
    </w:p>
    <w:p w14:paraId="05A6F489"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An in-depth interview with separate individuals was preferred to a focus group as participants may be hesitant to express their genuine feelings and thoughts among other research participants (Frederickson et al., 2004). However, an in-depth-interview creates an environment, where participants could reflect freely, rephrase or even change their stance during the interview without any external influence, as Schostak (2006) and Powney (2019) advocated. </w:t>
      </w:r>
    </w:p>
    <w:p w14:paraId="70FFD98C" w14:textId="77777777" w:rsidR="009719B8" w:rsidRPr="00C377C8" w:rsidRDefault="009719B8" w:rsidP="00461178">
      <w:pPr>
        <w:pStyle w:val="Heading2"/>
        <w:spacing w:line="360" w:lineRule="auto"/>
        <w:ind w:left="2268"/>
      </w:pPr>
      <w:r w:rsidRPr="00C377C8">
        <w:t xml:space="preserve"> </w:t>
      </w:r>
      <w:bookmarkStart w:id="105" w:name="_Toc83818679"/>
      <w:bookmarkStart w:id="106" w:name="_Toc96609091"/>
      <w:r w:rsidRPr="00C377C8">
        <w:t>Approach to selecting study participants</w:t>
      </w:r>
      <w:bookmarkEnd w:id="105"/>
      <w:bookmarkEnd w:id="106"/>
      <w:r w:rsidRPr="00C377C8">
        <w:t xml:space="preserve"> </w:t>
      </w:r>
    </w:p>
    <w:p w14:paraId="2249CF64"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The population of interest in the current study, teachers and students of the critical interpretation of the Quran, was determined by study’s objectives (Wiersma and Jurs, 2009). The sample is purposive and is theoretically consistent with the qualitative paradigm in general (Newby, 2013) and with IPA’s orientation specifically because the participants can offer an insight into a particular experience (Barton, 2009, p. 140; Best and Kahn, 2016). This research was conducted on Dars-e-Nizami (Higher Education) level in England. The students (19-25 years-old) were in their 3rd year of Dars-e-Nizami, all studying interpretation of the Quran as their degree subject. Teachers participants were selected only those who have learnt both Arabic (source language) and English (target language) as foreign languages. Besides, the part of the criteria was that they have at least five years of first-hand experience of teaching and learning (Smith, Flowers and Larkins, 2012; McCain, 2021, p. 38). Additionally, they had to have a teaching qualification, because I believe that without formal teaching qualification teachers may not understand some of the pedagogical terms and can only offer limited insights into teaching. Lastly, only those teachers who had Level Three Award and above in education and training were included because they can grant access to a particular perspective on the phenomenon (Smith, Flowers and Larkins, 2012, p.49).</w:t>
      </w:r>
    </w:p>
    <w:p w14:paraId="04A5E8CD"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Oakes and Ji (2012, p.175) noted, researchers in IPA must be disciplined but imaginative while deciding on a sample frame. Therefore, it was decided not to use random sampling, where participant is chosen entirely by chance and each member of the population has an equal probability of being selected. As the required research sample was small, it was decided that those teachers who showed interest during the pilot study were to participate. Furthermore, the benefit of using purposive sampling, where participants are chosen on the basis of having knowledge of the issue and being representative of a perspective, helped to generate reliable and valid data (Smith, Flowers and Larkin, 2012). </w:t>
      </w:r>
    </w:p>
    <w:p w14:paraId="6BE0C029"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According to Taylor, DeVault and Bogdan (2015), clinical psychology doctoral programmes in the UK recommend having six to eight participants for an IPA study. The research is conducted through a non-random sample of four teachers and four students from four different institutes, which offer Dars-e-Nizami classes. I initially contacted principals, directors, and managers of the institutes with the information sheet outlining summary of the research project and seeking permission to approach teachers and students to carry out research at the institute or mosque site. When this was granted, the research participants were contacted. </w:t>
      </w:r>
    </w:p>
    <w:p w14:paraId="6F1D8E5C" w14:textId="434FCE69" w:rsidR="00912EAB" w:rsidRPr="00C377C8" w:rsidRDefault="009719B8" w:rsidP="00912EAB">
      <w:pPr>
        <w:pStyle w:val="Heading2"/>
        <w:spacing w:line="360" w:lineRule="auto"/>
        <w:ind w:left="2268"/>
      </w:pPr>
      <w:bookmarkStart w:id="107" w:name="_Toc83818680"/>
      <w:bookmarkStart w:id="108" w:name="_Toc96609092"/>
      <w:r w:rsidRPr="00C377C8">
        <w:t>The role of the researcher</w:t>
      </w:r>
      <w:bookmarkEnd w:id="107"/>
      <w:bookmarkEnd w:id="108"/>
      <w:r w:rsidRPr="00C377C8">
        <w:t xml:space="preserve"> </w:t>
      </w:r>
    </w:p>
    <w:p w14:paraId="455D011F" w14:textId="77714164" w:rsidR="00912EAB" w:rsidRPr="00C377C8" w:rsidRDefault="00912EAB" w:rsidP="00912EAB">
      <w:pPr>
        <w:spacing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This study is an insider because it is related to work-integrated learning research, and I positioned myself to gain an in-depth understanding of the program. However, the study is not situated within the institutes where I have been involved or am currently employed. Although this is not a classic insider research, which Nercer (2007) and Trwoler (2011, p. 20) described as “research which was undertaken with the organisation, group or community where a researcher is also a member”, but I have prior intimate or familiar knowledge of the multilingual community and multilingual classrooms. Insider research is commonly undertaken in ethnographic studies, but it has also become a common practice in education (Brannick and Coghlan, 2007; Floyd and Arthur, 2012) as more researchers are involved in examining their own practice. </w:t>
      </w:r>
    </w:p>
    <w:p w14:paraId="70054BC4" w14:textId="59946EC2" w:rsidR="00912EAB" w:rsidRPr="00C377C8" w:rsidRDefault="00912EAB" w:rsidP="00912EAB">
      <w:pPr>
        <w:spacing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The key advantage of being an insider was having pre-understanding of teaching interpretations and multilingualism that helped me to develop research questions. To develop further understanding of the context, I included classroom observation and document studies. Furthermore, it enhanced my understanding of language, jargon and acronyms used by research participants as envisaged by Bramnick and Coghlan (2007), and it made me less likely to misunderstand research participants’ responses. If I did not have previous knowledge of teaching and learning of the critical interpretation and multilingual classrooms, many insights might not have been uncovered (Smyth and Holian, 2008). I was also aware of personal bias due to my teaching experience and values, but I took steps such as including classroom observations and document studies to minimise potential biases. Classroom observations and document studies were implemented to ensure rigour and transparency in the process of data collection. </w:t>
      </w:r>
    </w:p>
    <w:p w14:paraId="3032E28E" w14:textId="77777777" w:rsidR="00373426" w:rsidRPr="00C377C8" w:rsidRDefault="00373426" w:rsidP="00373426">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 selected research participants whom I have never known before, and no power relationships existed between us. I contacted institutes to recruit participants and shared all necessary information before their consent to take part, but I also tried to build rapport with research participants so that they are more comfortable to open up as suggested by Dwyer and Buckle (2009). I applied the ethical principle of informed consent during the process of data collection and avoided leading questions. All the questions were based on their teaching and learning experiences. </w:t>
      </w:r>
    </w:p>
    <w:p w14:paraId="2E69E996" w14:textId="0BBB52DB" w:rsidR="00373426" w:rsidRPr="00C377C8" w:rsidRDefault="00373426" w:rsidP="00373426">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 did not use participants from my own organisation to maintain privacy and confidentiality of the research participants. The readers will not be able to identify any of the participants or institutes where the study was conducted. </w:t>
      </w:r>
    </w:p>
    <w:p w14:paraId="263EA9EC" w14:textId="18CBA0AC" w:rsidR="009719B8" w:rsidRPr="00C377C8" w:rsidRDefault="004C200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Although t</w:t>
      </w:r>
      <w:r w:rsidR="009719B8" w:rsidRPr="00C377C8">
        <w:rPr>
          <w:rFonts w:ascii="Times New Roman" w:hAnsi="Times New Roman" w:cs="Times New Roman"/>
          <w:color w:val="000000" w:themeColor="text1"/>
          <w:sz w:val="24"/>
          <w:szCs w:val="24"/>
        </w:rPr>
        <w:t>here is a considerable amount of criticism of qualitative research; one of it being researcher’s own set of biases, reflections, and preconceived opinions (Johnson-Burke and Onwuegbuzie, 2004</w:t>
      </w:r>
      <w:r w:rsidRPr="00C377C8">
        <w:rPr>
          <w:rFonts w:ascii="Times New Roman" w:hAnsi="Times New Roman" w:cs="Times New Roman"/>
          <w:color w:val="000000" w:themeColor="text1"/>
          <w:sz w:val="24"/>
          <w:szCs w:val="24"/>
        </w:rPr>
        <w:t>), yet there</w:t>
      </w:r>
      <w:r w:rsidR="009719B8" w:rsidRPr="00C377C8">
        <w:rPr>
          <w:rFonts w:ascii="Times New Roman" w:hAnsi="Times New Roman" w:cs="Times New Roman"/>
          <w:color w:val="000000" w:themeColor="text1"/>
          <w:sz w:val="24"/>
          <w:szCs w:val="24"/>
        </w:rPr>
        <w:t xml:space="preserve"> is hardly any qualitative research without researcher’s bias, but in hermeneutic phenomenology researcher’s reflections and thoughts are accepted and considered essential to interpretation (Skinta, 2015; Smith, Flowers and Larkin, 2012). As long as the researcher is aware and open about their reflection, it does not affect the credibility of research (McMillan, 2012, p. 153). </w:t>
      </w:r>
    </w:p>
    <w:p w14:paraId="4D098844"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In this study, my educational and cultural background, knowledge of Dars-e-Nizami and teaching experience are the parameters that make this study, data collection, identifying research participants, generating valuable data, and data analysis possible. I was committed to my reflection as I studied Dars-e-Nizami for seven years and hold Shahada tul Alimiya. I also have seven years of teaching the interpretation of the Quran experience. Moreover, I belong to multilingual community, and can speak English, Urdu, Arabic, and Punjabi. I have also worked with Muslim institutes and mosques, which offer Dars-e-Nizami classes, enabling me to understand the whole context of the research from designing its questions to data analysis. My personal knowledge and work experience helped me to generate and analyse data.  Before the final selection of the appropriate methodology, I studied extensive literature on qualitative research methods. Alongside with discussions with supervisors and colleagues, it enabled me to recognise and understand my role in the process of data collection and its interpretation (Billups, 2019; Langdridge, 2007).</w:t>
      </w:r>
    </w:p>
    <w:p w14:paraId="01BD8820"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As part of research’s preparatory phase, I reflected on my experience of learning and teaching, issues that I encountered as a student and teacher, including lack of teaching and learning resources, classroom management, and cultural and linguistic competences and their impact on my interpretive skills. These reflections helped me to design research questions, probe into different pedagogical issues, and contextualise participants’ perspectives. I was explicit in my role as a researcher through the research process (Cotterill and Letherby, 1993; Finlay, 2009; Squire et al., 2014).</w:t>
      </w:r>
    </w:p>
    <w:p w14:paraId="5F1BEAEC"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My subject knowledge, background and experience helped me build rapport with the research participants as Miller and Tewksbury (2001) and Jubien (2014) advocated. The pilot study, guidance from the supervisory team and working for Radio Ramadan Walsall for eight years helped me to plan and conduct interviews. I was engaged with participants in explaining the background of the study, its broader aim, and expected contribution within academic work, as well as how participants’ well-being is important for me as a researcher. The research plan was prepared in advance, which helped to facilitate a natural flow of conversation. As such, each interview started with an informal chat, an information sheet was shared, consent forms were collected, and all other queries were addressed prior to commencing the interview. This protocol helped me to build rapport and generate data. It was discussed with the research participants how current research will contribute to designing a teaching framework for interpretation studies.  </w:t>
      </w:r>
    </w:p>
    <w:p w14:paraId="09FBD2BC" w14:textId="1AB7809D" w:rsidR="004C2000" w:rsidRPr="00C377C8" w:rsidRDefault="009719B8" w:rsidP="00631837">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It was also made clear to the research participants that the interview was open, they could think out loud, pause and share, and could repeat the answer if they thought they could rephrase it better, as was found in other studies (Crow and Edwards, 2013; Sjostrom and Dahlgren, 2002). I also used active listening skills to facilitate the discussion and to interpret participants’ thoughts, classroom memories and views, negotiating meaning when things seemed unclear, and constructing questions based on participants’ revelations. The advantage of active listening and building rapport, as Liamputtong (2008) and Suter (2012) note, is that once participants are clear that the researcher is sincerely involved in gathering the data, is a responsible person and is not motivated by morbid curiosity, they will be more confident and honest in providing information.</w:t>
      </w:r>
    </w:p>
    <w:p w14:paraId="5C5981BF" w14:textId="77777777" w:rsidR="009719B8" w:rsidRPr="00C377C8" w:rsidRDefault="009719B8" w:rsidP="00461178">
      <w:pPr>
        <w:pStyle w:val="Heading2"/>
        <w:spacing w:line="360" w:lineRule="auto"/>
        <w:ind w:left="2268"/>
      </w:pPr>
      <w:bookmarkStart w:id="109" w:name="_Toc83818681"/>
      <w:bookmarkStart w:id="110" w:name="_Toc96609093"/>
      <w:r w:rsidRPr="00C377C8">
        <w:t>Ethical considerations</w:t>
      </w:r>
      <w:bookmarkEnd w:id="109"/>
      <w:bookmarkEnd w:id="110"/>
      <w:r w:rsidRPr="00C377C8">
        <w:t xml:space="preserve"> </w:t>
      </w:r>
    </w:p>
    <w:p w14:paraId="7AF28321" w14:textId="77777777" w:rsidR="00C67BA4" w:rsidRPr="00C377C8" w:rsidRDefault="009719B8" w:rsidP="00C67BA4">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rPr>
        <w:t xml:space="preserve">  </w:t>
      </w:r>
      <w:r w:rsidRPr="00C377C8">
        <w:rPr>
          <w:rFonts w:ascii="Times New Roman" w:hAnsi="Times New Roman" w:cs="Times New Roman"/>
          <w:color w:val="000000" w:themeColor="text1"/>
          <w:sz w:val="24"/>
          <w:szCs w:val="24"/>
        </w:rPr>
        <w:t xml:space="preserve">Due to involvement of human participants in this study, several ethical considerations were accounted for. The ethical position was consistently monitored, and I kept reflecting throughout the process of research: selecting the topic, designing research questions, collecting and analysing the data. I discussed the research topic not only with the supervisory team, but also with a few Muslim scholars to determine whether this topic is worth studying and its contribution within the field. Furthermore, as the aim was to develop a teaching framework for the critical interpretation of the Quran, not only did I focus on people’s difficulties but also acknowledged the strengths of the existing framework of Tafsir bil Mathur (intertextual interpretation) and its contribution. The advantage of these ethical considerations ensured quality findings that echo the aims of the study (Sin, 2010). To ensure validity, all necessary steps were taken so that the research community is convinced with the appropriate use of methods based on my philosophical stance (Kridal, 2010). </w:t>
      </w:r>
    </w:p>
    <w:p w14:paraId="213A7C5F" w14:textId="0537A314" w:rsidR="000D784E" w:rsidRPr="00C377C8" w:rsidRDefault="00C67BA4" w:rsidP="00C67BA4">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shd w:val="clear" w:color="auto" w:fill="FFFFFF"/>
        </w:rPr>
        <w:t>It is important to note that t</w:t>
      </w:r>
      <w:r w:rsidR="000D784E" w:rsidRPr="00C377C8">
        <w:rPr>
          <w:rFonts w:ascii="Times New Roman" w:hAnsi="Times New Roman" w:cs="Times New Roman"/>
          <w:color w:val="000000" w:themeColor="text1"/>
          <w:sz w:val="24"/>
          <w:szCs w:val="24"/>
          <w:shd w:val="clear" w:color="auto" w:fill="FFFFFF"/>
        </w:rPr>
        <w:t xml:space="preserve">he current study is not classed as high risk, but the discussion may involve the interpretation of the text dealing with sensitive issues. Therefore, supervisors and the research ethics committee decided that the work should proceed while reminding research participants that if any information divulged considered a safeguarding issue will be disclosed. </w:t>
      </w:r>
      <w:r w:rsidRPr="00C377C8">
        <w:rPr>
          <w:rFonts w:ascii="Times New Roman" w:hAnsi="Times New Roman" w:cs="Times New Roman"/>
          <w:color w:val="000000" w:themeColor="text1"/>
          <w:sz w:val="24"/>
          <w:szCs w:val="24"/>
          <w:shd w:val="clear" w:color="auto" w:fill="FFFFFF"/>
        </w:rPr>
        <w:t>I</w:t>
      </w:r>
      <w:r w:rsidR="000D784E" w:rsidRPr="00C377C8">
        <w:rPr>
          <w:rFonts w:ascii="Times New Roman" w:hAnsi="Times New Roman" w:cs="Times New Roman"/>
          <w:color w:val="000000" w:themeColor="text1"/>
          <w:sz w:val="24"/>
          <w:szCs w:val="24"/>
          <w:shd w:val="clear" w:color="auto" w:fill="FFFFFF"/>
        </w:rPr>
        <w:t xml:space="preserve"> conducted a risk assessment and found that the research focuses on teachers’ and students’ perspectives on the effective teaching of the critical interpretation of the Quran in multilingual classrooms and not on their political or religious views. Therefore, the issue of preventing research participants sharing their fair perspective</w:t>
      </w:r>
      <w:r w:rsidRPr="00C377C8">
        <w:rPr>
          <w:rFonts w:ascii="Times New Roman" w:hAnsi="Times New Roman" w:cs="Times New Roman"/>
          <w:color w:val="000000" w:themeColor="text1"/>
          <w:sz w:val="24"/>
          <w:szCs w:val="24"/>
          <w:shd w:val="clear" w:color="auto" w:fill="FFFFFF"/>
        </w:rPr>
        <w:t>s</w:t>
      </w:r>
      <w:r w:rsidR="000D784E" w:rsidRPr="00C377C8">
        <w:rPr>
          <w:rFonts w:ascii="Times New Roman" w:hAnsi="Times New Roman" w:cs="Times New Roman"/>
          <w:color w:val="000000" w:themeColor="text1"/>
          <w:sz w:val="24"/>
          <w:szCs w:val="24"/>
          <w:shd w:val="clear" w:color="auto" w:fill="FFFFFF"/>
        </w:rPr>
        <w:t xml:space="preserve"> </w:t>
      </w:r>
      <w:r w:rsidRPr="00C377C8">
        <w:rPr>
          <w:rFonts w:ascii="Times New Roman" w:hAnsi="Times New Roman" w:cs="Times New Roman"/>
          <w:color w:val="000000" w:themeColor="text1"/>
          <w:sz w:val="24"/>
          <w:szCs w:val="24"/>
          <w:shd w:val="clear" w:color="auto" w:fill="FFFFFF"/>
        </w:rPr>
        <w:t>was</w:t>
      </w:r>
      <w:r w:rsidR="000D784E" w:rsidRPr="00C377C8">
        <w:rPr>
          <w:rFonts w:ascii="Times New Roman" w:hAnsi="Times New Roman" w:cs="Times New Roman"/>
          <w:color w:val="000000" w:themeColor="text1"/>
          <w:sz w:val="24"/>
          <w:szCs w:val="24"/>
          <w:shd w:val="clear" w:color="auto" w:fill="FFFFFF"/>
        </w:rPr>
        <w:t xml:space="preserve"> unlikely because of nature of the research. Additionally, the researcher explained the importance and the focus of the research in detail to facilitate a fair dialogue between me and research participants. Finally, my own educational and cultural background helped me to keep research participants focused on </w:t>
      </w:r>
      <w:r w:rsidR="00A647D5" w:rsidRPr="00C377C8">
        <w:rPr>
          <w:rFonts w:ascii="Times New Roman" w:hAnsi="Times New Roman" w:cs="Times New Roman"/>
          <w:color w:val="000000" w:themeColor="text1"/>
          <w:sz w:val="24"/>
          <w:szCs w:val="24"/>
          <w:shd w:val="clear" w:color="auto" w:fill="FFFFFF"/>
        </w:rPr>
        <w:t>their perspectives on teaching and learning</w:t>
      </w:r>
      <w:r w:rsidR="007D60AA" w:rsidRPr="00C377C8">
        <w:rPr>
          <w:rFonts w:ascii="Times New Roman" w:hAnsi="Times New Roman" w:cs="Times New Roman"/>
          <w:color w:val="000000" w:themeColor="text1"/>
          <w:sz w:val="24"/>
          <w:szCs w:val="24"/>
          <w:shd w:val="clear" w:color="auto" w:fill="FFFFFF"/>
        </w:rPr>
        <w:t xml:space="preserve"> rather than their own position on different political or religious issues. </w:t>
      </w:r>
    </w:p>
    <w:p w14:paraId="7677998D"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ethical position was aligned with both indigenous and non-indigenous scholars who treat ethics as a separate entity, but there are several nodes where individual’s social and religious beliefs and research ethics coincide (Kara, 2018, p. 32). Ethical considerations were on my mind as soon as I started thinking of the possible research topic and questions (Comstock, 2013, p. 33), and whether they would provide reliable data with beneficial outcomes. Initially, the intention was to explore teaching in the context of prevent duty, but later, following the basic principle of not causing harm to myself, research participants, and wider teaching community, the focus of my research changed. As I am an independent and not a contract researcher, I had the freedom of changing the focus of my research without any external influence (Wiles, 2012). This independence and academic freedom also helped me to adopt an inclusion strategy, which I used to select the literature for grounding study’s arguments.  </w:t>
      </w:r>
    </w:p>
    <w:p w14:paraId="654AC050"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 encountered unforeseen ethical difficulties due to COVID-19 pandemic, but with essential support from the supervisory team I succeeded to get another ethical research approval from the University. Being part of a taught EdD programme cohort was also advantageous as teaching modules were useful for the planning phase, which resulted in a compact structure. </w:t>
      </w:r>
    </w:p>
    <w:p w14:paraId="7FC0B445"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Before applying for a formal ethical approval, the focus was on preparing ethical research design. Though I am passionate about teaching and interpretation studies, I was open and did not have strong convictions about faith communities. Furthermore, I was aware that passion for this subject might hinder ethical considerations (Cowburn, Gelsthorpe and Wahidin, 2016). My educational background, learning and teaching critical interpretation, being from multilingual community all helped me to inform cultural competence, both teachers’ and students’ ways of life. This cultural competence was evident in the process of data collection through a considerate use of language while switching from Arabic to English and English to Arabic. </w:t>
      </w:r>
    </w:p>
    <w:p w14:paraId="1ED0BAE5"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The study was approved by the University Ethics Committee in May 2019 before the start of the data collection. Some of the ethical issues that were carefully considered included (1) safety of research participants, (2) obtaining informed consent, (3) ensuring confidentiality, and (4) ensuring no deception (McNamee and Bridges, 2002). Therefore, all efforts were made to guarantee that participants would not experience any harm during or due to their study participation. Such harms can be physical, emotional (including stress and anxiety), financial or suffering from loss of self-esteem (Creswell, 2012, p. 56). It was made clear to all research participants that participation was voluntary. The information sheet included details on the title, aims, and objectives of research, why the research participant was being chosen, what was involved in the research, and how confidentiality would be ensured. This was done by explaining General Data Protection Regulation (GDPR, 2018) guidelines. In the consent form, it was double-checked that participants were given concise, clear, and correct information about the research project, and that they understood the terms of privacy, confidentiality, and anonymity before final consent.</w:t>
      </w:r>
    </w:p>
    <w:p w14:paraId="489EB889"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data was treated with care throughout the process. All possibilities were explored such as in the case of a loss of used secondary data could. However, no research was found on teaching of the critical interpretation of the Quran, so I had to gather and generate primary data using semi-structured interviews, document studies, and classroom observations. </w:t>
      </w:r>
    </w:p>
    <w:p w14:paraId="0C1A3557"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data was kept in secure password-protected encrypted files and it was processed in accordance with GDPR (2018). The data controllers for this project were the researcher and Staffordshire University. The legal basis for processing personal data of research participants for research purposes under GDPR (2018) was a ‘task in the public interest’. The research participants were informed that they had the right to access information held about them by exercising their right to information in accordance with GDPR (2018). They could ask questions, make comments and request their personal data by contacting the Staffordshire University Data Protection Officer. If they wished to lodge a complaint with the Information Commissioner’s Office, they were given the information available at www.staffs.ac.uk. In addition, anonymity was assured by assigning numbers to individuals’ (Creswell, 2012, p. 174). They were also reassured that the information provided was specific and no attempt at deception was made to convince participants to take part because the participation was purely voluntarily and not paid. Participants were given the right to decline and withdraw their participation at any time. </w:t>
      </w:r>
    </w:p>
    <w:p w14:paraId="647D0EB7"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Further to the four identified concerns, Whyte and Whyte (1984), Hammersley and Atkinson (1995) and Fangen (2004) stated that qualitative research is largely dependent on building interpersonal relations between the researcher and research participants. All efforts were made to balance the maintenance of this distance, which was tricky as my role within the research was what Pimple (2017, p.187) has labelled as ‘insider and outsider’. Such a role can potentially result in prejudice or advantage. Therefore, being an insider in this research paradigm was of great advantage. </w:t>
      </w:r>
    </w:p>
    <w:p w14:paraId="2CAA6098"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A considerate effort was made to minimise my own bias, which may harm research participants or cause a biased interpretation of data. At the same time, a critical subjective interpretation of data is part of phenomenological hermeneutics. Denzin and Lincoln (2005) argued that the interpretivist framework of inquiry supports that the reality is not something ‘out there’ but rather can be something that is locally constructed. Hermann (2013) went further and said that in hermeneutics phenomenology the reality is co-created by researcher and research participants, whilst acknowledging its impact on data interpretation. Using phenomenological hermeneutics as a methodology gives the researcher freedom to see and interpret the data to co-create reality.  </w:t>
      </w:r>
    </w:p>
    <w:p w14:paraId="1F486017"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Data transcription was completed manually without the use of any software to ensure its accuracy and completeness. Although time consuming, it was very fruitful to get familiar and make sense of the data before its interpretation. I then read the transcribed data to ensure its reliability and validity. As interviews were audio-recorded, the transcription process was simple. There was no sensitive data that could cause me any emotional distress. The transcribed data was given a code, so that it could be identifiable; the following codes were used: MT = male teacher, FT = female teacher, MS = male student, and FM = female student. NVivo was used for textual notes, for making nodes, and to establish relationships between extracts. </w:t>
      </w:r>
    </w:p>
    <w:p w14:paraId="369B2706"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Ethical procedures were similarly followed during data interpretation so that the outcomes of the research do not cause any harm to researcher, research participants and broader Muslim institutes. Though some Euro- Western scholars still refute the place of ethical procedures in the process of interpretation (Sherwood, 2013), it is acknowledged within IPA. I worked with participants to construct the data (Clarkeburn and Mustajoki, 2019 and George, Tauri and MacDonald, 2020). Therefore, it was made sure that the focus remains on teachers and students’ perspectives, not personal perspectives. </w:t>
      </w:r>
    </w:p>
    <w:p w14:paraId="7934F4C2"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The ethical considerations at every level of the research increased its credibility. I demonstrated sensitivity to context, commitment, and rigour at multiple stages, practicing transparency and coherence (Yardly, 2008). The strong ethical point of this study lies in the vigilance at multiple stages of interpretation that allowed patterns to emerge, such as the discussion of how interpretations arise from data, and the interpretive process itself (Koch, 1995), which affirms ‘professional poise’ and the ability to exercise restraint (Groenewald, 2004). In short, the ethical procedures were practiced at every stage of this study.</w:t>
      </w:r>
    </w:p>
    <w:p w14:paraId="7F9E9FAC" w14:textId="77777777" w:rsidR="009719B8" w:rsidRPr="00C377C8" w:rsidRDefault="009719B8" w:rsidP="00461178">
      <w:pPr>
        <w:pStyle w:val="Heading2"/>
        <w:spacing w:line="360" w:lineRule="auto"/>
        <w:ind w:left="2268"/>
      </w:pPr>
      <w:bookmarkStart w:id="111" w:name="_Toc83818682"/>
      <w:bookmarkStart w:id="112" w:name="_Toc96609094"/>
      <w:r w:rsidRPr="00C377C8">
        <w:t>Data analysis and interpretation</w:t>
      </w:r>
      <w:bookmarkEnd w:id="111"/>
      <w:bookmarkEnd w:id="112"/>
    </w:p>
    <w:p w14:paraId="03608A97" w14:textId="47F2902C"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data included materials obtained from eight semi-structured in-depth interviews, three sets of classroom PowerPoint presentations and four notes of classroom observation. All interviews were recorded. Six of them were face to face, and two of them were online using Skype. Online interviews were also audio-recorded as participants were not willing to have a video interview. The interviews were then manually transcribed (Sandu, Frunză and Unguru, 2019) and double checked. It helped to get familiar with the data as suggested by Smith, Flowers and Larkins (2012, p. 82). Furthermore, I adopted the descriptive to interpretive approach (see findings and analysis). In IPA, perspectives that research participants offer are central but can be found through researcher’s interpretive lens (Mertens and Ginsberg, 2009, p. 218; Smith, </w:t>
      </w:r>
      <w:r w:rsidR="00912EAB" w:rsidRPr="00C377C8">
        <w:rPr>
          <w:rFonts w:ascii="Times New Roman" w:hAnsi="Times New Roman" w:cs="Times New Roman"/>
          <w:color w:val="000000" w:themeColor="text1"/>
          <w:sz w:val="24"/>
          <w:szCs w:val="24"/>
        </w:rPr>
        <w:t>Flowers</w:t>
      </w:r>
      <w:r w:rsidRPr="00C377C8">
        <w:rPr>
          <w:rFonts w:ascii="Times New Roman" w:hAnsi="Times New Roman" w:cs="Times New Roman"/>
          <w:color w:val="000000" w:themeColor="text1"/>
          <w:sz w:val="24"/>
          <w:szCs w:val="24"/>
        </w:rPr>
        <w:t xml:space="preserve"> and Larkins, 2012). IPA acknowledges the interpretive role of the researcher from data collection to its analysis (Smith, </w:t>
      </w:r>
      <w:r w:rsidR="00912EAB" w:rsidRPr="00C377C8">
        <w:rPr>
          <w:rFonts w:ascii="Times New Roman" w:hAnsi="Times New Roman" w:cs="Times New Roman"/>
          <w:color w:val="000000" w:themeColor="text1"/>
          <w:sz w:val="24"/>
          <w:szCs w:val="24"/>
        </w:rPr>
        <w:t>Flowers,</w:t>
      </w:r>
      <w:r w:rsidRPr="00C377C8">
        <w:rPr>
          <w:rFonts w:ascii="Times New Roman" w:hAnsi="Times New Roman" w:cs="Times New Roman"/>
          <w:color w:val="000000" w:themeColor="text1"/>
          <w:sz w:val="24"/>
          <w:szCs w:val="24"/>
        </w:rPr>
        <w:t xml:space="preserve"> and Larkins, 2012, p. 80). This allowed to not only understand my own position, but also helped to remain alert and active in understanding research participants’ perspectives. The act of reading and re-reading also helped me to immerse into data (Denzin and Lincoln, 2005; Mertens and Ginsberg, 2009). Firstly, in the process of reading, I continuously imagined the voice of the participant throughout the text, which assisted me with analysis completion. Secondly, as Rossman and Rallis (2017) argued, it enabled the focus to be on research participant’ perspectives faithfully. Thirdly, it was helpful to understand how narratives can potentially bind certain sections together. Finally, it helped me to identify the location for richer data including contradictions and paradoxes. </w:t>
      </w:r>
    </w:p>
    <w:p w14:paraId="29B17522"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After familiarizing myself with the data and understanding participants’ voices, I moved to the initial stage of data analysis, or coding. I went through every sentence in the interviews, observational notes, and document studies with an open mind, and started making nodes using NVivo. I was engaged in free textual analysis, as Bauer (2014) and Helder (2015) labelled it. I found that some parts of the data were richer and more relevant than others and were direct or indirect responses to research questions. The aim at this stage was to stay closer to research respondents’ explicit perspectives. The focus was placed on things that were important to participants and what they meant to them. This process also involved constantly making sense through my own experience of learning and teaching. When constructing nodes, I used my interpretive lens to understand research participants’ concerns. Similarly, I was considerate to the context throughout the process, which helped me make sense of the patterns of meanings in participants’ accounts. </w:t>
      </w:r>
    </w:p>
    <w:p w14:paraId="17E76E9F"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Following nodes, I commenced the main task of turning nodes into themes. I produced concise and pithy statements of what was important in various comments. Smith, Flowers and Larkin (2012, p. 85) defined themes as “phrases which speak to the psychological essence of the piece and contain enough particularity to be labelled as concept”. When looking for emerging themes, the hermeneutic circle was recognised where a part and a whole are inter-relational. At this stage, I applied my interpretive analysis to participants’ perspectives. For example, the first emergent sub-theme was ‘generating ideas’ that captures research participants working with the source language and is linked with the language use. Furthermore, the themes were mapped following research questions and research scope and the way different themes fit together (Smith, Flowers and Larkin, 2012). I tried to be innovative and analytical in my approach to mapping. I used abstraction as an approach to identify patterns between emergent themes to transform them into major themes using NVivo. For example, there were series of themes emerging around effective teacher traits: independence, impartiality, fairness, inclusivity. They were grouped together to answer research questions. I also thought keenly about polarization but found abstraction more useful for the purposes of the current research. In polarisation, the transcripts are examined for the oppositional relationships. As trying to identify difference between teachers and students’ perspectives, but I believe that teachers and students as co-creator of knowledge, therefore I preferred to use them as a one voice.</w:t>
      </w:r>
    </w:p>
    <w:p w14:paraId="248B985D" w14:textId="77777777" w:rsidR="009719B8" w:rsidRPr="00C377C8" w:rsidRDefault="009719B8" w:rsidP="00461178">
      <w:pPr>
        <w:pStyle w:val="Heading2"/>
        <w:spacing w:line="360" w:lineRule="auto"/>
        <w:ind w:left="2268"/>
      </w:pPr>
      <w:bookmarkStart w:id="113" w:name="_Toc83818683"/>
      <w:bookmarkStart w:id="114" w:name="_Toc96609095"/>
      <w:r w:rsidRPr="00C377C8">
        <w:t>Validity</w:t>
      </w:r>
      <w:bookmarkEnd w:id="113"/>
      <w:bookmarkEnd w:id="114"/>
      <w:r w:rsidRPr="00C377C8">
        <w:t xml:space="preserve"> </w:t>
      </w:r>
    </w:p>
    <w:p w14:paraId="1A60F005"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To ensure validity, this study followed Yardley’s four principles of assessing the quality of research (Smith, Flowers and Larkins, 2012, p. 181). </w:t>
      </w:r>
    </w:p>
    <w:p w14:paraId="13E4A731"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first principle was sensitivity to the context of the study. My personal experience of learning and teaching of the critical interpretation of the Quran in multilingual context helped me to show sensitivity and consideration to the context of the study. Furthermore, I explored existing literature on the subject and gathered data from participants. Likewise, I developed my own interviewing skills, and showed empathy for putting research participants at ease, and continued to show sensitivity to the context throughout the data analysis. </w:t>
      </w:r>
    </w:p>
    <w:p w14:paraId="45EEBF31"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Yardley’s second principle is commitment and rigour (Skinta, 2015, p. 181), which is demonstrated by the degree of attentiveness paid by the researcher who remained alert in the process of data analysis, starting with line-by-line and ending with analysing major themes. I used document studies, classroom observation and in-depth interviews to ensure that the data was collected thoroughly and selected the sample carefully to match the research questions. The pilot study helped to develop research questions and follow the protocol in the main study. Since it was not possible to use extracts from each participant in data analysis, I avoided using them. </w:t>
      </w:r>
    </w:p>
    <w:p w14:paraId="7329A412"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I clearly described the stages of research in order to become more transparent in the process of data collection and analysis. I described how research participants were selected, how the interview schedule was conducted and what steps were used in the analysis. Finally, the current study meets the criteria of impact and importance. It makes a valuable contribution within the pedagogy of teaching tafsir in multilingual classrooms.</w:t>
      </w:r>
    </w:p>
    <w:p w14:paraId="1F884E9C" w14:textId="77777777" w:rsidR="009719B8" w:rsidRPr="00C377C8" w:rsidRDefault="009719B8" w:rsidP="00461178">
      <w:pPr>
        <w:pStyle w:val="Heading2"/>
        <w:spacing w:line="360" w:lineRule="auto"/>
        <w:ind w:left="2268"/>
      </w:pPr>
      <w:r w:rsidRPr="00C377C8">
        <w:t xml:space="preserve"> </w:t>
      </w:r>
      <w:bookmarkStart w:id="115" w:name="_Toc83818684"/>
      <w:bookmarkStart w:id="116" w:name="_Toc96609096"/>
      <w:r w:rsidRPr="00C377C8">
        <w:t>Reliability</w:t>
      </w:r>
      <w:bookmarkEnd w:id="115"/>
      <w:bookmarkEnd w:id="116"/>
      <w:r w:rsidRPr="00C377C8">
        <w:t xml:space="preserve"> </w:t>
      </w:r>
    </w:p>
    <w:p w14:paraId="4B3C8B1E"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rPr>
        <w:t xml:space="preserve">  </w:t>
      </w:r>
      <w:r w:rsidRPr="00C377C8">
        <w:rPr>
          <w:rFonts w:ascii="Times New Roman" w:hAnsi="Times New Roman" w:cs="Times New Roman"/>
          <w:color w:val="000000" w:themeColor="text1"/>
          <w:sz w:val="24"/>
          <w:szCs w:val="24"/>
        </w:rPr>
        <w:t xml:space="preserve">Reliability refers to whether a researcher gets the same answer by using same methodological approaches in the same context (Brink, 1993, p. 193). In simple words, reliability is the degree to which chosen research method produces stable and consistent results (Kirk and Miller, 2005). Reliability in the current study was reinforced by the fact that research participants were selected based on their linguistic and ethnic background (British Pakistani, foreign language learners) and experiencing similar phenomenon (teaching and learning the interpretation of the Quran) in same context (multilingualism). The current study did not intend to seek an absolute truth or replicate any previous research but aimed to explore variations of perspectives formed through reflection on the experiences of research participants (Silverman, 1993). The findings from research participants are representative in their way of understanding and experiences when the interview took place (Kirk and Miller, 2005). Reliability, in this hermeneutic phenomenological research process, occurs when each case is studied minutely and connections are searched for cross-emergent themes, whilst being clear about my own biases and reflections, which are embedded within the data (Morse, 2015).  </w:t>
      </w:r>
    </w:p>
    <w:p w14:paraId="6CB1CC92" w14:textId="77777777" w:rsidR="009719B8" w:rsidRPr="00C377C8" w:rsidRDefault="009719B8" w:rsidP="00461178">
      <w:pPr>
        <w:pStyle w:val="Heading2"/>
        <w:spacing w:line="360" w:lineRule="auto"/>
        <w:ind w:left="2268"/>
      </w:pPr>
      <w:r w:rsidRPr="00C377C8">
        <w:t xml:space="preserve"> </w:t>
      </w:r>
      <w:bookmarkStart w:id="117" w:name="_Toc83818685"/>
      <w:bookmarkStart w:id="118" w:name="_Toc96609097"/>
      <w:r w:rsidRPr="00C377C8">
        <w:t>Reflexivity</w:t>
      </w:r>
      <w:bookmarkEnd w:id="117"/>
      <w:bookmarkEnd w:id="118"/>
    </w:p>
    <w:p w14:paraId="7C01F299" w14:textId="69EA5791"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Perry (2012) and Holiday (2007) claim that interpretive research needs to demonstrate reflexivity throughout the research inquiry. As researcher’s philosophical stance is interpretive and generative that is why at our stage, I have explained the decisions I made in terms of generating data, and why the decision was made. It was also made clear that how my own views and assumptions have impacted on generation of the data and making sense of the data (Smith, Flowers and Larkins, 2013). I have taken reflexivity as a component of ethical consideration, and demonstrated it through repetitions and intertextuality </w:t>
      </w:r>
      <w:r w:rsidR="00D256CB" w:rsidRPr="00C377C8">
        <w:rPr>
          <w:rFonts w:ascii="Times New Roman" w:hAnsi="Times New Roman" w:cs="Times New Roman"/>
          <w:color w:val="000000" w:themeColor="text1"/>
          <w:sz w:val="24"/>
          <w:szCs w:val="24"/>
        </w:rPr>
        <w:t>(Perry</w:t>
      </w:r>
      <w:r w:rsidRPr="00C377C8">
        <w:rPr>
          <w:rFonts w:ascii="Times New Roman" w:hAnsi="Times New Roman" w:cs="Times New Roman"/>
          <w:color w:val="000000" w:themeColor="text1"/>
          <w:sz w:val="24"/>
          <w:szCs w:val="24"/>
        </w:rPr>
        <w:t xml:space="preserve">, 2012:170). </w:t>
      </w:r>
    </w:p>
    <w:p w14:paraId="71C4D7A2" w14:textId="77777777" w:rsidR="009719B8" w:rsidRPr="00C377C8" w:rsidRDefault="009719B8" w:rsidP="00461178">
      <w:pPr>
        <w:spacing w:line="360" w:lineRule="auto"/>
        <w:ind w:left="2268"/>
        <w:jc w:val="both"/>
        <w:rPr>
          <w:rFonts w:ascii="Times New Roman" w:hAnsi="Times New Roman" w:cs="Times New Roman"/>
          <w:color w:val="000000" w:themeColor="text1"/>
        </w:rPr>
      </w:pPr>
    </w:p>
    <w:p w14:paraId="27914C07" w14:textId="77777777" w:rsidR="009719B8" w:rsidRPr="00C377C8" w:rsidRDefault="009719B8" w:rsidP="00461178">
      <w:pPr>
        <w:pStyle w:val="Heading2"/>
        <w:spacing w:line="360" w:lineRule="auto"/>
        <w:ind w:left="2268"/>
      </w:pPr>
      <w:r w:rsidRPr="00C377C8">
        <w:t xml:space="preserve"> </w:t>
      </w:r>
      <w:bookmarkStart w:id="119" w:name="_Toc83818686"/>
      <w:bookmarkStart w:id="120" w:name="_Toc96609098"/>
      <w:r w:rsidRPr="00C377C8">
        <w:t>Conclusion</w:t>
      </w:r>
      <w:bookmarkEnd w:id="119"/>
      <w:bookmarkEnd w:id="120"/>
    </w:p>
    <w:p w14:paraId="0C1E6ADC"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Kara (2018, p. 23) stated that many researchers believe that if the first end (theoretical purity) of any study within social science is loose, there is hardly any chance that its outcomes will be compact and make any useful contribution. In the current study, I remained faithful and committed to IPA methodology from forming research questions to data analysis (Noon, 2018). The current study is based on IPA and it was researcher’s duty to weigh up his philosophical, ontological, and epistemological positions, and to choose research methods, which helped to collect reliable and sufficient data to answer research questions. The researcher’s ontological position in the current study is that there are many layers of reality, which can be understood in a particular context (Smith, Flowers and Larkin, 2012). </w:t>
      </w:r>
    </w:p>
    <w:p w14:paraId="4ECB6426" w14:textId="796536B0" w:rsidR="009719B8" w:rsidRPr="00C377C8" w:rsidRDefault="009719B8" w:rsidP="00997CF9">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It makes sense to choose an approach to data analysis before designing research questions, making decisions about research methods, and selecting research participants, because it influences researcher’s strategies at each stage in the process of research (Skinta and Brandrett, 2016). The prime reason for choosing IPA was due to its consistency with the epistemological position of research questions. In the current study, the researcher assumed that the data would tell us something about foreign language teachers and students involved in teaching and learning critical interpretation of the Quran in multilingual context. It can also inform us how they think about their classroom experiences. Indeed, this requires the exploration of the object of teaching and research participants’ experiential claims about the phenomenon. As the current study aimed to explore perspectives of teachers and students on effective teaching in a particular context, it was appropriate to adopt phenomenology approach in this study. As the research questions arose from researcher’s ontological and epistemological positions, it was appropriate for the research to adopt non-participatory interview, document studies and semi-structured in-depth interviews to gather data, which can answer researcher enquiry and make a valuable contribution within education. The contribution of the current study is an extension of knowledge in the field of interpretation studies, education, and multilingualism, but it could also provide practical tools to foreign language teachers to adopt teaching strategies, which enable students to use critical thinking skills in the process of interpretation of the Quran. Hence, teaching quality, students’ attainment, and satisfaction enhancement are the expected outcomes of the current study</w:t>
      </w:r>
      <w:r w:rsidRPr="00C377C8">
        <w:rPr>
          <w:color w:val="000000" w:themeColor="text1"/>
        </w:rPr>
        <w:br w:type="page"/>
      </w:r>
    </w:p>
    <w:p w14:paraId="57AA04D7" w14:textId="416CD26C" w:rsidR="009719B8" w:rsidRPr="00C377C8" w:rsidRDefault="009719B8" w:rsidP="006135C9">
      <w:pPr>
        <w:pStyle w:val="Heading1"/>
        <w:ind w:right="0"/>
      </w:pPr>
      <w:bookmarkStart w:id="121" w:name="_Toc83818687"/>
      <w:bookmarkStart w:id="122" w:name="_Toc96609099"/>
      <w:r w:rsidRPr="00C377C8">
        <w:t>Chapter 4 Findings</w:t>
      </w:r>
      <w:bookmarkEnd w:id="121"/>
      <w:bookmarkEnd w:id="122"/>
    </w:p>
    <w:p w14:paraId="3088912F" w14:textId="77777777" w:rsidR="009719B8" w:rsidRPr="00C377C8" w:rsidRDefault="009719B8" w:rsidP="00461178">
      <w:pPr>
        <w:pStyle w:val="Heading2"/>
        <w:ind w:left="2268"/>
      </w:pPr>
      <w:bookmarkStart w:id="123" w:name="_Toc83818688"/>
      <w:bookmarkStart w:id="124" w:name="_Toc96609100"/>
      <w:r w:rsidRPr="00C377C8">
        <w:t>Introduction</w:t>
      </w:r>
      <w:bookmarkEnd w:id="123"/>
      <w:bookmarkEnd w:id="124"/>
      <w:r w:rsidRPr="00C377C8">
        <w:t xml:space="preserve"> </w:t>
      </w:r>
    </w:p>
    <w:p w14:paraId="02369331"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This chapter presents research findings of the current study's research objective of exploring teachers’ and students' perspectives on the effective teaching of the critical interpretation of the Quran in multilingual classrooms. It also offers an overview of the studied documents, non-participatory observations and semi-structured in-depth interviews. This chapter is a presentation of emergent themes, which have been developed after line-by-line analysis of the perspectives. A large portion of a chapter consists of transcript extracts, while the remainder is my personal analytic interpretation of the text. The purpose of this chapter is twofold: to give an account of the data and to offer its interpretation (Smith, Flowers and Larkins, 2012, p. 109). Following interpretation, a concise summary of what was found is given using figures. They are used to facilitate the reader at getting the full picture of the current research. Each identified sub-theme is discussed and presented singly in a logical sequence. The order of the adopted sequence is to consider each theme in its turn and to support it with extracts from participants’ data collected in this study. </w:t>
      </w:r>
    </w:p>
    <w:p w14:paraId="02B96D7C"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In addition, my reflections on the issues are discussed. Chronological presentation of themes and their analysis would capture their optimized meaning in the context of research objectives and literature review. Direct quotes are used to add value and reliability to findings.  </w:t>
      </w:r>
    </w:p>
    <w:p w14:paraId="1EA9E7BF" w14:textId="77777777" w:rsidR="009719B8" w:rsidRPr="00C377C8" w:rsidRDefault="009719B8" w:rsidP="00461178">
      <w:pPr>
        <w:pStyle w:val="Heading2"/>
        <w:ind w:left="2268"/>
      </w:pPr>
      <w:bookmarkStart w:id="125" w:name="_Toc83818689"/>
      <w:bookmarkStart w:id="126" w:name="_Toc96609101"/>
      <w:r w:rsidRPr="00C377C8">
        <w:t>Overview of document studies, observation, and interviews</w:t>
      </w:r>
      <w:bookmarkEnd w:id="125"/>
      <w:bookmarkEnd w:id="126"/>
    </w:p>
    <w:p w14:paraId="79F72C4C" w14:textId="22E6F623"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Eight interviews were conducted and audio-recorded with teachers (n = 4) and students (n = 4) of the critical interpretation of the Quran at Islamic institutes in the UK. Three of the participating teachers were male, and one was female, as I was unable to find any other female teachers involved in teaching the interpretation of the Quran. All teachers held Dars e Nizami from renowned Pakistani universities. Of participating students, two were male and two were female. </w:t>
      </w:r>
    </w:p>
    <w:p w14:paraId="1A6B5FF7"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Although mosques are primarily built for worship, they are also being used for educational classes and extended community services. Turning mosques into academies and institutes tends to reinforce the value of studying Islam. The students studying Dars-e-Nizami (Higher degree in Islamic studies) were from the Sunni school of thought, generally known as Sunni Bralvis or Deobandi. It is not within the scope of this study to discuss similarities and differences between the two masalik (sects). All the institutes have selected different parts of the Quran, as it is impossible to teach the entire interpretation of the Quran within the final year of their studies. Therefore, they were teaching Chapter 2 (Cow), Chapter 4 (Women), Chapter 8 (Booty), Chapter 9 (Repentance), Chapter 10 (Younus) and Chapter 49 (Houses). A teacher and students start by reading the Arabic text, they then translate it into English, and finally engage in the process of interpretation. The class typically lasts one hour.  </w:t>
      </w:r>
    </w:p>
    <w:p w14:paraId="244D400D"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Students were from different backgrounds and ethnicities but most of them were Pakistani British, with a few from White, Black, and European communities. Arabic, English, Urdu, and Mirpuri was used in the classroom. Students were wearing different cultural dresses including English, Pakistan, and Arab. All girls were wearing long black dresses with coloured scarfs. In three classrooms, there were dividers between male and female students, where a teacher standing in front was visible to all. There was appropriate lighting and ventilation. The classrooms were not that spacious, and students found it difficult to move around. The minimum number of students in a class was eight and the maximum number was seventeen. No visuals or charts were found on walls, but laptop and projector screens were available for teachers. </w:t>
      </w:r>
    </w:p>
    <w:p w14:paraId="429F0AD7" w14:textId="77777777" w:rsidR="009719B8" w:rsidRPr="00C377C8" w:rsidRDefault="009719B8" w:rsidP="00461178">
      <w:pPr>
        <w:pStyle w:val="Heading2"/>
        <w:ind w:left="2268"/>
      </w:pPr>
      <w:r w:rsidRPr="00C377C8">
        <w:t xml:space="preserve"> </w:t>
      </w:r>
      <w:bookmarkStart w:id="127" w:name="_Toc83818690"/>
      <w:bookmarkStart w:id="128" w:name="_Toc96609102"/>
      <w:r w:rsidRPr="00C377C8">
        <w:t>The researcher</w:t>
      </w:r>
      <w:bookmarkEnd w:id="127"/>
      <w:bookmarkEnd w:id="128"/>
    </w:p>
    <w:p w14:paraId="6A6FA4F5"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I am a Pakistani-British Hanafi Muslim who lived most of my life in Pakistan and the UK. At a very young age, I learnt the Holy Quran by heart and completed my Dars-e-Nizami at the age of 24. Along with studying Islamic sciences, I studied English language and literature from the University of Punjab. I also completed M.A. in English with specialisation in Linguistics from Dalarna University, Sweden. After that, I moved to England in 2010, and since then I have been involved in teaching the critical interpretation of the Quran. At the beginning of my teaching practice in the UK, I faced numerous challenges including understanding student accents, planning, and delivering sessions, as well as engaging students in a dialogue when discussing difficult issues. This led me to pursue a Certificate in Education and Training level Four, and a certificate in Effective Online Tutoring. This qualification had a significant impact on my teaching practice. Later, when I acted as a head teacher conducting reviews and discussions with teachers, I found that they were facing similar issues I had initially faced in classrooms.</w:t>
      </w:r>
    </w:p>
    <w:p w14:paraId="58183673"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I have also been working as a chaplain in Higher Education since 2018 and provided emotional, pastoral, and social support to staff and students. I am a part of the student experience team, the equality and diversity committee and work closely with the Student Union. Additionally, I teach Arabic language, facilitate discussion groups such as "Quran circles" and "Interfaith Buddies", and provide students with a safe space for dialogue and discussions. I believe that teachers involved in teaching at mosques and Islamic institutes must receive teacher training and have cultural and professional competence before accepting a teaching role.</w:t>
      </w:r>
    </w:p>
    <w:p w14:paraId="33EDC5C0" w14:textId="77777777" w:rsidR="009719B8" w:rsidRPr="00C377C8" w:rsidRDefault="009719B8" w:rsidP="00461178">
      <w:pPr>
        <w:spacing w:line="360" w:lineRule="auto"/>
        <w:ind w:left="2268"/>
        <w:jc w:val="both"/>
        <w:rPr>
          <w:color w:val="000000" w:themeColor="text1"/>
        </w:rPr>
      </w:pPr>
      <w:r w:rsidRPr="00C377C8">
        <w:rPr>
          <w:rFonts w:ascii="Times New Roman" w:hAnsi="Times New Roman" w:cs="Times New Roman"/>
          <w:color w:val="000000" w:themeColor="text1"/>
          <w:sz w:val="24"/>
          <w:szCs w:val="24"/>
        </w:rPr>
        <w:t>It is important to note that the main findings of the research are from document studies and the main body of the interview. The introduction and concluding sections of the interview have been excluded. The reason for excluding opening and concluding conversations was that it was more to do with the methodology and ethics and did not relate to teaching practice. The primary focus was on the content of the interviews in which new ideas about teaching and learning could emerge and enable the researcher to design a teaching framework of the critical interpretation of the Quran. The opening conversation was aimed at exploring how research participants make sense of their teaching and learning experience. Teachers and students who participated in the study represent Pakistani-British ethnicity. Teachers studied in Pakistan, while students were born and brought up in the UK. They were included primarily based on their eagerness to participate in the study. The audio-recorded interviews were transcribed with the focus being solely on the teaching and learning experience; the data was coded, and nodes were created using NVivo. Based on these nodes, the analysis focused on emerging themes shared by both teachers and students interested in teaching and learning in a multilingual context. As a result, four emergent themes were given precedence in this study. Fifteen sub-themes were identified and used to build the main themes to avoid repetition.</w:t>
      </w:r>
    </w:p>
    <w:p w14:paraId="43C826C6" w14:textId="77777777" w:rsidR="009719B8" w:rsidRPr="00C377C8" w:rsidRDefault="009719B8" w:rsidP="00461178">
      <w:pPr>
        <w:pStyle w:val="Heading2"/>
        <w:ind w:left="2268"/>
      </w:pPr>
      <w:bookmarkStart w:id="129" w:name="_Toc83818691"/>
      <w:bookmarkStart w:id="130" w:name="_Toc96609103"/>
      <w:r w:rsidRPr="00C377C8">
        <w:t>Analysis</w:t>
      </w:r>
      <w:bookmarkEnd w:id="129"/>
      <w:bookmarkEnd w:id="130"/>
      <w:r w:rsidRPr="00C377C8">
        <w:t xml:space="preserve"> </w:t>
      </w:r>
    </w:p>
    <w:p w14:paraId="70845377"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analysis detailed several recurrent themes, which relate directly to components of effective teaching of the critical interpretation of the Quran in multilingual classrooms. Participants described a broad range of issues they face in the process of teaching and learning. In the following sections, participants’ accounts of current teaching practices and my own interpretation of those accounts is presented. </w:t>
      </w:r>
    </w:p>
    <w:p w14:paraId="1F82FEC2"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From participant’s perspectives, four major themes were derived: 1. The accounts of teaching and learning the critical interpretation of the Quran; 2. Teacher’s traits; 3. Effective teaching strategies; 4. Perceived challenges for teachers and students in multilingual classrooms. These four themes form the basis for the presentation of findings, and the key themes and their relationships are presented here. </w:t>
      </w:r>
    </w:p>
    <w:p w14:paraId="7F741C22" w14:textId="77777777" w:rsidR="009719B8" w:rsidRPr="00C377C8" w:rsidRDefault="009719B8" w:rsidP="00461178">
      <w:pPr>
        <w:pStyle w:val="Heading3"/>
        <w:numPr>
          <w:ilvl w:val="2"/>
          <w:numId w:val="3"/>
        </w:numPr>
        <w:ind w:left="2268"/>
      </w:pPr>
      <w:bookmarkStart w:id="131" w:name="_Toc83818692"/>
      <w:bookmarkStart w:id="132" w:name="_Toc96609104"/>
      <w:r w:rsidRPr="00C377C8">
        <w:t>Theme 1: the accounts of teaching and learning the critical interpretation of the Quran</w:t>
      </w:r>
      <w:bookmarkEnd w:id="131"/>
      <w:bookmarkEnd w:id="132"/>
    </w:p>
    <w:p w14:paraId="24684561"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It is vital to explain teachers’ and students’ perspectives in what is meant by the critical interpretation of the Quran before delving into classrooms activities and experiences. Therefore, this section discusses what is involved in teaching of the critical interpretation of the Quran. </w:t>
      </w:r>
    </w:p>
    <w:p w14:paraId="4F3A6BFC"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Participants held three different views on teaching of the critical interpretation of the Quran in multilingual classrooms:</w:t>
      </w:r>
    </w:p>
    <w:p w14:paraId="0F4D82E8"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Generating initial interpretation, whereby both teachers and students focus on coming up with initial ideas, forming big ideas, and uncovering issues.</w:t>
      </w:r>
    </w:p>
    <w:p w14:paraId="2BA3C863"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Re-thinking interpretation, whereby teachers and students analyse multiple interpretations. They then interpret the presented ideas, the different linguistic signs, and consider other interpretations written in different time periods and places. They do so by using sources from other sacred texts and literature from other genres, including politics and culture. Both teachers and students engage in making sense of the text in a way that allows students to relate it with their own culture and society. There was a large variation in participants’ views from institute to institute. </w:t>
      </w:r>
    </w:p>
    <w:p w14:paraId="7466432C" w14:textId="117D732F"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Experimenting or validating interpretations, whereby both teachers and students locate textual evidence from the Quran, Hadith, and Athaar. They engage in identifying how the evidence supports a claim. They also weigh and determine the strength of evidence. </w:t>
      </w:r>
    </w:p>
    <w:p w14:paraId="122BE1A1" w14:textId="5C0C0D23"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Both teachers and students held a combination of these three views based on their critical thinking skills. Student respondents were more focused on ‘generating new interpretation’ as that is what they perceived ‘critical interpretation’ to be. In contrast, teachers predominately talked about re-thinking and analysing multiple existing interpretations. While commenting on ‘experimenting’, students believed this approach encompasses specific skills including comparing different interpretations, evaluating views </w:t>
      </w:r>
      <w:r w:rsidR="00A03160" w:rsidRPr="00C377C8">
        <w:rPr>
          <w:rFonts w:ascii="Times New Roman" w:hAnsi="Times New Roman" w:cs="Times New Roman"/>
          <w:color w:val="000000" w:themeColor="text1"/>
          <w:sz w:val="24"/>
          <w:szCs w:val="24"/>
        </w:rPr>
        <w:t>considering</w:t>
      </w:r>
      <w:r w:rsidRPr="00C377C8">
        <w:rPr>
          <w:rFonts w:ascii="Times New Roman" w:hAnsi="Times New Roman" w:cs="Times New Roman"/>
          <w:color w:val="000000" w:themeColor="text1"/>
          <w:sz w:val="24"/>
          <w:szCs w:val="24"/>
        </w:rPr>
        <w:t xml:space="preserve"> the Quran and Sunnah, explaining and presenting an argument in a concrete and logical way. Male student #1 stated:</w:t>
      </w:r>
    </w:p>
    <w:p w14:paraId="387B8DAB" w14:textId="1204BD74" w:rsidR="009719B8" w:rsidRPr="00C377C8" w:rsidRDefault="00A0316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We should be familiar with some principles, such as the principles of hadith, tafsir and fiqh when we validate the argument, and if we are validating with a hadith, we should know whether it is Sahih, Hassan or Daeef and their hukm [ruling]</w:t>
      </w: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w:t>
      </w:r>
    </w:p>
    <w:p w14:paraId="76F6AB17"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In the following sections, I interpret concepts of generating, re-thinking, and experimenting with interpretation as perceived by teachers and students. </w:t>
      </w:r>
    </w:p>
    <w:p w14:paraId="700E869E" w14:textId="77777777" w:rsidR="009719B8" w:rsidRPr="00C377C8" w:rsidRDefault="009719B8" w:rsidP="00461178">
      <w:pPr>
        <w:pStyle w:val="Heading3"/>
        <w:numPr>
          <w:ilvl w:val="2"/>
          <w:numId w:val="3"/>
        </w:numPr>
        <w:ind w:left="2268"/>
      </w:pPr>
      <w:bookmarkStart w:id="133" w:name="_Toc83818693"/>
      <w:bookmarkStart w:id="134" w:name="_Toc96609105"/>
      <w:r w:rsidRPr="00C377C8">
        <w:t>Generating interpretation from the Quranic text</w:t>
      </w:r>
      <w:bookmarkEnd w:id="133"/>
      <w:bookmarkEnd w:id="134"/>
    </w:p>
    <w:p w14:paraId="784F3F93"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Participants recounted that generating the interpretation of the Quran is a difficult task for those students who have limited linguistic skills in Arabic, but with more practice and engagement, it becomes easier as students start recognising the form and functions of different Arabic words and expressions. Male student #1 remembered when his teacher would present students with different verses and then invite them to read and annotate it with their initial views. He would find it particularly difficult to identify the root words, their denotative and connotative meanings. He revealed:</w:t>
      </w:r>
    </w:p>
    <w:p w14:paraId="1346E510" w14:textId="415123F9" w:rsidR="009719B8" w:rsidRPr="00C377C8" w:rsidRDefault="00A0316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It was difficult and frustrating. I always prayed he does not ask me.</w:t>
      </w:r>
      <w:r w:rsidRPr="00C377C8">
        <w:rPr>
          <w:rFonts w:ascii="Times New Roman" w:hAnsi="Times New Roman" w:cs="Times New Roman"/>
          <w:color w:val="000000" w:themeColor="text1"/>
          <w:sz w:val="24"/>
          <w:szCs w:val="24"/>
        </w:rPr>
        <w:t>”</w:t>
      </w:r>
    </w:p>
    <w:p w14:paraId="21CE57A1"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It shows that students find it challenging when teachers task them with identifying root words to generate the interpretation. In contrary, students who have an advanced knowledge of Arabic language felt more confident, expressive, and engaged within the classroom. The female teacher revealed:</w:t>
      </w:r>
    </w:p>
    <w:p w14:paraId="0404738A"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They [students] initiate the discussion around different words, phrases, and sentences but for many students it causes anxiety if they are not good at Sarf [morphology] and Nahv [syntax] but those who are good, they love doing it. </w:t>
      </w:r>
    </w:p>
    <w:p w14:paraId="39D12384" w14:textId="77777777" w:rsidR="009719B8" w:rsidRPr="00C377C8" w:rsidRDefault="009719B8" w:rsidP="00A03160">
      <w:pPr>
        <w:spacing w:line="360" w:lineRule="auto"/>
        <w:jc w:val="both"/>
        <w:rPr>
          <w:rFonts w:ascii="Times New Roman" w:hAnsi="Times New Roman" w:cs="Times New Roman"/>
          <w:color w:val="000000" w:themeColor="text1"/>
          <w:sz w:val="24"/>
          <w:szCs w:val="24"/>
        </w:rPr>
      </w:pPr>
    </w:p>
    <w:p w14:paraId="274C4324"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The lack of linguistic competence restricts students’ engagement in the process of generating interpretations from the text. The description suggested negative impact on students’ well-being and self-esteem as it was observed that some of the students continued to sit with their heads down as if they did not want to participate. The impact on students’ self is clearly an important construct for a teacher. I did not make any prior reference to students’ competence of the source language, and its role on students’ engagement within the classroom, it was the female teacher who brought this issue to my attention. This is the reason why teachers emphasise learning the source language. In learning the critical interpretation of the Quran, understanding both source and target languages are the most needed critical skills. Both teachers and students place language competence at the centre of learning and teaching. Male teacher #3 also described the challenge he faced because of the lack of competence in the target language. He said:</w:t>
      </w:r>
    </w:p>
    <w:p w14:paraId="33B87ACB" w14:textId="217B1576" w:rsidR="009719B8" w:rsidRPr="00C377C8" w:rsidRDefault="00A0316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Students often pick of a word and make fun if I pronounce any words incorrectly.</w:t>
      </w:r>
      <w:r w:rsidRPr="00C377C8">
        <w:rPr>
          <w:rFonts w:ascii="Times New Roman" w:hAnsi="Times New Roman" w:cs="Times New Roman"/>
          <w:color w:val="000000" w:themeColor="text1"/>
          <w:sz w:val="24"/>
          <w:szCs w:val="24"/>
        </w:rPr>
        <w:t>”</w:t>
      </w:r>
    </w:p>
    <w:p w14:paraId="474B98DC"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However, for male teacher #2, the activity worked in a different manner. He described his experience as: </w:t>
      </w:r>
    </w:p>
    <w:p w14:paraId="3A3404F7" w14:textId="2B2D95E4" w:rsidR="009719B8" w:rsidRPr="00C377C8" w:rsidRDefault="00A0316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I put them [students] in groups and ask them to start brainstorming around analysis of language. I walk around the tables and see how they generate meanings and give them feedback on their claims.</w:t>
      </w: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 xml:space="preserve"> </w:t>
      </w:r>
    </w:p>
    <w:p w14:paraId="78AF57C9" w14:textId="21F813A0" w:rsidR="009719B8" w:rsidRPr="00C377C8" w:rsidRDefault="0084513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Similarly,</w:t>
      </w:r>
      <w:r w:rsidR="009719B8" w:rsidRPr="00C377C8">
        <w:rPr>
          <w:rFonts w:ascii="Times New Roman" w:hAnsi="Times New Roman" w:cs="Times New Roman"/>
          <w:color w:val="000000" w:themeColor="text1"/>
          <w:sz w:val="24"/>
          <w:szCs w:val="24"/>
        </w:rPr>
        <w:t xml:space="preserve"> to the previous claim, the above one supports the fundamental role of having Arabic linguistic competence in the interpretation of the Quran, yet, it illustrates that a teacher can make the process easier by engaging students in the group work and acting as a facilitator.</w:t>
      </w:r>
    </w:p>
    <w:p w14:paraId="79C7B4F9"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It is also interesting that teachers engage students in the process of generating interpretation before engaging them in re-thinking, because it may equip students with various tools or introduce approaches that different interpreters have used in their works. Additionally, the goal of this activity is to support students to identify forms of different words and phrases and their roles within the sentence. This requires students to examine the Quranic text closely and carefully. </w:t>
      </w:r>
    </w:p>
    <w:p w14:paraId="7D76B781"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Above, male teacher #2 stated that his facilitating role influences how students learn, and his feedback engages them in further learning. It also indicates that a teacher's active role in the classroom enhances students' ability to generate interpretation in the classroom. Furthermore, participants move from understanding forms and functions of different words and phrases to forming initial ideas and transferring them into English. </w:t>
      </w:r>
    </w:p>
    <w:p w14:paraId="4E6AC43A"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It was observed that some students were working in groups to analyse texts and form initial ideas. They were breaking verses into words, phrases, and clauses. They were searching for noun, verb, adverbial, and prepositions phrases. They were reminding each other about forms and functions of different words and phrases.  </w:t>
      </w:r>
    </w:p>
    <w:p w14:paraId="70F6C25A"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Male student #2 remembered encountering the issue of finding denotative and connotative meanings of different words. He argued: </w:t>
      </w:r>
    </w:p>
    <w:p w14:paraId="458AFC5E" w14:textId="7E9C2EE1" w:rsidR="009719B8" w:rsidRPr="00C377C8" w:rsidRDefault="00A0316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It is easy to identify the literal meanings of words because we can use a dictionary, but it is very-very hard to identify figurative meanings because they can differ from person to person.</w:t>
      </w:r>
      <w:r w:rsidRPr="00C377C8">
        <w:rPr>
          <w:rFonts w:ascii="Times New Roman" w:hAnsi="Times New Roman" w:cs="Times New Roman"/>
          <w:color w:val="000000" w:themeColor="text1"/>
          <w:sz w:val="24"/>
          <w:szCs w:val="24"/>
        </w:rPr>
        <w:t>”</w:t>
      </w:r>
    </w:p>
    <w:p w14:paraId="00007DCA"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Here is another account of a student that shows that connotative meanings are subjective and can differ from person to person, place to place, and time to time. Different teachers used different strategies to facilitate the process of learning. However, it was evident that some students needed additional support. Therefore, teachers engaged them in a one-to-one discussion or put them in small groups, where students who were good at language were supporting the others. A female teacher spoke of her classroom practice:</w:t>
      </w:r>
    </w:p>
    <w:p w14:paraId="2DE6677B"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One way to prepare students to use reciprocal teaching is to put students in groups of four, then I distribute one note card to each student of the group identifying each person’s unique role: summariser, questioner, clarifier, predictor. </w:t>
      </w:r>
    </w:p>
    <w:p w14:paraId="7B1C9CE4"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This is a good teaching strategy for fostering critical thinking skills. As students help and support each other, they can find the process of generating meanings easier. It is also a very student-centred approach because it is based on their linguistic competence, and a teacher can assign different roles to students. A teacher can use pre- and post-assessment tools for examining students’ ability to identify root words and their derivations. Furthermore, with the assistance of their peers, they can think, reflect, and refine their initial ideas. </w:t>
      </w:r>
    </w:p>
    <w:p w14:paraId="13BBE233" w14:textId="77777777" w:rsidR="009719B8" w:rsidRPr="00C377C8" w:rsidRDefault="009719B8" w:rsidP="00461178">
      <w:pPr>
        <w:pStyle w:val="Heading3"/>
        <w:numPr>
          <w:ilvl w:val="2"/>
          <w:numId w:val="3"/>
        </w:numPr>
        <w:ind w:left="2268"/>
      </w:pPr>
      <w:bookmarkStart w:id="135" w:name="_Toc83818694"/>
      <w:bookmarkStart w:id="136" w:name="_Toc96609106"/>
      <w:r w:rsidRPr="00C377C8">
        <w:t>Re-thinking interpretations</w:t>
      </w:r>
      <w:bookmarkEnd w:id="135"/>
      <w:bookmarkEnd w:id="136"/>
    </w:p>
    <w:p w14:paraId="29E16C4F"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Research participants remembered moving from generating interpretations to the stage of re-thinking, where students are encouraged to revisit their interpretations by examining texts again and considering other people’s interpretations and views. Participants involved in teaching recalled how some of the students found it exciting to interrogate different interpretations and their authors, while others seemed less enthusiastic and participatory. Additionally, teachers revealed the difficulties students might face. Male teacher #1 suggested that a teacher should hand over the works of different authors including works from Jalalayn and Badavi and ask students to compare them with the interpretations they had produced themselves or with other authors. Teachers should ask probing questions about author’s position on social, political, and economic issues of that time and its impact on interpretations. Similarly, students can be tasked with identifying similarities and differences between the two interpretations. </w:t>
      </w:r>
    </w:p>
    <w:p w14:paraId="4804EBDD"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Teachers also emphasised the importance of creating a safe environment for discussions, as students come from different theological backgrounds and may have different views on different issues. As the female teacher stated:</w:t>
      </w:r>
    </w:p>
    <w:p w14:paraId="50D06E35" w14:textId="1379BF74" w:rsidR="009719B8" w:rsidRPr="00C377C8" w:rsidRDefault="009719B8" w:rsidP="006A25B2">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 Teachers should be open to all ideas and views as they [students]come from different backgrounds, so a teacher should make sure that all students have an opportunity to share what they want to share.</w:t>
      </w:r>
    </w:p>
    <w:p w14:paraId="6720D878"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This extract demonstrates the importance of openness to different views. It is essential because students can learn how to be tolerant and respectful towards other people’s beliefs and views. If a teacher is not open to different ideas, their attitude may foster conservatism, lack of respect for others, and narrow-mindedness, which is dangerous for the society. Moreover, the extract above appeared when the female teacher was reflecting on students’ experience of challenging each other or their own teacher. Challenging each other or other authors is an important part of critical thinking skills (Johnson, Siegel and Winch,2010). The authors explained the importance of creating a safe environment in great length, and how students should have an opportunity to ask questions freely without any fear of being judged. The word ‘challenge’ was used frequently by both students and teachers. As male teacher #3 asserted:</w:t>
      </w:r>
    </w:p>
    <w:p w14:paraId="721D5F0A" w14:textId="0D76E755" w:rsidR="009719B8" w:rsidRPr="00C377C8" w:rsidRDefault="00A0316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It is very important, you [teacher] should create an environment; they [students] should feel safe. They should feel safe to ask questions and interrogate other people’s positions.</w:t>
      </w:r>
      <w:r w:rsidRPr="00C377C8">
        <w:rPr>
          <w:rFonts w:ascii="Times New Roman" w:hAnsi="Times New Roman" w:cs="Times New Roman"/>
          <w:color w:val="000000" w:themeColor="text1"/>
          <w:sz w:val="24"/>
          <w:szCs w:val="24"/>
        </w:rPr>
        <w:t>”</w:t>
      </w:r>
    </w:p>
    <w:p w14:paraId="6BD3EE9A"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The above example reveals the strength of ‘asking questions’, interrogating different authors and their works, and its usefulness to determine whether students have the right skills to interrogate different authors, their voices, and powers. For example, using a ‘Wh’ family words (when, where, why, how) in exploring different ideas endorses the importance of critical thinking skills. Male teacher #3 revealed that, as a student, they were taught that “questioning teachers’ position was considered very disrespectful”. I (as a student) also had a similar experience, which is embedded in teaching and learning in Pakistan, with classical authors and teachers’ control interpretations through social and cultural structures. Students were hesitant to challenge them, and this may have had a negative impact on students’ confidence and their contribution to knowledge. Male student #1 reflected on the issue of challenging each other and stated:</w:t>
      </w:r>
    </w:p>
    <w:p w14:paraId="3C758068" w14:textId="00F7AC86" w:rsidR="009719B8" w:rsidRPr="00C377C8" w:rsidRDefault="00A0316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Yes, we do, but it should be done with respect.</w:t>
      </w:r>
      <w:r w:rsidRPr="00C377C8">
        <w:rPr>
          <w:rFonts w:ascii="Times New Roman" w:hAnsi="Times New Roman" w:cs="Times New Roman"/>
          <w:color w:val="000000" w:themeColor="text1"/>
          <w:sz w:val="24"/>
          <w:szCs w:val="24"/>
        </w:rPr>
        <w:t>”</w:t>
      </w:r>
    </w:p>
    <w:p w14:paraId="02CBF65E"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He emphasised the value of showing respect to each other even during disagreements. This skill can be developed when a teacher leads by example. It was particularly evident during the observation that teachers kept asking questions until they were sure that students understood what they were doing. Male teacher #3 revealed:</w:t>
      </w:r>
    </w:p>
    <w:p w14:paraId="65B72CCB" w14:textId="77931AD9" w:rsidR="009719B8" w:rsidRPr="00C377C8" w:rsidRDefault="00A0316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I encourage them to explore answers to the questions about the settings such as who, what, when, and where of the text, where the revelations descended, who are the people involved, what kind of place the revelation descends down?</w:t>
      </w:r>
      <w:r w:rsidRPr="00C377C8">
        <w:rPr>
          <w:rFonts w:ascii="Times New Roman" w:hAnsi="Times New Roman" w:cs="Times New Roman"/>
          <w:color w:val="000000" w:themeColor="text1"/>
          <w:sz w:val="24"/>
          <w:szCs w:val="24"/>
        </w:rPr>
        <w:t>”</w:t>
      </w:r>
    </w:p>
    <w:p w14:paraId="3F3E4DE0"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above extract shows that male teacher #3 uses questioning as a teaching strategy when students analyse multiple interpretations. The teacher recognised ‘the importance of talking to students about what a claim is’ and ‘what God wants us to learn’. Similarly, teacher #1 highlighted that ‘if students are struck’, they should be encouraged to review claims from the Qur’anic texts and Ahadith that they have used in the past and ‘ask them to do some-inquiry work’ or ‘share’ material with them. Male teacher #2 revealed that when students compare different texts, a teacher needs to be ‘considerate’, which means that a teacher prepares their resources with students’ cultural and religious backgrounds in mind. The benefit of using considerate resources makes the process of learning easier because students can relate the text to their life experiences.  As male teacher #2 stated: </w:t>
      </w:r>
    </w:p>
    <w:p w14:paraId="543E6AF5" w14:textId="3D2DC42A" w:rsidR="009719B8" w:rsidRPr="00C377C8" w:rsidRDefault="00A0316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I select resources from Ahadith, literature from other Tafasir, or a few pages or passage from books on race, power, money etc. and then they discuss how different peoples see things directly, and its impact. Looking across texts is the most valuable part of teaching, it broadens students’ outlook, changes their views, helps them to make adjustment, build their listening skills but at the same times, it enables them to express their views.</w:t>
      </w:r>
      <w:r w:rsidRPr="00C377C8">
        <w:rPr>
          <w:rFonts w:ascii="Times New Roman" w:hAnsi="Times New Roman" w:cs="Times New Roman"/>
          <w:color w:val="000000" w:themeColor="text1"/>
          <w:sz w:val="24"/>
          <w:szCs w:val="24"/>
        </w:rPr>
        <w:t>”</w:t>
      </w:r>
    </w:p>
    <w:p w14:paraId="799A1803"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Analysing different interpretations is an integral part of teaching experience of the critical interpretation of the Quran. It is a way to expand students’ knowledge on that the interpretation of the Quran is not just seeing the text through the Quran and traditions, but that other texts, cultures, and communities have a lot to offer in developing an understanding of the Quranic text (Sardar, 2012). Thus, using literature on race, power, and money gives one a ‘social capital’ to understand the sacred text of the Quran. </w:t>
      </w:r>
    </w:p>
    <w:p w14:paraId="27981138"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According to Mohammad (2014), the verses of the Quran are signs of God, and the world is also a sign of God, so the world provides the semantic symbols to words of the Quran. The extract above from the interview of male teacher #2 is an example that shows the importance of using diverse contents and teaching resources to make teaching effective by discussing race, power, and money. The above example also illustrates the strength of the cross-textual analysis.  Similarly, another teacher respondent stated that he makes sure that the resources he chooses are ‘representative of groups who have been traditionally marginalised and ignored based on race, gender, and economic status’. Likewise, a female student #3 saw her learning experience as frustrating because the teacher was not open to interpretations generated by other schools of thought. She highlighted that she was ‘turned off’ but happy now because of her current teacher’s practice. She stated:</w:t>
      </w:r>
    </w:p>
    <w:p w14:paraId="0FD95B00" w14:textId="6094AE42" w:rsidR="009719B8" w:rsidRPr="00C377C8" w:rsidRDefault="00A0316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I came from another school, and I left that one because I did not like teaching there. Most of the teaching was done in Urdu, and I hardly understand Urdu. It was just lecturing that is why I left but it has been nine months here and I really enjoy, and the credit goes to the teachers here.</w:t>
      </w:r>
      <w:r w:rsidRPr="00C377C8">
        <w:rPr>
          <w:rFonts w:ascii="Times New Roman" w:hAnsi="Times New Roman" w:cs="Times New Roman"/>
          <w:color w:val="000000" w:themeColor="text1"/>
          <w:sz w:val="24"/>
          <w:szCs w:val="24"/>
        </w:rPr>
        <w:t>”</w:t>
      </w:r>
    </w:p>
    <w:p w14:paraId="2084D7AF" w14:textId="77777777" w:rsidR="009719B8" w:rsidRPr="00C377C8" w:rsidRDefault="009719B8" w:rsidP="00461178">
      <w:pPr>
        <w:pStyle w:val="Heading3"/>
        <w:numPr>
          <w:ilvl w:val="2"/>
          <w:numId w:val="3"/>
        </w:numPr>
        <w:ind w:left="2268"/>
      </w:pPr>
      <w:bookmarkStart w:id="137" w:name="_Toc83818695"/>
      <w:bookmarkStart w:id="138" w:name="_Toc96609107"/>
      <w:r w:rsidRPr="00C377C8">
        <w:t>Experimenting with interpretations</w:t>
      </w:r>
      <w:bookmarkEnd w:id="137"/>
      <w:bookmarkEnd w:id="138"/>
    </w:p>
    <w:p w14:paraId="23530F65"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 participants also revealed that once students know how to generate interpretations or interrogate different authors and interpretations, they should be ready to form an argument based on the text. Participants involved in teaching asserted that students should support their claim through textual evidence mainly from the Quran or Ahadith, but mentioned:</w:t>
      </w:r>
    </w:p>
    <w:p w14:paraId="44825FB8" w14:textId="04C5E87B" w:rsidR="009719B8" w:rsidRPr="00C377C8" w:rsidRDefault="00A0316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We do not get a chance to go through the hadith literature. We are taught a few chapters only. We find it difficult to find Ahadith supporting a claim.</w:t>
      </w: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 xml:space="preserve"> </w:t>
      </w:r>
    </w:p>
    <w:p w14:paraId="589F015D"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The extract shows that students struggle with finding Ahadith to support their claim. As a student, I had a similar experience as I was only taught the first few chapters of Bukhari and Tirmizi, which restricted my skills to support a claim through text.</w:t>
      </w:r>
    </w:p>
    <w:p w14:paraId="67043FB9"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Similarly, male teacher #1 pointed out that ‘the interpretation must be tested through context, text, and the recipients of the text’. Furthermore, he revealed that if students know the verses' background, they would be able to explain and relate with the real world more confidently and will easily determine the rulings of the verses. Similarly, female student #2 revealed:</w:t>
      </w:r>
    </w:p>
    <w:p w14:paraId="290D8E79" w14:textId="3760DEAD" w:rsidR="009719B8" w:rsidRPr="00C377C8" w:rsidRDefault="00A0316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If any incident took place, or the community faced any problem and asked for prophetic guidance, Allah revealed the verses addressing that issue. So, it is important that as a student we have knowledge of socio-cultural context in which the Quran was revealed.</w:t>
      </w:r>
      <w:r w:rsidRPr="00C377C8">
        <w:rPr>
          <w:rFonts w:ascii="Times New Roman" w:hAnsi="Times New Roman" w:cs="Times New Roman"/>
          <w:color w:val="000000" w:themeColor="text1"/>
          <w:sz w:val="24"/>
          <w:szCs w:val="24"/>
        </w:rPr>
        <w:t>”</w:t>
      </w:r>
    </w:p>
    <w:p w14:paraId="081F91E0"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above example indicates that contextual knowledge also helps students to support and weigh up their argument. They can collect different forms of evidence from the Quran, Ahadith, and sayings of the companions to support their interpretations or claims that they make based on the Quranic text. </w:t>
      </w:r>
    </w:p>
    <w:p w14:paraId="3E2BF0A7"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Prophet Muhammad (PBUH) said, "I am leaving two things among you, you will never deviate as long as you hold them. They are: The Quran and my Sunnah [sayings and doings of the prophet]”. Therefore, Sunnah can be used as evidence to help understand different claims people make about the text. </w:t>
      </w:r>
    </w:p>
    <w:p w14:paraId="1A1D3BD4" w14:textId="4515ADB4" w:rsidR="00046B88" w:rsidRPr="00C377C8" w:rsidRDefault="009719B8" w:rsidP="00845130">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Table 4.1 specifies the sub-themes examined above that have emerged from Theme 1: the concept of the role of critical thinking in interpretation of the Quran. These sub-themes have been drawn from the coding of the transcripts. The first theme described research participants' accounts of teaching and learning the critical interpretation of the Quran. The respondents reflected on their experience and shared what challenges they face and what skills are required to interpret the Quran critically. </w:t>
      </w:r>
    </w:p>
    <w:p w14:paraId="6722C4C9" w14:textId="77777777" w:rsidR="009719B8" w:rsidRPr="00C377C8" w:rsidRDefault="00A93F64" w:rsidP="00461178">
      <w:pPr>
        <w:spacing w:after="0" w:line="240" w:lineRule="auto"/>
        <w:ind w:left="2268"/>
        <w:rPr>
          <w:rFonts w:ascii="Times New Roman" w:eastAsia="Calibri" w:hAnsi="Times New Roman" w:cs="Times New Roman"/>
          <w:b/>
          <w:bCs/>
          <w:color w:val="000000" w:themeColor="text1"/>
          <w:sz w:val="24"/>
          <w:szCs w:val="24"/>
        </w:rPr>
      </w:pPr>
      <w:r w:rsidRPr="00C377C8">
        <w:rPr>
          <w:rFonts w:ascii="Times New Roman" w:eastAsia="Calibri" w:hAnsi="Times New Roman" w:cs="Times New Roman"/>
          <w:b/>
          <w:bCs/>
          <w:color w:val="000000" w:themeColor="text1"/>
          <w:sz w:val="24"/>
          <w:szCs w:val="24"/>
        </w:rPr>
        <w:t>Table 4.1: Summary of theme 1</w:t>
      </w:r>
    </w:p>
    <w:p w14:paraId="3BE4419D" w14:textId="77777777" w:rsidR="00A93F64" w:rsidRPr="00C377C8" w:rsidRDefault="00A93F64" w:rsidP="00461178">
      <w:pPr>
        <w:spacing w:after="0" w:line="240" w:lineRule="auto"/>
        <w:ind w:left="2268"/>
        <w:rPr>
          <w:rFonts w:ascii="Times New Roman" w:eastAsia="Calibri" w:hAnsi="Times New Roman" w:cs="Times New Roman"/>
          <w:b/>
          <w:bCs/>
          <w:color w:val="000000" w:themeColor="text1"/>
          <w:sz w:val="24"/>
          <w:szCs w:val="24"/>
        </w:rPr>
      </w:pPr>
    </w:p>
    <w:p w14:paraId="3EB601C5" w14:textId="77777777" w:rsidR="00A93F64" w:rsidRPr="00C377C8" w:rsidRDefault="00A93F64" w:rsidP="00461178">
      <w:pPr>
        <w:spacing w:after="0" w:line="240" w:lineRule="auto"/>
        <w:ind w:left="2268"/>
        <w:rPr>
          <w:rFonts w:ascii="Times New Roman" w:eastAsia="Calibri" w:hAnsi="Times New Roman" w:cs="Times New Roman"/>
          <w:b/>
          <w:bCs/>
          <w:color w:val="000000" w:themeColor="text1"/>
          <w:sz w:val="24"/>
          <w:szCs w:val="24"/>
        </w:rPr>
      </w:pPr>
    </w:p>
    <w:tbl>
      <w:tblPr>
        <w:tblStyle w:val="TableGrid1"/>
        <w:tblW w:w="8211" w:type="dxa"/>
        <w:tblInd w:w="2245" w:type="dxa"/>
        <w:tblLook w:val="04A0" w:firstRow="1" w:lastRow="0" w:firstColumn="1" w:lastColumn="0" w:noHBand="0" w:noVBand="1"/>
      </w:tblPr>
      <w:tblGrid>
        <w:gridCol w:w="2880"/>
        <w:gridCol w:w="5331"/>
      </w:tblGrid>
      <w:tr w:rsidR="00C377C8" w:rsidRPr="00C377C8" w14:paraId="29327B85" w14:textId="77777777" w:rsidTr="00A93F64">
        <w:tc>
          <w:tcPr>
            <w:tcW w:w="2880" w:type="dxa"/>
            <w:vAlign w:val="center"/>
          </w:tcPr>
          <w:p w14:paraId="676EC552" w14:textId="77777777" w:rsidR="009719B8" w:rsidRPr="00C377C8" w:rsidRDefault="009719B8" w:rsidP="00461178">
            <w:pPr>
              <w:rPr>
                <w:rFonts w:ascii="Times New Roman" w:eastAsia="Calibri" w:hAnsi="Times New Roman" w:cs="Times New Roman"/>
                <w:color w:val="000000" w:themeColor="text1"/>
              </w:rPr>
            </w:pPr>
            <w:r w:rsidRPr="00C377C8">
              <w:rPr>
                <w:rFonts w:ascii="Times New Roman" w:eastAsia="Calibri" w:hAnsi="Times New Roman" w:cs="Times New Roman"/>
                <w:color w:val="000000" w:themeColor="text1"/>
              </w:rPr>
              <w:t>Theme</w:t>
            </w:r>
          </w:p>
        </w:tc>
        <w:tc>
          <w:tcPr>
            <w:tcW w:w="5331" w:type="dxa"/>
            <w:vAlign w:val="center"/>
          </w:tcPr>
          <w:p w14:paraId="1F94C411" w14:textId="77777777" w:rsidR="009719B8" w:rsidRPr="00C377C8" w:rsidRDefault="009719B8" w:rsidP="00461178">
            <w:pPr>
              <w:ind w:left="2268"/>
              <w:rPr>
                <w:rFonts w:ascii="Times New Roman" w:eastAsia="Calibri" w:hAnsi="Times New Roman" w:cs="Times New Roman"/>
                <w:color w:val="000000" w:themeColor="text1"/>
              </w:rPr>
            </w:pPr>
            <w:r w:rsidRPr="00C377C8">
              <w:rPr>
                <w:rFonts w:ascii="Times New Roman" w:eastAsia="Calibri" w:hAnsi="Times New Roman" w:cs="Times New Roman"/>
                <w:color w:val="000000" w:themeColor="text1"/>
              </w:rPr>
              <w:t>Sub-themes</w:t>
            </w:r>
          </w:p>
        </w:tc>
      </w:tr>
      <w:tr w:rsidR="00A93F64" w:rsidRPr="00C377C8" w14:paraId="54FDD3C5" w14:textId="77777777" w:rsidTr="00A93F64">
        <w:trPr>
          <w:trHeight w:val="2420"/>
        </w:trPr>
        <w:tc>
          <w:tcPr>
            <w:tcW w:w="2880" w:type="dxa"/>
            <w:vAlign w:val="center"/>
          </w:tcPr>
          <w:p w14:paraId="10B971C4" w14:textId="77777777" w:rsidR="00A93F64" w:rsidRPr="00C377C8" w:rsidRDefault="00A93F64" w:rsidP="00461178">
            <w:pPr>
              <w:spacing w:line="360" w:lineRule="auto"/>
              <w:rPr>
                <w:color w:val="000000" w:themeColor="text1"/>
              </w:rPr>
            </w:pPr>
            <w:r w:rsidRPr="00C377C8">
              <w:rPr>
                <w:color w:val="000000" w:themeColor="text1"/>
              </w:rPr>
              <w:t>The accounts of the critical interpretation of the Quran</w:t>
            </w:r>
          </w:p>
          <w:p w14:paraId="354E1484" w14:textId="77777777" w:rsidR="009719B8" w:rsidRPr="00C377C8" w:rsidRDefault="009719B8" w:rsidP="00461178">
            <w:pPr>
              <w:rPr>
                <w:rFonts w:ascii="Times New Roman" w:eastAsia="Calibri" w:hAnsi="Times New Roman" w:cs="Times New Roman"/>
                <w:color w:val="000000" w:themeColor="text1"/>
              </w:rPr>
            </w:pPr>
          </w:p>
        </w:tc>
        <w:tc>
          <w:tcPr>
            <w:tcW w:w="5331" w:type="dxa"/>
            <w:vAlign w:val="center"/>
          </w:tcPr>
          <w:p w14:paraId="0F75DB28" w14:textId="77777777" w:rsidR="00A93F64" w:rsidRPr="00C377C8" w:rsidRDefault="00A93F64" w:rsidP="00461178">
            <w:pPr>
              <w:spacing w:line="360" w:lineRule="auto"/>
              <w:jc w:val="both"/>
              <w:rPr>
                <w:color w:val="000000" w:themeColor="text1"/>
              </w:rPr>
            </w:pPr>
            <w:r w:rsidRPr="00C377C8">
              <w:rPr>
                <w:color w:val="000000" w:themeColor="text1"/>
              </w:rPr>
              <w:t>Experience of generating and transferring interpretation</w:t>
            </w:r>
          </w:p>
          <w:p w14:paraId="376540C8" w14:textId="77777777" w:rsidR="00A93F64" w:rsidRPr="00C377C8" w:rsidRDefault="00A93F64" w:rsidP="00461178">
            <w:pPr>
              <w:spacing w:line="360" w:lineRule="auto"/>
              <w:jc w:val="both"/>
              <w:rPr>
                <w:color w:val="000000" w:themeColor="text1"/>
              </w:rPr>
            </w:pPr>
            <w:r w:rsidRPr="00C377C8">
              <w:rPr>
                <w:color w:val="000000" w:themeColor="text1"/>
              </w:rPr>
              <w:t>Experience of re-thinking interpretation</w:t>
            </w:r>
          </w:p>
          <w:p w14:paraId="42731BC9" w14:textId="77777777" w:rsidR="009719B8" w:rsidRPr="00C377C8" w:rsidRDefault="00A93F64" w:rsidP="00461178">
            <w:pPr>
              <w:rPr>
                <w:rFonts w:ascii="Times New Roman" w:eastAsia="Calibri" w:hAnsi="Times New Roman" w:cs="Times New Roman"/>
                <w:color w:val="000000" w:themeColor="text1"/>
              </w:rPr>
            </w:pPr>
            <w:r w:rsidRPr="00C377C8">
              <w:rPr>
                <w:color w:val="000000" w:themeColor="text1"/>
              </w:rPr>
              <w:t>Experience of experimenting with interpretation</w:t>
            </w:r>
          </w:p>
        </w:tc>
      </w:tr>
    </w:tbl>
    <w:p w14:paraId="28B22008" w14:textId="77777777" w:rsidR="009719B8" w:rsidRPr="00C377C8" w:rsidRDefault="009719B8" w:rsidP="00461178">
      <w:pPr>
        <w:spacing w:after="0" w:line="240" w:lineRule="auto"/>
        <w:ind w:left="2268"/>
        <w:rPr>
          <w:rFonts w:ascii="Times New Roman" w:eastAsia="Calibri" w:hAnsi="Times New Roman" w:cs="Times New Roman"/>
          <w:i/>
          <w:iCs/>
          <w:color w:val="000000" w:themeColor="text1"/>
          <w:sz w:val="24"/>
          <w:szCs w:val="24"/>
        </w:rPr>
      </w:pPr>
    </w:p>
    <w:p w14:paraId="5483A939" w14:textId="77777777" w:rsidR="009719B8" w:rsidRPr="00C377C8" w:rsidRDefault="009719B8" w:rsidP="00461178">
      <w:pPr>
        <w:ind w:left="2268"/>
        <w:rPr>
          <w:color w:val="000000" w:themeColor="text1"/>
        </w:rPr>
      </w:pPr>
    </w:p>
    <w:p w14:paraId="59FFD323" w14:textId="77777777" w:rsidR="009719B8" w:rsidRPr="00C377C8" w:rsidRDefault="009719B8" w:rsidP="00461178">
      <w:pPr>
        <w:pStyle w:val="Heading3"/>
        <w:ind w:left="2268"/>
      </w:pPr>
      <w:bookmarkStart w:id="139" w:name="_Toc83818696"/>
      <w:bookmarkStart w:id="140" w:name="_Toc96609108"/>
      <w:r w:rsidRPr="00C377C8">
        <w:t>Summary of Theme 1</w:t>
      </w:r>
      <w:bookmarkEnd w:id="139"/>
      <w:bookmarkEnd w:id="140"/>
    </w:p>
    <w:p w14:paraId="4653C0FA"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The critical interpretation of the Quran falls into one of the three categories: generating interpretations, re-thinking interpretations and experimenting with these interpretations. Students usually initiate the discussion around morphological, syntactic, and semantic analysis. Teachers facilitate these discussions and encourage students to transfer ideas from Arabic to English followed by identifying other people's positions, arguments, and conclusions. This can be harder to achieve if students do not have a good understanding of the Arabic language, knowledge of Hadith literature, history, and the different cultures. Besides Arabic, student respondents also recognised the importance of students' skills to evaluate the evidence from other people, read between the lines, and conclude whether the interpretation is valid and justifiable or is based on good textual evidence. It also illustrates the use of multiple resources and perspectives while re-thinking the verses of the Quran. All respondents, both students and teachers, believed that a teachers' vast knowledge, critical, and inferential skills allow them to teach effectively. Teachers' impartiality, openness, and ability to create a safe classroom influence their teaching practice. The second theme emerging from the findings is teacher's traits and skills.</w:t>
      </w:r>
    </w:p>
    <w:p w14:paraId="161F19CE" w14:textId="77777777" w:rsidR="009719B8" w:rsidRPr="00C377C8" w:rsidRDefault="009719B8" w:rsidP="00461178">
      <w:pPr>
        <w:pStyle w:val="Heading2"/>
        <w:ind w:left="2268"/>
      </w:pPr>
      <w:bookmarkStart w:id="141" w:name="_Toc83818697"/>
      <w:bookmarkStart w:id="142" w:name="_Toc96609109"/>
      <w:r w:rsidRPr="00C377C8">
        <w:t>Theme 2: effective teachers’ traits</w:t>
      </w:r>
      <w:bookmarkEnd w:id="141"/>
      <w:bookmarkEnd w:id="142"/>
    </w:p>
    <w:p w14:paraId="422DA54A"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This section works towards an analysis of effective teacher’s traits, which are proposed by the research participants. Effective teaching cannot be thought of without an effective teacher. Before these traits are introduced, and the more interpretive work begins, it is important to establish the phenomenological core of research participants’ accounts. This is done by identifying their primary claims and concerns. </w:t>
      </w:r>
    </w:p>
    <w:p w14:paraId="6C2ADD39"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Participants offered complex and multi-layered reflections, which addressed questions of how they describe an effective teacher, how they engage students in the process of learning, and how students benefitted from this. Their reflections and perceptions of an effective teacher coalesce around one major sub-ordinate theme of effective teacher’s traits, which can be understood in the context of teaching the critical interpretation of the Quran in multilingual classrooms. Research participants revealed that possessing desirable qualities that generally make a teacher effective help teachers to establish good relations with the students, to create a safe environment for discussion and to analyse interpretations. Indeed, teachers' skills are valuable among academics and education stakeholders and must be considered especially before offering a teacher's role in a multilingual context. </w:t>
      </w:r>
    </w:p>
    <w:p w14:paraId="4375CFA3" w14:textId="77777777" w:rsidR="009719B8" w:rsidRPr="00C377C8" w:rsidRDefault="009719B8" w:rsidP="00461178">
      <w:pPr>
        <w:pStyle w:val="Heading3"/>
        <w:numPr>
          <w:ilvl w:val="2"/>
          <w:numId w:val="3"/>
        </w:numPr>
        <w:ind w:left="2268"/>
      </w:pPr>
      <w:bookmarkStart w:id="143" w:name="_Toc83818698"/>
      <w:bookmarkStart w:id="144" w:name="_Toc96609110"/>
      <w:r w:rsidRPr="00C377C8">
        <w:t>Respectfulness</w:t>
      </w:r>
      <w:bookmarkEnd w:id="143"/>
      <w:bookmarkEnd w:id="144"/>
      <w:r w:rsidRPr="00C377C8">
        <w:t xml:space="preserve"> </w:t>
      </w:r>
    </w:p>
    <w:p w14:paraId="19AB8AD7"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It is in a human nature that a person feels part of the whole, when they feel valued and respected. Showing respect towards students is essential for meaningful teaching and learning. This theme aids in understanding of what are teachers’ and students’ experiences of being valued and its importance in creating a safe space for dialogue and discussion. Research participants viewed an effective teacher as ‘showing regard for students with special attention’, ‘honouring their values and beliefs’, ‘recognising and showing consideration to their backgrounds’, ‘appreciating their strengths and identifying their weaknesses or gaps’. </w:t>
      </w:r>
    </w:p>
    <w:p w14:paraId="64FA1FC9"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At various points in interview, participants suggested that when students are valued and a teacher is respectful, it enhances students' confidence and engagement in the classrooms. During the classroom observation, it was noted that both teachers and students were respectful and used the expression "Allama Sahib” (similar to using a word Sir out of respect) when addressing each other, they used words "brothers and sisters" quite often when they were involved in classroom discussions. </w:t>
      </w:r>
    </w:p>
    <w:p w14:paraId="6AA25F5F"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Participants asserted that mutual respect should be maintained in the classroom when teachers and students question and challenge each other. For example, male student #1 recalled his experience and described his teacher:</w:t>
      </w:r>
    </w:p>
    <w:p w14:paraId="7231BB4A" w14:textId="0E543759" w:rsidR="009719B8" w:rsidRPr="00C377C8" w:rsidRDefault="00A0316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He [the teacher] is quite open, but the point is when you are speaking, you need to maintain mutual respect and be ethical when you challenge openly, then there will not a problem.</w:t>
      </w:r>
      <w:r w:rsidRPr="00C377C8">
        <w:rPr>
          <w:rFonts w:ascii="Times New Roman" w:hAnsi="Times New Roman" w:cs="Times New Roman"/>
          <w:color w:val="000000" w:themeColor="text1"/>
          <w:sz w:val="24"/>
          <w:szCs w:val="24"/>
        </w:rPr>
        <w:t>”</w:t>
      </w:r>
    </w:p>
    <w:p w14:paraId="78EB08C8"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Similarly, female student #1 revealed her likeness for the teacher for him being respectful and understanding of their educational needs:</w:t>
      </w:r>
    </w:p>
    <w:p w14:paraId="6BBCC715" w14:textId="680C0F47" w:rsidR="009719B8" w:rsidRPr="00C377C8" w:rsidRDefault="00A0316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The best way to gain knowledge is to ask questions and give opinions that we [students] have in our mind. To ask questions even if they were silly questions. She always respects that and encourages us more by answering all our questions.</w:t>
      </w:r>
      <w:r w:rsidRPr="00C377C8">
        <w:rPr>
          <w:rFonts w:ascii="Times New Roman" w:hAnsi="Times New Roman" w:cs="Times New Roman"/>
          <w:color w:val="000000" w:themeColor="text1"/>
          <w:sz w:val="24"/>
          <w:szCs w:val="24"/>
        </w:rPr>
        <w:t>”</w:t>
      </w:r>
    </w:p>
    <w:p w14:paraId="442E5628"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These statements indicate that respectfulness is essential in building rapport and strengthening relations with students, which cannot be established without understanding students’ theological and cultural background. Female student #2 remembered her unpleasant experience, where a teacher was not valuing her ‘theological background’, which put her off the studies and led to a change of institute. She also offered distrustfulness as a potential turning point in her career. Furthermore, she related respect with offering students an ‘opportunity to share their views and acknowledging those views’. Thus, when a teacher is respectful, it helps students to understand that their views are valued in the classrooms. Likewise, Millie (2009) noted 'mutual respect' as a key component of effective teaching. Female student #2 also argued that:</w:t>
      </w:r>
    </w:p>
    <w:p w14:paraId="40AC1B2A" w14:textId="1D871A2A" w:rsidR="009719B8" w:rsidRPr="00C377C8" w:rsidRDefault="00A0316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A teacher should have the existing knowledge of students, their backgrounds, their educational needs, and the support they require in order to become critical interpreter of the Quran. He/she should give you an opportunity to speak, and when you speak, he/she listens to you and respects your views.</w:t>
      </w:r>
      <w:r w:rsidRPr="00C377C8">
        <w:rPr>
          <w:rFonts w:ascii="Times New Roman" w:hAnsi="Times New Roman" w:cs="Times New Roman"/>
          <w:color w:val="000000" w:themeColor="text1"/>
          <w:sz w:val="24"/>
          <w:szCs w:val="24"/>
        </w:rPr>
        <w:t>”</w:t>
      </w:r>
    </w:p>
    <w:p w14:paraId="259B03E9"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above quote from a female student illustrates how understanding students’ needs, their religious, cultural, and linguistic backgrounds makes students feel comfortable in the classroom. It also shows that giving students an opportunity to voice their views and listening to those views is an essential trait of an effective teacher. Additionally, it was pointed out that some ‘parents fear sending their female children to male teachers to study Islam’ suggesting that the recognition of boundaries by both students and teachers helps to create a culture of respect. Indeed, both teachers and students believe that teachers showing respect to students is essential for effective teaching.  </w:t>
      </w:r>
    </w:p>
    <w:p w14:paraId="46F1B977" w14:textId="77777777" w:rsidR="009719B8" w:rsidRPr="00C377C8" w:rsidRDefault="009719B8" w:rsidP="00461178">
      <w:pPr>
        <w:pStyle w:val="Heading3"/>
        <w:numPr>
          <w:ilvl w:val="2"/>
          <w:numId w:val="3"/>
        </w:numPr>
        <w:ind w:left="2268"/>
      </w:pPr>
      <w:bookmarkStart w:id="145" w:name="_Toc83818699"/>
      <w:bookmarkStart w:id="146" w:name="_Toc96609111"/>
      <w:r w:rsidRPr="00C377C8">
        <w:t>Knowledgeable</w:t>
      </w:r>
      <w:bookmarkEnd w:id="145"/>
      <w:bookmarkEnd w:id="146"/>
      <w:r w:rsidRPr="00C377C8">
        <w:t xml:space="preserve">  </w:t>
      </w:r>
    </w:p>
    <w:p w14:paraId="4264F06F"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This sub-theme addresses instances when teachers help students to relate the text to the context in which they live and study. Research participants highlighted that an effective teacher must have good knowledge of socio-cultural issues to engage students in discussion and dialogue. The knowledge of socio-cultural issues is important in terms of relating the text with real world issues and exploring the impact of different rulings on different communities. For example, male student #1 stated several times that a teacher should have knowledge of local culture and democracy. Furthermore, male teacher #3 recalled his experience of teaching the interpretation of the Quran and said that he faced difficulties while teaching several verses as he did not have knowledge of local culture and values.</w:t>
      </w:r>
    </w:p>
    <w:p w14:paraId="3568A2E0"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It was observed that although teaching participants highlighted the importance of multidisciplinary approaches and out-of-the-box thinking, they still do not use literature from other school of thoughts. In one of the classrooms, only the written work from Bralvi school of thought was used, and students did not get a chance to compare interpretations from Deobandi or Shia school of thought, which can be linked to either teacher’s limited knowledge or the institute’s policy. However, male teacher #2 was open to interpretations and translations produced in different regions and times; for example, he used (4:34):</w:t>
      </w:r>
    </w:p>
    <w:p w14:paraId="0A3D28F8" w14:textId="77777777" w:rsidR="009719B8" w:rsidRPr="00C377C8" w:rsidRDefault="009719B8" w:rsidP="00461178">
      <w:pPr>
        <w:spacing w:line="360" w:lineRule="auto"/>
        <w:ind w:left="2268"/>
        <w:jc w:val="both"/>
        <w:rPr>
          <w:rFonts w:ascii="Times New Roman" w:hAnsi="Times New Roman" w:cs="Times New Roman"/>
          <w:i/>
          <w:iCs/>
          <w:color w:val="000000" w:themeColor="text1"/>
          <w:sz w:val="24"/>
          <w:szCs w:val="24"/>
        </w:rPr>
      </w:pPr>
      <w:r w:rsidRPr="00C377C8">
        <w:rPr>
          <w:rFonts w:ascii="Times New Roman" w:hAnsi="Times New Roman" w:cs="Times New Roman"/>
          <w:i/>
          <w:iCs/>
          <w:color w:val="000000" w:themeColor="text1"/>
          <w:sz w:val="24"/>
          <w:szCs w:val="24"/>
        </w:rPr>
        <w:t>Alrrijalu qawwamoona AAala alnnisa-i bima faddala Allahu baAAdahum AAala baAAdin wabima anfaqoo min amwalihim faalssalihatu qanitatun hafithatun lilghaybi bima hafitha Allahu waallatee takhafoona nushoozahunna faAAithoohunna waohjuroohunna fee almadajiAAi waidriboohunna fa-in ataAAnakum fala tabghoo AAalayhinna sabeelan inna Allaha kana AAaliyyan kabeeran</w:t>
      </w:r>
    </w:p>
    <w:p w14:paraId="67597168"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The teacher used the above verse and asked the students to explore denotative and connotative meanings of different words and phrases. He tasked the students with finding out how the above verse's interpretations have changed with the passage of times and in different places. He also asked the students to identify similarities and differences between different interpreters and how their cultural and social competence impacted their interpretation choice. It was highlighted by female student #2 that an effective teacher should know current social, political, moral, and religious issues. She stated:</w:t>
      </w:r>
    </w:p>
    <w:p w14:paraId="2C65713C" w14:textId="35B9CD14" w:rsidR="009719B8" w:rsidRPr="00C377C8" w:rsidRDefault="00A03160" w:rsidP="00A03160">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The analysis of the Quran will only be productive if it is understood in light of current issues, so a teacher must be in touch with those issues in order for them to link it to the verses of the Quran.</w:t>
      </w:r>
      <w:r w:rsidRPr="00C377C8">
        <w:rPr>
          <w:rFonts w:ascii="Times New Roman" w:hAnsi="Times New Roman" w:cs="Times New Roman"/>
          <w:color w:val="000000" w:themeColor="text1"/>
          <w:sz w:val="24"/>
          <w:szCs w:val="24"/>
        </w:rPr>
        <w:t>”</w:t>
      </w:r>
    </w:p>
    <w:p w14:paraId="4AB5C790"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There are many issues that young people face in the society including radicalization, interfaith marriages, LGBTQ+, drug addiction, emotional and spiritual well-being, and understanding these issues through the Quran and hadith is of great importance for students. Therefore, teacher's multidisciplinary knowledge has a substantial impact on students' development of critical thinking skills. </w:t>
      </w:r>
    </w:p>
    <w:p w14:paraId="3AB5C511" w14:textId="77777777" w:rsidR="009719B8" w:rsidRPr="00C377C8" w:rsidRDefault="009719B8" w:rsidP="00461178">
      <w:pPr>
        <w:pStyle w:val="Heading3"/>
        <w:numPr>
          <w:ilvl w:val="2"/>
          <w:numId w:val="3"/>
        </w:numPr>
        <w:ind w:left="2268"/>
      </w:pPr>
      <w:bookmarkStart w:id="147" w:name="_Toc83818700"/>
      <w:bookmarkStart w:id="148" w:name="_Toc96609112"/>
      <w:r w:rsidRPr="00C377C8">
        <w:t>Communication skills</w:t>
      </w:r>
      <w:bookmarkEnd w:id="147"/>
      <w:bookmarkEnd w:id="148"/>
    </w:p>
    <w:p w14:paraId="6A55EA46"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most important thing for the effective teaching is effective communication between students and teachers. It occurs when a message has been conveyed clearly and understood by the receivers. All teachers remembered that when they started working as imams or teachers they struggled with listening. For effective communication, the message should be simple, concrete, and correct (Rai and Rai, 2009). Female student #1 reflected on teacher’s communication skills and asserted: </w:t>
      </w:r>
    </w:p>
    <w:p w14:paraId="7D097C1B" w14:textId="1E4840C3" w:rsidR="009719B8" w:rsidRPr="00C377C8" w:rsidRDefault="00A0316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He/she can put you off if he/ she does not understand your needs. If he engages you in difficult language analysis, he should also not use 'heavy words' with loaded meanings. It was really difficult to understand.</w:t>
      </w: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 xml:space="preserve"> </w:t>
      </w:r>
    </w:p>
    <w:p w14:paraId="6FEB2199"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The above reaction was an annoyance to teacher’s lack of communication skills, which may put students off if he does not know students’ knowledge of the source language. The basic principle of an effective communication is that a teacher must use simple words that students can understand. A student feels frustrated when a teacher uses ‘heavy words’, which are not common in everyday use and could have multiple interpretations.</w:t>
      </w:r>
    </w:p>
    <w:p w14:paraId="2A74EC49"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Similarly, teachers should also perceive when students are good at listening, explaining, and analysing issues in light of different texts and literature. For example, male teacher #1 illustrated: </w:t>
      </w:r>
    </w:p>
    <w:p w14:paraId="6299702E" w14:textId="5F102911" w:rsidR="009719B8" w:rsidRPr="00C377C8" w:rsidRDefault="00A0316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To teach critical interpretation effectively, a teacher should be good at questioning, listening, prioritising, and facilitating discussion.</w:t>
      </w:r>
      <w:r w:rsidRPr="00C377C8">
        <w:rPr>
          <w:rFonts w:ascii="Times New Roman" w:hAnsi="Times New Roman" w:cs="Times New Roman"/>
          <w:color w:val="000000" w:themeColor="text1"/>
          <w:sz w:val="24"/>
          <w:szCs w:val="24"/>
        </w:rPr>
        <w:t>”</w:t>
      </w:r>
    </w:p>
    <w:p w14:paraId="33716F60"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student respondents also highlighted the importance of active listening, which shows that a teacher cares for them and values their views (Harvey, 2002). It is an important skill for developing critical thinking, because when students discuss and evaluate different claims, they need to listen first to understand other people’s positions or points of view. Research respondents involved in teaching revealed that they sometimes struggle to understand students’ different accents. </w:t>
      </w:r>
    </w:p>
    <w:p w14:paraId="21CA8779"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Findings also highlight that using technology has made it easier for teachers to communicate effectively. It allows teachers to use multiple resources to convey their ideas and opinions and include those students who struggle with the source language. Furthermore, male teacher #3 used ‘videos containing subtitles’ to help students who have limited English but better Urdu. He stated: </w:t>
      </w:r>
    </w:p>
    <w:p w14:paraId="71BBFF60" w14:textId="3B8AB49D" w:rsidR="009719B8" w:rsidRPr="00C377C8" w:rsidRDefault="00A0316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The use of videos or digital learning has been fantastic to overcome these challenges because I can use the resources, which help students; and many of the videos are now coming with subtitles in other languages.</w:t>
      </w:r>
      <w:r w:rsidRPr="00C377C8">
        <w:rPr>
          <w:rFonts w:ascii="Times New Roman" w:hAnsi="Times New Roman" w:cs="Times New Roman"/>
          <w:color w:val="000000" w:themeColor="text1"/>
          <w:sz w:val="24"/>
          <w:szCs w:val="24"/>
        </w:rPr>
        <w:t>”</w:t>
      </w:r>
    </w:p>
    <w:p w14:paraId="5440FE95" w14:textId="77777777" w:rsidR="009719B8" w:rsidRPr="00C377C8" w:rsidRDefault="009719B8" w:rsidP="00461178">
      <w:pPr>
        <w:pStyle w:val="Heading3"/>
        <w:numPr>
          <w:ilvl w:val="2"/>
          <w:numId w:val="3"/>
        </w:numPr>
        <w:ind w:left="2268"/>
      </w:pPr>
      <w:bookmarkStart w:id="149" w:name="_Toc83818701"/>
      <w:bookmarkStart w:id="150" w:name="_Toc96609113"/>
      <w:r w:rsidRPr="00C377C8">
        <w:t>Impartiality and inclusivity</w:t>
      </w:r>
      <w:bookmarkEnd w:id="149"/>
      <w:bookmarkEnd w:id="150"/>
    </w:p>
    <w:p w14:paraId="5C738BF2"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This theme focuses on teachings of the verses that address people’s beliefs and practices. Both teacher and student participants highlighted that teacher’s own position and the way they teach these verses, the decisions they make on which argument to include or to exclude show their partiality or impartiality. Though it is hard to attain impartiality, especially in issues of faith and belief because all people have their beliefs. However, students expect their teachers to put aside those beliefs and act as a neutral when students present as their views about different issues. This is essential for critical thinking skills. Male student 2 stated:  </w:t>
      </w:r>
    </w:p>
    <w:p w14:paraId="57CC9961" w14:textId="28FF4F84" w:rsidR="009719B8" w:rsidRPr="00C377C8" w:rsidRDefault="00A0316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Teachers should know there are people who are Shafi and Maliki. Similarly, there are Deobandi and Shia.</w:t>
      </w:r>
      <w:r w:rsidRPr="00C377C8">
        <w:rPr>
          <w:rFonts w:ascii="Times New Roman" w:hAnsi="Times New Roman" w:cs="Times New Roman"/>
          <w:color w:val="000000" w:themeColor="text1"/>
          <w:sz w:val="24"/>
          <w:szCs w:val="24"/>
        </w:rPr>
        <w:t>”</w:t>
      </w:r>
    </w:p>
    <w:p w14:paraId="5F250F9A"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above extract shows that students want their teacher to recognise their theological backgrounds and prepare lesson contents with this in mind. The same issue was raised by male teacher #1 when he was asked about the traits of an effective teacher: </w:t>
      </w:r>
    </w:p>
    <w:p w14:paraId="2BD48055" w14:textId="3608D644" w:rsidR="009719B8" w:rsidRPr="00C377C8" w:rsidRDefault="00A0316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Secondly, I would say he/she should be independent and impartial. From independent I mean that many of the institutes are Sunni Bralvi, Deobandi or Shia and they teach the books of their particular school of thought. You will hardly see any book in the library from other school of thoughts. So, teachers of interpretation studies should be independent, and allowed to use different resources in the classrooms.</w:t>
      </w:r>
      <w:r w:rsidRPr="00C377C8">
        <w:rPr>
          <w:rFonts w:ascii="Times New Roman" w:hAnsi="Times New Roman" w:cs="Times New Roman"/>
          <w:color w:val="000000" w:themeColor="text1"/>
          <w:sz w:val="24"/>
          <w:szCs w:val="24"/>
        </w:rPr>
        <w:t>”</w:t>
      </w:r>
    </w:p>
    <w:p w14:paraId="124BFA40"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There are several issues to note in the above extract. Male teacher #1 made a confession that many institutes teach using texts from their own school of thought. He highlighted the lack of resources in the institute’s library, which shows that even if teachers wanted to include diverse contents, they cannot do so because accessible learning resources are limited. Additionally, he highlighted that sometimes institutes’ management does not let teachers use such resources. In contrast, male student #1 praised his teacher for his openness and other people’s views inclusion. He asserted: </w:t>
      </w:r>
    </w:p>
    <w:p w14:paraId="07CC13AA" w14:textId="25F9BB83" w:rsidR="009719B8" w:rsidRPr="00C377C8" w:rsidRDefault="00A0316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He is charismatic; the teacher is ‘Sunni Bralvi’ but it is as if you are speaking to a Deobandi or Shia sometime.</w:t>
      </w:r>
      <w:r w:rsidRPr="00C377C8">
        <w:rPr>
          <w:rFonts w:ascii="Times New Roman" w:hAnsi="Times New Roman" w:cs="Times New Roman"/>
          <w:color w:val="000000" w:themeColor="text1"/>
          <w:sz w:val="24"/>
          <w:szCs w:val="24"/>
        </w:rPr>
        <w:t>”</w:t>
      </w:r>
    </w:p>
    <w:p w14:paraId="3B1B0CE4"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It can be seen how teacher’s impartiality is important to foster mutual respect and create a safer environment for discussion and dialogue. This is quite helpful to counter sectarianism and extremism. Limited understanding of religious texts often fosters conservatism (Javed, 2015). If a teacher is not allowed to work independently, students will not have an opportunity to understand the distinction between different arguments. Teacher respondents also recognized the value of ‘being independent and impartial’ because it helps them to create a safe space for discussion and dialogue, which encourages students ‘to express their ideas and participate in classroom activities’. Male teacher #3 maintained that:</w:t>
      </w:r>
    </w:p>
    <w:p w14:paraId="17CA6025" w14:textId="5A9C90B4" w:rsidR="009719B8" w:rsidRPr="00C377C8" w:rsidRDefault="00A0316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Impartiality would be probably one of the things I would like. If a teacher is not impartial and only values his ideas and thoughts, he will not engage well with the students in the classroom discussion.</w:t>
      </w:r>
      <w:r w:rsidRPr="00C377C8">
        <w:rPr>
          <w:rFonts w:ascii="Times New Roman" w:hAnsi="Times New Roman" w:cs="Times New Roman"/>
          <w:color w:val="000000" w:themeColor="text1"/>
          <w:sz w:val="24"/>
          <w:szCs w:val="24"/>
        </w:rPr>
        <w:t>”</w:t>
      </w:r>
    </w:p>
    <w:p w14:paraId="49D732B3"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When teachers were asked about how they achieve impartiality in the classroom, male teacher #1 revealed: “I value everyone’s perspectives and the ideas they have generated from the text. I listen to them and acknowledge their views”. Female teacher stated: “I take into account students’ needs in all my actions and the decisions I make in the classrooms”. In classrooms, it was observed that when teachers used diverse contents, the students were more engaged and were having more fun. For example, while discussing verse four (Sura Nisa), one of the teachers used four different translations, and students enjoyed comparing how male and female authors chose different meanings for the Arabic word “Fadribuhunna”. </w:t>
      </w:r>
    </w:p>
    <w:p w14:paraId="5FC0CCE6"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It was observed that male teacher #2 used novel methods and included different voices in the class. In terms of valuing each student and preparing the lesson with the students’ needs in mind, he used presentations in three languages, Urdu, English, and Arabic, because one of his students had very limited skills in English, having recently moved to the UK from Italy. In contrast, the female teacher pointed out that 'having no male students in class puts female students at disadvantage' because students do not have the opportunities to listen to male perspectives. The female teacher revealed:</w:t>
      </w:r>
    </w:p>
    <w:p w14:paraId="02818586" w14:textId="76842F60" w:rsidR="009719B8" w:rsidRPr="00C377C8" w:rsidRDefault="00A0316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As you have seen, in the class there are only girls, and we do not have male representation. In one way, it puts students at disadvantage because they do not listen the perspectives from other gender groups but this is how Islamic institutes function.</w:t>
      </w:r>
      <w:r w:rsidRPr="00C377C8">
        <w:rPr>
          <w:rFonts w:ascii="Times New Roman" w:hAnsi="Times New Roman" w:cs="Times New Roman"/>
          <w:color w:val="000000" w:themeColor="text1"/>
          <w:sz w:val="24"/>
          <w:szCs w:val="24"/>
        </w:rPr>
        <w:t>”</w:t>
      </w:r>
    </w:p>
    <w:p w14:paraId="3DEC23B9"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above extract shows that the teacher feels that if male and female students are studying within the same class, working together, and listening to each other’s views, it can make teaching and learning more effective. When male teacher #1 was asked about the use of curtains to separate male and female students. He said: </w:t>
      </w:r>
    </w:p>
    <w:p w14:paraId="272332F9" w14:textId="071078D7" w:rsidR="009719B8" w:rsidRPr="00C377C8" w:rsidRDefault="00A0316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This is how it works in Islamic school and our culture. Female students feel more comfortable when it is not a mix.</w:t>
      </w:r>
      <w:r w:rsidRPr="00C377C8">
        <w:rPr>
          <w:rFonts w:ascii="Times New Roman" w:hAnsi="Times New Roman" w:cs="Times New Roman"/>
          <w:color w:val="000000" w:themeColor="text1"/>
          <w:sz w:val="24"/>
          <w:szCs w:val="24"/>
        </w:rPr>
        <w:t>”</w:t>
      </w:r>
    </w:p>
    <w:p w14:paraId="0C673EDF"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He also linked it with safeguarding and parents’ expectations. When asked about its impact, he asserted that they could still share ideas, although, in researcher’s opinion, it may result in a barrier to communication and students’ ability to work as a team. Though this is of interest, it is not the focus of the current research.</w:t>
      </w:r>
    </w:p>
    <w:p w14:paraId="6FE39E44" w14:textId="77777777" w:rsidR="009719B8" w:rsidRPr="00C377C8" w:rsidRDefault="009719B8" w:rsidP="00461178">
      <w:pPr>
        <w:pStyle w:val="Heading3"/>
        <w:numPr>
          <w:ilvl w:val="2"/>
          <w:numId w:val="3"/>
        </w:numPr>
        <w:ind w:left="2268"/>
      </w:pPr>
      <w:bookmarkStart w:id="151" w:name="_Toc83818702"/>
      <w:bookmarkStart w:id="152" w:name="_Toc96609114"/>
      <w:r w:rsidRPr="00C377C8">
        <w:t>Adaptability</w:t>
      </w:r>
      <w:bookmarkEnd w:id="151"/>
      <w:bookmarkEnd w:id="152"/>
      <w:r w:rsidRPr="00C377C8">
        <w:t xml:space="preserve"> </w:t>
      </w:r>
    </w:p>
    <w:p w14:paraId="0A3B8BD2"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Respondents recalled the stressful start of their teaching in the UK and issues they faced within the classrooms. They highlighted that due to a lack of competence in English, they struggled to understand students’ accents that hindered their ability to communicate effectively. They were unable to constructively regulate psycho-behavioural functions in response to new, changing, and uncertain circumstances. Teachers shared their accounts of coming from the sub-continent, where they received education in Urdu, and studied English as a foreign language, but did not have an opportunity to listen to native speakers. Furthermore, participants asserted that they struggled with adapting to a new classroom environment, as teaching back home was not as challenging as here in the UK. Previously, teachers would mostly rely on lecturing, while in the UK teachers need to work with students as a team. Female teacher revealed: </w:t>
      </w:r>
    </w:p>
    <w:p w14:paraId="296FA72C"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In this country, students are partners in learning. You are to give equal importance. You cannot neglect your students. We need to adapt to situations, because in our country, mostly teaching is one way. Students do not participate too much.</w:t>
      </w:r>
    </w:p>
    <w:p w14:paraId="3B6CF915"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Male teacher #2 related adaptability with teachers’ ability to deliver the message in the language students understand better. This linguistic adaptability is a special and distinguishing characteristic of a teacher. Similarly, female student #2 expressed her disappointment when a teacher was not considerate to students’ language competence and delivered lectures in Urdu. </w:t>
      </w:r>
    </w:p>
    <w:p w14:paraId="5E9C7A03" w14:textId="77777777" w:rsidR="00F07714" w:rsidRPr="00C377C8" w:rsidRDefault="009719B8" w:rsidP="00461178">
      <w:pPr>
        <w:spacing w:line="360" w:lineRule="auto"/>
        <w:ind w:left="2268"/>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It shows that, in order to adapt, teachers must have good communication skills in target language and teaching training so that they can engage students in classroom activities more effectively. Table 4.2 describes sub-themes that have emerged in Theme 2. </w:t>
      </w:r>
    </w:p>
    <w:p w14:paraId="3401A7B2" w14:textId="77777777" w:rsidR="009719B8" w:rsidRPr="00C377C8" w:rsidRDefault="00F07714" w:rsidP="00461178">
      <w:pPr>
        <w:spacing w:line="360" w:lineRule="auto"/>
        <w:ind w:left="2268"/>
        <w:rPr>
          <w:b/>
          <w:color w:val="000000" w:themeColor="text1"/>
        </w:rPr>
      </w:pPr>
      <w:r w:rsidRPr="00C377C8">
        <w:rPr>
          <w:b/>
          <w:color w:val="000000" w:themeColor="text1"/>
        </w:rPr>
        <w:t>Table 4.2: Summary of theme 2</w:t>
      </w:r>
    </w:p>
    <w:tbl>
      <w:tblPr>
        <w:tblStyle w:val="TableGrid"/>
        <w:tblW w:w="0" w:type="auto"/>
        <w:tblInd w:w="2268" w:type="dxa"/>
        <w:tblLook w:val="04A0" w:firstRow="1" w:lastRow="0" w:firstColumn="1" w:lastColumn="0" w:noHBand="0" w:noVBand="1"/>
      </w:tblPr>
      <w:tblGrid>
        <w:gridCol w:w="3993"/>
        <w:gridCol w:w="4195"/>
      </w:tblGrid>
      <w:tr w:rsidR="00C377C8" w:rsidRPr="00C377C8" w14:paraId="4669EDF9" w14:textId="77777777" w:rsidTr="00F07714">
        <w:tc>
          <w:tcPr>
            <w:tcW w:w="5228" w:type="dxa"/>
          </w:tcPr>
          <w:p w14:paraId="3E8B3301" w14:textId="77777777" w:rsidR="00F07714" w:rsidRPr="00C377C8" w:rsidRDefault="00F07714" w:rsidP="00461178">
            <w:pPr>
              <w:spacing w:line="360" w:lineRule="auto"/>
              <w:rPr>
                <w:b/>
                <w:color w:val="000000" w:themeColor="text1"/>
              </w:rPr>
            </w:pPr>
            <w:r w:rsidRPr="00C377C8">
              <w:rPr>
                <w:b/>
                <w:color w:val="000000" w:themeColor="text1"/>
              </w:rPr>
              <w:t>Theme</w:t>
            </w:r>
          </w:p>
        </w:tc>
        <w:tc>
          <w:tcPr>
            <w:tcW w:w="5228" w:type="dxa"/>
          </w:tcPr>
          <w:p w14:paraId="7D3070F2" w14:textId="77777777" w:rsidR="00F07714" w:rsidRPr="00C377C8" w:rsidRDefault="00F07714" w:rsidP="00461178">
            <w:pPr>
              <w:spacing w:line="360" w:lineRule="auto"/>
              <w:rPr>
                <w:b/>
                <w:color w:val="000000" w:themeColor="text1"/>
              </w:rPr>
            </w:pPr>
            <w:r w:rsidRPr="00C377C8">
              <w:rPr>
                <w:b/>
                <w:color w:val="000000" w:themeColor="text1"/>
              </w:rPr>
              <w:t>Sub-theme</w:t>
            </w:r>
          </w:p>
        </w:tc>
      </w:tr>
      <w:tr w:rsidR="00F07714" w:rsidRPr="00C377C8" w14:paraId="7C92A61B" w14:textId="77777777" w:rsidTr="00F07714">
        <w:trPr>
          <w:trHeight w:val="242"/>
        </w:trPr>
        <w:tc>
          <w:tcPr>
            <w:tcW w:w="5228" w:type="dxa"/>
          </w:tcPr>
          <w:p w14:paraId="68DB3F3F" w14:textId="77777777" w:rsidR="00F07714" w:rsidRPr="00C377C8" w:rsidRDefault="00F07714" w:rsidP="00461178">
            <w:pPr>
              <w:spacing w:line="360" w:lineRule="auto"/>
              <w:rPr>
                <w:color w:val="000000" w:themeColor="text1"/>
              </w:rPr>
            </w:pPr>
            <w:r w:rsidRPr="00C377C8">
              <w:rPr>
                <w:color w:val="000000" w:themeColor="text1"/>
              </w:rPr>
              <w:t>Effective teachers’ traits and skills</w:t>
            </w:r>
          </w:p>
        </w:tc>
        <w:tc>
          <w:tcPr>
            <w:tcW w:w="5228" w:type="dxa"/>
          </w:tcPr>
          <w:p w14:paraId="3E165344" w14:textId="77777777" w:rsidR="00F07714" w:rsidRPr="00C377C8" w:rsidRDefault="00F07714" w:rsidP="00461178">
            <w:pPr>
              <w:spacing w:line="360" w:lineRule="auto"/>
              <w:rPr>
                <w:rFonts w:eastAsia="Times New Roman"/>
                <w:color w:val="000000" w:themeColor="text1"/>
              </w:rPr>
            </w:pPr>
            <w:r w:rsidRPr="00C377C8">
              <w:rPr>
                <w:rFonts w:eastAsia="Times New Roman"/>
                <w:color w:val="000000" w:themeColor="text1"/>
              </w:rPr>
              <w:t>Respectfulness</w:t>
            </w:r>
          </w:p>
          <w:p w14:paraId="79852972" w14:textId="77777777" w:rsidR="00F07714" w:rsidRPr="00C377C8" w:rsidRDefault="00F07714" w:rsidP="00461178">
            <w:pPr>
              <w:spacing w:line="360" w:lineRule="auto"/>
              <w:rPr>
                <w:rFonts w:eastAsia="Times New Roman"/>
                <w:color w:val="000000" w:themeColor="text1"/>
              </w:rPr>
            </w:pPr>
            <w:r w:rsidRPr="00C377C8">
              <w:rPr>
                <w:rFonts w:eastAsia="Times New Roman"/>
                <w:color w:val="000000" w:themeColor="text1"/>
              </w:rPr>
              <w:t xml:space="preserve">Communications skills </w:t>
            </w:r>
          </w:p>
          <w:p w14:paraId="04940124" w14:textId="77777777" w:rsidR="00F07714" w:rsidRPr="00C377C8" w:rsidRDefault="00F07714" w:rsidP="00461178">
            <w:pPr>
              <w:spacing w:line="360" w:lineRule="auto"/>
              <w:rPr>
                <w:rFonts w:eastAsia="Times New Roman"/>
                <w:color w:val="000000" w:themeColor="text1"/>
              </w:rPr>
            </w:pPr>
            <w:r w:rsidRPr="00C377C8">
              <w:rPr>
                <w:rFonts w:eastAsia="Times New Roman"/>
                <w:color w:val="000000" w:themeColor="text1"/>
              </w:rPr>
              <w:t>Multidisciplinary knowledge</w:t>
            </w:r>
          </w:p>
          <w:p w14:paraId="3CFC65F8" w14:textId="77777777" w:rsidR="00F07714" w:rsidRPr="00C377C8" w:rsidRDefault="00F07714" w:rsidP="00461178">
            <w:pPr>
              <w:spacing w:line="360" w:lineRule="auto"/>
              <w:rPr>
                <w:rFonts w:eastAsia="Times New Roman"/>
                <w:color w:val="000000" w:themeColor="text1"/>
              </w:rPr>
            </w:pPr>
            <w:r w:rsidRPr="00C377C8">
              <w:rPr>
                <w:rFonts w:eastAsia="Times New Roman"/>
                <w:color w:val="000000" w:themeColor="text1"/>
              </w:rPr>
              <w:t>impartiality And Inclusivity</w:t>
            </w:r>
          </w:p>
          <w:p w14:paraId="39E0B529" w14:textId="77777777" w:rsidR="00F07714" w:rsidRPr="00C377C8" w:rsidRDefault="00F07714" w:rsidP="00461178">
            <w:pPr>
              <w:spacing w:line="360" w:lineRule="auto"/>
              <w:rPr>
                <w:color w:val="000000" w:themeColor="text1"/>
              </w:rPr>
            </w:pPr>
            <w:r w:rsidRPr="00C377C8">
              <w:rPr>
                <w:rFonts w:eastAsia="Times New Roman"/>
                <w:color w:val="000000" w:themeColor="text1"/>
              </w:rPr>
              <w:t>Adaptability</w:t>
            </w:r>
          </w:p>
        </w:tc>
      </w:tr>
    </w:tbl>
    <w:p w14:paraId="20FB4D33" w14:textId="77777777" w:rsidR="009719B8" w:rsidRPr="00C377C8" w:rsidRDefault="009719B8" w:rsidP="00461178">
      <w:pPr>
        <w:ind w:left="2268"/>
        <w:rPr>
          <w:color w:val="000000" w:themeColor="text1"/>
        </w:rPr>
      </w:pPr>
    </w:p>
    <w:p w14:paraId="63CD6CE0" w14:textId="77777777" w:rsidR="009719B8" w:rsidRPr="00C377C8" w:rsidRDefault="009719B8" w:rsidP="00461178">
      <w:pPr>
        <w:pStyle w:val="Heading3"/>
        <w:numPr>
          <w:ilvl w:val="2"/>
          <w:numId w:val="3"/>
        </w:numPr>
        <w:ind w:left="2268"/>
      </w:pPr>
      <w:bookmarkStart w:id="153" w:name="_Toc83818703"/>
      <w:bookmarkStart w:id="154" w:name="_Toc96609115"/>
      <w:r w:rsidRPr="00C377C8">
        <w:t>Summary of theme 2</w:t>
      </w:r>
      <w:bookmarkEnd w:id="153"/>
      <w:bookmarkEnd w:id="154"/>
    </w:p>
    <w:p w14:paraId="5AD6B4ED" w14:textId="77777777" w:rsidR="009719B8" w:rsidRPr="00C377C8" w:rsidRDefault="009719B8" w:rsidP="00461178">
      <w:pPr>
        <w:spacing w:line="480" w:lineRule="auto"/>
        <w:ind w:left="2268"/>
        <w:jc w:val="both"/>
        <w:rPr>
          <w:color w:val="000000" w:themeColor="text1"/>
        </w:rPr>
      </w:pPr>
      <w:r w:rsidRPr="00C377C8">
        <w:rPr>
          <w:color w:val="000000" w:themeColor="text1"/>
        </w:rPr>
        <w:t>Theme 2 identified different skills and traits of a teacher who can effectively teach the critical interpretation of the Quran in multilingual classrooms. Showing respect to students is at the heart of creating a safe environment for dialogue and understanding each other's positions. It is a two-way process, and teachers feel frustrated if students show less respect due to 'language differences'. Besides teachers' knowledge of socio-cultural issues, a teacher must be respectful, inclusive, impartial, and independent. They must have good communication and digital skills so that they are able to prepare the lesson with students’ needs in mind. Likewise, students like teachers who are impartial, independent, and adaptable to any arising situations. Teachers themselves also value their ability to be inclusive and create a culture, where students irrespective of their background and beliefs feel part of the class and can share their ideas and thoughts without any fear of intimidation.</w:t>
      </w:r>
    </w:p>
    <w:p w14:paraId="79E7C2FC" w14:textId="77777777" w:rsidR="009719B8" w:rsidRPr="00C377C8" w:rsidRDefault="009719B8" w:rsidP="00461178">
      <w:pPr>
        <w:spacing w:line="480" w:lineRule="auto"/>
        <w:ind w:left="2268"/>
        <w:jc w:val="both"/>
        <w:rPr>
          <w:color w:val="000000" w:themeColor="text1"/>
        </w:rPr>
      </w:pPr>
      <w:r w:rsidRPr="00C377C8">
        <w:rPr>
          <w:color w:val="000000" w:themeColor="text1"/>
        </w:rPr>
        <w:t>The need for such teachers has arisen with changing socio-political climate, immigration, and accessibility to digital teaching and learning resources. The third emerging theme is learning and teaching strategies for multilingual classrooms.</w:t>
      </w:r>
    </w:p>
    <w:p w14:paraId="4B30240C" w14:textId="77777777" w:rsidR="009719B8" w:rsidRPr="00C377C8" w:rsidRDefault="009719B8" w:rsidP="00461178">
      <w:pPr>
        <w:pStyle w:val="Heading2"/>
        <w:ind w:left="2268"/>
      </w:pPr>
      <w:bookmarkStart w:id="155" w:name="_Toc83818704"/>
      <w:bookmarkStart w:id="156" w:name="_Toc96609116"/>
      <w:r w:rsidRPr="00C377C8">
        <w:t>Theme 3: teaching strategies</w:t>
      </w:r>
      <w:bookmarkEnd w:id="155"/>
      <w:bookmarkEnd w:id="156"/>
    </w:p>
    <w:p w14:paraId="10E3CCC9"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third part of teaching that emerged as having a huge impact on both teachers and students is the teaching process itself. This is where teachers use different methods and techniques to support students through the learning process. Both male and female teachers in this study showed evidence of a considerable reflection in engaging students in the process of learning. Every teacher has their own strategy in deciding on the classroom content and the means of its delivery based on the text chosen for interpretation, its background, and existing students’ knowledge. Teachers compared their teaching practice from before and after obtaining a teaching qualification. In the following sections, I interpret accounts and perspectives of research participants regarding their teaching strategies. </w:t>
      </w:r>
    </w:p>
    <w:p w14:paraId="0E33E821" w14:textId="77777777" w:rsidR="009719B8" w:rsidRPr="00C377C8" w:rsidRDefault="009719B8" w:rsidP="00461178">
      <w:pPr>
        <w:pStyle w:val="Heading3"/>
        <w:numPr>
          <w:ilvl w:val="2"/>
          <w:numId w:val="3"/>
        </w:numPr>
        <w:ind w:left="2268"/>
      </w:pPr>
      <w:bookmarkStart w:id="157" w:name="_Toc83818705"/>
      <w:bookmarkStart w:id="158" w:name="_Toc96609117"/>
      <w:r w:rsidRPr="00C377C8">
        <w:t>Personalised teaching</w:t>
      </w:r>
      <w:bookmarkEnd w:id="157"/>
      <w:bookmarkEnd w:id="158"/>
    </w:p>
    <w:p w14:paraId="785CFACC"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Research participants illustrated two types of teaching approaches: personalised and impersonalised. In a personalised teaching and learning approach, a teacher uses teaching methods with consideration to each students’ strength, background, and skills. For example, female teacher stated: </w:t>
      </w:r>
    </w:p>
    <w:p w14:paraId="220E68E2" w14:textId="38E6B76D" w:rsidR="009719B8" w:rsidRPr="00C377C8" w:rsidRDefault="00A0316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Understanding your students’ needs makes your practice different and unique as it helps you [teacher] to select right resources and strategies.</w:t>
      </w: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 xml:space="preserve"> </w:t>
      </w:r>
    </w:p>
    <w:p w14:paraId="1DDA7AD9"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Similarly, male teacher #2 asserted that </w:t>
      </w:r>
    </w:p>
    <w:p w14:paraId="61A79B04" w14:textId="0CFA1BE0" w:rsidR="009719B8" w:rsidRPr="00C377C8" w:rsidRDefault="00A0316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If I observe something particular or identify an area where a student needs improvement, I give them time after the class and discuss it with them. I found this highly effective as students listen more carefully and then come back with the work to discuss the improvements.</w:t>
      </w: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 xml:space="preserve"> </w:t>
      </w:r>
    </w:p>
    <w:p w14:paraId="75F2CD87"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above extracts show that a good teacher plans the lesson with students’ needs in mind for effective delivery and students’ engagement. This consideration is advantageous because it allows students to work at their pace and explore different interpretations, although they may need effective guidance and a roadmap. Thus, a teacher should make their expectations clear and vivid. Furthermore, an effective teacher also explains the process of generating, re-thinking, and finally experimenting with different interpretations. </w:t>
      </w:r>
    </w:p>
    <w:p w14:paraId="7EC3B584"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It was observed that some students in class took more interest in linguistic analysis, while others had an interest in exploring socio-cultural issues. So, designing personalised learning strategies might not be easy in large classes, as Hunt, Wiseman and Touzel (2009) stated. Respondents were also aware of some challenges they face while employing different techniques, as male teacher #3 asserted:</w:t>
      </w:r>
    </w:p>
    <w:p w14:paraId="3517845C" w14:textId="33BB1DC3" w:rsidR="009719B8" w:rsidRPr="00C377C8" w:rsidRDefault="00A0316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When making small groups, it is easier in the University, as you can just say one two three four, one two three four, one two three four, but here is different. When splitting them into small groups, we bear in our mind, that this student is weaker or has special learning needs in terms of language, so it difficult to accommodate them in different groups.</w:t>
      </w:r>
      <w:r w:rsidR="00E230DF" w:rsidRPr="00C377C8">
        <w:rPr>
          <w:rFonts w:ascii="Times New Roman" w:hAnsi="Times New Roman" w:cs="Times New Roman"/>
          <w:color w:val="000000" w:themeColor="text1"/>
          <w:sz w:val="24"/>
          <w:szCs w:val="24"/>
        </w:rPr>
        <w:t>”</w:t>
      </w:r>
    </w:p>
    <w:p w14:paraId="623D9D8E"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Respondents also revealed that it is easier for teachers to assess tasks, and give personalised feedback in personalised learning, because it helps teachers to work with each student individually. In doing this, teachers identify students’ skills and knowledge gaps and offer support to students to bridge those gaps, since it may not be possible to do this in bigger classrooms. A personalised teaching strategy is also useful in building rapport and making students believe that they are valued in the classroom. This sense of belonging and value may motivate students to have more interest in learning and developing critical thinking skills. </w:t>
      </w:r>
    </w:p>
    <w:p w14:paraId="70D22C25" w14:textId="77777777" w:rsidR="009719B8" w:rsidRPr="00C377C8" w:rsidRDefault="009719B8" w:rsidP="00461178">
      <w:pPr>
        <w:pStyle w:val="Heading3"/>
        <w:numPr>
          <w:ilvl w:val="2"/>
          <w:numId w:val="3"/>
        </w:numPr>
        <w:ind w:left="2268"/>
      </w:pPr>
      <w:bookmarkStart w:id="159" w:name="_Toc83818706"/>
      <w:bookmarkStart w:id="160" w:name="_Toc96609118"/>
      <w:r w:rsidRPr="00C377C8">
        <w:t>Multidisciplinary teaching</w:t>
      </w:r>
      <w:bookmarkEnd w:id="159"/>
      <w:bookmarkEnd w:id="160"/>
    </w:p>
    <w:p w14:paraId="49F4864B"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Multidisciplinary teaching is a complete or comprehensive method of teaching that was proposed by research participants. It is effective because teaching in this way can cover an idea by using multiple repositories of knowledge including the Quran, Ahadith, history, languages, and politics. This is a useful method as it straddles the boundaries of a discipline to enhance students’ learning experience, and especially enhance re-thinking and applying different interpretations in different contexts. Each student is different, and a classroom could be comprised of students who have varying interests and personal strengths. Students’ skills could include linguistic competence, historical knowledge or inter-textual analysis, which could be useful when conducting classroom activities such as identifying arguments, recognising underlying assumptions, and evaluating arguments. </w:t>
      </w:r>
    </w:p>
    <w:p w14:paraId="44D0D904"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One of the strengths of this approach according to Arslan (2014) and a research respondent is that students do not only learn the existing Quranic text but are also equipping themselves with the knowledge that exists outside the text. Further, respondents noted the importance of including different people who are independent of the institute and are from diverse backgrounds as a classroom resource. The fundamental point in female student’s view is that these people have practical knowledge of the field. Female student #1 revealed:</w:t>
      </w:r>
    </w:p>
    <w:p w14:paraId="1B224C44" w14:textId="5117DA02" w:rsidR="009719B8" w:rsidRPr="00C377C8" w:rsidRDefault="00E230DF"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And the students should listen to people working for different causes or who are authority on the issue such as gender, race, other protected characteristics, history etc.</w:t>
      </w:r>
      <w:r w:rsidRPr="00C377C8">
        <w:rPr>
          <w:rFonts w:ascii="Times New Roman" w:hAnsi="Times New Roman" w:cs="Times New Roman"/>
          <w:color w:val="000000" w:themeColor="text1"/>
          <w:sz w:val="24"/>
          <w:szCs w:val="24"/>
        </w:rPr>
        <w:t>”</w:t>
      </w:r>
    </w:p>
    <w:p w14:paraId="0DD49011"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Thus, using experts from diverse backgrounds as a classroom resource is useful for effective teaching. First, these experts can bring their own knowledge and experience, which can enhance students’ understanding of the world around them. Secondly, they may have an opportunity to listen to people who have different beliefs, which may expand their intellectual capacity and, as a result, can develop students’ critical thinking skills. The following statement from male student #1 is an example of the desire for using multidisciplinary approaches so that students can read the text within a context: </w:t>
      </w:r>
    </w:p>
    <w:p w14:paraId="2EA79AF8" w14:textId="67F7431F" w:rsidR="009719B8" w:rsidRPr="00C377C8" w:rsidRDefault="00E230DF"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Within the society, there are people from Jewish faith, people from the Christian, Hindu, and Sikhism faith and people with no faith, you see a variety of these faiths and no faiths. So how can you go and speak without understanding of these issues, when you are doing the critical interpretation of Quran.</w:t>
      </w:r>
      <w:r w:rsidRPr="00C377C8">
        <w:rPr>
          <w:rFonts w:ascii="Times New Roman" w:hAnsi="Times New Roman" w:cs="Times New Roman"/>
          <w:color w:val="000000" w:themeColor="text1"/>
          <w:sz w:val="24"/>
          <w:szCs w:val="24"/>
        </w:rPr>
        <w:t>”</w:t>
      </w:r>
    </w:p>
    <w:p w14:paraId="6EF0D7CF"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The above extract shows that students refer to the literature and beliefs of other people; it is essential that students have knowledge that gives them the ability to hold onto their own faith, while at the same time being able to co-exist with people who belong to other faiths. It also shows that this method can help students uncover and recognise their own biases and promote their understanding of the role of faith in the world. In other words, students will have the opportunity to learn skills and knowledge they need to play a constructive role in the society.</w:t>
      </w:r>
    </w:p>
    <w:p w14:paraId="2894177D" w14:textId="77777777" w:rsidR="009719B8" w:rsidRPr="00C377C8" w:rsidRDefault="009719B8" w:rsidP="00461178">
      <w:pPr>
        <w:pStyle w:val="Heading3"/>
        <w:numPr>
          <w:ilvl w:val="2"/>
          <w:numId w:val="3"/>
        </w:numPr>
        <w:ind w:left="2268"/>
      </w:pPr>
      <w:bookmarkStart w:id="161" w:name="_Toc83818707"/>
      <w:bookmarkStart w:id="162" w:name="_Toc96609119"/>
      <w:r w:rsidRPr="00C377C8">
        <w:t>Inquiry-led teaching</w:t>
      </w:r>
      <w:bookmarkEnd w:id="161"/>
      <w:bookmarkEnd w:id="162"/>
      <w:r w:rsidRPr="00C377C8">
        <w:t xml:space="preserve"> </w:t>
      </w:r>
    </w:p>
    <w:p w14:paraId="5455D07B"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During the interview, participants alluded to inquiry-led teaching several times, and the challenge they faced was the lack of resources within the Muslim institutes. Teachers believe that when students are led by curiosity, their learning is far more profound and beneficial than when they are given mere information. It was observed that students were more engaged in the studies when they were asked to find a hadith or a Qur’anic verse; and were even seen trying to be competitive against each other. </w:t>
      </w:r>
    </w:p>
    <w:p w14:paraId="7B2BCFC1"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In one of the classrooms, teacher #2 asked students to explore whether the Ahadith used to support male dominance is authentic (Sahih) or weak (Daeef), as well as he asked them to identify elements of weakness or strength. To do so, students explored “Asma ur Rijaal”, and were looking at the biographies and commentaries of different narrators, but with no luck. When teacher guided the activity, they were able to identify issues with the chain of narration. Furthermore, engaging students in research tasks was useful before students’ comparison of interpretations. Another strength of this strategy was highlighted by female student #1: </w:t>
      </w:r>
    </w:p>
    <w:p w14:paraId="5ACE0D7B" w14:textId="6085345E" w:rsidR="009719B8" w:rsidRPr="00C377C8" w:rsidRDefault="00E230DF"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Students can get involved in research even in their native language as many big tafasir [works on interpretation] have been translated into other languages well.</w:t>
      </w:r>
      <w:r w:rsidRPr="00C377C8">
        <w:rPr>
          <w:rFonts w:ascii="Times New Roman" w:hAnsi="Times New Roman" w:cs="Times New Roman"/>
          <w:color w:val="000000" w:themeColor="text1"/>
          <w:sz w:val="24"/>
          <w:szCs w:val="24"/>
        </w:rPr>
        <w:t>”</w:t>
      </w:r>
    </w:p>
    <w:p w14:paraId="2DE816F4"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above extract clearly shows that in inquiry-led learning and teaching, students whose first language is not English feel more confident to participate in the learning process. Despite its complexity, this approach is easier for both foreign language students because they can work independently, and for teachers because it can take half of their burden away. When teachers were asked how they lead students in inquiry-led teaching, they suggested several methods including “students developing questions for exploration” and “giving students assignments to present in the classroom”. </w:t>
      </w:r>
    </w:p>
    <w:p w14:paraId="3BC55E5D"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There is a strong link between inquiry-led teaching and learning and library resources. If students have access to different books, research journals and articles, it generates excitement, and students cannot wait to go and find the answers. Male teacher #3 expressed his disappointment with having limited access to research resources. He stated that the management committee:</w:t>
      </w:r>
    </w:p>
    <w:p w14:paraId="1DC1F9D1" w14:textId="403603AA" w:rsidR="009719B8" w:rsidRPr="00C377C8" w:rsidRDefault="00E230DF"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Spends a lot of money on buildings, but they will not spend any money on classroom resources, which results in barriers to effective learning and teaching.</w:t>
      </w: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 xml:space="preserve"> </w:t>
      </w:r>
    </w:p>
    <w:p w14:paraId="35998D36"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Respondents stated that having limited resources negatively impacts students’ learning and development of critical thinking skills. The connection between learning resources and developing critical thinking skills is co-relational (Kent-Drury, 2005). Moreover, Swanson (2014) argued that without library resources, there is no deeper teaching and learning. The more time students spend on exploring different works, the better their understanding of the text becomes. It was also observed that there were no big libraries, and most books that teachers had were in Arabic and Urdu and were written five or six centuries before. Similarly, male student #2 revealed that they do not have modern facilities, which are helpful for research and enquiry. He stated: </w:t>
      </w:r>
    </w:p>
    <w:p w14:paraId="5ECB12A1"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At universities, you see libraries and IT labs, all these facilities. I often think when we are studying critical interpretation of Quran, why do not we have such facilities. So, when you look at the whole situation, you will recognise they lack resources.</w:t>
      </w:r>
    </w:p>
    <w:p w14:paraId="2F96854D" w14:textId="77777777" w:rsidR="009719B8" w:rsidRPr="00C377C8" w:rsidRDefault="009719B8" w:rsidP="00461178">
      <w:pPr>
        <w:pStyle w:val="Heading3"/>
        <w:numPr>
          <w:ilvl w:val="2"/>
          <w:numId w:val="3"/>
        </w:numPr>
        <w:ind w:left="2268"/>
      </w:pPr>
      <w:bookmarkStart w:id="163" w:name="_Toc83818708"/>
      <w:bookmarkStart w:id="164" w:name="_Toc96609120"/>
      <w:r w:rsidRPr="00C377C8">
        <w:t>Internationalisation of teaching</w:t>
      </w:r>
      <w:bookmarkEnd w:id="163"/>
      <w:bookmarkEnd w:id="164"/>
      <w:r w:rsidRPr="00C377C8">
        <w:t xml:space="preserve"> </w:t>
      </w:r>
    </w:p>
    <w:p w14:paraId="3C84BA82"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Teacher participants continued to share their experience of teaching in their native countries, and countries they live and work now, and the issues they faced during the transition. They revealed how students from different backgrounds make up the classroom and require diverse contents for learning. They also spoke about international issues and their impact on the classroom environment, especially political and religious conflicts in the Middle East. In this context, they proposed internationalisation of teaching and learning. </w:t>
      </w:r>
    </w:p>
    <w:p w14:paraId="079B83E1" w14:textId="6E8CF4E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Usually, internationalisation of teaching and learning occurs when teachers endeavour to incorporate international and intercultural dimensions into teaching and learning content (Leask, 2009). It shows that internationalisation and inter-cultural dimensions are of particular importance in the critical interpretation of the Quran because students learn how to apply interpretation in different contexts. According to Onsman (2010), the intercultural approach to learning and teaching is based on the 21st century learning styles favouring critical thinking, open debate, and independent learning. Indeed, by employing cross-cultural approaches to teaching the critical interpretation of the Quran teachers try to accommodate everyone's views, thus ensuring that they feel more comfortable and understand the text. This strategy fits with Islamic institutes' agenda to prepare moderate and visionary Islamic scholars who can compete and guide in the modern world. </w:t>
      </w:r>
    </w:p>
    <w:p w14:paraId="741F1312"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Technological development enabled both teachers and students to acquire knowledge from scholars from other parts of the world, which enhanced their own understanding of the world. One of the respondents from teaching staff revealed: “the world has become a global village, and the approaches to interpretation should be global because today what we say in one part of the world goes to the other within a few minutes”. In this way, regional boundaries seem to be irrelevant. Similarly, student respondents also acknowledged that students coming from other socio-cultural backgrounds interpret the Quran in light of their own culture and political situations, which results in expansion of other students' understanding of the Quran. Male student #2 stated:</w:t>
      </w:r>
    </w:p>
    <w:p w14:paraId="672B8C8D" w14:textId="747F57B9" w:rsidR="009719B8" w:rsidRPr="00C377C8" w:rsidRDefault="00E230DF"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When they [students] share their understanding of the text and the meanings they derive, it also expands our understanding of the text and worldview.</w:t>
      </w:r>
      <w:r w:rsidRPr="00C377C8">
        <w:rPr>
          <w:rFonts w:ascii="Times New Roman" w:hAnsi="Times New Roman" w:cs="Times New Roman"/>
          <w:color w:val="000000" w:themeColor="text1"/>
          <w:sz w:val="24"/>
          <w:szCs w:val="24"/>
        </w:rPr>
        <w:t>”</w:t>
      </w:r>
    </w:p>
    <w:p w14:paraId="0CBBF689"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Teachers use a combination of Quran interpretations from other cultures and societies, which ensure that students are actively engaged in relating text with national and international issues. It was observed that when interpreting verses about women, a teacher used different translations by different scholars from different cultural backgrounds. </w:t>
      </w:r>
    </w:p>
    <w:p w14:paraId="21ED9C2B" w14:textId="77777777" w:rsidR="009719B8" w:rsidRPr="00C377C8" w:rsidRDefault="009719B8" w:rsidP="00461178">
      <w:pPr>
        <w:pStyle w:val="Heading3"/>
        <w:numPr>
          <w:ilvl w:val="2"/>
          <w:numId w:val="3"/>
        </w:numPr>
        <w:ind w:left="2268"/>
      </w:pPr>
      <w:bookmarkStart w:id="165" w:name="_Toc83818709"/>
      <w:bookmarkStart w:id="166" w:name="_Toc96609121"/>
      <w:r w:rsidRPr="00C377C8">
        <w:t>Real-world teaching</w:t>
      </w:r>
      <w:bookmarkEnd w:id="165"/>
      <w:bookmarkEnd w:id="166"/>
      <w:r w:rsidRPr="00C377C8">
        <w:t xml:space="preserve"> </w:t>
      </w:r>
    </w:p>
    <w:p w14:paraId="338CF284"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Respondents also identified that relating ‘the text’ with practical and real-world issues is an effective strategy to engage students in the critical thinking process. It is evident that they understand the importance of interpreting the issues around islamophobia, hate crime, extremism, women’s rights, and domestic violence in light of the Quran. The studied documents show that teachers use several methods and techniques including inviting guest speakers, use of primary source documents, case studies, and current news to enhance students’ understanding of real-world issues. Students were encouraged to work towards solving some significant challenges experienced by people external to the Islamic institutes. One of the teachers included Citizen Advice Bureau advice pages to give ‘real-world guidance’ to students. Similarly, the female teacher revealed:</w:t>
      </w:r>
    </w:p>
    <w:p w14:paraId="41408413" w14:textId="0B42C959" w:rsidR="009719B8" w:rsidRPr="00C377C8" w:rsidRDefault="00E230DF"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They also have an opportunity to directly engage with those people who are working on the ground and face these issues on a day-to-day basis.</w:t>
      </w:r>
      <w:r w:rsidRPr="00C377C8">
        <w:rPr>
          <w:rFonts w:ascii="Times New Roman" w:hAnsi="Times New Roman" w:cs="Times New Roman"/>
          <w:color w:val="000000" w:themeColor="text1"/>
          <w:sz w:val="24"/>
          <w:szCs w:val="24"/>
        </w:rPr>
        <w:t>”</w:t>
      </w:r>
    </w:p>
    <w:p w14:paraId="6317A9BD"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Participants also asserted that the Quran is understood in the context in which it is being interpreted. This empowers students as they can co-create knowledge and learn skills that are applicable in a context relevant to them. Teachers revealed that the main advantage of this strategy is that it helps students to make sense of different interpretations easily, and address questions critically. They also suggested that it develops students’ critical thinking skills. </w:t>
      </w:r>
    </w:p>
    <w:p w14:paraId="1DD79386" w14:textId="77777777" w:rsidR="009719B8" w:rsidRPr="00C377C8" w:rsidRDefault="009719B8" w:rsidP="00461178">
      <w:pPr>
        <w:ind w:left="2268"/>
        <w:rPr>
          <w:b/>
          <w:color w:val="000000" w:themeColor="text1"/>
          <w:sz w:val="24"/>
          <w:szCs w:val="24"/>
        </w:rPr>
      </w:pPr>
      <w:r w:rsidRPr="00C377C8">
        <w:rPr>
          <w:b/>
          <w:color w:val="000000" w:themeColor="text1"/>
          <w:sz w:val="24"/>
          <w:szCs w:val="24"/>
        </w:rPr>
        <w:t>Table 4.3: Summary of theme 3</w:t>
      </w:r>
    </w:p>
    <w:tbl>
      <w:tblPr>
        <w:tblStyle w:val="TableGrid"/>
        <w:tblW w:w="0" w:type="auto"/>
        <w:tblInd w:w="2268" w:type="dxa"/>
        <w:tblLook w:val="04A0" w:firstRow="1" w:lastRow="0" w:firstColumn="1" w:lastColumn="0" w:noHBand="0" w:noVBand="1"/>
      </w:tblPr>
      <w:tblGrid>
        <w:gridCol w:w="3127"/>
        <w:gridCol w:w="5061"/>
      </w:tblGrid>
      <w:tr w:rsidR="00C377C8" w:rsidRPr="00C377C8" w14:paraId="1A9B8894" w14:textId="77777777" w:rsidTr="00E94604">
        <w:tc>
          <w:tcPr>
            <w:tcW w:w="3127" w:type="dxa"/>
          </w:tcPr>
          <w:p w14:paraId="724349AD" w14:textId="77777777" w:rsidR="00E94604" w:rsidRPr="00C377C8" w:rsidRDefault="00E94604" w:rsidP="00461178">
            <w:pPr>
              <w:rPr>
                <w:b/>
                <w:color w:val="000000" w:themeColor="text1"/>
              </w:rPr>
            </w:pPr>
            <w:r w:rsidRPr="00C377C8">
              <w:rPr>
                <w:b/>
                <w:color w:val="000000" w:themeColor="text1"/>
              </w:rPr>
              <w:t>Theme</w:t>
            </w:r>
          </w:p>
        </w:tc>
        <w:tc>
          <w:tcPr>
            <w:tcW w:w="5061" w:type="dxa"/>
          </w:tcPr>
          <w:p w14:paraId="1A6E756D" w14:textId="77777777" w:rsidR="00E94604" w:rsidRPr="00C377C8" w:rsidRDefault="00E94604" w:rsidP="00461178">
            <w:pPr>
              <w:rPr>
                <w:b/>
                <w:color w:val="000000" w:themeColor="text1"/>
              </w:rPr>
            </w:pPr>
            <w:r w:rsidRPr="00C377C8">
              <w:rPr>
                <w:b/>
                <w:color w:val="000000" w:themeColor="text1"/>
              </w:rPr>
              <w:t>Sub-themes</w:t>
            </w:r>
          </w:p>
        </w:tc>
      </w:tr>
      <w:tr w:rsidR="00C377C8" w:rsidRPr="00C377C8" w14:paraId="29428233" w14:textId="77777777" w:rsidTr="00E94604">
        <w:tc>
          <w:tcPr>
            <w:tcW w:w="3127" w:type="dxa"/>
          </w:tcPr>
          <w:p w14:paraId="5BD34F29" w14:textId="77777777" w:rsidR="00E94604" w:rsidRPr="00C377C8" w:rsidRDefault="00E94604" w:rsidP="00461178">
            <w:pPr>
              <w:jc w:val="both"/>
              <w:rPr>
                <w:color w:val="000000" w:themeColor="text1"/>
                <w:sz w:val="24"/>
                <w:szCs w:val="24"/>
              </w:rPr>
            </w:pPr>
            <w:r w:rsidRPr="00C377C8">
              <w:rPr>
                <w:color w:val="000000" w:themeColor="text1"/>
                <w:sz w:val="24"/>
                <w:szCs w:val="24"/>
              </w:rPr>
              <w:t>Teaching and learning strategies</w:t>
            </w:r>
          </w:p>
        </w:tc>
        <w:tc>
          <w:tcPr>
            <w:tcW w:w="5061" w:type="dxa"/>
          </w:tcPr>
          <w:p w14:paraId="5490B6FA" w14:textId="77777777" w:rsidR="00E94604" w:rsidRPr="00C377C8" w:rsidRDefault="00E94604" w:rsidP="00461178">
            <w:pPr>
              <w:jc w:val="both"/>
              <w:rPr>
                <w:color w:val="000000" w:themeColor="text1"/>
                <w:sz w:val="24"/>
                <w:szCs w:val="24"/>
              </w:rPr>
            </w:pPr>
            <w:r w:rsidRPr="00C377C8">
              <w:rPr>
                <w:color w:val="000000" w:themeColor="text1"/>
                <w:sz w:val="24"/>
                <w:szCs w:val="24"/>
              </w:rPr>
              <w:t>Personalised teaching</w:t>
            </w:r>
          </w:p>
          <w:p w14:paraId="4EC881EA" w14:textId="77777777" w:rsidR="00E94604" w:rsidRPr="00C377C8" w:rsidRDefault="00E94604" w:rsidP="00461178">
            <w:pPr>
              <w:jc w:val="both"/>
              <w:rPr>
                <w:color w:val="000000" w:themeColor="text1"/>
                <w:sz w:val="24"/>
                <w:szCs w:val="24"/>
              </w:rPr>
            </w:pPr>
            <w:r w:rsidRPr="00C377C8">
              <w:rPr>
                <w:color w:val="000000" w:themeColor="text1"/>
                <w:sz w:val="24"/>
                <w:szCs w:val="24"/>
              </w:rPr>
              <w:t>Multidisciplinary teaching</w:t>
            </w:r>
          </w:p>
          <w:p w14:paraId="7D2CD9D4" w14:textId="77777777" w:rsidR="00E94604" w:rsidRPr="00C377C8" w:rsidRDefault="00E94604" w:rsidP="00461178">
            <w:pPr>
              <w:jc w:val="both"/>
              <w:rPr>
                <w:color w:val="000000" w:themeColor="text1"/>
                <w:sz w:val="24"/>
                <w:szCs w:val="24"/>
              </w:rPr>
            </w:pPr>
            <w:r w:rsidRPr="00C377C8">
              <w:rPr>
                <w:color w:val="000000" w:themeColor="text1"/>
                <w:sz w:val="24"/>
                <w:szCs w:val="24"/>
              </w:rPr>
              <w:t xml:space="preserve">Inquiry-led teaching </w:t>
            </w:r>
          </w:p>
          <w:p w14:paraId="3CAD8277" w14:textId="77777777" w:rsidR="00E94604" w:rsidRPr="00C377C8" w:rsidRDefault="00E94604" w:rsidP="00461178">
            <w:pPr>
              <w:jc w:val="both"/>
              <w:rPr>
                <w:color w:val="000000" w:themeColor="text1"/>
                <w:sz w:val="24"/>
                <w:szCs w:val="24"/>
              </w:rPr>
            </w:pPr>
            <w:r w:rsidRPr="00C377C8">
              <w:rPr>
                <w:color w:val="000000" w:themeColor="text1"/>
                <w:sz w:val="24"/>
                <w:szCs w:val="24"/>
              </w:rPr>
              <w:t xml:space="preserve">Internationalisation of teaching </w:t>
            </w:r>
          </w:p>
          <w:p w14:paraId="6772F129" w14:textId="77777777" w:rsidR="00E94604" w:rsidRPr="00C377C8" w:rsidRDefault="00E94604" w:rsidP="00461178">
            <w:pPr>
              <w:jc w:val="both"/>
              <w:rPr>
                <w:color w:val="000000" w:themeColor="text1"/>
                <w:sz w:val="24"/>
                <w:szCs w:val="24"/>
              </w:rPr>
            </w:pPr>
            <w:r w:rsidRPr="00C377C8">
              <w:rPr>
                <w:color w:val="000000" w:themeColor="text1"/>
                <w:sz w:val="24"/>
                <w:szCs w:val="24"/>
              </w:rPr>
              <w:t>Real world teaching</w:t>
            </w:r>
          </w:p>
          <w:p w14:paraId="3F9A9B3E" w14:textId="77777777" w:rsidR="00E94604" w:rsidRPr="00C377C8" w:rsidRDefault="00E94604" w:rsidP="00461178">
            <w:pPr>
              <w:jc w:val="both"/>
              <w:rPr>
                <w:color w:val="000000" w:themeColor="text1"/>
                <w:sz w:val="24"/>
                <w:szCs w:val="24"/>
              </w:rPr>
            </w:pPr>
          </w:p>
        </w:tc>
      </w:tr>
    </w:tbl>
    <w:p w14:paraId="7789AED9" w14:textId="77777777" w:rsidR="009719B8" w:rsidRPr="00C377C8" w:rsidRDefault="009719B8" w:rsidP="00461178">
      <w:pPr>
        <w:ind w:left="2268"/>
        <w:rPr>
          <w:color w:val="000000" w:themeColor="text1"/>
        </w:rPr>
      </w:pPr>
      <w:r w:rsidRPr="00C377C8">
        <w:rPr>
          <w:color w:val="000000" w:themeColor="text1"/>
        </w:rPr>
        <w:tab/>
      </w:r>
    </w:p>
    <w:p w14:paraId="7805B03E" w14:textId="77777777" w:rsidR="009719B8" w:rsidRPr="00C377C8" w:rsidRDefault="009719B8" w:rsidP="00461178">
      <w:pPr>
        <w:pStyle w:val="Heading3"/>
        <w:numPr>
          <w:ilvl w:val="2"/>
          <w:numId w:val="3"/>
        </w:numPr>
        <w:ind w:left="2268"/>
      </w:pPr>
      <w:bookmarkStart w:id="167" w:name="_Toc83818710"/>
      <w:bookmarkStart w:id="168" w:name="_Toc96609122"/>
      <w:r w:rsidRPr="00C377C8">
        <w:t>Summary of Theme 3</w:t>
      </w:r>
      <w:bookmarkEnd w:id="167"/>
      <w:bookmarkEnd w:id="168"/>
    </w:p>
    <w:p w14:paraId="0D472CA5" w14:textId="77777777" w:rsidR="009719B8" w:rsidRPr="00C377C8" w:rsidRDefault="009719B8" w:rsidP="00461178">
      <w:pPr>
        <w:spacing w:line="360" w:lineRule="auto"/>
        <w:ind w:left="2268"/>
        <w:jc w:val="both"/>
        <w:rPr>
          <w:color w:val="000000" w:themeColor="text1"/>
          <w:sz w:val="24"/>
          <w:szCs w:val="24"/>
        </w:rPr>
      </w:pPr>
      <w:r w:rsidRPr="00C377C8">
        <w:rPr>
          <w:color w:val="000000" w:themeColor="text1"/>
          <w:sz w:val="24"/>
          <w:szCs w:val="24"/>
        </w:rPr>
        <w:t>The third emerging theme was effective teaching strategies as practised and proposed by both teachers and students in multilingual classrooms. Research participants of the current study argued that personalized, multidisciplinary, inquiry-led, internationalization, and real-world teaching strategies are useful in fostering and developing students' critical thinking skills. They help students form ideas, give reasons, evaluate arguments, and explain their positions or interpretations in a structured way. Furthermore, they would like to see more activities that equip students with the knowledge and capabilities to address any issues they face and use religious texts to seek guidance in real-life situations. They would also like to have research-led practices, access to more learning resources, and better library support incorporated into interpretation studies.</w:t>
      </w:r>
    </w:p>
    <w:p w14:paraId="7E885BA0" w14:textId="6BC0C468" w:rsidR="009719B8" w:rsidRPr="00C377C8" w:rsidRDefault="009719B8" w:rsidP="00461178">
      <w:pPr>
        <w:spacing w:line="360" w:lineRule="auto"/>
        <w:ind w:left="2268"/>
        <w:jc w:val="both"/>
        <w:rPr>
          <w:color w:val="000000" w:themeColor="text1"/>
          <w:sz w:val="24"/>
          <w:szCs w:val="24"/>
        </w:rPr>
      </w:pPr>
      <w:r w:rsidRPr="00C377C8">
        <w:rPr>
          <w:color w:val="000000" w:themeColor="text1"/>
          <w:sz w:val="24"/>
          <w:szCs w:val="24"/>
        </w:rPr>
        <w:t xml:space="preserve">Participants also argued that traditional methods of teaching like lecturing and reading directly from the books put students off. If a teacher uses one specific author or chooses their own works for a discussion, students cannot identify other scholar's positions or arguments. They may not be able to develop skills to evaluate evidence for alternative points of views from other schools of thought. Similarly, the female teacher argued that in girls-only classes students experienced a lack of inclusivity and did not have the opportunity to listen to male perspectives. However, she uses videos, other digital resources, and invites experts from marginalized groups to help students develop their critical thinking skills. It was also observed that students studying in co-education settings do not only get a chance to work together, but also have an opportunity to share their ideas and participate in debates. This may not always be possible as it is subject to differing cultures and religious </w:t>
      </w:r>
      <w:r w:rsidR="00E230DF" w:rsidRPr="00C377C8">
        <w:rPr>
          <w:color w:val="000000" w:themeColor="text1"/>
          <w:sz w:val="24"/>
          <w:szCs w:val="24"/>
        </w:rPr>
        <w:t>perceptions and</w:t>
      </w:r>
      <w:r w:rsidRPr="00C377C8">
        <w:rPr>
          <w:color w:val="000000" w:themeColor="text1"/>
          <w:sz w:val="24"/>
          <w:szCs w:val="24"/>
        </w:rPr>
        <w:t xml:space="preserve"> bringing students from both genders may raise safeguarding or other issues.</w:t>
      </w:r>
    </w:p>
    <w:p w14:paraId="50301757" w14:textId="77777777" w:rsidR="009719B8" w:rsidRPr="00C377C8" w:rsidRDefault="009719B8" w:rsidP="00461178">
      <w:pPr>
        <w:spacing w:line="360" w:lineRule="auto"/>
        <w:ind w:left="2268"/>
        <w:jc w:val="both"/>
        <w:rPr>
          <w:color w:val="000000" w:themeColor="text1"/>
          <w:sz w:val="24"/>
          <w:szCs w:val="24"/>
        </w:rPr>
      </w:pPr>
      <w:r w:rsidRPr="00C377C8">
        <w:rPr>
          <w:color w:val="000000" w:themeColor="text1"/>
          <w:sz w:val="24"/>
          <w:szCs w:val="24"/>
        </w:rPr>
        <w:t>Some research participants related critical interpretation of the Quran with the concept of internationalization of the curriculum and application of multidisciplinary teaching approaches. Both students and teachers shared this view. They argued that a good teacher allows students to transcend from their school of thought and see how the text's interpretation affects different communities, people of faith or no-faith across borders. In contrast, lack of critical thinking skills is usually associated with teachers' lack of cross-cultural knowledge. Thus, research respondents advocated for the interpretation of the Quranic text in a particular context and with a focus on real-world issues. The fourth theme emerging was the challenges that teachers face when teaching in multilingual classrooms.</w:t>
      </w:r>
    </w:p>
    <w:p w14:paraId="5FFC3527" w14:textId="77777777" w:rsidR="009719B8" w:rsidRPr="00C377C8" w:rsidRDefault="009719B8" w:rsidP="00461178">
      <w:pPr>
        <w:ind w:left="2268"/>
        <w:rPr>
          <w:color w:val="000000" w:themeColor="text1"/>
        </w:rPr>
      </w:pPr>
    </w:p>
    <w:p w14:paraId="698FFD1F" w14:textId="77777777" w:rsidR="009719B8" w:rsidRPr="00C377C8" w:rsidRDefault="009719B8" w:rsidP="00461178">
      <w:pPr>
        <w:pStyle w:val="Heading2"/>
        <w:spacing w:line="360" w:lineRule="auto"/>
        <w:ind w:left="2268"/>
      </w:pPr>
      <w:bookmarkStart w:id="169" w:name="_Toc83818711"/>
      <w:bookmarkStart w:id="170" w:name="_Toc96609123"/>
      <w:r w:rsidRPr="00C377C8">
        <w:t>Theme 4: perceived pedagogical challenges in multilingual classrooms</w:t>
      </w:r>
      <w:bookmarkEnd w:id="169"/>
      <w:bookmarkEnd w:id="170"/>
    </w:p>
    <w:p w14:paraId="53EE73F0"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Teaching of the critical interpretation of the Quran happens in multilingual classrooms, since the Quran’s original text is in Arabic, and students generate interpretations and then transfer their ideas into English for dialogue and discussions. Teaching and learning in a multilingual environment are the fourth recurrent theme in the data. English and Arabic are used as means of communication, but sometimes it was found that teachers or students switch to Urdu or Punjabi. This multilingualism is quite advantageous on one level, because students can automatically develop a sense of internationalism; but it is also disadvantageous, because students get overwhelmed when they switch from one language to the other. </w:t>
      </w:r>
    </w:p>
    <w:p w14:paraId="7DE2AAAE"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Participants revealed that their competences in both languages are not equal. Although they can understand Quranic Arabic, they cannot speak it. Teaching participants revealed that they have limited technical vocabulary in English, which sometimes hinders their ability to communicate effectively when they analyse the Quranic text. They also revealed that as they learnt English in their adulthood, their skills are not on the same level as native speakers. A similar concern about Arabic language was raised by students. In the following section, I further explore some of the issues that research participants highlighted. </w:t>
      </w:r>
    </w:p>
    <w:p w14:paraId="7BBAD602" w14:textId="77777777" w:rsidR="009719B8" w:rsidRPr="00C377C8" w:rsidRDefault="009719B8" w:rsidP="00461178">
      <w:pPr>
        <w:pStyle w:val="Heading3"/>
        <w:numPr>
          <w:ilvl w:val="2"/>
          <w:numId w:val="3"/>
        </w:numPr>
        <w:ind w:left="2268"/>
      </w:pPr>
      <w:bookmarkStart w:id="171" w:name="_Toc83818712"/>
      <w:bookmarkStart w:id="172" w:name="_Toc96609124"/>
      <w:r w:rsidRPr="00C377C8">
        <w:t>Linguistic and socio-cultural barriers</w:t>
      </w:r>
      <w:bookmarkEnd w:id="171"/>
      <w:bookmarkEnd w:id="172"/>
      <w:r w:rsidRPr="00C377C8">
        <w:t xml:space="preserve"> </w:t>
      </w:r>
    </w:p>
    <w:p w14:paraId="29618E2C" w14:textId="309C274C"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Respondents reflected on the idea that they are expected to have competences in both source and target languages to teach effectively. A teacher asserted that without mastering these languages they cannot help students to generate interpretations in the source language and transfer it to the target language. Participants also stated that teachers encounter many issues when preparing resources for teaching as they have to prepare them in multiple languages.</w:t>
      </w:r>
    </w:p>
    <w:p w14:paraId="1E98020E"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Teacher #2 revealed that they “learnt English and Arabic as foreign languages. When they communicate to students and support them in the process of generating interpretation, they transfer ideas from Arabic to Urdu, and then from Urdu to English. It is a complex cognitive process”. Additionally, he revealed that students “take pride in their accent” and show “little respect for other accents and sometimes make fun of us”. He remembered pronouncing the word ‘gigantic’ as “Ge-gantic” not as “Jai-gan-tukn”, and students kept on repeating and laughing. </w:t>
      </w:r>
    </w:p>
    <w:p w14:paraId="4893A548"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This incident shows that teachers should be excellent at speaking English to support students. Poorly spoken language can have a negative effect on student-teacher relationship, cause anger, and affect the learning process (Ko, 2013). Such incidents could also have a negative impact on teacher’s self-esteem. Moreover, disruption may occur in the classroom if students are making fun of teachers and keep laughing. Teachers may become demoralised because in such climate hardly any learning will take place. Male teacher #2 revealed: </w:t>
      </w:r>
    </w:p>
    <w:p w14:paraId="63389EF5" w14:textId="23AE2CC1" w:rsidR="009719B8" w:rsidRPr="00C377C8" w:rsidRDefault="00E230DF"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Students who are challenging put the blame on you for your poor language skills.</w:t>
      </w: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 xml:space="preserve"> </w:t>
      </w:r>
    </w:p>
    <w:p w14:paraId="0E371B1D"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Teachers use Ahadith and the Quranic verses as a tool to manage students’ challenging behaviour and this sometimes is quite effective, but more assistance can be obtained from those teachers who teach “Tazkiya” or “morality” to foster consideration and respect. </w:t>
      </w:r>
    </w:p>
    <w:p w14:paraId="7317CF8B"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Besides linguistic issues, student respondents also recognised that some topics may not be suitable for discussion in the classroom because of ‘the current political situation’ prevalent in South Asia or Middle East. Some students may not want to discuss these issues due to their experience or the experience of someone close to them. Male student #1 revealed:</w:t>
      </w:r>
    </w:p>
    <w:p w14:paraId="7382078C" w14:textId="13F2AB1C" w:rsidR="009719B8" w:rsidRPr="00C377C8" w:rsidRDefault="00E230DF"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Their experiences are quite different, and it has a huge impact on their emotional well-being. It is sometimes difficult to discuss.</w:t>
      </w:r>
      <w:r w:rsidRPr="00C377C8">
        <w:rPr>
          <w:rFonts w:ascii="Times New Roman" w:hAnsi="Times New Roman" w:cs="Times New Roman"/>
          <w:color w:val="000000" w:themeColor="text1"/>
          <w:sz w:val="24"/>
          <w:szCs w:val="24"/>
        </w:rPr>
        <w:t>”</w:t>
      </w:r>
    </w:p>
    <w:p w14:paraId="5E687008"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Similarly, teachers understood that some ‘taboo topics’ provoke ‘extreme reactions’, which may cause problems in the class. They use student-led discussions so that students may feel like part of the team and can engage in a respectful discussion. As male teacher #1 stated:</w:t>
      </w:r>
    </w:p>
    <w:p w14:paraId="679ECB94" w14:textId="5877A4A3" w:rsidR="009719B8" w:rsidRPr="00C377C8" w:rsidRDefault="00E230DF"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When discussing difficult issues, in such situations, I include students-led discussions. Students who volunteer or feel free to express themselves will often start the discussion. As a teacher, I facilitate, as a teacher, I guide them and ensure that there is no negative impact.</w:t>
      </w:r>
      <w:r w:rsidRPr="00C377C8">
        <w:rPr>
          <w:rFonts w:ascii="Times New Roman" w:hAnsi="Times New Roman" w:cs="Times New Roman"/>
          <w:color w:val="000000" w:themeColor="text1"/>
          <w:sz w:val="24"/>
          <w:szCs w:val="24"/>
        </w:rPr>
        <w:t>”</w:t>
      </w:r>
    </w:p>
    <w:p w14:paraId="51F4E374"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However, teacher respondents would like to have more discussions around difficult topics as they ‘perceive that when students eventually go into the field and start working as Imams, people will ask such questions’; they will deal with more real-life community issues, and explore deeper topics, using modern ‘socio-political theories’ as opposed to reading ‘collections of books written two or three centuries ago’. This also shows the extent to which socio-cultural issues impact teaching and learning the critical interpretation of the Quran. Male teacher #3 asserted that teachers of the critical interpretation of the Quran must anticipate such issues and develop their pastoral skills to provide emotional support to students. Male teacher #1 remembered:</w:t>
      </w:r>
    </w:p>
    <w:p w14:paraId="3AC6A831" w14:textId="530250E9" w:rsidR="009719B8" w:rsidRPr="00C377C8" w:rsidRDefault="00E230DF"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When we were discussing domestic violence and its impact on women, one of the students was very upset. She started crying because she had difficult times in past.</w:t>
      </w:r>
      <w:r w:rsidRPr="00C377C8">
        <w:rPr>
          <w:rFonts w:ascii="Times New Roman" w:hAnsi="Times New Roman" w:cs="Times New Roman"/>
          <w:color w:val="000000" w:themeColor="text1"/>
          <w:sz w:val="24"/>
          <w:szCs w:val="24"/>
        </w:rPr>
        <w:t>”</w:t>
      </w:r>
    </w:p>
    <w:p w14:paraId="16A3D2B2" w14:textId="719C5F4E"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above statement shows the importance of pastoral support to students. Some discussions can result in resurfacing of painful experiences and in triggered emotions in the student. Listening to those students, speaking one-to-one outside of the classroom is important. Moreover, a teacher should have practical knowledge to signpost to different services, where they can find support and legal advice. If a student reveals something which is of concern, a teacher must provide all necessary support, recording an incident and reporting it. </w:t>
      </w:r>
    </w:p>
    <w:p w14:paraId="25D6B562" w14:textId="77777777" w:rsidR="009719B8" w:rsidRPr="00C377C8" w:rsidRDefault="009719B8" w:rsidP="00461178">
      <w:pPr>
        <w:pStyle w:val="Heading3"/>
        <w:numPr>
          <w:ilvl w:val="2"/>
          <w:numId w:val="3"/>
        </w:numPr>
        <w:ind w:left="2268"/>
      </w:pPr>
      <w:bookmarkStart w:id="173" w:name="_Toc83818713"/>
      <w:bookmarkStart w:id="174" w:name="_Toc96609125"/>
      <w:r w:rsidRPr="00C377C8">
        <w:t>Use of technology</w:t>
      </w:r>
      <w:bookmarkEnd w:id="173"/>
      <w:bookmarkEnd w:id="174"/>
    </w:p>
    <w:p w14:paraId="38F9255A"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Respondents felt that technology had a positive impact on their teaching experience as it helps them to access resources and contents in students’ native languages. Moreover, classroom technology helps them in the process of selecting, adapting, and using resources. Male teacher #1 pointed out: “as library resources are quite limited, therefore I try to find out what is available online. Sometimes I find some useful and relevant information”. </w:t>
      </w:r>
    </w:p>
    <w:p w14:paraId="491AC2BD"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Similarly, digital literacy enables teachers to use resources and materials effectively as male teacher #2 revealed: </w:t>
      </w:r>
    </w:p>
    <w:p w14:paraId="22ADACB8" w14:textId="31D5DC11" w:rsidR="009719B8" w:rsidRPr="00C377C8" w:rsidRDefault="00E230DF"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We use a lot of videos while interpreting the Holy Quran, so they all are beneficial. We can access other scholars’ works who are masters of this field. Using technology has been a great help and a great source of support.</w:t>
      </w:r>
      <w:r w:rsidRPr="00C377C8">
        <w:rPr>
          <w:rFonts w:ascii="Times New Roman" w:hAnsi="Times New Roman" w:cs="Times New Roman"/>
          <w:color w:val="000000" w:themeColor="text1"/>
          <w:sz w:val="24"/>
          <w:szCs w:val="24"/>
        </w:rPr>
        <w:t>”</w:t>
      </w:r>
    </w:p>
    <w:p w14:paraId="7BC7E36F"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Similarly, the female teacher revealed that the use of technology in multilingual classrooms provides students with ‘the most up-to-date information’, giving access to online libraries where they can read interpretations in their first language. It means having easier ways to access more relevant material. She also stated:</w:t>
      </w:r>
    </w:p>
    <w:p w14:paraId="3E6D1C4D" w14:textId="572A1B11" w:rsidR="009719B8" w:rsidRPr="00C377C8" w:rsidRDefault="00E230DF"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More than that the students can get access to latest published material and more relevant or may be in the language they speak.</w:t>
      </w: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 xml:space="preserve"> </w:t>
      </w:r>
    </w:p>
    <w:p w14:paraId="7AE37CED"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Similarly, online dictionaries help students when immersing in the source language. Male student #1 stated:</w:t>
      </w:r>
    </w:p>
    <w:p w14:paraId="043C90D4" w14:textId="01F83F80" w:rsidR="009719B8" w:rsidRPr="00C377C8" w:rsidRDefault="00E230DF"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We can explore and access different translations and works of different scholars from different backgrounds, recorded lectures are really helpful.</w:t>
      </w:r>
      <w:r w:rsidRPr="00C377C8">
        <w:rPr>
          <w:rFonts w:ascii="Times New Roman" w:hAnsi="Times New Roman" w:cs="Times New Roman"/>
          <w:color w:val="000000" w:themeColor="text1"/>
          <w:sz w:val="24"/>
          <w:szCs w:val="24"/>
        </w:rPr>
        <w:t>”</w:t>
      </w:r>
    </w:p>
    <w:p w14:paraId="228CCAE4"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It was also observed that students were more focused and engaged when the female teacher gave students a task of finding out the amount the British government spends on social care every year, while allowing them to use mobile phones. </w:t>
      </w:r>
    </w:p>
    <w:p w14:paraId="0E50574F"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Male teacher #3 spoke about some challenges with his students, such as using skype and finding it difficult to engage students. He said: </w:t>
      </w:r>
    </w:p>
    <w:p w14:paraId="3B323A4E"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 cannot engage students in classroom activities. […] Students do not switch on their cameras, and I [teacher] do not know what is happening. Sometimes you ask question, and there is no response”. </w:t>
      </w:r>
    </w:p>
    <w:p w14:paraId="10F39C8E"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Similarly, male student #2 highlighted that: “it is difficult to listen to teachers for two-three hours. It’s boring”. </w:t>
      </w:r>
    </w:p>
    <w:p w14:paraId="6CC99B5F"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The above extracts show that digital literacy is crucial for effective teaching. This could be a line of inquiry to be explored, since the COVID-19 pandemic made digital classrooms a ‘new norm’, but this is not the focus of the current research.</w:t>
      </w:r>
    </w:p>
    <w:p w14:paraId="0D5A76AA" w14:textId="77777777" w:rsidR="009719B8" w:rsidRPr="00C377C8" w:rsidRDefault="009719B8" w:rsidP="00461178">
      <w:pPr>
        <w:pStyle w:val="Heading3"/>
        <w:numPr>
          <w:ilvl w:val="2"/>
          <w:numId w:val="3"/>
        </w:numPr>
        <w:ind w:left="2268"/>
      </w:pPr>
      <w:bookmarkStart w:id="175" w:name="_Toc83818714"/>
      <w:bookmarkStart w:id="176" w:name="_Toc96609126"/>
      <w:r w:rsidRPr="00C377C8">
        <w:t>Teacher training and education</w:t>
      </w:r>
      <w:bookmarkEnd w:id="175"/>
      <w:bookmarkEnd w:id="176"/>
      <w:r w:rsidRPr="00C377C8">
        <w:t xml:space="preserve">   </w:t>
      </w:r>
    </w:p>
    <w:p w14:paraId="628701A4"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Besides linguistic and cultural barriers, the research respondents also reflected on teacher training and its impact on their practice. They compared their teaching skills before training and after and asserted that teacher training is essential for teachers before taking up a role as a teacher. This was voiced by both teachers and students and was quite prevalent in the data. This is related to the fact that teachers studied interpretation of the Quran in a different educational system, where people do not come from such diverse backgrounds. For instance, male teacher #3 stated that they were taught differently: “teachers only relied on lectures with no classroom discussions”. </w:t>
      </w:r>
    </w:p>
    <w:p w14:paraId="4FB6B8FA" w14:textId="40B27ACA" w:rsidR="009719B8" w:rsidRPr="00C377C8" w:rsidRDefault="009719B8" w:rsidP="006A25B2">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respondents in this study recognized that teaching in multilingual classrooms is a great skill and being creative, facilitating discussion, giving constructive feedback, and maintaining discipline are the core skills they needed to learn. They also asserted that some highly knowledgeable and multi-talented people cannot teach and engage students or maintain discipline in the class because they did not receive teacher training. In contrast, teachers who have has some training do well in the class.  </w:t>
      </w:r>
    </w:p>
    <w:p w14:paraId="2FE339E5"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Teachers also acknowledged that learning different teaching strategies and applying them in classrooms make a huge difference. Islamic institutes need to change because teacher-centred methods are not effective. Male teacher #3 explained:</w:t>
      </w:r>
    </w:p>
    <w:p w14:paraId="3B30CF52" w14:textId="2E01B80A" w:rsidR="009719B8" w:rsidRPr="00C377C8" w:rsidRDefault="00E230DF"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I had the experience when I did not know these methodologies. The outcome was totally different to when I am teaching now and applying these methodologies.</w:t>
      </w:r>
      <w:r w:rsidRPr="00C377C8">
        <w:rPr>
          <w:rFonts w:ascii="Times New Roman" w:hAnsi="Times New Roman" w:cs="Times New Roman"/>
          <w:color w:val="000000" w:themeColor="text1"/>
          <w:sz w:val="24"/>
          <w:szCs w:val="24"/>
        </w:rPr>
        <w:t>”</w:t>
      </w:r>
    </w:p>
    <w:p w14:paraId="5A8E616B"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This quote comes from a teacher who completed a Diploma in Education and Training and reveals how his practice changed after obtaining a teaching qualification. He noted that teachers must be willing to receive the training. Indeed, other teachers also indicated that having some teaching qualification is necessary. By the same token, the female teacher stated:</w:t>
      </w:r>
    </w:p>
    <w:p w14:paraId="233C1D8A" w14:textId="1143D365"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 </w:t>
      </w:r>
      <w:r w:rsidR="00E230DF" w:rsidRPr="00C377C8">
        <w:rPr>
          <w:rFonts w:ascii="Times New Roman" w:hAnsi="Times New Roman" w:cs="Times New Roman"/>
          <w:color w:val="000000" w:themeColor="text1"/>
          <w:sz w:val="24"/>
          <w:szCs w:val="24"/>
        </w:rPr>
        <w:t>“</w:t>
      </w:r>
      <w:r w:rsidRPr="00C377C8">
        <w:rPr>
          <w:rFonts w:ascii="Times New Roman" w:hAnsi="Times New Roman" w:cs="Times New Roman"/>
          <w:color w:val="000000" w:themeColor="text1"/>
          <w:sz w:val="24"/>
          <w:szCs w:val="24"/>
        </w:rPr>
        <w:t>The teachers should have access to professional development courses. At the moment, there is nothing much, but without proper training you cannot be effective teacher.</w:t>
      </w:r>
      <w:r w:rsidR="00E230DF" w:rsidRPr="00C377C8">
        <w:rPr>
          <w:rFonts w:ascii="Times New Roman" w:hAnsi="Times New Roman" w:cs="Times New Roman"/>
          <w:color w:val="000000" w:themeColor="text1"/>
          <w:sz w:val="24"/>
          <w:szCs w:val="24"/>
        </w:rPr>
        <w:t>”</w:t>
      </w:r>
    </w:p>
    <w:p w14:paraId="5445FE8A"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above statement came from the female teacher when asked what support and help teachers required. Similarly, based on my own observation, very few teachers who work in these Islamic institutes and academies get an opportunity to receive a teaching qualification. It is not because they do not need it, but because these institutes have limited resources and do not spend on teacher development programmes. As male teacher #2 also noted: </w:t>
      </w:r>
    </w:p>
    <w:p w14:paraId="1C42D1F2" w14:textId="0E7ACA90" w:rsidR="009719B8" w:rsidRPr="00C377C8" w:rsidRDefault="00E230DF"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r w:rsidR="009719B8" w:rsidRPr="00C377C8">
        <w:rPr>
          <w:rFonts w:ascii="Times New Roman" w:hAnsi="Times New Roman" w:cs="Times New Roman"/>
          <w:color w:val="000000" w:themeColor="text1"/>
          <w:sz w:val="24"/>
          <w:szCs w:val="24"/>
        </w:rPr>
        <w:t>The teachers have come from a different culture. Teaching was quite different and if we had not obtained training here, we would have been a complete failure.</w:t>
      </w:r>
      <w:r w:rsidRPr="00C377C8">
        <w:rPr>
          <w:rFonts w:ascii="Times New Roman" w:hAnsi="Times New Roman" w:cs="Times New Roman"/>
          <w:color w:val="000000" w:themeColor="text1"/>
          <w:sz w:val="24"/>
          <w:szCs w:val="24"/>
        </w:rPr>
        <w:t>”</w:t>
      </w:r>
    </w:p>
    <w:p w14:paraId="4A7CF446"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Islamic institutions should offer free education and training to new teachers. It is evident that the research respondents agree that teacher training leads to effective teaching of the critical interpretation of the Quran in multilingual classrooms. Therefore, different cultural, linguistic backgrounds, and working in multilingualism require teachers to have a formal qualification.</w:t>
      </w:r>
    </w:p>
    <w:p w14:paraId="36B40695" w14:textId="77777777" w:rsidR="009719B8" w:rsidRPr="00C377C8" w:rsidRDefault="009719B8" w:rsidP="00461178">
      <w:pPr>
        <w:ind w:left="2268"/>
        <w:rPr>
          <w:color w:val="000000" w:themeColor="text1"/>
        </w:rPr>
      </w:pPr>
    </w:p>
    <w:p w14:paraId="336D6436" w14:textId="77777777" w:rsidR="009719B8" w:rsidRPr="00C377C8" w:rsidRDefault="009719B8" w:rsidP="00461178">
      <w:pPr>
        <w:ind w:left="2268"/>
        <w:rPr>
          <w:rFonts w:ascii="Times New Roman" w:hAnsi="Times New Roman" w:cs="Times New Roman"/>
          <w:b/>
          <w:color w:val="000000" w:themeColor="text1"/>
          <w:sz w:val="24"/>
          <w:szCs w:val="24"/>
        </w:rPr>
      </w:pPr>
      <w:r w:rsidRPr="00C377C8">
        <w:rPr>
          <w:rFonts w:ascii="Times New Roman" w:hAnsi="Times New Roman" w:cs="Times New Roman"/>
          <w:b/>
          <w:color w:val="000000" w:themeColor="text1"/>
          <w:sz w:val="24"/>
          <w:szCs w:val="24"/>
        </w:rPr>
        <w:t>Table 4.4: Summary of theme 4</w:t>
      </w:r>
    </w:p>
    <w:tbl>
      <w:tblPr>
        <w:tblStyle w:val="TableGrid"/>
        <w:tblW w:w="0" w:type="auto"/>
        <w:tblInd w:w="2268" w:type="dxa"/>
        <w:tblLook w:val="04A0" w:firstRow="1" w:lastRow="0" w:firstColumn="1" w:lastColumn="0" w:noHBand="0" w:noVBand="1"/>
      </w:tblPr>
      <w:tblGrid>
        <w:gridCol w:w="2857"/>
        <w:gridCol w:w="5331"/>
      </w:tblGrid>
      <w:tr w:rsidR="00C377C8" w:rsidRPr="00C377C8" w14:paraId="1F5C3DC0" w14:textId="77777777" w:rsidTr="00734A2C">
        <w:tc>
          <w:tcPr>
            <w:tcW w:w="2857" w:type="dxa"/>
          </w:tcPr>
          <w:p w14:paraId="06AA3C8B" w14:textId="77777777" w:rsidR="00734A2C" w:rsidRPr="00C377C8" w:rsidRDefault="00734A2C" w:rsidP="00461178">
            <w:pPr>
              <w:rPr>
                <w:color w:val="000000" w:themeColor="text1"/>
              </w:rPr>
            </w:pPr>
            <w:r w:rsidRPr="00C377C8">
              <w:rPr>
                <w:color w:val="000000" w:themeColor="text1"/>
              </w:rPr>
              <w:t>Theme</w:t>
            </w:r>
          </w:p>
        </w:tc>
        <w:tc>
          <w:tcPr>
            <w:tcW w:w="5331" w:type="dxa"/>
          </w:tcPr>
          <w:p w14:paraId="4BE15A91" w14:textId="77777777" w:rsidR="00734A2C" w:rsidRPr="00C377C8" w:rsidRDefault="00734A2C" w:rsidP="00461178">
            <w:pPr>
              <w:rPr>
                <w:color w:val="000000" w:themeColor="text1"/>
              </w:rPr>
            </w:pPr>
            <w:r w:rsidRPr="00C377C8">
              <w:rPr>
                <w:color w:val="000000" w:themeColor="text1"/>
              </w:rPr>
              <w:t>Sub-themes</w:t>
            </w:r>
          </w:p>
        </w:tc>
      </w:tr>
      <w:tr w:rsidR="00734A2C" w:rsidRPr="00C377C8" w14:paraId="47395911" w14:textId="77777777" w:rsidTr="00734A2C">
        <w:tc>
          <w:tcPr>
            <w:tcW w:w="2857" w:type="dxa"/>
          </w:tcPr>
          <w:p w14:paraId="30B9B6C2" w14:textId="77777777" w:rsidR="00734A2C" w:rsidRPr="00C377C8" w:rsidRDefault="00734A2C" w:rsidP="00461178">
            <w:pPr>
              <w:rPr>
                <w:color w:val="000000" w:themeColor="text1"/>
              </w:rPr>
            </w:pPr>
            <w:r w:rsidRPr="00C377C8">
              <w:rPr>
                <w:color w:val="000000" w:themeColor="text1"/>
              </w:rPr>
              <w:t>Teaching in multilingual classrooms</w:t>
            </w:r>
          </w:p>
        </w:tc>
        <w:tc>
          <w:tcPr>
            <w:tcW w:w="5331" w:type="dxa"/>
          </w:tcPr>
          <w:p w14:paraId="5FA4F94E" w14:textId="77777777" w:rsidR="00734A2C" w:rsidRPr="00C377C8" w:rsidRDefault="00734A2C" w:rsidP="00461178">
            <w:pPr>
              <w:rPr>
                <w:color w:val="000000" w:themeColor="text1"/>
              </w:rPr>
            </w:pPr>
            <w:r w:rsidRPr="00C377C8">
              <w:rPr>
                <w:color w:val="000000" w:themeColor="text1"/>
              </w:rPr>
              <w:t xml:space="preserve">Language and socio-cultural issues </w:t>
            </w:r>
          </w:p>
          <w:p w14:paraId="56FD1474" w14:textId="77777777" w:rsidR="00734A2C" w:rsidRPr="00C377C8" w:rsidRDefault="00734A2C" w:rsidP="00461178">
            <w:pPr>
              <w:rPr>
                <w:color w:val="000000" w:themeColor="text1"/>
              </w:rPr>
            </w:pPr>
            <w:r w:rsidRPr="00C377C8">
              <w:rPr>
                <w:color w:val="000000" w:themeColor="text1"/>
              </w:rPr>
              <w:t>Role of technology</w:t>
            </w:r>
          </w:p>
          <w:p w14:paraId="46068E4A" w14:textId="77777777" w:rsidR="00734A2C" w:rsidRPr="00C377C8" w:rsidRDefault="00734A2C" w:rsidP="00461178">
            <w:pPr>
              <w:rPr>
                <w:color w:val="000000" w:themeColor="text1"/>
              </w:rPr>
            </w:pPr>
            <w:r w:rsidRPr="00C377C8">
              <w:rPr>
                <w:color w:val="000000" w:themeColor="text1"/>
              </w:rPr>
              <w:t xml:space="preserve">Teacher training </w:t>
            </w:r>
          </w:p>
          <w:p w14:paraId="048D9928" w14:textId="77777777" w:rsidR="00734A2C" w:rsidRPr="00C377C8" w:rsidRDefault="00734A2C" w:rsidP="00461178">
            <w:pPr>
              <w:rPr>
                <w:color w:val="000000" w:themeColor="text1"/>
              </w:rPr>
            </w:pPr>
          </w:p>
        </w:tc>
      </w:tr>
    </w:tbl>
    <w:p w14:paraId="7E1AAA3A" w14:textId="77777777" w:rsidR="00734A2C" w:rsidRPr="00C377C8" w:rsidRDefault="00734A2C" w:rsidP="00461178">
      <w:pPr>
        <w:ind w:left="2268"/>
        <w:rPr>
          <w:color w:val="000000" w:themeColor="text1"/>
        </w:rPr>
      </w:pPr>
    </w:p>
    <w:p w14:paraId="60017718" w14:textId="77777777" w:rsidR="009719B8" w:rsidRPr="00C377C8" w:rsidRDefault="009719B8" w:rsidP="00461178">
      <w:pPr>
        <w:ind w:left="2268"/>
        <w:rPr>
          <w:color w:val="000000" w:themeColor="text1"/>
        </w:rPr>
      </w:pPr>
    </w:p>
    <w:p w14:paraId="3342AFA8" w14:textId="77777777" w:rsidR="009719B8" w:rsidRPr="00C377C8" w:rsidRDefault="009719B8" w:rsidP="00461178">
      <w:pPr>
        <w:pStyle w:val="Heading3"/>
        <w:numPr>
          <w:ilvl w:val="2"/>
          <w:numId w:val="3"/>
        </w:numPr>
        <w:ind w:left="2268"/>
      </w:pPr>
      <w:bookmarkStart w:id="177" w:name="_Toc83818715"/>
      <w:bookmarkStart w:id="178" w:name="_Toc96609127"/>
      <w:r w:rsidRPr="00C377C8">
        <w:t>Summary of Theme 4</w:t>
      </w:r>
      <w:bookmarkEnd w:id="177"/>
      <w:bookmarkEnd w:id="178"/>
    </w:p>
    <w:p w14:paraId="20599501"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fourth emerging theme was the barriers teachers and students face in the process of teaching and learning the critical interpretation of the Quran. Research participants of the current study highlighted how linguistic competence of the source and the target language affect communication between students and teachers and limit students’ participation within the classroom. Students find it hard to do syntactic analysis and generate meanings from the text. </w:t>
      </w:r>
    </w:p>
    <w:p w14:paraId="27B5FA17"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Participants also highlighted that technology is a useful tool which can help teachers to become more inclusive by using the contents in the language students can speak fluently. This may potentially increase students’ engagement and confidence. Additionally, they may be able to conduct enquiry in their own language. In contrary, if a teacher is not good at using technology, s/he may fail to engage students and use inclusive contents within the classrooms.  </w:t>
      </w:r>
    </w:p>
    <w:p w14:paraId="0B481D13"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Finally, it was identified that teachers who come from foreign lands should receive teaching qualification before accepting their role as a teacher. The research participants revealed that their practice improved after they received the teaching qualification. They highlighted that they became better in setting academic objectives, behaviour expectations and engage students in discussions. Thus, research respondents advocated for the need of teaching training and professional development for teachers. </w:t>
      </w:r>
    </w:p>
    <w:p w14:paraId="689017C6" w14:textId="77777777" w:rsidR="009719B8" w:rsidRPr="00C377C8" w:rsidRDefault="009719B8" w:rsidP="00461178">
      <w:pPr>
        <w:ind w:left="2268"/>
        <w:rPr>
          <w:color w:val="000000" w:themeColor="text1"/>
        </w:rPr>
      </w:pPr>
    </w:p>
    <w:p w14:paraId="7AECF7C5" w14:textId="77777777" w:rsidR="009719B8" w:rsidRPr="00C377C8" w:rsidRDefault="009719B8" w:rsidP="00461178">
      <w:pPr>
        <w:pStyle w:val="Heading2"/>
        <w:ind w:left="2268"/>
      </w:pPr>
      <w:bookmarkStart w:id="179" w:name="_Toc83818716"/>
      <w:bookmarkStart w:id="180" w:name="_Toc96609128"/>
      <w:r w:rsidRPr="00C377C8">
        <w:t>Conclusion</w:t>
      </w:r>
      <w:bookmarkEnd w:id="179"/>
      <w:bookmarkEnd w:id="180"/>
    </w:p>
    <w:p w14:paraId="6FEA2F88"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This chapter presented and discussed teachers’ and students' perspectives on effective teaching of the critical interpretation of the Quran. Respondents perceived that teaching critical interpretation of the Quran is a complex process, which requires a wide range of skills and attitudes. Participants recognised critical interpretation as generating, re-thinking, and finally experimenting with ideas. Student respondents thought of critical interpretation as generating ideas. However, teachers focused more on re-thinking ideas, including identifying other people's positions and arguments, evaluating textual evidence they presented in support of their argument, weighing up opposing arguments, and drawing conclusions. </w:t>
      </w:r>
    </w:p>
    <w:p w14:paraId="062E7510"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Student respondents viewed an effective teacher as respectful, impartial, inclusive, and independent. They like teachers who are independent and impartial, who listen and value other people's arguments and do not impose their views on others. Furthermore, students proposed that an effective teacher must be inclusive and must value each student. Inclusion refers to a teacher's consideration of students' background, existing knowledge, gender, and theological background. Similarly, interviewees value a teacher who adapts strategies based on classroom situations. These traits help teachers to build strong relationships with students. </w:t>
      </w:r>
    </w:p>
    <w:p w14:paraId="3F4D95A5" w14:textId="77777777" w:rsidR="00734A2C"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Besides teacher's personal and professional traits, participants spoke about teachers' teaching strategies. They like teaching and learning strategies that are personalised, multidisciplinary, and inquiry-based. Students feel more comfortable working independently than working with others, and when the activities are based on their existing knowledge and skills. Teacher respondents advocated for multidisciplinary and real-world approaches because critical interpretation is linked to using reason and solving problems that the religious communities face. Thinking out of the box enables students to evaluate their beliefs and actions critically.  Furthermore, participants argued that effective teaching and learning must be collaborative, whereby teachers and students work as partners to construct new knowledge. Some student respondents expressed their frustration towards lecturing and teacher-centred approaches. In short, teachers’ understanding of the subject, their personal and professional traits, teaching skills and understanding of the context all contribute to effective teaching of the critical interpretation of the Quran. Both the teachers and students viewed teaching as a learned skill: 'effective teacher must learn it</w:t>
      </w:r>
    </w:p>
    <w:p w14:paraId="1E72A293" w14:textId="77777777" w:rsidR="00734A2C" w:rsidRPr="00C377C8" w:rsidRDefault="00734A2C" w:rsidP="00461178">
      <w:pPr>
        <w:spacing w:line="360" w:lineRule="auto"/>
        <w:ind w:left="2268"/>
        <w:jc w:val="both"/>
        <w:rPr>
          <w:rFonts w:ascii="Times New Roman" w:hAnsi="Times New Roman" w:cs="Times New Roman"/>
          <w:color w:val="000000" w:themeColor="text1"/>
          <w:sz w:val="24"/>
          <w:szCs w:val="24"/>
        </w:rPr>
      </w:pPr>
    </w:p>
    <w:p w14:paraId="2ED3ADC1" w14:textId="77777777" w:rsidR="00734A2C" w:rsidRPr="00C377C8" w:rsidRDefault="00734A2C" w:rsidP="00461178">
      <w:pPr>
        <w:spacing w:line="360" w:lineRule="auto"/>
        <w:ind w:left="2268"/>
        <w:jc w:val="both"/>
        <w:rPr>
          <w:rFonts w:ascii="Times New Roman" w:hAnsi="Times New Roman" w:cs="Times New Roman"/>
          <w:color w:val="000000" w:themeColor="text1"/>
          <w:sz w:val="24"/>
          <w:szCs w:val="24"/>
        </w:rPr>
      </w:pPr>
    </w:p>
    <w:p w14:paraId="09BDA27A" w14:textId="77777777" w:rsidR="00734A2C" w:rsidRPr="00C377C8" w:rsidRDefault="00734A2C" w:rsidP="00461178">
      <w:pPr>
        <w:spacing w:line="360" w:lineRule="auto"/>
        <w:ind w:left="2268"/>
        <w:jc w:val="both"/>
        <w:rPr>
          <w:rFonts w:ascii="Times New Roman" w:hAnsi="Times New Roman" w:cs="Times New Roman"/>
          <w:color w:val="000000" w:themeColor="text1"/>
          <w:sz w:val="24"/>
          <w:szCs w:val="24"/>
        </w:rPr>
      </w:pPr>
    </w:p>
    <w:p w14:paraId="4B0EE23C" w14:textId="77777777" w:rsidR="00734A2C" w:rsidRPr="00C377C8" w:rsidRDefault="00734A2C" w:rsidP="00461178">
      <w:pPr>
        <w:spacing w:line="360" w:lineRule="auto"/>
        <w:ind w:left="2268"/>
        <w:jc w:val="both"/>
        <w:rPr>
          <w:rFonts w:ascii="Times New Roman" w:hAnsi="Times New Roman" w:cs="Times New Roman"/>
          <w:color w:val="000000" w:themeColor="text1"/>
          <w:sz w:val="24"/>
          <w:szCs w:val="24"/>
        </w:rPr>
      </w:pPr>
    </w:p>
    <w:p w14:paraId="1509EF51" w14:textId="77777777" w:rsidR="009719B8" w:rsidRPr="00C377C8" w:rsidRDefault="009719B8"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t>
      </w:r>
    </w:p>
    <w:p w14:paraId="14BD81A6" w14:textId="02EC2EBB" w:rsidR="00734A2C" w:rsidRPr="00C377C8" w:rsidRDefault="009719B8" w:rsidP="006135C9">
      <w:pPr>
        <w:ind w:left="2268"/>
        <w:rPr>
          <w:color w:val="000000" w:themeColor="text1"/>
        </w:rPr>
      </w:pPr>
      <w:r w:rsidRPr="00C377C8">
        <w:rPr>
          <w:color w:val="000000" w:themeColor="text1"/>
        </w:rPr>
        <w:br w:type="page"/>
      </w:r>
    </w:p>
    <w:p w14:paraId="7A7F87C6" w14:textId="40C28EC7" w:rsidR="009719B8" w:rsidRPr="00C377C8" w:rsidRDefault="009719B8" w:rsidP="006135C9">
      <w:pPr>
        <w:pStyle w:val="Heading1"/>
        <w:ind w:right="0"/>
        <w:jc w:val="center"/>
      </w:pPr>
      <w:bookmarkStart w:id="181" w:name="_Toc83818717"/>
      <w:bookmarkStart w:id="182" w:name="_Toc96609129"/>
      <w:r w:rsidRPr="00C377C8">
        <w:t>Chapter 5 Discussions</w:t>
      </w:r>
      <w:bookmarkStart w:id="183" w:name="_Toc76374551"/>
      <w:bookmarkStart w:id="184" w:name="_Toc83735606"/>
      <w:bookmarkEnd w:id="181"/>
      <w:bookmarkEnd w:id="182"/>
    </w:p>
    <w:p w14:paraId="0988BD48" w14:textId="77777777" w:rsidR="009719B8" w:rsidRPr="00C377C8" w:rsidRDefault="009719B8" w:rsidP="00461178">
      <w:pPr>
        <w:pStyle w:val="Heading2"/>
        <w:ind w:left="2268"/>
        <w:rPr>
          <w:rFonts w:eastAsiaTheme="minorHAnsi"/>
          <w:sz w:val="36"/>
        </w:rPr>
      </w:pPr>
      <w:bookmarkStart w:id="185" w:name="_Toc83818718"/>
      <w:bookmarkStart w:id="186" w:name="_Toc96609130"/>
      <w:r w:rsidRPr="00C377C8">
        <w:rPr>
          <w:rFonts w:eastAsia="Calibri"/>
        </w:rPr>
        <w:t>Introduction</w:t>
      </w:r>
      <w:bookmarkEnd w:id="183"/>
      <w:bookmarkEnd w:id="184"/>
      <w:bookmarkEnd w:id="185"/>
      <w:bookmarkEnd w:id="186"/>
    </w:p>
    <w:p w14:paraId="5DD21A7E"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This chapter delves into meanings, importance, and relevance of research findings presented in the previous chapter. It focuses on explaining and evaluating results of documents studies, non-participatory classroom observation, and in-depth interviews with research participants. Furthermore, it shows how findings relate to literature and research questions, and finally makes an argument to support conclusions. </w:t>
      </w:r>
    </w:p>
    <w:p w14:paraId="604F3B79"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It is important to re-state that the main objective of this research was to develop a teaching framework for effective teaching and learning of the critical interpretation of the Quran [see section 2.1]. The process of designing the framework was completed through identifying factors that influence both subject and teaching practice, highlighting effective teachers’ traits, and by identifying barriers and challenges that teachers face in the process of teaching in multilingual classrooms. Once the data was collected and analysed, key themes emerged, and this have been discussed in the analysis chapter in the context of primary questions and literature review. </w:t>
      </w:r>
    </w:p>
    <w:p w14:paraId="5AA979C8"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This chapter moves from specific to general and expands from narrow confines of research participants’ perspectives on effective teaching of the critical interpretation of the Quran to the general framework of teaching and learning. For maintaining clarity, it was endeavoured to present the interpretations sequentially starting with answering questions, validating, and supporting answers from textual examples in the data, relating findings with credible sources, and pointing the reader to figures to support the argument.</w:t>
      </w:r>
      <w:bookmarkStart w:id="187" w:name="_Toc75796718"/>
      <w:bookmarkStart w:id="188" w:name="_Toc76374552"/>
    </w:p>
    <w:p w14:paraId="32B1CBEB" w14:textId="77777777" w:rsidR="008708EB" w:rsidRPr="00C377C8" w:rsidRDefault="009719B8" w:rsidP="00461178">
      <w:pPr>
        <w:pStyle w:val="Heading2"/>
        <w:ind w:left="2268"/>
        <w:rPr>
          <w:rFonts w:eastAsia="Calibri"/>
        </w:rPr>
      </w:pPr>
      <w:bookmarkStart w:id="189" w:name="_Toc83735607"/>
      <w:bookmarkStart w:id="190" w:name="_Toc83818719"/>
      <w:bookmarkStart w:id="191" w:name="_Toc96609131"/>
      <w:r w:rsidRPr="00C377C8">
        <w:rPr>
          <w:rFonts w:eastAsia="Calibri"/>
        </w:rPr>
        <w:t>Factors that influence the interpretation of the Quran</w:t>
      </w:r>
      <w:bookmarkEnd w:id="187"/>
      <w:bookmarkEnd w:id="188"/>
      <w:bookmarkEnd w:id="189"/>
      <w:bookmarkEnd w:id="190"/>
      <w:bookmarkEnd w:id="191"/>
    </w:p>
    <w:p w14:paraId="69E8BD2D" w14:textId="77777777" w:rsidR="008708EB" w:rsidRPr="00C377C8" w:rsidRDefault="00FF6025" w:rsidP="00461178">
      <w:pPr>
        <w:spacing w:after="0" w:line="360" w:lineRule="auto"/>
        <w:ind w:left="2268"/>
        <w:jc w:val="both"/>
        <w:rPr>
          <w:rFonts w:ascii="Times New Roman" w:eastAsia="Calibri" w:hAnsi="Times New Roman" w:cs="Times New Roman"/>
          <w:bCs/>
          <w:color w:val="000000" w:themeColor="text1"/>
          <w:sz w:val="24"/>
          <w:szCs w:val="24"/>
        </w:rPr>
      </w:pPr>
      <w:r w:rsidRPr="00C377C8">
        <w:rPr>
          <w:rFonts w:ascii="Times New Roman" w:eastAsia="Calibri" w:hAnsi="Times New Roman" w:cs="Times New Roman"/>
          <w:bCs/>
          <w:color w:val="000000" w:themeColor="text1"/>
          <w:sz w:val="24"/>
          <w:szCs w:val="24"/>
        </w:rPr>
        <w:t>The study set out to understand the effective teaching of the critical interpretation of the Quran in multilingual classrooms. Therefore, the initial objective was to explore how teaching the critical interpretation of the Quran is carried out in multilingual classrooms and highlight different factors influence the interpretation of the Quran</w:t>
      </w:r>
    </w:p>
    <w:p w14:paraId="20AE5A24" w14:textId="77777777" w:rsidR="008708EB" w:rsidRPr="00C377C8" w:rsidRDefault="008708EB" w:rsidP="00461178">
      <w:pPr>
        <w:spacing w:after="0" w:line="360" w:lineRule="auto"/>
        <w:ind w:left="2268"/>
        <w:jc w:val="both"/>
        <w:rPr>
          <w:rFonts w:ascii="Times New Roman" w:eastAsia="Calibri" w:hAnsi="Times New Roman" w:cs="Times New Roman"/>
          <w:bCs/>
          <w:color w:val="000000" w:themeColor="text1"/>
          <w:sz w:val="24"/>
          <w:szCs w:val="24"/>
        </w:rPr>
      </w:pPr>
    </w:p>
    <w:p w14:paraId="5BC4D50B" w14:textId="48F59914" w:rsidR="008708EB" w:rsidRPr="00C377C8" w:rsidRDefault="00FF6025" w:rsidP="00461178">
      <w:pPr>
        <w:spacing w:after="0" w:line="360" w:lineRule="auto"/>
        <w:ind w:left="2268"/>
        <w:jc w:val="both"/>
        <w:rPr>
          <w:rFonts w:ascii="Times New Roman" w:eastAsia="Calibri" w:hAnsi="Times New Roman" w:cs="Times New Roman"/>
          <w:bCs/>
          <w:color w:val="000000" w:themeColor="text1"/>
          <w:sz w:val="24"/>
          <w:szCs w:val="24"/>
        </w:rPr>
      </w:pPr>
      <w:r w:rsidRPr="00C377C8">
        <w:rPr>
          <w:rFonts w:ascii="Times New Roman" w:eastAsia="Calibri" w:hAnsi="Times New Roman" w:cs="Times New Roman"/>
          <w:bCs/>
          <w:color w:val="000000" w:themeColor="text1"/>
          <w:sz w:val="24"/>
          <w:szCs w:val="24"/>
        </w:rPr>
        <w:t xml:space="preserve">The first theme highlighted that teaching and learning the critical interpretation of the Quran is a process starts with generating interpretations from </w:t>
      </w:r>
      <w:r w:rsidR="00E230DF" w:rsidRPr="00C377C8">
        <w:rPr>
          <w:rFonts w:ascii="Times New Roman" w:eastAsia="Calibri" w:hAnsi="Times New Roman" w:cs="Times New Roman"/>
          <w:bCs/>
          <w:color w:val="000000" w:themeColor="text1"/>
          <w:sz w:val="24"/>
          <w:szCs w:val="24"/>
        </w:rPr>
        <w:t>Arabic and</w:t>
      </w:r>
      <w:r w:rsidRPr="00C377C8">
        <w:rPr>
          <w:rFonts w:ascii="Times New Roman" w:eastAsia="Calibri" w:hAnsi="Times New Roman" w:cs="Times New Roman"/>
          <w:bCs/>
          <w:color w:val="000000" w:themeColor="text1"/>
          <w:sz w:val="24"/>
          <w:szCs w:val="24"/>
        </w:rPr>
        <w:t xml:space="preserve"> ends with experimenting with different interpretations. The research participants emphasised that critical thinking skills substantially impact the whole process of interpretation. Critical thinking skills enable teachers to help students see the text through a new lens, and, as the female teacher asserted, 'help readers identify other people's positions, arguments and conclusions’. Other research participants also noted that students with critical skills can 'evaluate the evidence from diverse perspectives more effectively and weigh opposing arguments and evidence more fairly’. This was in line with Leicester and Taylor (2010), Rollins (2010) and Eales (2017). These perspectives establish that it is essential for teachers to have critical thinking skills to offer support to students and help them uncover what the text communicates to them, what it may mean to people in other contexts, and equip them with the tools required to compare different interpretations.</w:t>
      </w:r>
    </w:p>
    <w:p w14:paraId="292DE927"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Times New Roman" w:hAnsi="Times New Roman" w:cs="Times New Roman"/>
          <w:color w:val="000000" w:themeColor="text1"/>
          <w:sz w:val="24"/>
          <w:szCs w:val="24"/>
          <w:shd w:val="clear" w:color="auto" w:fill="FFFFFF"/>
        </w:rPr>
        <w:t>Nasr (2017)</w:t>
      </w:r>
      <w:r w:rsidRPr="00C377C8">
        <w:rPr>
          <w:rFonts w:ascii="Times New Roman" w:eastAsia="Times New Roman" w:hAnsi="Times New Roman" w:cs="Times New Roman"/>
          <w:color w:val="000000" w:themeColor="text1"/>
          <w:sz w:val="24"/>
          <w:szCs w:val="24"/>
        </w:rPr>
        <w:t xml:space="preserve"> </w:t>
      </w:r>
      <w:r w:rsidR="00FF6025" w:rsidRPr="00C377C8">
        <w:rPr>
          <w:rFonts w:ascii="Times New Roman" w:eastAsia="Calibri" w:hAnsi="Times New Roman" w:cs="Times New Roman"/>
          <w:bCs/>
          <w:color w:val="000000" w:themeColor="text1"/>
          <w:sz w:val="24"/>
          <w:szCs w:val="24"/>
        </w:rPr>
        <w:t xml:space="preserve">has written extensively about the relationship between interpretation and rational approaches. He quoted Saleh (2017, p. 1650) that all Muslim schools believed in interpretability of the Quran, and that each school has established one or more methods to draw reliable meanings from the text. It is evident that in </w:t>
      </w:r>
      <w:r w:rsidRPr="00C377C8">
        <w:rPr>
          <w:rFonts w:ascii="Times New Roman" w:eastAsia="Calibri" w:hAnsi="Times New Roman" w:cs="Times New Roman"/>
          <w:color w:val="000000" w:themeColor="text1"/>
          <w:sz w:val="24"/>
          <w:szCs w:val="24"/>
        </w:rPr>
        <w:t xml:space="preserve">Tafsir bil mathur, there is a limited scope for an individual to exegete their own views, but interpreters rely on prophet Muhammad’s and the first three generations’ sayings. As the literature  [ see section 2.6] suggests a number of approaches can be used when interpreting the interpretation of the Quran: (1) understanding the ambiguous verse used in one place with other verses of the Quran; (2) using sayings of prophet Muhammad (PBUH) because his role was to interpret and explain the Quran to his companions; (3) using quotes from the companions because they witnessed the revelation, spoke the same language, and were aware of the causes of revelation but the research participants emphasise understanding the social, historical and cultural context in which students generate interpretations and apply them. </w:t>
      </w:r>
    </w:p>
    <w:p w14:paraId="6156550F"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Classical writers Ibn Kathir (1300-1373) and Ibn Tamiyia (1263-1328) discouraged and rejected interpretations based on rational approaches. However, in recent times and with scientific, technological, and socio-cultural development, critical thinking skills have become more valued and recognised within the literature on tafsir (Mohammad, 2015; Sardar, 2012) as suggested by participants. There are many factors that are thought to have contributed to this change, but it was not within the scope of this study. Findings of the study show that the obvious impact of incorporating critical thinking skills in interpreting the Quran is that it could enable students to demonstrate their understanding of the text, create relevant interpretations, and recognise diverse voices and experiences. Thus, critical thinking skills may enable students to scrutinise ‘the writer’s attitude, values, and assumptions’ or help them identify and analyse different authors’ interpretations and how they affect different genders and communities. In contrast, lack of critical thinking skills may restrict teachers’ role in developing students’ knowledge and skills required to compare different interpretations. </w:t>
      </w:r>
    </w:p>
    <w:p w14:paraId="4809FCC3"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For research participants, critical thinking skills are a tool to interpret the Quran in such way that is linguistically, culturally, and theologically more relevant. In participants’ accounts, the focus is not just on methods of interpretation but also on how teachers teach critical thinking skills more effectively, because the interpretation of the Quran, like other sacred texts, is a generative, analytical, and experimental process in which culture and language act as institutions </w:t>
      </w:r>
      <w:r w:rsidR="00FF6025" w:rsidRPr="00C377C8">
        <w:rPr>
          <w:rFonts w:ascii="Times New Roman" w:eastAsia="Calibri" w:hAnsi="Times New Roman" w:cs="Times New Roman"/>
          <w:color w:val="000000" w:themeColor="text1"/>
          <w:sz w:val="24"/>
          <w:szCs w:val="24"/>
        </w:rPr>
        <w:t>(Brown and Szeman, 2000)</w:t>
      </w:r>
      <w:r w:rsidRPr="00C377C8">
        <w:rPr>
          <w:rFonts w:ascii="Times New Roman" w:eastAsia="Calibri" w:hAnsi="Times New Roman" w:cs="Times New Roman"/>
          <w:color w:val="000000" w:themeColor="text1"/>
          <w:sz w:val="24"/>
          <w:szCs w:val="24"/>
        </w:rPr>
        <w:t xml:space="preserve">. Both language and culture in which the Quran was revealed and interpreted influence readers' thoughts. Therefore, research participants recalled that teaching the critical interpretation means teaching what the text meant when it was revealed, and what the text means now, which requires them to have a good understanding of the past socio-political situation of Arabia, as Mohammad (2015) and Ghamdi (2015) argued. Teacher interviewees recalled how students found it difficult to relate the text with different contexts because of their limited Hadith and historical knowledge. </w:t>
      </w:r>
    </w:p>
    <w:p w14:paraId="42329649" w14:textId="0ECC9136"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Research participants’ emphasis on interpretation being generative and analytical points to the possibility of greater and richer dialogue between students when they discuss interpretations written in different times, places, and languages. Embracing this idea may help both teachers and students to see beyond literal and denotative meanings. It gives students agency to work on the text creatively, work with others and support each other in the construction of </w:t>
      </w:r>
      <w:r w:rsidR="00E230DF" w:rsidRPr="00C377C8">
        <w:rPr>
          <w:rFonts w:ascii="Times New Roman" w:eastAsia="Calibri" w:hAnsi="Times New Roman" w:cs="Times New Roman"/>
          <w:color w:val="000000" w:themeColor="text1"/>
          <w:sz w:val="24"/>
          <w:szCs w:val="24"/>
        </w:rPr>
        <w:t>interpretations and</w:t>
      </w:r>
      <w:r w:rsidRPr="00C377C8">
        <w:rPr>
          <w:rFonts w:ascii="Times New Roman" w:eastAsia="Calibri" w:hAnsi="Times New Roman" w:cs="Times New Roman"/>
          <w:color w:val="000000" w:themeColor="text1"/>
          <w:sz w:val="24"/>
          <w:szCs w:val="24"/>
        </w:rPr>
        <w:t xml:space="preserve"> listen to each other’s perspectives.</w:t>
      </w:r>
    </w:p>
    <w:p w14:paraId="29BC595E" w14:textId="5F6A7FDC"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Research participants also confirmed the association between critical thinking skills and divine decree of reflection. It has been confirmed in existing works on Tafsir that God commanded believers to reflect on the verses of the Quran to understand God and to submit to His commands. Effective teachers motivate students to use their reflection in the process of generating or comparing interpretations (Cullingford, 2010; Debell, 2019; Dainton, 2004; Dascal, 2003). This generative and intellectual view pervades the current </w:t>
      </w:r>
      <w:r w:rsidR="00E230DF" w:rsidRPr="00C377C8">
        <w:rPr>
          <w:rFonts w:ascii="Times New Roman" w:eastAsia="Calibri" w:hAnsi="Times New Roman" w:cs="Times New Roman"/>
          <w:color w:val="000000" w:themeColor="text1"/>
          <w:sz w:val="24"/>
          <w:szCs w:val="24"/>
        </w:rPr>
        <w:t>study and</w:t>
      </w:r>
      <w:r w:rsidRPr="00C377C8">
        <w:rPr>
          <w:rFonts w:ascii="Times New Roman" w:eastAsia="Calibri" w:hAnsi="Times New Roman" w:cs="Times New Roman"/>
          <w:color w:val="000000" w:themeColor="text1"/>
          <w:sz w:val="24"/>
          <w:szCs w:val="24"/>
        </w:rPr>
        <w:t xml:space="preserve"> is particularly emphasised throughout the findings. </w:t>
      </w:r>
    </w:p>
    <w:p w14:paraId="39BD45BD"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Additionally, teachers highlighted that in critical interpretation of the Quran students are taught to understand different power structures and ideologies, which substantially impact the interpretation of the Quran. This is the view taken by more traditionalist interpreters such as Ibne Tamaiya and Ibn Kathir or non-conventionalists like al-Tabri and al-Thalabi, who explained the role of power structures and ideologies in interpreting the Quran. Interestingly, </w:t>
      </w:r>
      <w:r w:rsidRPr="00C377C8">
        <w:rPr>
          <w:rFonts w:ascii="Times New Roman" w:eastAsia="Times New Roman" w:hAnsi="Times New Roman" w:cs="Times New Roman"/>
          <w:color w:val="000000" w:themeColor="text1"/>
          <w:sz w:val="24"/>
          <w:szCs w:val="24"/>
          <w:shd w:val="clear" w:color="auto" w:fill="FFFFFF"/>
        </w:rPr>
        <w:t>Hilālī, Khan and Bukhārī (2011),</w:t>
      </w:r>
      <w:r w:rsidRPr="00C377C8">
        <w:rPr>
          <w:rFonts w:ascii="Times New Roman" w:eastAsia="Calibri" w:hAnsi="Times New Roman" w:cs="Times New Roman"/>
          <w:color w:val="000000" w:themeColor="text1"/>
          <w:sz w:val="24"/>
          <w:szCs w:val="24"/>
        </w:rPr>
        <w:t xml:space="preserve"> Muhammad (2015) and many feminist scholars including </w:t>
      </w:r>
      <w:r w:rsidR="00FF6025" w:rsidRPr="00C377C8">
        <w:rPr>
          <w:rFonts w:ascii="Times New Roman" w:eastAsia="Calibri" w:hAnsi="Times New Roman" w:cs="Times New Roman"/>
          <w:color w:val="000000" w:themeColor="text1"/>
          <w:sz w:val="24"/>
          <w:szCs w:val="24"/>
        </w:rPr>
        <w:t>Hassan (1996)</w:t>
      </w:r>
      <w:r w:rsidRPr="00C377C8">
        <w:rPr>
          <w:rFonts w:ascii="Times New Roman" w:eastAsia="Calibri" w:hAnsi="Times New Roman" w:cs="Times New Roman"/>
          <w:color w:val="000000" w:themeColor="text1"/>
          <w:sz w:val="24"/>
          <w:szCs w:val="24"/>
        </w:rPr>
        <w:t xml:space="preserve"> also argued that interpretations are generated and used to produce and maintain powers in a society. Muhammad (2019, p.360) gave examples of Kharijites, who interpreted the Quran to defend their political power and claims for power. He stated that dominant groups like Mutazila, Sufis and Salafis ‘generate interpretations as a legitimate form in society and uphold their powers’. </w:t>
      </w:r>
    </w:p>
    <w:p w14:paraId="2D292E4A"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Research participants went on to say that it is important for teachers to support students to examine the approaches authors of different interpretations adopted in the process of generating interpretations. In the context of the changing landscape of the UK, there are many different operating ideologies and movements working on gender, race, ethnicities and sexualities. Discussing how different communities see different interpretations and how different interpretations impact different communities can enhance students’ ability to apply the text to the context in which they live and work. Therefore, students must recognise if an author has approached the text through a traditional line of reasoning or whether it is influenced by Western ideologies and movements. Participants highlighted that foreign teachers and Imams lack socio-cultural capital, which may be a hindrance to identifying the Western line of reasoning. </w:t>
      </w:r>
    </w:p>
    <w:p w14:paraId="1FE1A36D"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Both teacher and student participants highlighted that it is important to have knowledge of the society for effective teaching of the critical interpretation of the Quran, as society influences the way people think. For effective teaching, teachers and students must critically analyse interpretations as products of different societies in which they were created in. Overtime, certain interpretations are generated and come to be seen as part of the mainstream view of scholars. In this way, interpreters’ choice of a constructed and shared meaning is influenced by individuals and groups. Therefore, interpretations influenced by these ideologies and power groups may make sense for some but may conflict with others. Having critical thinking skills enables teachers to help students unpack the ideologies underlying different interpretations.</w:t>
      </w:r>
    </w:p>
    <w:p w14:paraId="2E475E92" w14:textId="2EA3A1D1"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For research participants, interpreting the Quran critically was a priority. They perceived </w:t>
      </w:r>
      <w:r w:rsidR="00E230DF" w:rsidRPr="00C377C8">
        <w:rPr>
          <w:rFonts w:ascii="Times New Roman" w:eastAsia="Calibri" w:hAnsi="Times New Roman" w:cs="Times New Roman"/>
          <w:color w:val="000000" w:themeColor="text1"/>
          <w:sz w:val="24"/>
          <w:szCs w:val="24"/>
        </w:rPr>
        <w:t>those interpretations</w:t>
      </w:r>
      <w:r w:rsidRPr="00C377C8">
        <w:rPr>
          <w:rFonts w:ascii="Times New Roman" w:eastAsia="Calibri" w:hAnsi="Times New Roman" w:cs="Times New Roman"/>
          <w:color w:val="000000" w:themeColor="text1"/>
          <w:sz w:val="24"/>
          <w:szCs w:val="24"/>
        </w:rPr>
        <w:t xml:space="preserve"> have been carried out in a particular context and they move from one context to another. The teacher’s role in the classroom is to engage students in applying interpretation in another context, adjusting, accepting, or rejecting it, or discussing how it impacts different sections of a society. Furthermore, teachers may engage students in discussion and explore different interpretive styles appropriate to their time and society. However, they may not be fit for other contexts. Therefore, an effective teacher is well versed in understanding different societies, cultures, contexts, and recognises that students’ perspectives and past experiences are equally important.</w:t>
      </w:r>
    </w:p>
    <w:p w14:paraId="0303D5F1"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In multilingual classrooms, teachers and students come from different backgrounds and speak different languages. Therefore, teachers' recognition and awareness that people conform to different socio-cultural and theological behaviours and beliefs helps a teacher to understand diverse interpretations that students generate or give preference to one interpretation over the other. For example, when teacher #2 shared verse 34 of Chapter 4 (Nisa), different students chose different interpretations and some of them remained silent and just listened. They made different choices based on their socio-cultural contexts. </w:t>
      </w:r>
    </w:p>
    <w:p w14:paraId="45333C4B"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Besides the Quran and Sunnah, understanding such factors that influence the Quran's interpretation is important for effective teaching of the Quran but is not included in the Dars-e-Nizami curriculum. Evidently, critical thinking skills help teachers to explain these factors to students. Where students are not exposed to such factors or do not have the skills to identify other people’s position, arguments, and conclusion, they may not generate or choose a relevant interpretation, and are thus disadvantaged. Therefore, Islamic institutes and stakeholders need to select those teachers who can think critically</w:t>
      </w:r>
      <w:bookmarkStart w:id="192" w:name="_Toc75796719"/>
      <w:r w:rsidRPr="00C377C8">
        <w:rPr>
          <w:rFonts w:ascii="Times New Roman" w:eastAsia="Calibri" w:hAnsi="Times New Roman" w:cs="Times New Roman"/>
          <w:color w:val="000000" w:themeColor="text1"/>
          <w:sz w:val="24"/>
          <w:szCs w:val="24"/>
        </w:rPr>
        <w:t xml:space="preserve"> and creatively. </w:t>
      </w:r>
      <w:bookmarkStart w:id="193" w:name="_Toc76374553"/>
    </w:p>
    <w:p w14:paraId="599CD680" w14:textId="77777777" w:rsidR="009719B8" w:rsidRPr="00C377C8" w:rsidRDefault="009719B8" w:rsidP="00461178">
      <w:pPr>
        <w:pStyle w:val="Heading2"/>
        <w:spacing w:line="360" w:lineRule="auto"/>
        <w:ind w:left="2268"/>
        <w:rPr>
          <w:rFonts w:eastAsia="Calibri"/>
        </w:rPr>
      </w:pPr>
      <w:bookmarkStart w:id="194" w:name="_Toc83735608"/>
      <w:bookmarkStart w:id="195" w:name="_Toc83818720"/>
      <w:bookmarkStart w:id="196" w:name="_Toc96609132"/>
      <w:r w:rsidRPr="00C377C8">
        <w:rPr>
          <w:rFonts w:eastAsia="Calibri"/>
        </w:rPr>
        <w:t>Linguistic aspects of critical interpretations of the Quran</w:t>
      </w:r>
      <w:bookmarkEnd w:id="192"/>
      <w:bookmarkEnd w:id="193"/>
      <w:bookmarkEnd w:id="194"/>
      <w:bookmarkEnd w:id="195"/>
      <w:bookmarkEnd w:id="196"/>
    </w:p>
    <w:p w14:paraId="70DDC164"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Findings confirmed that the interpretation of the Quran is systematic and governed by different linguistic rules. It was interesting to note that all eight research participants have asserted that meanings are generated according to morphological, syntactic, and semantic rules. The first sub-theme of ‘generating ideas’ showed students' systematic engagement with the text in constructing interpretations. They looked at the form and function of words and chose one meaning or the other. Previous research showed that these morphological and syntactic rules were developed from the language of the Quran (Bassiouney and Katz, 2012), are regulated by the culture (Goodenough, 1981), and adapted by different people across different periods of time and languages.</w:t>
      </w:r>
    </w:p>
    <w:p w14:paraId="065111D1" w14:textId="7CA9C9D7" w:rsidR="009719B8" w:rsidRPr="00C377C8" w:rsidRDefault="009719B8" w:rsidP="00461178">
      <w:pPr>
        <w:spacing w:after="0" w:line="360" w:lineRule="auto"/>
        <w:ind w:left="2268"/>
        <w:jc w:val="both"/>
        <w:rPr>
          <w:rFonts w:ascii="Arial" w:eastAsia="Calibri" w:hAnsi="Arial" w:cs="Arial"/>
          <w:color w:val="000000" w:themeColor="text1"/>
          <w:sz w:val="20"/>
          <w:szCs w:val="20"/>
        </w:rPr>
      </w:pPr>
      <w:r w:rsidRPr="00C377C8">
        <w:rPr>
          <w:rFonts w:ascii="Times New Roman" w:eastAsia="Calibri" w:hAnsi="Times New Roman" w:cs="Times New Roman"/>
          <w:color w:val="000000" w:themeColor="text1"/>
          <w:sz w:val="24"/>
          <w:szCs w:val="24"/>
        </w:rPr>
        <w:t xml:space="preserve">Additionally, some of the meanings of the Quranic text were determined by the Prophet Muhammad (PBUH) as mentioned in the literature [ see section 2.6.1]. Muslim scholars such as Ibn Kathir (1300/1373), Al-Maturidi (944 EC), and al-Baghwi (1116) asserted that once Prophet Muhammad determined a meaning of any word, no one else among the believers could use it in a general sense. For example, Prophet Muhammad (PBUH) established the meaning of the word 'Khatam' as a final and last. It has another denotative meaning of a 'stamp', but scholars unanimously agree that an interpreter cannot use it as a </w:t>
      </w:r>
      <w:r w:rsidR="00E230DF" w:rsidRPr="00C377C8">
        <w:rPr>
          <w:rFonts w:ascii="Times New Roman" w:eastAsia="Calibri" w:hAnsi="Times New Roman" w:cs="Times New Roman"/>
          <w:color w:val="000000" w:themeColor="text1"/>
          <w:sz w:val="24"/>
          <w:szCs w:val="24"/>
        </w:rPr>
        <w:t>translation,</w:t>
      </w:r>
      <w:r w:rsidRPr="00C377C8">
        <w:rPr>
          <w:rFonts w:ascii="Times New Roman" w:eastAsia="Calibri" w:hAnsi="Times New Roman" w:cs="Times New Roman"/>
          <w:color w:val="000000" w:themeColor="text1"/>
          <w:sz w:val="24"/>
          <w:szCs w:val="24"/>
        </w:rPr>
        <w:t xml:space="preserve"> but female interpreters of the Quran </w:t>
      </w:r>
      <w:r w:rsidR="00FF6025" w:rsidRPr="00C377C8">
        <w:rPr>
          <w:rFonts w:ascii="Times New Roman" w:eastAsia="Calibri" w:hAnsi="Times New Roman" w:cs="Times New Roman"/>
          <w:color w:val="000000" w:themeColor="text1"/>
          <w:sz w:val="24"/>
          <w:szCs w:val="24"/>
        </w:rPr>
        <w:t xml:space="preserve">Mernissi and Lakeland (2006) rejected the notion of power. </w:t>
      </w:r>
      <w:r w:rsidR="00FF6025" w:rsidRPr="00C377C8">
        <w:rPr>
          <w:rFonts w:ascii="Arial" w:eastAsia="Calibri" w:hAnsi="Arial" w:cs="Arial"/>
          <w:color w:val="000000" w:themeColor="text1"/>
          <w:sz w:val="20"/>
          <w:szCs w:val="20"/>
        </w:rPr>
        <w:t xml:space="preserve"> </w:t>
      </w:r>
    </w:p>
    <w:p w14:paraId="6F253565"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Generalising the meanings of the text may change the revelation and divine intentionality as pointed out by Sa’idi (2014), Ibn Kathir (2011, p. 23). In contrast, non-conventionalists and feminist scholars argue that an interpreter can see beyond linguistic conventions and construct new realities with changes in time and place</w:t>
      </w:r>
      <w:r w:rsidR="00FF6025" w:rsidRPr="00C377C8">
        <w:rPr>
          <w:rFonts w:ascii="Times New Roman" w:eastAsia="Calibri" w:hAnsi="Times New Roman" w:cs="Times New Roman"/>
          <w:b/>
          <w:bCs/>
          <w:color w:val="000000" w:themeColor="text1"/>
          <w:sz w:val="24"/>
          <w:szCs w:val="24"/>
        </w:rPr>
        <w:t> </w:t>
      </w:r>
      <w:r w:rsidR="00FF6025" w:rsidRPr="00C377C8">
        <w:rPr>
          <w:rFonts w:ascii="Times New Roman" w:eastAsia="Calibri" w:hAnsi="Times New Roman" w:cs="Times New Roman"/>
          <w:color w:val="000000" w:themeColor="text1"/>
          <w:sz w:val="24"/>
          <w:szCs w:val="24"/>
        </w:rPr>
        <w:t xml:space="preserve">(Hidayatullah, 2014; </w:t>
      </w:r>
      <w:r w:rsidRPr="00C377C8">
        <w:rPr>
          <w:rFonts w:ascii="Times New Roman" w:eastAsia="Calibri" w:hAnsi="Times New Roman" w:cs="Times New Roman"/>
          <w:color w:val="000000" w:themeColor="text1"/>
          <w:sz w:val="24"/>
          <w:szCs w:val="24"/>
        </w:rPr>
        <w:t>Ghamdi, 2015; Sardar, 2018).</w:t>
      </w:r>
    </w:p>
    <w:p w14:paraId="3386623C" w14:textId="1A39CB40" w:rsidR="00F577F0" w:rsidRPr="00C377C8" w:rsidRDefault="009719B8" w:rsidP="00517D2D">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Figure 5.1 is based on my own learning experience, existing literature, and research participants’ discussion of constructing meanings. It illustrates some of the semantics aspects and categories of different words and phrases. Understanding different classes or categories of words and their semantic fields can equip teachers with the knowledge and ability to question and guide students in the process of generating and re-thinking interpretation of the Quran. It can also help students to analyse different interpretations based on their semantic fields. </w:t>
      </w:r>
    </w:p>
    <w:p w14:paraId="45736666" w14:textId="77777777" w:rsidR="009719B8" w:rsidRPr="00C377C8" w:rsidRDefault="009719B8" w:rsidP="00461178">
      <w:pPr>
        <w:spacing w:after="0" w:line="240" w:lineRule="auto"/>
        <w:rPr>
          <w:rFonts w:ascii="Times New Roman" w:eastAsia="Calibri" w:hAnsi="Times New Roman" w:cs="Times New Roman"/>
          <w:color w:val="000000" w:themeColor="text1"/>
          <w:sz w:val="24"/>
          <w:szCs w:val="24"/>
        </w:rPr>
      </w:pPr>
    </w:p>
    <w:p w14:paraId="772C1F48" w14:textId="71664D96" w:rsidR="009719B8" w:rsidRPr="00C377C8" w:rsidRDefault="00D256CB" w:rsidP="00461178">
      <w:pPr>
        <w:spacing w:after="0" w:line="240" w:lineRule="auto"/>
        <w:ind w:left="2268"/>
        <w:rPr>
          <w:rFonts w:ascii="Times New Roman" w:eastAsia="Calibri" w:hAnsi="Times New Roman" w:cs="Times New Roman"/>
          <w:b/>
          <w:i/>
          <w:iCs/>
          <w:color w:val="000000" w:themeColor="text1"/>
          <w:sz w:val="24"/>
          <w:szCs w:val="24"/>
        </w:rPr>
      </w:pPr>
      <w:r w:rsidRPr="00C377C8">
        <w:rPr>
          <w:rFonts w:ascii="Times New Roman" w:eastAsia="Calibri" w:hAnsi="Times New Roman" w:cs="Times New Roman"/>
          <w:b/>
          <w:bCs/>
          <w:color w:val="000000" w:themeColor="text1"/>
          <w:sz w:val="24"/>
          <w:szCs w:val="24"/>
        </w:rPr>
        <w:t>Table</w:t>
      </w:r>
      <w:r w:rsidR="009719B8" w:rsidRPr="00C377C8">
        <w:rPr>
          <w:rFonts w:ascii="Times New Roman" w:eastAsia="Calibri" w:hAnsi="Times New Roman" w:cs="Times New Roman"/>
          <w:b/>
          <w:bCs/>
          <w:color w:val="000000" w:themeColor="text1"/>
          <w:sz w:val="24"/>
          <w:szCs w:val="24"/>
        </w:rPr>
        <w:t xml:space="preserve"> 5.1: </w:t>
      </w:r>
      <w:r w:rsidR="009719B8" w:rsidRPr="00C377C8">
        <w:rPr>
          <w:rFonts w:ascii="Times New Roman" w:eastAsia="Calibri" w:hAnsi="Times New Roman" w:cs="Times New Roman"/>
          <w:b/>
          <w:i/>
          <w:iCs/>
          <w:color w:val="000000" w:themeColor="text1"/>
          <w:sz w:val="24"/>
          <w:szCs w:val="24"/>
        </w:rPr>
        <w:t>Semantic fields of different words</w:t>
      </w:r>
    </w:p>
    <w:p w14:paraId="7CBB6BE6" w14:textId="5759B6C2" w:rsidR="00E230DF" w:rsidRPr="00C377C8" w:rsidRDefault="00E230DF" w:rsidP="00461178">
      <w:pPr>
        <w:spacing w:after="0" w:line="240" w:lineRule="auto"/>
        <w:ind w:left="2268"/>
        <w:rPr>
          <w:rFonts w:ascii="Times New Roman" w:eastAsia="Calibri" w:hAnsi="Times New Roman" w:cs="Times New Roman"/>
          <w:b/>
          <w:i/>
          <w:iCs/>
          <w:color w:val="000000" w:themeColor="text1"/>
          <w:sz w:val="24"/>
          <w:szCs w:val="24"/>
        </w:rPr>
      </w:pPr>
    </w:p>
    <w:p w14:paraId="27C5103D" w14:textId="44553C6D" w:rsidR="00A56E2B" w:rsidRPr="00C377C8" w:rsidRDefault="00A56E2B" w:rsidP="00461178">
      <w:pPr>
        <w:spacing w:after="0" w:line="240" w:lineRule="auto"/>
        <w:ind w:left="2268"/>
        <w:rPr>
          <w:rFonts w:ascii="Times New Roman" w:eastAsia="Calibri" w:hAnsi="Times New Roman" w:cs="Times New Roman"/>
          <w:b/>
          <w:i/>
          <w:iCs/>
          <w:color w:val="000000" w:themeColor="text1"/>
          <w:sz w:val="24"/>
          <w:szCs w:val="24"/>
        </w:rPr>
      </w:pPr>
      <w:r w:rsidRPr="00C377C8">
        <w:rPr>
          <w:noProof/>
          <w:color w:val="000000" w:themeColor="text1"/>
        </w:rPr>
        <w:drawing>
          <wp:inline distT="0" distB="0" distL="0" distR="0" wp14:anchorId="14FBFDD6" wp14:editId="238DBC9E">
            <wp:extent cx="5230578" cy="3738245"/>
            <wp:effectExtent l="0" t="0" r="825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234141" cy="3740791"/>
                    </a:xfrm>
                    <a:prstGeom prst="rect">
                      <a:avLst/>
                    </a:prstGeom>
                  </pic:spPr>
                </pic:pic>
              </a:graphicData>
            </a:graphic>
          </wp:inline>
        </w:drawing>
      </w:r>
    </w:p>
    <w:p w14:paraId="40D7CD72" w14:textId="290675FE" w:rsidR="00F577F0" w:rsidRPr="00C377C8" w:rsidRDefault="00F577F0" w:rsidP="00A56E2B">
      <w:pPr>
        <w:spacing w:after="0" w:line="240" w:lineRule="auto"/>
        <w:rPr>
          <w:rFonts w:ascii="Times New Roman" w:eastAsia="Calibri" w:hAnsi="Times New Roman" w:cs="Times New Roman"/>
          <w:b/>
          <w:bCs/>
          <w:color w:val="000000" w:themeColor="text1"/>
          <w:sz w:val="24"/>
          <w:szCs w:val="24"/>
        </w:rPr>
      </w:pPr>
    </w:p>
    <w:p w14:paraId="31F1585F" w14:textId="77777777" w:rsidR="009719B8" w:rsidRPr="00C377C8" w:rsidRDefault="009719B8" w:rsidP="00461178">
      <w:pPr>
        <w:spacing w:after="0" w:line="240" w:lineRule="auto"/>
        <w:ind w:left="2268"/>
        <w:rPr>
          <w:rFonts w:ascii="Times New Roman" w:eastAsia="Calibri" w:hAnsi="Times New Roman" w:cs="Times New Roman"/>
          <w:color w:val="000000" w:themeColor="text1"/>
          <w:sz w:val="24"/>
          <w:szCs w:val="24"/>
        </w:rPr>
      </w:pPr>
    </w:p>
    <w:p w14:paraId="12D7F2B5" w14:textId="75388CC6" w:rsidR="009719B8" w:rsidRPr="00C377C8" w:rsidRDefault="00D256CB"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Table </w:t>
      </w:r>
      <w:r w:rsidR="009719B8" w:rsidRPr="00C377C8">
        <w:rPr>
          <w:rFonts w:ascii="Times New Roman" w:eastAsia="Calibri" w:hAnsi="Times New Roman" w:cs="Times New Roman"/>
          <w:color w:val="000000" w:themeColor="text1"/>
          <w:sz w:val="24"/>
          <w:szCs w:val="24"/>
        </w:rPr>
        <w:t xml:space="preserve"> 5.1 indicates that a teacher’s mastery of different categories of words, whether their meanings are specific or general, whether it is conditional or non-conditional, could help them lead students through inquiry. The knowledge of different categories of words and phrases is essential to create a reliable interpretation and ruling based on these interpretations. It is important to note that if a word has multiple meanings, then teachers help students to determine the right meanings of the word using other sources including Hadith, views of companions, history, and culture. </w:t>
      </w:r>
    </w:p>
    <w:p w14:paraId="0186B418"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Besides understanding of the semantic categories of words, understanding syntactic structures is also important as different structures also convey several meanings and sometimes lead to semantic ambiguity (Islam, 2017). Figure 5.2 reveals how different syntactic patterns can cause an ambiguity for novice interpreter of the Quran. </w:t>
      </w:r>
    </w:p>
    <w:p w14:paraId="27B7A1E3" w14:textId="7A71D648" w:rsidR="009719B8" w:rsidRPr="00C377C8" w:rsidRDefault="00D256CB" w:rsidP="00461178">
      <w:pPr>
        <w:spacing w:after="0" w:line="360" w:lineRule="auto"/>
        <w:ind w:left="2268"/>
        <w:jc w:val="both"/>
        <w:rPr>
          <w:rFonts w:ascii="Times New Roman" w:eastAsia="Calibri" w:hAnsi="Times New Roman" w:cs="Times New Roman"/>
          <w:b/>
          <w:color w:val="000000" w:themeColor="text1"/>
          <w:sz w:val="24"/>
          <w:szCs w:val="24"/>
        </w:rPr>
      </w:pPr>
      <w:r w:rsidRPr="00C377C8">
        <w:rPr>
          <w:rFonts w:ascii="Times New Roman" w:eastAsia="Calibri" w:hAnsi="Times New Roman" w:cs="Times New Roman"/>
          <w:b/>
          <w:color w:val="000000" w:themeColor="text1"/>
          <w:sz w:val="24"/>
          <w:szCs w:val="24"/>
        </w:rPr>
        <w:t>Table</w:t>
      </w:r>
      <w:r w:rsidR="009719B8" w:rsidRPr="00C377C8">
        <w:rPr>
          <w:rFonts w:ascii="Times New Roman" w:eastAsia="Calibri" w:hAnsi="Times New Roman" w:cs="Times New Roman"/>
          <w:b/>
          <w:color w:val="000000" w:themeColor="text1"/>
          <w:sz w:val="24"/>
          <w:szCs w:val="24"/>
        </w:rPr>
        <w:t xml:space="preserve"> 5.2: Syntactic Meanings </w:t>
      </w:r>
    </w:p>
    <w:p w14:paraId="4ACA388A" w14:textId="473787F5" w:rsidR="009719B8" w:rsidRPr="00C377C8" w:rsidRDefault="00AA756B" w:rsidP="00461178">
      <w:pPr>
        <w:spacing w:after="0" w:line="240" w:lineRule="auto"/>
        <w:ind w:left="2268"/>
        <w:rPr>
          <w:rFonts w:ascii="Times New Roman" w:eastAsia="Calibri" w:hAnsi="Times New Roman" w:cs="Times New Roman"/>
          <w:color w:val="000000" w:themeColor="text1"/>
          <w:sz w:val="24"/>
          <w:szCs w:val="24"/>
        </w:rPr>
      </w:pPr>
      <w:r w:rsidRPr="00C377C8">
        <w:rPr>
          <w:noProof/>
          <w:color w:val="000000" w:themeColor="text1"/>
        </w:rPr>
        <w:drawing>
          <wp:inline distT="0" distB="0" distL="0" distR="0" wp14:anchorId="38679E3E" wp14:editId="17E1C808">
            <wp:extent cx="5214675" cy="3738245"/>
            <wp:effectExtent l="0" t="0" r="508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219175" cy="3741471"/>
                    </a:xfrm>
                    <a:prstGeom prst="rect">
                      <a:avLst/>
                    </a:prstGeom>
                  </pic:spPr>
                </pic:pic>
              </a:graphicData>
            </a:graphic>
          </wp:inline>
        </w:drawing>
      </w:r>
    </w:p>
    <w:p w14:paraId="4AE7D884"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In the above example, the word ‘ya Ku lu’ can be translated in a present and future, as in Arabic language “Fihl ul Muddarih” (or ‘present and future’) are same. Participants recalled how students often get confused whether verses with Fihl ul Muddreh are meant for the times when the Quran was revealed, or whether they are applicable till the day of the judgement. Similarly, the referent is sometimes used as “You” and “Them”. Interpreters need to make sure whether “you” refers to the companions or all believers till the day of the judgement and ‘them’ refers to people of the time of the prophet Muhammad (PBUH), or it refers to anyone. These semantic and syntactic ambiguities lead to rich discussion between students. Sometimes, these rules are used as an argument to validate different interpretations. Therefore, if a teacher is critical, they can easily facilitate discussions and support students in the process of learning. </w:t>
      </w:r>
    </w:p>
    <w:p w14:paraId="3B6A21F6"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Findings of the current study also demonstrated that the language of the Quran, unlike other languages, is partly arbitrary, meaning that meanings of some words are fixed but the meanings of other words change with time and space. Ibne Hazm labelled this arbitrariness as ‘generative’ because it generates more meanings across cultures </w:t>
      </w:r>
      <w:r w:rsidR="00FF6025" w:rsidRPr="00C377C8">
        <w:rPr>
          <w:rFonts w:ascii="Times New Roman" w:eastAsia="Calibri" w:hAnsi="Times New Roman" w:cs="Times New Roman"/>
          <w:color w:val="000000" w:themeColor="text1"/>
          <w:sz w:val="24"/>
          <w:szCs w:val="24"/>
        </w:rPr>
        <w:t>(Krämer and Schmidtke, 2014).</w:t>
      </w:r>
      <w:r w:rsidRPr="00C377C8">
        <w:rPr>
          <w:rFonts w:ascii="Times New Roman" w:eastAsia="Calibri" w:hAnsi="Times New Roman" w:cs="Times New Roman"/>
          <w:color w:val="000000" w:themeColor="text1"/>
          <w:sz w:val="24"/>
          <w:szCs w:val="24"/>
        </w:rPr>
        <w:t xml:space="preserve"> Many words of the Quran have been interpreted differently in different cultures and times. For example, meanings of the word ‘Fadribuhunna’ have changed. This can be traced back to when Usman (the 3</w:t>
      </w:r>
      <w:r w:rsidRPr="00C377C8">
        <w:rPr>
          <w:rFonts w:ascii="Times New Roman" w:eastAsia="Calibri" w:hAnsi="Times New Roman" w:cs="Times New Roman"/>
          <w:color w:val="000000" w:themeColor="text1"/>
          <w:sz w:val="24"/>
          <w:szCs w:val="24"/>
          <w:vertAlign w:val="superscript"/>
        </w:rPr>
        <w:t>rd</w:t>
      </w:r>
      <w:r w:rsidRPr="00C377C8">
        <w:rPr>
          <w:rFonts w:ascii="Times New Roman" w:eastAsia="Calibri" w:hAnsi="Times New Roman" w:cs="Times New Roman"/>
          <w:color w:val="000000" w:themeColor="text1"/>
          <w:sz w:val="24"/>
          <w:szCs w:val="24"/>
        </w:rPr>
        <w:t xml:space="preserve"> Caliph and successor of Umer) found out that people were using Quranic words in different ways and senses and prepared a standard copy of the Quran. That copy fixed the symbol and pronunciation, but the ambiguous verses of the Quran remained arbitrary and open to readers’ reflections (Ramadan, 2018).</w:t>
      </w:r>
    </w:p>
    <w:p w14:paraId="71A5A452"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Participants revealed that meanings of Muttashbihat (words with multiple meanings) are not static and keep changing with time and place or from one person to another. Therefore, students must be introduced to how different interpreters in different times have interpreted the verses of the Quran differently; how did different power structures influence their works. In addition, it may give students an opportunity to share the way a word is used in their culture and language. This openness may also help teachers to create a positive classroom environment, where students’ perspectives are valued and respected. Further, it may enable students to see beyond sectarian and cultural boundaries and promote understanding and respect for diverse perspectives. </w:t>
      </w:r>
    </w:p>
    <w:p w14:paraId="7A9DC257" w14:textId="77777777" w:rsidR="008708EB" w:rsidRPr="00C377C8" w:rsidRDefault="009719B8" w:rsidP="00461178">
      <w:pPr>
        <w:spacing w:after="0" w:line="360" w:lineRule="auto"/>
        <w:ind w:left="2268"/>
        <w:jc w:val="both"/>
        <w:rPr>
          <w:rFonts w:ascii="Times New Roman" w:eastAsia="Calibri" w:hAnsi="Times New Roman" w:cs="Times New Roman"/>
          <w:bCs/>
          <w:color w:val="000000" w:themeColor="text1"/>
          <w:sz w:val="24"/>
          <w:szCs w:val="24"/>
        </w:rPr>
      </w:pPr>
      <w:r w:rsidRPr="00C377C8">
        <w:rPr>
          <w:rFonts w:ascii="Times New Roman" w:eastAsia="Calibri" w:hAnsi="Times New Roman" w:cs="Times New Roman"/>
          <w:color w:val="000000" w:themeColor="text1"/>
          <w:sz w:val="24"/>
          <w:szCs w:val="24"/>
        </w:rPr>
        <w:t xml:space="preserve">The study highlights that the interpretation of the Quran is being conventional and </w:t>
      </w:r>
      <w:r w:rsidR="00FF6025" w:rsidRPr="00C377C8">
        <w:rPr>
          <w:rFonts w:ascii="Times New Roman" w:eastAsia="Calibri" w:hAnsi="Times New Roman" w:cs="Times New Roman"/>
          <w:bCs/>
          <w:color w:val="000000" w:themeColor="text1"/>
          <w:sz w:val="24"/>
          <w:szCs w:val="24"/>
        </w:rPr>
        <w:t xml:space="preserve">unconventional at different stages. The literature shows that classical interpreters interpret the Quran through other verses of the Quran, through Ahadith, and consensus of companions. They do not accept any interpretation beyond these conventions. It was also evident that teachers and students use these conventions when students weigh the evidence or arguments to determine whether the interpretation is approvable (Ghulam, 2014; Islahi, 2019; Mawdudi, 2015). Contrary, it is unconventional because its meanings keep changing from person to person, culture to culture, and context to context because society, ideologies, power structures, and socio-cultural factors influence interpretations. Therefore, teachers must be aware of these thinking tools to teach more effectively and to facilitate the process of learning of the critical interpretation of the Quran. </w:t>
      </w:r>
    </w:p>
    <w:p w14:paraId="11357AD2" w14:textId="77777777" w:rsidR="009719B8" w:rsidRPr="00C377C8" w:rsidRDefault="009719B8" w:rsidP="00461178">
      <w:pPr>
        <w:pStyle w:val="Heading2"/>
        <w:spacing w:line="360" w:lineRule="auto"/>
        <w:ind w:left="2268"/>
        <w:rPr>
          <w:rFonts w:eastAsia="Calibri"/>
        </w:rPr>
      </w:pPr>
      <w:bookmarkStart w:id="197" w:name="_Toc75796720"/>
      <w:bookmarkStart w:id="198" w:name="_Toc76374554"/>
      <w:bookmarkStart w:id="199" w:name="_Toc83735609"/>
      <w:bookmarkStart w:id="200" w:name="_Toc83818721"/>
      <w:bookmarkStart w:id="201" w:name="_Toc96609133"/>
      <w:r w:rsidRPr="00C377C8">
        <w:rPr>
          <w:rFonts w:eastAsia="Calibri"/>
        </w:rPr>
        <w:t>Factors influencing teaching of the critical interpretation of the Quran</w:t>
      </w:r>
      <w:bookmarkEnd w:id="197"/>
      <w:bookmarkEnd w:id="198"/>
      <w:bookmarkEnd w:id="199"/>
      <w:bookmarkEnd w:id="200"/>
      <w:bookmarkEnd w:id="201"/>
    </w:p>
    <w:p w14:paraId="4BB57D77" w14:textId="77777777" w:rsidR="009719B8" w:rsidRPr="00C377C8" w:rsidRDefault="009719B8" w:rsidP="00461178">
      <w:pPr>
        <w:spacing w:after="0" w:line="360" w:lineRule="auto"/>
        <w:ind w:left="2268"/>
        <w:jc w:val="both"/>
        <w:rPr>
          <w:rFonts w:ascii="Times New Roman" w:eastAsia="Times New Roman" w:hAnsi="Times New Roman" w:cs="Times New Roman"/>
          <w:color w:val="000000" w:themeColor="text1"/>
          <w:sz w:val="24"/>
          <w:szCs w:val="24"/>
        </w:rPr>
      </w:pPr>
      <w:r w:rsidRPr="00C377C8">
        <w:rPr>
          <w:rFonts w:ascii="Times New Roman" w:eastAsia="Times New Roman" w:hAnsi="Times New Roman" w:cs="Times New Roman"/>
          <w:color w:val="000000" w:themeColor="text1"/>
          <w:sz w:val="24"/>
          <w:szCs w:val="24"/>
        </w:rPr>
        <w:t xml:space="preserve">For research participants, effective teaching certainly rests on a teacher’s understanding of the curriculum’s purpose, understanding students’ background, lesson plans, teaching strategies, and students’ engagement in the process of learning. Teaching participants highlighted that there is no clear written purpose of the curriculum, which is disadvantageous in setting concrete and clear objectives for a lesson. Many teachers teach a few chapters from Tafsir Jalalayn and Badawi but lack direction as to what skills or knowledge they want students to develop. </w:t>
      </w:r>
    </w:p>
    <w:p w14:paraId="5C078834" w14:textId="0AC7BD72" w:rsidR="00C06838" w:rsidRPr="00C377C8" w:rsidRDefault="009719B8" w:rsidP="0064233A">
      <w:pPr>
        <w:spacing w:after="0" w:line="360" w:lineRule="auto"/>
        <w:ind w:left="2268"/>
        <w:jc w:val="both"/>
        <w:rPr>
          <w:rFonts w:ascii="Times New Roman" w:eastAsia="Times New Roman" w:hAnsi="Times New Roman" w:cs="Times New Roman"/>
          <w:color w:val="000000" w:themeColor="text1"/>
          <w:sz w:val="24"/>
          <w:szCs w:val="24"/>
        </w:rPr>
      </w:pPr>
      <w:r w:rsidRPr="00C377C8">
        <w:rPr>
          <w:rFonts w:ascii="Times New Roman" w:eastAsia="Times New Roman" w:hAnsi="Times New Roman" w:cs="Times New Roman"/>
          <w:color w:val="000000" w:themeColor="text1"/>
          <w:sz w:val="24"/>
          <w:szCs w:val="24"/>
        </w:rPr>
        <w:t>What was understood about the general purpose of the curriculum can be encapsulated in four categories: to enable students to become (1) successful learners, (2) confident interpreter, (3) responsible scholar, and (4) effective contributor. Effective teaching develops students’ knowledge and skills to live and work confidently within changing landscapes and contexts. Therefore, understanding the curriculum purpose could give a teacher a clear vision and direction for effective teaching and learning (Duncan, 1918; Perrott, 2014). Table 5.1 displays the purpose of teaching and learning of the critical interpretation of the Quran based on participants’ views</w:t>
      </w:r>
      <w:r w:rsidR="0064233A" w:rsidRPr="00C377C8">
        <w:rPr>
          <w:rFonts w:ascii="Times New Roman" w:eastAsia="Times New Roman" w:hAnsi="Times New Roman" w:cs="Times New Roman"/>
          <w:color w:val="000000" w:themeColor="text1"/>
          <w:sz w:val="24"/>
          <w:szCs w:val="24"/>
        </w:rPr>
        <w:t>.</w:t>
      </w:r>
    </w:p>
    <w:p w14:paraId="160B3C77" w14:textId="2BBB751D" w:rsidR="00C06838" w:rsidRPr="00C377C8" w:rsidRDefault="009719B8" w:rsidP="0064233A">
      <w:pPr>
        <w:spacing w:after="0" w:line="240" w:lineRule="auto"/>
        <w:ind w:left="2268"/>
        <w:rPr>
          <w:rFonts w:ascii="Times New Roman" w:eastAsia="Times New Roman" w:hAnsi="Times New Roman" w:cs="Times New Roman"/>
          <w:b/>
          <w:color w:val="000000" w:themeColor="text1"/>
          <w:sz w:val="24"/>
          <w:szCs w:val="24"/>
        </w:rPr>
      </w:pPr>
      <w:r w:rsidRPr="00C377C8">
        <w:rPr>
          <w:rFonts w:ascii="Times New Roman" w:eastAsia="Calibri" w:hAnsi="Times New Roman" w:cs="Times New Roman"/>
          <w:b/>
          <w:color w:val="000000" w:themeColor="text1"/>
          <w:sz w:val="24"/>
          <w:szCs w:val="24"/>
        </w:rPr>
        <w:t>Table 5.3: The purpose of the curriculum</w:t>
      </w:r>
    </w:p>
    <w:p w14:paraId="481B54DB" w14:textId="0527F5C5" w:rsidR="00C06838" w:rsidRPr="00C377C8" w:rsidRDefault="0064233A" w:rsidP="00461178">
      <w:pPr>
        <w:spacing w:after="0" w:line="240" w:lineRule="auto"/>
        <w:ind w:left="2268"/>
        <w:rPr>
          <w:rFonts w:ascii="Times New Roman" w:eastAsia="Calibri" w:hAnsi="Times New Roman" w:cs="Times New Roman"/>
          <w:color w:val="000000" w:themeColor="text1"/>
          <w:sz w:val="24"/>
          <w:szCs w:val="24"/>
        </w:rPr>
      </w:pPr>
      <w:r w:rsidRPr="00C377C8">
        <w:rPr>
          <w:noProof/>
          <w:color w:val="000000" w:themeColor="text1"/>
        </w:rPr>
        <w:drawing>
          <wp:inline distT="0" distB="0" distL="0" distR="0" wp14:anchorId="690C2D27" wp14:editId="16F388C2">
            <wp:extent cx="6645910" cy="3738245"/>
            <wp:effectExtent l="0" t="0" r="2540" b="0"/>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645910" cy="3738245"/>
                    </a:xfrm>
                    <a:prstGeom prst="rect">
                      <a:avLst/>
                    </a:prstGeom>
                  </pic:spPr>
                </pic:pic>
              </a:graphicData>
            </a:graphic>
          </wp:inline>
        </w:drawing>
      </w:r>
    </w:p>
    <w:p w14:paraId="58A0C254" w14:textId="70963ACF" w:rsidR="00413004" w:rsidRPr="00C377C8" w:rsidRDefault="00413004" w:rsidP="00413004">
      <w:pPr>
        <w:spacing w:after="0" w:line="360" w:lineRule="auto"/>
        <w:jc w:val="both"/>
        <w:rPr>
          <w:rFonts w:ascii="Times New Roman" w:eastAsia="Calibri" w:hAnsi="Times New Roman" w:cs="Times New Roman"/>
          <w:color w:val="000000" w:themeColor="text1"/>
          <w:sz w:val="24"/>
          <w:szCs w:val="24"/>
        </w:rPr>
      </w:pPr>
    </w:p>
    <w:p w14:paraId="5B93352A" w14:textId="2A393AEC"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Table 5.3 illustrates that creating a common purpose of the curriculum may help teachers to teach, assess students effectively, and can enable them to determine their progress in terms of building their attributes and abilities. It is believed that having a clear purpose may help standardise teaching and learning goals across different schools and institutes. Diamond (2013) and </w:t>
      </w:r>
      <w:r w:rsidRPr="00C377C8">
        <w:rPr>
          <w:rFonts w:ascii="Times New Roman" w:eastAsia="Calibri" w:hAnsi="Times New Roman" w:cs="Times New Roman"/>
          <w:color w:val="000000" w:themeColor="text1"/>
          <w:sz w:val="24"/>
          <w:szCs w:val="24"/>
          <w:lang w:val="en-US"/>
        </w:rPr>
        <w:t>Luke, Woods and Weir (2013)</w:t>
      </w:r>
      <w:r w:rsidRPr="00C377C8">
        <w:rPr>
          <w:rFonts w:ascii="Times New Roman" w:eastAsia="Calibri" w:hAnsi="Times New Roman" w:cs="Times New Roman"/>
          <w:color w:val="000000" w:themeColor="text1"/>
          <w:sz w:val="24"/>
          <w:szCs w:val="24"/>
        </w:rPr>
        <w:t xml:space="preserve"> highlighted that the curriculum's clear purpose provides a clear path for teachers to facilitate teaching and students to progress from one level to the other. Research findings showed that teacher participants had to set their own individual objectives, but if there were set standards for all institutes, it may ensure consistency across different institutions.</w:t>
      </w:r>
    </w:p>
    <w:p w14:paraId="396B83C5" w14:textId="77777777" w:rsidR="009719B8" w:rsidRPr="00C377C8" w:rsidRDefault="009719B8" w:rsidP="00461178">
      <w:pPr>
        <w:spacing w:after="0" w:line="360" w:lineRule="auto"/>
        <w:ind w:left="2268"/>
        <w:jc w:val="both"/>
        <w:rPr>
          <w:rFonts w:ascii="Times New Roman" w:eastAsia="Calibri" w:hAnsi="Times New Roman" w:cs="Times New Roman"/>
          <w:bCs/>
          <w:color w:val="000000" w:themeColor="text1"/>
          <w:sz w:val="24"/>
          <w:szCs w:val="24"/>
        </w:rPr>
      </w:pPr>
      <w:r w:rsidRPr="00C377C8">
        <w:rPr>
          <w:rFonts w:ascii="Times New Roman" w:eastAsia="Calibri" w:hAnsi="Times New Roman" w:cs="Times New Roman"/>
          <w:color w:val="000000" w:themeColor="text1"/>
          <w:sz w:val="24"/>
          <w:szCs w:val="24"/>
        </w:rPr>
        <w:t>As discussed in the background of this research (p. 19), Muslim academics have focused more on writing interpretations, and did not pay attention to the pedagogy of interpretations. Hence, Dars-e-Nizami curriculum does not contain any sections on the purpose of teaching this subject. As a result, teachers have no clear guidelines for teaching</w:t>
      </w:r>
      <w:r w:rsidRPr="00C377C8">
        <w:rPr>
          <w:rFonts w:ascii="Times New Roman" w:eastAsia="Calibri" w:hAnsi="Times New Roman" w:cs="Times New Roman"/>
          <w:bCs/>
          <w:color w:val="000000" w:themeColor="text1"/>
          <w:sz w:val="24"/>
          <w:szCs w:val="24"/>
        </w:rPr>
        <w:t xml:space="preserve">. Existing research in social sciences, literature, and language revealed that understanding the purpose of the curriculum has positive impact on teachers’ classroom practice and is a step towards inclusive and effective teaching ( Santone, 2019). The researcher used all four lenses of student feedback, teachers’ reflection, researcher's experience, and previous literature to draft the above framework.  </w:t>
      </w:r>
    </w:p>
    <w:p w14:paraId="6CAAEB8A" w14:textId="77777777" w:rsidR="008708EB" w:rsidRPr="00C377C8" w:rsidRDefault="00FF6025"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Additionally, much attention in the current study was drawn to teachers’ setting clear and consistent expectations because it sets the tone of the lesson, and each participant knows and understands what is expected from them</w:t>
      </w:r>
      <w:r w:rsidR="009719B8" w:rsidRPr="00C377C8">
        <w:rPr>
          <w:rFonts w:ascii="Times New Roman" w:eastAsia="Times New Roman" w:hAnsi="Times New Roman" w:cs="Times New Roman"/>
          <w:color w:val="000000" w:themeColor="text1"/>
          <w:sz w:val="24"/>
          <w:szCs w:val="24"/>
          <w:shd w:val="clear" w:color="auto" w:fill="FFFFFF"/>
        </w:rPr>
        <w:t xml:space="preserve"> (Stix and Hrbek, 2006)</w:t>
      </w:r>
      <w:r w:rsidR="009719B8" w:rsidRPr="00C377C8">
        <w:rPr>
          <w:rFonts w:ascii="Times New Roman" w:eastAsia="Calibri" w:hAnsi="Times New Roman" w:cs="Times New Roman"/>
          <w:color w:val="000000" w:themeColor="text1"/>
          <w:sz w:val="24"/>
          <w:szCs w:val="24"/>
        </w:rPr>
        <w:t>. It was noted that teaching participants did not set explicit behaviour expectations along with learning goals. These are essential because they</w:t>
      </w:r>
      <w:r w:rsidRPr="00C377C8">
        <w:rPr>
          <w:rFonts w:ascii="Times New Roman" w:eastAsia="Calibri" w:hAnsi="Times New Roman" w:cs="Times New Roman"/>
          <w:color w:val="000000" w:themeColor="text1"/>
          <w:sz w:val="24"/>
          <w:szCs w:val="24"/>
        </w:rPr>
        <w:t xml:space="preserve"> mentally prepare students and give them clear direction to actively participate in learning. This aligns with existing research Rubie-Davies (2015) in that with clear behaviour expectations students can reflect, assess, and monitor their behaviour and can improve the classroom experience with little room to micro aggressions. In addition, existing research showed that students are more likely to reach their educational goals when they know what and how they are expected to do (Matthews and Lally, 2010).</w:t>
      </w:r>
    </w:p>
    <w:p w14:paraId="741AF834" w14:textId="77777777" w:rsidR="009719B8" w:rsidRPr="00C377C8" w:rsidRDefault="00FF6025"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These findings about the purpose of the curriculum and the need for setting clear behaviour expectations are important for teachers because they clarify how to work with students, what to expect, and how to facilitate learning at different stages. It may help existing and new teachers to engage students in the process of generating interpretations by setting clear goals, choosing suitable contents, and facilitating learning so that they compare different interpretations of the Quran and challenge different power structures. Moreover, it can help students relate the text to present day’s context and their previous knowledge. For example, when students are re-thinking or critically reflecting on verses, a teacher may ask questions about different ideologies and power structures, and their impact on constructing new interpretations. They should include diverse contents during this stage, which may challenge students’ beliefs and positions, and help them recognise other people’s positions and perspectives. Including discussions around ideologies and power structures helps teachers to develop students’ critical thinking skills and inculcate respect for other people’s beliefs and views. </w:t>
      </w:r>
    </w:p>
    <w:p w14:paraId="49B0D275" w14:textId="77777777" w:rsidR="009719B8" w:rsidRPr="00C377C8" w:rsidRDefault="009719B8" w:rsidP="00461178">
      <w:pPr>
        <w:spacing w:after="0" w:line="360" w:lineRule="auto"/>
        <w:ind w:left="2268"/>
        <w:jc w:val="both"/>
        <w:rPr>
          <w:rFonts w:ascii="Times New Roman" w:eastAsia="Times New Roman" w:hAnsi="Times New Roman" w:cs="Times New Roman"/>
          <w:color w:val="000000" w:themeColor="text1"/>
          <w:sz w:val="24"/>
          <w:szCs w:val="24"/>
        </w:rPr>
      </w:pPr>
      <w:r w:rsidRPr="00C377C8">
        <w:rPr>
          <w:rFonts w:ascii="Times New Roman" w:eastAsia="Times New Roman" w:hAnsi="Times New Roman" w:cs="Times New Roman"/>
          <w:color w:val="000000" w:themeColor="text1"/>
          <w:sz w:val="24"/>
          <w:szCs w:val="24"/>
        </w:rPr>
        <w:t xml:space="preserve">The second significant factor, which influences teaching, is the teacher’s acknowledgement of students’ background and embedding their perspectives. For research participants, understanding that students come from different linguistic, cultural, and theological backgrounds is certainly important. Preparing class content and activities around student needs is highly important for effective teaching. Female student #2 recounted how teacher at one of the Muslim institutes neglected her needs and was exclusive, which put her off. Findings also indicated that foreign teachers with little or no knowledge of socio-cultural context in which the Quran is being interpreted hinders their ability to plan and deliver lesson purposefully. This finding aligns with existing works (Sa’idi, 2014; al-Qadri, 2019; Ramadan, 2018) that highlighted the necessity for cultural and linguistic competence for the critical interpretation of the Quran. In contrast, if teachers understand and value students’ cultural backgrounds, they may engage students in classroom discussions and help them develop their ability to apply knowledge in other contexts. </w:t>
      </w:r>
    </w:p>
    <w:p w14:paraId="1F86BE2E" w14:textId="77777777" w:rsidR="008708EB" w:rsidRPr="00C377C8" w:rsidRDefault="00FF6025"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The third most influential factor was the classroom environment or course climate in which teachers and students interact and new knowledge is being constructed. Much attention has been drawn to teachers’ ability to create an inclusive and safe space, where students from different backgrounds can share and present their interpretations and understanding of the text without any fear or intimidation. For example, during a discussion, students may not say anything particular on the interpretation, but they can say something about themselves, how they feel and or what they (dis)like about certain views.</w:t>
      </w:r>
    </w:p>
    <w:p w14:paraId="0F3A9EDD"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The study confirmed previous findings that an uncritical and exclusive classroom environment has a negative impact on students' learning (Dunn, Halonen and Smith, 2009; Moore and Parker, 2007; </w:t>
      </w:r>
      <w:r w:rsidR="00FF6025" w:rsidRPr="00C377C8">
        <w:rPr>
          <w:rFonts w:ascii="Times New Roman" w:eastAsia="Calibri" w:hAnsi="Times New Roman" w:cs="Times New Roman"/>
          <w:bCs/>
          <w:color w:val="000000" w:themeColor="text1"/>
          <w:sz w:val="24"/>
          <w:szCs w:val="24"/>
        </w:rPr>
        <w:t>Potts</w:t>
      </w:r>
      <w:r w:rsidRPr="00C377C8">
        <w:rPr>
          <w:rFonts w:ascii="Times New Roman" w:eastAsia="Calibri" w:hAnsi="Times New Roman" w:cs="Times New Roman"/>
          <w:color w:val="000000" w:themeColor="text1"/>
          <w:sz w:val="24"/>
          <w:szCs w:val="24"/>
        </w:rPr>
        <w:t xml:space="preserve">, 1994; Rollins, 2010). The findings described an uncritical classroom environment as a class where students do not get many opportunities to develop their skills and confidence, to challenge teachers and each other, and to express their ideas freely. Such an environment suppresses students’ voices and perspectives. This can put students off and disengage in the process of learning as </w:t>
      </w:r>
      <w:r w:rsidRPr="00C377C8">
        <w:rPr>
          <w:rFonts w:ascii="Times New Roman" w:eastAsia="Calibri" w:hAnsi="Times New Roman" w:cs="Times New Roman"/>
          <w:color w:val="000000" w:themeColor="text1"/>
          <w:sz w:val="24"/>
          <w:szCs w:val="24"/>
          <w:lang w:val="en-US"/>
        </w:rPr>
        <w:t>Wankel and Blessinger (2013)</w:t>
      </w:r>
      <w:r w:rsidRPr="00C377C8">
        <w:rPr>
          <w:rFonts w:ascii="Times New Roman" w:eastAsia="Calibri" w:hAnsi="Times New Roman" w:cs="Times New Roman"/>
          <w:color w:val="000000" w:themeColor="text1"/>
          <w:sz w:val="24"/>
          <w:szCs w:val="24"/>
        </w:rPr>
        <w:t xml:space="preserve"> argued. Additionally, it may restrict students’ willingness and enthusiasm to share their understanding of the text and their beliefs. </w:t>
      </w:r>
    </w:p>
    <w:p w14:paraId="56ED47F2"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Teacher respondent #3 pointed out that some students seem hesitant to challenge their teacher because ‘they think it is disrespectful to do so’. He also asserted that his role as a teacher is to help students overcome this behaviour to become independent thinkers. This phenomenon needs further exploration on whether this hesitation is cultural or embedded in religion. Ghamdi(2015), Mohammad (2017) and Eeales-Reynold (2017) highlighted that teachers must exemplify how Imam Muhammad and Imam Yousuf differed with their teacher, Imam Abu Hanifa, but they must do so tactfully and constructively. Despite prior evidence, teacher respondent #3 revealed that ‘it was quite difficult to persuade students that it is okay to challenge teachers’. Despite teacher's support, it was observed that some students were reluctant to critique texts or other works by people whom they respect. Moreover, similar views were expressed by male student #1 who stated that students are not ready to ‘go for other ways to look at the issue’. They feel hesitant to challenge ‘deeply and long-held beliefs and assumptions’. This is consistent with Beyer (1995),</w:t>
      </w:r>
      <w:r w:rsidR="00FF6025" w:rsidRPr="00C377C8">
        <w:rPr>
          <w:rFonts w:ascii="Times New Roman" w:eastAsia="Calibri" w:hAnsi="Times New Roman" w:cs="Times New Roman"/>
          <w:bCs/>
          <w:color w:val="000000" w:themeColor="text1"/>
          <w:sz w:val="24"/>
          <w:szCs w:val="24"/>
        </w:rPr>
        <w:t> Gayle (2006) and Fraser (2011)</w:t>
      </w:r>
      <w:r w:rsidRPr="00C377C8">
        <w:rPr>
          <w:rFonts w:ascii="Times New Roman" w:eastAsia="Calibri" w:hAnsi="Times New Roman" w:cs="Times New Roman"/>
          <w:color w:val="000000" w:themeColor="text1"/>
          <w:sz w:val="24"/>
          <w:szCs w:val="24"/>
        </w:rPr>
        <w:t xml:space="preserve"> who stated that teachers need to teach challenging skills because they enable students to accept or reject diverse views. </w:t>
      </w:r>
    </w:p>
    <w:p w14:paraId="67EDE993" w14:textId="77777777" w:rsidR="008708EB"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A positive course climate encourages more collaboration and open dialogue (Blackburn 2014; Bluestein, 2011). Participants suggested that open dialogue can help students share their beliefs and challenge other people’s findings. Furthermore, it may enable students to overcome the natural anxiety of analysing the works of those great scholars who hold high positions and respect. Similarly, Brophy (2010) stated that a safe classroom environment can lead to an increase in students' confidence and make them feel that it is right for students with limited knowledge to engage in critical analysis of the works of those who are more experienced and more knowledgeable in their field. In this way, they may become more active learners (Cherney, 2008). </w:t>
      </w:r>
    </w:p>
    <w:p w14:paraId="2D26A45D" w14:textId="77777777" w:rsidR="008708EB" w:rsidRPr="00C377C8" w:rsidRDefault="00FF6025"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Female student #2 revealed that traditional teaching methods like lecturing and translation do not foster critical thinking skills, which is in line with Elton-Chalcraft’s (2015) views. As a result, students cannot fully comprehend the text and engage in a critical dialogue. Previous research confirmed that lecturing and teacher-centred methods do not create a space for students’ interactions (Cotterill, 2017; D’Angelo, 1971 and Lyon, Rogers and Tausch, 2014). These methods do not offer students an opportunity to participate in seminars, presentations, or research projects (Blake, Guillén and Thorne, 2013)</w:t>
      </w:r>
      <w:r w:rsidR="009719B8" w:rsidRPr="00C377C8">
        <w:rPr>
          <w:rFonts w:ascii="Times New Roman" w:eastAsia="Calibri" w:hAnsi="Times New Roman" w:cs="Times New Roman"/>
          <w:color w:val="000000" w:themeColor="text1"/>
          <w:sz w:val="24"/>
          <w:szCs w:val="24"/>
        </w:rPr>
        <w:t xml:space="preserve">. </w:t>
      </w:r>
      <w:r w:rsidRPr="00C377C8">
        <w:rPr>
          <w:rFonts w:ascii="Times New Roman" w:eastAsia="Calibri" w:hAnsi="Times New Roman" w:cs="Times New Roman"/>
          <w:color w:val="000000" w:themeColor="text1"/>
          <w:sz w:val="24"/>
          <w:szCs w:val="24"/>
        </w:rPr>
        <w:t>As a result, students fail to think critically or create new knowledge. Similar views were articulated by female student #2 who stated that in this way students are only listening to a teacher and do not have an opportunity to participate resulting in being disengaged.</w:t>
      </w:r>
    </w:p>
    <w:p w14:paraId="3E7C5635"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It shows that teacher’s ability to create a safe environment, their understanding of the purpose of the curriculum, and students’ background have a substantial impact on teaching practice. An effective teacher has clarity of purpose regarding the skills they want to build, makes contents accessible to all, and creates opportunities for active and deliberate engagement and participation in class. The current study identified that these skills are not in-built but acquired, and Dars-e-Nizami curriculum does not include teaching as a subject. However, most Darul Ulooms graduates take teaching roles in addition to acting as Imams. Therefore, without teaching training, a teacher may not adopt teaching methods that are engaging, participatory, and inclusive. Teachers may end up lecturing in a foreign language, reading from the textbook, and not giving students a chance to ask questions.</w:t>
      </w:r>
    </w:p>
    <w:p w14:paraId="4304019A"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This poor classroom practice was also associated with teachers’ lack of socio-cultural competence (Gracia, 2012). Interviewees suggested that stakeholders should provide existing teachers with opportunities for professional development courses so that they can learn more about the society in which they live and work. Findings also demonstrated that technology has revolutionised the classroom and transformed its planning, delivery, and assessment. The data showed that teachers use technology to structure their lesson and use several translations to diversify their contents and meet students’ needs.  Female teacher asserted that digital technology has altered the way teachers teach and students learn. Furthermore, she suggested that teachers could offer various learning opportunities and ‘ways of engagement’. However, it was also obvious that teachers have limited access and digital capabilities and especially struggled with it during the COVID-19 pandemic. Students did not have an agency and control over their learning and engaged little with class’ contents or with presenting their learning in a structured way to their peers. Technology helps teachers to use multiple contents, invite experts, and benefit from their contribution and experience without their physical presence, but teachers need digital resources and an improvement in their capabilities to use them effectively. Similarly, technology opens the door for the possibility of project-based learning and multidisciplinary approaches. However, the teacher was observed as struggling with student engagement, especially when classes were conducted virtually. To conclude, teacher’s teaching skills, understanding of students, classroom environment, and technology have influenced teaching and learning the critical interpretation of the Quran. </w:t>
      </w:r>
    </w:p>
    <w:p w14:paraId="0BBE3C54" w14:textId="77777777" w:rsidR="008708EB" w:rsidRPr="00C377C8" w:rsidRDefault="009719B8" w:rsidP="00461178">
      <w:pPr>
        <w:pStyle w:val="Heading2"/>
        <w:ind w:left="2268"/>
        <w:rPr>
          <w:rFonts w:eastAsia="Calibri"/>
        </w:rPr>
      </w:pPr>
      <w:bookmarkStart w:id="202" w:name="_Toc75796721"/>
      <w:bookmarkStart w:id="203" w:name="_Toc76374555"/>
      <w:bookmarkStart w:id="204" w:name="_Toc83735610"/>
      <w:bookmarkStart w:id="205" w:name="_Toc83818722"/>
      <w:bookmarkStart w:id="206" w:name="_Toc96609134"/>
      <w:r w:rsidRPr="00C377C8">
        <w:rPr>
          <w:rFonts w:eastAsia="Calibri"/>
        </w:rPr>
        <w:t>Re-thinking the role of a teacher</w:t>
      </w:r>
      <w:bookmarkEnd w:id="202"/>
      <w:bookmarkEnd w:id="203"/>
      <w:bookmarkEnd w:id="204"/>
      <w:bookmarkEnd w:id="205"/>
      <w:bookmarkEnd w:id="206"/>
      <w:r w:rsidRPr="00C377C8">
        <w:rPr>
          <w:rFonts w:eastAsia="Calibri"/>
        </w:rPr>
        <w:t xml:space="preserve"> </w:t>
      </w:r>
      <w:r w:rsidR="00FF6025" w:rsidRPr="00C377C8">
        <w:rPr>
          <w:rFonts w:eastAsia="Calibri"/>
        </w:rPr>
        <w:t xml:space="preserve"> </w:t>
      </w:r>
    </w:p>
    <w:p w14:paraId="1C1D0BA7" w14:textId="77777777" w:rsidR="008708EB" w:rsidRPr="00C377C8" w:rsidRDefault="00FF6025"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Findings on effective teachers’ traits showed that, although curriculum, resources, and equipment are significant factors within learning and teaching, ultimately it is the teacher who makes the process of learning a success or a failure. From this analysis, teacher’s changing role emerged as the most significant because teachers act as a stimulus and ensure that learning is taking place. Some of the discovered traits including communication skills, consistency, and consideration to students are common in existing works (Bender, 2014; </w:t>
      </w:r>
      <w:r w:rsidR="009719B8" w:rsidRPr="00C377C8">
        <w:rPr>
          <w:rFonts w:ascii="Times New Roman" w:eastAsia="Times New Roman" w:hAnsi="Times New Roman" w:cs="Times New Roman"/>
          <w:color w:val="000000" w:themeColor="text1"/>
          <w:sz w:val="24"/>
          <w:szCs w:val="24"/>
          <w:shd w:val="clear" w:color="auto" w:fill="FFFFFF"/>
        </w:rPr>
        <w:t xml:space="preserve">Cullingford, 2010; </w:t>
      </w:r>
      <w:r w:rsidRPr="00C377C8">
        <w:rPr>
          <w:rFonts w:ascii="Times New Roman" w:eastAsia="Calibri" w:hAnsi="Times New Roman" w:cs="Times New Roman"/>
          <w:color w:val="000000" w:themeColor="text1"/>
          <w:sz w:val="24"/>
          <w:szCs w:val="24"/>
        </w:rPr>
        <w:t xml:space="preserve">Furoy, Wong and Wong, 2004; Mohammad, 2015) thereby reinforcing what students and stakeholders expect from a teacher in the classroom. These skills have implications for how teachers influence the process of learning. </w:t>
      </w:r>
    </w:p>
    <w:p w14:paraId="2154D4CB" w14:textId="77777777" w:rsidR="008708EB" w:rsidRPr="00C377C8" w:rsidRDefault="00FF6025"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The analysis shows that with changing landscapes, learning and teaching platforms, and contexts an effective teacher’s role goes beyond basic lecturing and teaching. The curriculum showed that a teacher’s role is to equip students with skills, knowledge, and understanding that would help them to succeed both as an individual and as an influencer. Participants suggested that an effective teacher involves students in the process of learning and inspires them to think critically, make informed judgements about different rulings and interpretations, and communicate complex issues without offending anyone. Therefore, teachers’ understanding of the rapidly changing society, the pace at which interpretations are created, adapted, and experimented with is important to the teaching process from planning through to the assessment. </w:t>
      </w:r>
    </w:p>
    <w:p w14:paraId="4E744264" w14:textId="77777777" w:rsidR="008708EB" w:rsidRPr="00C377C8" w:rsidRDefault="00FF6025"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Interestingly, most research participants emphasised that a teacher needs to look beyond their own beliefs or views because their task is to develop students’ ability to evaluate other people’s positions and express their views in a structured way. So, a teacher’s task is to include material, which is representative of different schools of thought and cultural backgrounds. For example, when they select interpretations, it should be selected from Sunni Tafasir, Shia Tafasir, Salafi Tafasir etc. Similarly, when using experts and working with guest speakers, a teacher must ensure that a person has the right knowledge and experience and understands the purpose of the activity. This is a great step, which can foster a better understanding between different schools of thought and tolerance for other people’s beliefs. </w:t>
      </w:r>
    </w:p>
    <w:p w14:paraId="5D23DD94" w14:textId="77777777" w:rsidR="008708EB"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Theme two and three emphasised active learning fostering. </w:t>
      </w:r>
      <w:r w:rsidR="00FF6025" w:rsidRPr="00C377C8">
        <w:rPr>
          <w:rFonts w:ascii="Times New Roman" w:eastAsia="Calibri" w:hAnsi="Times New Roman" w:cs="Times New Roman"/>
          <w:color w:val="000000" w:themeColor="text1"/>
          <w:sz w:val="24"/>
          <w:szCs w:val="24"/>
        </w:rPr>
        <w:t xml:space="preserve">Teacher’s assumption that students must be actively engaged in the process of learning were similar to the existing research in areas including language, literature, and mathematics (Redmond, Foran and Dwyer, 2010; Stix and Hrbek, 2006). With traditional Islamic teaching, where most of it is teacher-centred and teacher-focused, it is a healthy change in teacher’s mind-set and teaching approach because it may lead to a pleasant classroom experience. Student-centred approaches can increase students’ engagement at three levels: immersion with the text, grappling with different interpretations, and testing the validity of evidence and drawing conclusions. Although some of the techniques suggested by participants may be common across different disciplines, fostering questioning and challenging skills is new within the discipline of teaching the critical interpretation of the Quran. </w:t>
      </w:r>
    </w:p>
    <w:p w14:paraId="43F85C25" w14:textId="77777777" w:rsidR="009719B8" w:rsidRPr="00C377C8" w:rsidRDefault="00FF6025"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It is important to take heed of research participants’ accounts to understand effective teachers’ role in this context. </w:t>
      </w:r>
      <w:r w:rsidR="009719B8" w:rsidRPr="00C377C8">
        <w:rPr>
          <w:rFonts w:ascii="Times New Roman" w:eastAsia="Calibri" w:hAnsi="Times New Roman" w:cs="Times New Roman"/>
          <w:color w:val="000000" w:themeColor="text1"/>
          <w:sz w:val="24"/>
          <w:szCs w:val="24"/>
        </w:rPr>
        <w:t xml:space="preserve">Ruijs and Peetsma (2009), Ishida (1994) and Grenot-Scheyer (1996) pointed out that </w:t>
      </w:r>
      <w:r w:rsidRPr="00C377C8">
        <w:rPr>
          <w:rFonts w:ascii="Times New Roman" w:eastAsia="Calibri" w:hAnsi="Times New Roman" w:cs="Times New Roman"/>
          <w:color w:val="000000" w:themeColor="text1"/>
          <w:sz w:val="24"/>
          <w:szCs w:val="24"/>
        </w:rPr>
        <w:t xml:space="preserve">there are several factors, which limit teacher’s role within a classroom and are linked to subject knowledge and pedagogical skills. One could speculate, for example, that participants continue to teach as they were taught, by using traditional methods, and students should adjust. Consistent with the findings of this study, we would urge that when thinking of an effective teaching role, two things are important. Firstly, teacher’s understanding of different norms and strands of the critical interpretation of the Quran, which is more important than knowledge per se. Secondly, individual perceptions of what can enhance their practice will vary, so teachers should be closely involved in understanding their role within teaching and learning. </w:t>
      </w:r>
    </w:p>
    <w:p w14:paraId="29F3C811" w14:textId="77777777" w:rsidR="009719B8" w:rsidRPr="00C377C8" w:rsidRDefault="009719B8" w:rsidP="00461178">
      <w:pPr>
        <w:spacing w:after="0" w:line="360" w:lineRule="auto"/>
        <w:ind w:left="2268"/>
        <w:jc w:val="both"/>
        <w:rPr>
          <w:rFonts w:ascii="Times New Roman" w:eastAsia="Times New Roman"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When talking about teacher’s role, participants highlighted that multidisciplinary knowledge of an effective teacher should be centred around language, culture, and technology. For the most part, understanding of Tafsir’s and hadith’s principles can enable teachers to support students who may </w:t>
      </w:r>
      <w:r w:rsidRPr="00C377C8">
        <w:rPr>
          <w:rFonts w:ascii="Times New Roman" w:eastAsia="Times New Roman" w:hAnsi="Times New Roman" w:cs="Times New Roman"/>
          <w:color w:val="000000" w:themeColor="text1"/>
          <w:sz w:val="24"/>
          <w:szCs w:val="24"/>
        </w:rPr>
        <w:t>push back and disengage in the process of re-thinking of an interpretation if they find that they cannot support their interpretation with reliable textual evidence. For example, hadith literature is categorised and ranked as authentic, weak, fabricated and so on. So, a teacher’s role is to enable students to weigh up the evidence that different interpreters use to support their interpretation. For this, participants recommended that a teacher should make sure that they have provided their students with the glossary and definitions of such terms so that they can link them with current knowledge, with the aim of generating and evaluating interpretations, and thus making informed judgements.</w:t>
      </w:r>
    </w:p>
    <w:p w14:paraId="084EF8BD"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p>
    <w:p w14:paraId="58A925DA"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In addition, an effective teacher’s role requires to ensure equity and provide equal opportunities to all students irrespective of their gender and theological background. The female teacher revealed that students’ learning in single sex settings may be disadvantaged because they cannot have male perspectives when they engage in re-thinking of different interpretations. This issue has not been previously highlighted within the pedagogy of the Quran. Additionally, since students come from different religious backgrounds, if a teacher values diversity, they will ensure that everyone participates, feels part of the whole, and works creatively. This enriches students’ learning experience and enhances their classroom participation. Valuing diversity and inclusion resonates with Gross, Davies and Diab (2013) findings that an effective teacher involves each student in classroom activities and does not allow anyone to dominate and disrupt. Respondents unanimously proposed that an effective teacher’s task is to create an inclusive learning culture, which helps students to participate in the process of constructing new knowledge. This can be linked to other schools, where children with the Muslim faith will be in minority. It is also important for them to be considerate to students and make sure that they feel part of the whole. </w:t>
      </w:r>
    </w:p>
    <w:p w14:paraId="6C1E0910" w14:textId="77777777" w:rsidR="009719B8" w:rsidRPr="00C377C8" w:rsidRDefault="009719B8" w:rsidP="00461178">
      <w:pPr>
        <w:spacing w:after="0" w:line="360" w:lineRule="auto"/>
        <w:ind w:left="2268"/>
        <w:jc w:val="both"/>
        <w:rPr>
          <w:rFonts w:ascii="Times New Roman" w:eastAsia="Times New Roman" w:hAnsi="Times New Roman" w:cs="Times New Roman"/>
          <w:color w:val="000000" w:themeColor="text1"/>
          <w:sz w:val="24"/>
          <w:szCs w:val="24"/>
        </w:rPr>
      </w:pPr>
      <w:r w:rsidRPr="00C377C8">
        <w:rPr>
          <w:rFonts w:ascii="Times New Roman" w:eastAsia="Times New Roman" w:hAnsi="Times New Roman" w:cs="Times New Roman"/>
          <w:color w:val="000000" w:themeColor="text1"/>
          <w:sz w:val="24"/>
          <w:szCs w:val="24"/>
        </w:rPr>
        <w:t xml:space="preserve">Similarly, integrating global, inter-cultural, and inter-religious perspectives was mentioned as part of effective teacher’s tasks, and the teacher must know how to manage difficult conversations in class. As discussed in the literature review, an inspiring teacher motivates students to explore what the text meant then and what it means now (Wilhoit and Ryken, 2012) and this should be done without causing any offence. </w:t>
      </w:r>
    </w:p>
    <w:p w14:paraId="574EA817" w14:textId="77777777" w:rsidR="009719B8" w:rsidRPr="00C377C8" w:rsidRDefault="009719B8" w:rsidP="00461178">
      <w:pPr>
        <w:spacing w:after="0" w:line="360" w:lineRule="auto"/>
        <w:ind w:left="2268"/>
        <w:jc w:val="both"/>
        <w:rPr>
          <w:rFonts w:ascii="Times New Roman" w:eastAsia="Times New Roman" w:hAnsi="Times New Roman" w:cs="Times New Roman"/>
          <w:color w:val="000000" w:themeColor="text1"/>
          <w:sz w:val="24"/>
          <w:szCs w:val="24"/>
        </w:rPr>
      </w:pPr>
      <w:r w:rsidRPr="00C377C8">
        <w:rPr>
          <w:rFonts w:ascii="Times New Roman" w:eastAsia="Times New Roman" w:hAnsi="Times New Roman" w:cs="Times New Roman"/>
          <w:color w:val="000000" w:themeColor="text1"/>
          <w:sz w:val="24"/>
          <w:szCs w:val="24"/>
        </w:rPr>
        <w:t>Ensuring equity within the class is essential for students’ critical thinking skills as it may enhance students’ interests, make them feel part of the whole, and understand the world around them better. Moreover, it sharpens their ability to identify what is relevant and have a greater accuracy, which is in line with what Atweh (2008) and Onsman (2010) said. In addition, Sardar (2012) argued that the internationalization of the Quran should be a key element when re-thinking divine revelations. One of the female respondents questioned her teacher for not offering ‘a wider world view’ as ‘he always talks about his school of thought’, ‘sheds little light on what people from other schools of thoughts think’, ‘which ends in poor judgements or conclusions’. Students like it when their teachers become open to all ideas, when they ‘listen to you, accept or reject your views, it means a lot’. In contrary, students may be disappointed if a teacher does not look beyond or does not allow students to look beyond certain theological and sectarian boundaries. As expressed by the female student #2, ‘within Islam, people belong to different schools of thought such as Sunni, Deobandi, or Wahabi, many of the teachers teach things that fit in their ideology’. This resonates with Mohammad (2015) and Ghamdi (2017) who stated that limited approaches to divine text breed rigidity and narrow-mindedness. Therefore, an effective teacher looks outside of his/her sectarian views, and become inclusive using diverse contents and recognising students’ diverse views and perspectives.</w:t>
      </w:r>
    </w:p>
    <w:p w14:paraId="7F936F2A" w14:textId="77777777" w:rsidR="009719B8" w:rsidRPr="00C377C8" w:rsidRDefault="00FF6025"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Male student #2 further echoed that if a single text is used, it will not foster more in-depth dialogue and discussions in the classroom. Participants also recognised that most of the classical texts on interpretations are in Arabic, and if students have little or no competence in Arabic, they can hardly identify similarities and differences between texts. If a teacher does not see that students want to explore classical texts, they will feel that they do not want to learn, and will thus not teach actively. Therefore, students must show interest and willingness to see beyond the simple text of the Quran for effective teaching and learning.</w:t>
      </w:r>
    </w:p>
    <w:p w14:paraId="561CA547"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Times New Roman" w:hAnsi="Times New Roman" w:cs="Times New Roman"/>
          <w:color w:val="000000" w:themeColor="text1"/>
          <w:sz w:val="24"/>
          <w:szCs w:val="24"/>
        </w:rPr>
        <w:t xml:space="preserve">In the process of internationalisation of the text, re-thinking of interpretations is an essential part in which </w:t>
      </w:r>
      <w:r w:rsidRPr="00C377C8">
        <w:rPr>
          <w:rFonts w:ascii="Times New Roman" w:eastAsia="Calibri" w:hAnsi="Times New Roman" w:cs="Times New Roman"/>
          <w:color w:val="000000" w:themeColor="text1"/>
          <w:sz w:val="24"/>
          <w:szCs w:val="24"/>
        </w:rPr>
        <w:t xml:space="preserve">students interrogate different interpretations and consider other texts. Re-thinking interpretations allows students to develop higher order thinking skills, organise information, think more clearly, and express their opinions more effectively, in line with Derrida et al. (2008) findings. Therefore, a teacher’s role is to support students to see beyond their regional boundaries, but this cannot be done without setting clear expectations. An effective teacher must task students with examining two or more interpretations written in different parts of the world. They should inspire students to elaborate on how different interpreters dealt with the text. The researcher found that teachers do use different interpretations, but they were from one school of thought. Such practice does not allow students to evaluate different interpretations, because scholars from one school of thought think along the similar line. Therefore, interpretations written following the same principles may not nurture critical thinking skills. </w:t>
      </w:r>
    </w:p>
    <w:p w14:paraId="23FD7AEC"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Another teacher’s task highlighted in the findings was to motivate students to think outside the box and to relate the Quranic text with real-life issues. Students prefer a teacher who inspires them to think creatively and openly without being judgemental because it enables them to solve problems and become more resilient (Lucas and Spencer, 2018). Students stressed that a teacher is the best person to engage students in real-world issues, to accommodate different beliefs and cultural values, and to encourage them to take an interest in unveiling text’s hidden meanings. Angel (2009) stated that if students experience this pro-activeness from a teacher, then it is more likely that they will engage and contribute positively in class. </w:t>
      </w:r>
    </w:p>
    <w:p w14:paraId="4E617950" w14:textId="77777777" w:rsidR="008708EB"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One of the issues raised by teaching participants was lack of training opportunities in which teachers may upgrade their knowledge of </w:t>
      </w:r>
      <w:r w:rsidR="00FF6025" w:rsidRPr="00C377C8">
        <w:rPr>
          <w:rFonts w:ascii="Times New Roman" w:eastAsia="Calibri" w:hAnsi="Times New Roman" w:cs="Times New Roman"/>
          <w:color w:val="000000" w:themeColor="text1"/>
          <w:sz w:val="24"/>
          <w:szCs w:val="24"/>
        </w:rPr>
        <w:t>local culture and societies. This hinders their ability to relate the text to the present society and culture and affects their confidence to address greater social issues and problems. Furthermore, there are calls from different education stakeholders to employ those teachers who understand local culture and values (Gravani, 2008; Kennedy, 2000), so that the teachers have a clear understanding of what to include in teaching contents, designing classrooms strategies, and appropriate classroom delivery (Leicester and Taylor, 2010; Manalo, 2019). The literature notes that lack of criticality in the classroom is often considered a problem on the teacher's end, but suggestions have been made that it is everyone's responsibility (Eales-Reynolds, 2017). This is evident and vivid throughout the study from participants’ responses who are all open to different ideas and views. It should be noted that a teacher coming from a different background than their students and the one that does not have a cultural understanding may lead to problems in engaging students in discussions and dialogues (Aden, 2013).</w:t>
      </w:r>
    </w:p>
    <w:p w14:paraId="0C77DA24" w14:textId="77777777" w:rsidR="008708EB" w:rsidRPr="00C377C8" w:rsidRDefault="009719B8" w:rsidP="00461178">
      <w:pPr>
        <w:spacing w:after="0" w:line="360" w:lineRule="auto"/>
        <w:ind w:left="2268"/>
        <w:jc w:val="both"/>
        <w:rPr>
          <w:rFonts w:ascii="Times New Roman" w:eastAsia="Times New Roman" w:hAnsi="Times New Roman" w:cs="Times New Roman"/>
          <w:color w:val="000000" w:themeColor="text1"/>
          <w:sz w:val="24"/>
          <w:szCs w:val="24"/>
        </w:rPr>
      </w:pPr>
      <w:r w:rsidRPr="00C377C8">
        <w:rPr>
          <w:rFonts w:ascii="Times New Roman" w:eastAsia="Times New Roman" w:hAnsi="Times New Roman" w:cs="Times New Roman"/>
          <w:color w:val="000000" w:themeColor="text1"/>
          <w:sz w:val="24"/>
          <w:szCs w:val="24"/>
        </w:rPr>
        <w:t>Student respondents like having a teacher who believes in enquiry-led teaching and learning, and the one who leads students in further enquiry and identifies gaps in the process of learning. Teachers' knowledge and broader experience profoundly affects students' choices and seeing different ideas through the Quran and Ahadith. If a teacher is knowledgeable and helpful, students will be more engaged and take more interest in learning. In contrast, a teacher with limited knowledge of the Quran and Ahadith cannot act as the most knowledgeable other and cannot challenge students or impart critical thinking skills.</w:t>
      </w:r>
    </w:p>
    <w:p w14:paraId="6CF85604" w14:textId="77777777" w:rsidR="008708EB" w:rsidRPr="00C377C8" w:rsidRDefault="00FF6025" w:rsidP="00461178">
      <w:pPr>
        <w:spacing w:after="0" w:line="360" w:lineRule="auto"/>
        <w:ind w:left="2268"/>
        <w:jc w:val="both"/>
        <w:rPr>
          <w:rFonts w:ascii="Times New Roman" w:eastAsia="Times New Roman"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The data showed that a teacher must have certain </w:t>
      </w:r>
      <w:r w:rsidR="009719B8" w:rsidRPr="00C377C8">
        <w:rPr>
          <w:rFonts w:ascii="Times New Roman" w:eastAsia="Times New Roman" w:hAnsi="Times New Roman" w:cs="Times New Roman"/>
          <w:color w:val="000000" w:themeColor="text1"/>
          <w:sz w:val="24"/>
          <w:szCs w:val="24"/>
        </w:rPr>
        <w:t xml:space="preserve">personal, teaching, and intellectual traits </w:t>
      </w:r>
      <w:r w:rsidRPr="00C377C8">
        <w:rPr>
          <w:rFonts w:ascii="Times New Roman" w:eastAsia="Calibri" w:hAnsi="Times New Roman" w:cs="Times New Roman"/>
          <w:color w:val="000000" w:themeColor="text1"/>
          <w:sz w:val="24"/>
          <w:szCs w:val="24"/>
        </w:rPr>
        <w:t xml:space="preserve">to perform these tasks </w:t>
      </w:r>
      <w:r w:rsidR="009719B8" w:rsidRPr="00C377C8">
        <w:rPr>
          <w:rFonts w:ascii="Times New Roman" w:eastAsia="Times New Roman" w:hAnsi="Times New Roman" w:cs="Times New Roman"/>
          <w:color w:val="000000" w:themeColor="text1"/>
          <w:sz w:val="24"/>
          <w:szCs w:val="24"/>
        </w:rPr>
        <w:t xml:space="preserve">(McEwan-Adkins and McEwan-Adkins, 2010), with many studies using similar terms such as professional competence, and interpersonal and communication skills (Connelly, Craig and Clandinin, 1995; Dabell, 2019; Oniye, 2020). Recent studies recognised competency as one's subject knowledge and understanding of inclusivity, diversity, and equal opportunities (Pantić and Wubbels, 2010; </w:t>
      </w:r>
      <w:r w:rsidRPr="00C377C8">
        <w:rPr>
          <w:rFonts w:ascii="Times New Roman" w:eastAsia="Calibri" w:hAnsi="Times New Roman" w:cs="Times New Roman"/>
          <w:color w:val="000000" w:themeColor="text1"/>
          <w:sz w:val="24"/>
          <w:szCs w:val="24"/>
        </w:rPr>
        <w:t>Spinthourakis, Lalor and Berg, 2012;</w:t>
      </w:r>
      <w:r w:rsidR="009719B8" w:rsidRPr="00C377C8">
        <w:rPr>
          <w:rFonts w:ascii="Times New Roman" w:eastAsia="Times New Roman" w:hAnsi="Times New Roman" w:cs="Times New Roman"/>
          <w:color w:val="000000" w:themeColor="text1"/>
          <w:sz w:val="24"/>
          <w:szCs w:val="24"/>
        </w:rPr>
        <w:t xml:space="preserve"> Trafford, 2000</w:t>
      </w:r>
      <w:r w:rsidRPr="00C377C8">
        <w:rPr>
          <w:rFonts w:ascii="Times New Roman" w:eastAsia="Calibri" w:hAnsi="Times New Roman" w:cs="Times New Roman"/>
          <w:color w:val="000000" w:themeColor="text1"/>
          <w:sz w:val="24"/>
          <w:szCs w:val="24"/>
        </w:rPr>
        <w:t xml:space="preserve">). </w:t>
      </w:r>
      <w:r w:rsidR="009719B8" w:rsidRPr="00C377C8">
        <w:rPr>
          <w:rFonts w:ascii="Times New Roman" w:eastAsia="Times New Roman" w:hAnsi="Times New Roman" w:cs="Times New Roman"/>
          <w:color w:val="000000" w:themeColor="text1"/>
          <w:sz w:val="24"/>
          <w:szCs w:val="24"/>
        </w:rPr>
        <w:t xml:space="preserve">The most desirable traits of an effective teacher as identified by respondents were respectfulness, linguistic and cultural competence, impartiality and independence, adaptation, and communication skills. Some of these findings such as respectfulness and communication skills resonate with Mack-Kirschner and Bridges (2005), Bennett (2012), Perrott (2014), and Eales (2017), while others make a valuable extension to the existing literature. </w:t>
      </w:r>
    </w:p>
    <w:p w14:paraId="0E08C779" w14:textId="77777777" w:rsidR="008708EB" w:rsidRPr="00C377C8" w:rsidRDefault="00FF6025" w:rsidP="00461178">
      <w:pPr>
        <w:pStyle w:val="Heading2"/>
        <w:spacing w:line="360" w:lineRule="auto"/>
        <w:ind w:left="2268"/>
        <w:rPr>
          <w:rStyle w:val="Heading2Char"/>
          <w:b/>
        </w:rPr>
      </w:pPr>
      <w:bookmarkStart w:id="207" w:name="_Toc75796722"/>
      <w:bookmarkStart w:id="208" w:name="_Toc76374556"/>
      <w:bookmarkStart w:id="209" w:name="_Toc83735611"/>
      <w:bookmarkStart w:id="210" w:name="_Toc83818723"/>
      <w:bookmarkStart w:id="211" w:name="_Toc96609135"/>
      <w:r w:rsidRPr="00C377C8">
        <w:rPr>
          <w:rStyle w:val="Heading2Char"/>
          <w:b/>
        </w:rPr>
        <w:t>Understanding approaches to effective teaching</w:t>
      </w:r>
      <w:bookmarkEnd w:id="207"/>
      <w:bookmarkEnd w:id="208"/>
      <w:bookmarkEnd w:id="209"/>
      <w:bookmarkEnd w:id="210"/>
      <w:bookmarkEnd w:id="211"/>
    </w:p>
    <w:p w14:paraId="01D935B7"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In previous section, changing role of a teacher was discussed in relation to the purpose of the curriculum and within the context of changing landscapes for teachers. Although planning, delivery, and assessment are interconnected in teaching and learning, the first thing students experience is teacher’s delivery. Therefore, this section is dedicated to the discussion of effective teaching approaches, their meanings, relevance, and importance.  </w:t>
      </w:r>
    </w:p>
    <w:p w14:paraId="04EE6F45"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Several studies have shown that teacher’s methodological and structured approaches are the main drivers of developing students’ intellectual and creative skills (Brookfield, 2012; Easton, 2019; Sinai, 2018). Likewise, methodological approaches enable teachers to develop consistency in their work and explore hidden meanings of the text (Moskal, 2017). Therefore, these approaches make students disciplined and critical. </w:t>
      </w:r>
    </w:p>
    <w:p w14:paraId="4A2F6FFA" w14:textId="77777777" w:rsidR="008708EB"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The research analysis showed that the proposed teaching strategies including personalised, inclusive, internationalised, and real-world teaching and learning lead to a construction of new knowledge, which is authentic and reliable. In all these approaches, both teachers and students are actively involved in creatively constructing new interpretations or evaluating existing interpretations. It is hard to link this aspect with existing literature as no study was found within this context, but it could be linked to Western scholars’ works including Fenwick</w:t>
      </w:r>
      <w:r w:rsidR="00FF6025" w:rsidRPr="00C377C8">
        <w:rPr>
          <w:rFonts w:ascii="Times New Roman" w:eastAsia="Calibri" w:hAnsi="Times New Roman" w:cs="Times New Roman"/>
          <w:color w:val="000000" w:themeColor="text1"/>
          <w:sz w:val="24"/>
          <w:szCs w:val="24"/>
        </w:rPr>
        <w:t xml:space="preserve"> (2001),  Worrell and Profetto-McGrath (2007), and Moskal (2017) who stated that teachers and students must work together for a meaningful engagement. The current study delves further into teachers’ and students’ perspectives on students’ active involvement in the learning process. Although the research was carried out in a specific context, this should allow for shared values across different educational fields and for the most effective teachers to emerge and help new teachers of critical thinking skills or critical interpretation of the Quran. </w:t>
      </w:r>
    </w:p>
    <w:p w14:paraId="18E7A65A" w14:textId="77777777" w:rsidR="008708EB" w:rsidRPr="00C377C8" w:rsidRDefault="008708EB" w:rsidP="00461178">
      <w:pPr>
        <w:spacing w:after="0" w:line="360" w:lineRule="auto"/>
        <w:ind w:left="2268"/>
        <w:jc w:val="both"/>
        <w:rPr>
          <w:rFonts w:ascii="Times New Roman" w:eastAsia="Calibri" w:hAnsi="Times New Roman" w:cs="Times New Roman"/>
          <w:color w:val="000000" w:themeColor="text1"/>
          <w:sz w:val="24"/>
          <w:szCs w:val="24"/>
        </w:rPr>
      </w:pPr>
    </w:p>
    <w:p w14:paraId="09E57B67" w14:textId="77777777" w:rsidR="008708EB" w:rsidRPr="00C377C8" w:rsidRDefault="00FF6025"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Teaching and learning the critical interpretation of the Quran is a shared activity between teachers and students. Teachers give students a task to either work independently or with their peers but continue to see the progress students make by examining their activities. During the process of learning and constructing knowledge, an effective teacher recognises that every student is different and can offer different perspectives and insights, which enrich other students’ understanding of other people’s beliefs and values. In a personalised teaching approach, a teacher, or a peer act as ‘the most knowledgeable other’ to ensure consistency in the process of learning with the aim of achieving a deeper learning and understanding. Female student #2 liked a teacher who acted as a facilitator and provided support whenever students need it. In the process of constructing new interpretations, it is widely accepted that teacher’s consideration for students’ background and ‘giving them a task and introducing them to resources, which are considerate but diverse and challenging’ could have a positive effect on students’ engagement and progression (Ciaccio, 2004; Seider, 2011; Woodard and Fatzinger, 2018). Students learn more when a lesson is built on their existing knowledge and when they have an opportunity to bring their diverse experiences and personalities into a classroom (Batich, 2007; Mansfield and Happs, 1992). This goes in line with participants’ views of personalised learning.</w:t>
      </w:r>
    </w:p>
    <w:p w14:paraId="43BBD471" w14:textId="77777777" w:rsidR="008708EB" w:rsidRPr="00C377C8" w:rsidRDefault="00FF6025"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The female teacher asserted that ‘each student is different’, therefore a teacher of the critical interpretation of the Quran should design questions, which build on students’ existing knowledge with a focus on expanding it. She added that preparing something for each student is more beneficial than lecturing or using the one-size-fit-for-all approach. However, personalised teaching is time consuming and requires a lot of planning and commitment. It can be hard to digest and embrace fully for new teachers who come from an educational culture, where lecturing and teacher–centred approaches are in place. </w:t>
      </w:r>
    </w:p>
    <w:p w14:paraId="17D1CB78" w14:textId="77777777" w:rsidR="008708EB" w:rsidRPr="00C377C8" w:rsidRDefault="00FF6025"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We are of the view that personalised approaches can work at the initial stage, where students are engaged in recognising forms and functions of different words and phrases, and construct interpretations. Similarly, it can be useful for the final project when students are to produce essays. However, it is not useful when students re-think interpretations because at this stage, students must work with their peers, re-think their own and others’ positions, compare ideas, and reach a reliable conclusion. This is linked to Ehly and Topping (2009) and Settles (2012) who mentioned that different objectives will require different approaches. This study suggests that peer-assisted learning is an effective strategy for engaging students in critical thinking skills and building their confidence. It was evident that students who were acting as ‘most knowledgeable others’ were more confident and independent and were more involved when supporting other students who lacked linguistic competence. Students may develop skills such as empathy, debating, negotiating meanings, and presenting their perspectives in a structured and considerate way. In addition, with peer and teacher support, students can develop their derivational skills, which they might have missed in previous learning. </w:t>
      </w:r>
    </w:p>
    <w:p w14:paraId="66777AF5" w14:textId="77777777" w:rsidR="008708EB" w:rsidRPr="00C377C8" w:rsidRDefault="00FF6025"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When working with individual students, teaching participants suggested giving personalised feedback to students’ performance relative to their learning goals or outcomes. Personalised feedback helps students to understand their existing knowledge and skills, identify the areas of future learning they need to focus on, and what is expected of them. This is in line with Cook (1999), Brookhart (2008), and Williams and Kane (2009) who argued that in personalised learning and teaching feedback aims to improve students’ identified gaps and their strengths in certain areas. In contrast, if a teacher does not give personalised feedback, students may not know which areas they need to work on to make progress. Students like a teacher who gives ‘individual and confidential feedback’ or is non-judgmental. This can be done better if teachers are good at using digital technology (Hansen, 2009) because then they can send comments and feedback and provide students with an opportunity to have a one-to-one discussion. The current study proposes that a personalised approach is one of the best teaching approaches one could use to help students succeed in their learning and attainment.</w:t>
      </w:r>
    </w:p>
    <w:p w14:paraId="10B4E3F8" w14:textId="77777777" w:rsidR="009719B8" w:rsidRPr="00C377C8" w:rsidRDefault="00FF6025"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The analysis demonstrated that internationalisation of teaching requires students to see the text beyond their socio-cultural borders, which can be implemented through discussion, dialogue, and using experts within a classroom. These techniques are effective for teaching of the re-thinking of interpretations, which requires a high level of students’ involvement in a diverse literature, communities, and cultures. Muijs and Reynolds (2011), Christenson, Reschly and Wylie (2013, p. 174), and McMahon, Forde and Martin (2011) also suggested that a dialogue between students who come from different backgrounds enhances students’ knowledge about other cultures and communities. Moreover, it can develop their skills of learning the text in one context and applying it to the other. The findings also suggested that students must engage in inquiry and research to support their argument to debate and evaluate different interpretations. Female teacher, for example, suggested that a teacher should help students to </w:t>
      </w:r>
      <w:r w:rsidR="009719B8" w:rsidRPr="00C377C8">
        <w:rPr>
          <w:rFonts w:ascii="Times New Roman" w:eastAsia="Calibri" w:hAnsi="Times New Roman" w:cs="Times New Roman"/>
          <w:color w:val="000000" w:themeColor="text1"/>
          <w:sz w:val="24"/>
          <w:szCs w:val="24"/>
        </w:rPr>
        <w:t xml:space="preserve">develop questions and task them with investigating the topic using multiple resources. Similarly, the male teacher suggested that additional research should be conducted to offer students an opportunity to present their findings and views. </w:t>
      </w:r>
    </w:p>
    <w:p w14:paraId="069A6834"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In line with previous studies, the current study provided evidence that teachers need to carefully plan an inquiry-led strategy because it is time-consuming, and teachers have limited time in a classroom (</w:t>
      </w:r>
      <w:r w:rsidR="00FF6025" w:rsidRPr="00C377C8">
        <w:rPr>
          <w:rFonts w:ascii="Times New Roman" w:eastAsia="Calibri" w:hAnsi="Times New Roman" w:cs="Times New Roman"/>
          <w:color w:val="000000" w:themeColor="text1"/>
          <w:sz w:val="24"/>
          <w:szCs w:val="24"/>
        </w:rPr>
        <w:t>McMahon, Forde and Martin, 2011)</w:t>
      </w:r>
      <w:r w:rsidRPr="00C377C8">
        <w:rPr>
          <w:rFonts w:ascii="Times New Roman" w:eastAsia="Calibri" w:hAnsi="Times New Roman" w:cs="Times New Roman"/>
          <w:color w:val="000000" w:themeColor="text1"/>
          <w:sz w:val="24"/>
          <w:szCs w:val="24"/>
        </w:rPr>
        <w:t xml:space="preserve">. Using inquiry as a teaching method allows a teacher to help students with developing meaningful questions, give them sufficient time to explore, and finally time to present their findings. In contrast, if students do not have researchable questions, have less time, and they do not have time to present, it may frustrate them and cause them to disengage in future learning. We can also argue that this approach can be equally useful for religious education teachers in state school who are involved in teaching difficult subjects. This is quite significant in the context of Batley Grammar School where a teacher was found using inappropriate material, which led to tension between the teacher and students, the school and Muslim community. </w:t>
      </w:r>
    </w:p>
    <w:p w14:paraId="6C9C54D3"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Findings also clarified that technology could play a vital role in the process of student’s inquiry and research, and teachers’ use of creative content. Male teacher #3 proposed the need for teachers to be digitally literate. He asserted that it would be better if stakeholders spent more on library and digital resources. Furthermore, he pointed out that using digital resources enhances students' interest and engagement in a classroom. Female student #1 also appreciated her teacher for allowing students to use mobile phones for research in a classroom. Under current circumstances and with COVID-19 in mind, there is a need for teachers to become digitally literate so that they can engage students in distance learning. Using digital resources creatively and effectively may help teachers to support students with linguistic needs and to access diverse literature. Our results demonstrated and affirmed previous research findings by Jonassen (2000), and Niess, Kajder and Lee (2008) in that technology helps teachers in the classroom to enhance students’ curiosity and creative skills. </w:t>
      </w:r>
    </w:p>
    <w:p w14:paraId="446F1CDC"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During the group discussion, a teacher should motivate students and prepare them to challenge and be challenged by other people’s positions. Male teacher #3 highlighted that teachers must show students that they like to be challenged throughout the journey of learning, and be aware of students' existing knowledge and skills (Elton-Chalcraft, 2015; Francis et al., 1996). Female teacher respondent asserted that she likes leading students through questioning, and their peers also pose thought-provoking questions that inspire other students to think for themselves and become more independent thinkers. If a student is shy, lacks knowledge, has limited communication skills, or cannot work independently, she suggested engaging them in group discussion, which builds their confidence and challenging skills. </w:t>
      </w:r>
    </w:p>
    <w:p w14:paraId="75B307A6"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Furthermore, creating a safe space for a class was also emphasised in the analysis. Teachers should ensure that everyone in a classroom is treated with respect and care. This requires institutes, teachers, and students to share regard for safeguarding policies. In the present educational culture of teaching the critical interpretation of the Quran, teachers found it difficult to manage students’ behaviour due to limited communication skills and lack of understanding of different policies. The main reason is, such policies did not exist in institutes back when teachers were obtaining their education. </w:t>
      </w:r>
    </w:p>
    <w:p w14:paraId="70396270"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Previous research showed that when students are treated well emotionally, it prepares them for difficult conversations. Female teacher suggested that it is more appropriate to first study how the topic was studied throughout history before asking for students’ perspectives. This multi-disciplinary historical approach may enhance students’ sense of belonging and help teachers in creating a positive classroom atmosphere where discussions can happen authentically. </w:t>
      </w:r>
    </w:p>
    <w:p w14:paraId="64825BB2"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Moreover, it was argued that some of the topics may be upsetting for some students due to their background or past experiences; thus, they may need an extra support. While discussing domestic violence, male teacher #1 asserted that there might be students who experienced it and are not comfortable talking about those issues. Male student #2 also confirmed that some students who come from the Middle East and have been affected by terrorism and extremism might find it difficult to talk about such issues. Under such circumstances, a teacher should talk to a student one-on-one so that they may have a sense of care and inclusivity. This is an important revelation, which needs further research on how to support these students best. </w:t>
      </w:r>
    </w:p>
    <w:p w14:paraId="7804A2FD" w14:textId="77777777" w:rsidR="008708EB"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Inclusive teaching approach was also suggested for the development of critical thinking skills, as it was observed that some teachers favoured some voices over the others, which can be a barrier to dialogue and construction of knowledge. One of the teachers used different interpretations and asked students to compare them, but it was noted that authors were from the same school of thought. This may happen due to teacher’s lack of thorough knowledge, it could be intentional or following institutional policy or disciplinary context. However, inclusion of all voices is essential to develop critical thinking skills. Lack of inclusion may lead to marginalisation of some groups or students within a classroom. When a teacher is thinking of incorporating diverse interpretations into classroom contents, a teacher should also reflect on their own theological, cultural, and political frames of reference. Existing research recommended that a teacher should check their disciplinary websites, journals, published work for diverse resources or seek help from their colleagues. Although very few resources are available on pedagogy of the critical interpretation of the Quran. </w:t>
      </w:r>
    </w:p>
    <w:p w14:paraId="64EDB041" w14:textId="77777777" w:rsidR="008708EB" w:rsidRPr="00C377C8" w:rsidRDefault="00FF6025"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Weighing an argument is an important area of teaching the critical interpretation of the Quran. At this stage, students learn how to find arguments that support their perspectives and present them to others. The findings showed that students were engaged in identification of arguments and justifications of different interpretations. The current study suggests that exploratory approach and questioning techniques help students to dig deeper into the text. It was evident that students use the Quran, hadith, and companions’ sayings as arguments. This approach was in line with the Tafsir bil Mathur framework, which ensures the reliability and validity of the Quranic interpretation. </w:t>
      </w:r>
    </w:p>
    <w:p w14:paraId="0D8FA0A2" w14:textId="77777777" w:rsidR="008708EB" w:rsidRPr="00C377C8" w:rsidRDefault="008708EB" w:rsidP="00461178">
      <w:pPr>
        <w:spacing w:after="0" w:line="360" w:lineRule="auto"/>
        <w:ind w:left="2268"/>
        <w:jc w:val="both"/>
        <w:rPr>
          <w:rFonts w:ascii="Times New Roman" w:eastAsia="Calibri" w:hAnsi="Times New Roman" w:cs="Times New Roman"/>
          <w:color w:val="000000" w:themeColor="text1"/>
          <w:sz w:val="24"/>
          <w:szCs w:val="24"/>
        </w:rPr>
      </w:pPr>
    </w:p>
    <w:p w14:paraId="5A12135C" w14:textId="77777777" w:rsidR="008708EB" w:rsidRPr="00C377C8" w:rsidRDefault="00FF6025"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It was observed that both teachers and students use ‘hadith’ as supporting evidence and weigh up whether the hadith is classified as Sahih, Hassan, or Daeef. Figure 5.2 from Mehraj (2011, p. 45) illustrates the different categories of the Hadith. The researcher recommends that giving students the definitions of different types of Ahadith may help them to relate what they have already learnt, and assess the evidence that students put forward in support of their choices. </w:t>
      </w:r>
    </w:p>
    <w:p w14:paraId="6C687C43" w14:textId="77777777" w:rsidR="00D256CB" w:rsidRPr="00C377C8" w:rsidRDefault="00D256CB" w:rsidP="00F30956">
      <w:pPr>
        <w:spacing w:after="0" w:line="240" w:lineRule="auto"/>
        <w:rPr>
          <w:rFonts w:ascii="Times New Roman" w:eastAsia="Calibri" w:hAnsi="Times New Roman" w:cs="Times New Roman"/>
          <w:b/>
          <w:bCs/>
          <w:color w:val="000000" w:themeColor="text1"/>
          <w:sz w:val="24"/>
          <w:szCs w:val="24"/>
        </w:rPr>
      </w:pPr>
    </w:p>
    <w:p w14:paraId="2492C4FF" w14:textId="1C4A6099" w:rsidR="009719B8" w:rsidRPr="00C377C8" w:rsidRDefault="009719B8" w:rsidP="00461178">
      <w:pPr>
        <w:spacing w:after="0" w:line="240" w:lineRule="auto"/>
        <w:ind w:left="2268"/>
        <w:rPr>
          <w:rFonts w:ascii="Times New Roman" w:eastAsia="Calibri" w:hAnsi="Times New Roman" w:cs="Times New Roman"/>
          <w:b/>
          <w:bCs/>
          <w:color w:val="000000" w:themeColor="text1"/>
          <w:sz w:val="24"/>
          <w:szCs w:val="24"/>
        </w:rPr>
      </w:pPr>
      <w:r w:rsidRPr="00C377C8">
        <w:rPr>
          <w:rFonts w:ascii="Times New Roman" w:eastAsia="Calibri" w:hAnsi="Times New Roman" w:cs="Times New Roman"/>
          <w:b/>
          <w:bCs/>
          <w:color w:val="000000" w:themeColor="text1"/>
          <w:sz w:val="24"/>
          <w:szCs w:val="24"/>
        </w:rPr>
        <w:t>Table 5.</w:t>
      </w:r>
      <w:r w:rsidR="00D256CB" w:rsidRPr="00C377C8">
        <w:rPr>
          <w:rFonts w:ascii="Times New Roman" w:eastAsia="Calibri" w:hAnsi="Times New Roman" w:cs="Times New Roman"/>
          <w:b/>
          <w:bCs/>
          <w:color w:val="000000" w:themeColor="text1"/>
          <w:sz w:val="24"/>
          <w:szCs w:val="24"/>
        </w:rPr>
        <w:t>4</w:t>
      </w:r>
    </w:p>
    <w:p w14:paraId="2D9C3C63" w14:textId="3A7141BB" w:rsidR="009719B8" w:rsidRPr="00C377C8" w:rsidRDefault="009719B8" w:rsidP="00461178">
      <w:pPr>
        <w:spacing w:after="0" w:line="240" w:lineRule="auto"/>
        <w:ind w:left="2268"/>
        <w:rPr>
          <w:rFonts w:ascii="Times New Roman" w:eastAsia="Calibri" w:hAnsi="Times New Roman" w:cs="Times New Roman"/>
          <w:b/>
          <w:bCs/>
          <w:color w:val="000000" w:themeColor="text1"/>
          <w:sz w:val="24"/>
          <w:szCs w:val="24"/>
        </w:rPr>
      </w:pPr>
    </w:p>
    <w:p w14:paraId="5DC572F6" w14:textId="761F2637" w:rsidR="008708EB" w:rsidRPr="00C377C8" w:rsidRDefault="00F30956" w:rsidP="00461178">
      <w:pPr>
        <w:spacing w:after="0" w:line="240" w:lineRule="auto"/>
        <w:ind w:left="2268"/>
        <w:rPr>
          <w:rFonts w:ascii="Times New Roman" w:eastAsia="Calibri" w:hAnsi="Times New Roman" w:cs="Times New Roman"/>
          <w:color w:val="000000" w:themeColor="text1"/>
          <w:sz w:val="24"/>
          <w:szCs w:val="24"/>
        </w:rPr>
      </w:pPr>
      <w:r w:rsidRPr="00C377C8">
        <w:rPr>
          <w:noProof/>
          <w:color w:val="000000" w:themeColor="text1"/>
        </w:rPr>
        <w:drawing>
          <wp:inline distT="0" distB="0" distL="0" distR="0" wp14:anchorId="240A12DA" wp14:editId="0CE178A3">
            <wp:extent cx="5397555" cy="3738245"/>
            <wp:effectExtent l="0" t="0" r="0"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399679" cy="3739716"/>
                    </a:xfrm>
                    <a:prstGeom prst="rect">
                      <a:avLst/>
                    </a:prstGeom>
                  </pic:spPr>
                </pic:pic>
              </a:graphicData>
            </a:graphic>
          </wp:inline>
        </w:drawing>
      </w:r>
    </w:p>
    <w:p w14:paraId="7AD82EC4" w14:textId="56CA5887" w:rsidR="008708EB" w:rsidRPr="00C377C8" w:rsidRDefault="00FF6025"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What stands out in </w:t>
      </w:r>
      <w:r w:rsidR="00D256CB" w:rsidRPr="00C377C8">
        <w:rPr>
          <w:rFonts w:ascii="Times New Roman" w:eastAsia="Calibri" w:hAnsi="Times New Roman" w:cs="Times New Roman"/>
          <w:color w:val="000000" w:themeColor="text1"/>
          <w:sz w:val="24"/>
          <w:szCs w:val="24"/>
        </w:rPr>
        <w:t>Table</w:t>
      </w:r>
      <w:r w:rsidRPr="00C377C8">
        <w:rPr>
          <w:rFonts w:ascii="Times New Roman" w:eastAsia="Calibri" w:hAnsi="Times New Roman" w:cs="Times New Roman"/>
          <w:color w:val="000000" w:themeColor="text1"/>
          <w:sz w:val="24"/>
          <w:szCs w:val="24"/>
        </w:rPr>
        <w:t xml:space="preserve"> 5.</w:t>
      </w:r>
      <w:r w:rsidR="00D256CB" w:rsidRPr="00C377C8">
        <w:rPr>
          <w:rFonts w:ascii="Times New Roman" w:eastAsia="Calibri" w:hAnsi="Times New Roman" w:cs="Times New Roman"/>
          <w:color w:val="000000" w:themeColor="text1"/>
          <w:sz w:val="24"/>
          <w:szCs w:val="24"/>
        </w:rPr>
        <w:t>4</w:t>
      </w:r>
      <w:r w:rsidRPr="00C377C8">
        <w:rPr>
          <w:rFonts w:ascii="Times New Roman" w:eastAsia="Calibri" w:hAnsi="Times New Roman" w:cs="Times New Roman"/>
          <w:color w:val="000000" w:themeColor="text1"/>
          <w:sz w:val="24"/>
          <w:szCs w:val="24"/>
        </w:rPr>
        <w:t xml:space="preserve"> is the defined categories of the hadith and their acceptability within the field. Teachers of the critical interpretation of the Quran can use it to question students’ evidence. The application of the above figure in the process of experimenting with the interpretation can make teachers’ work easier, more structured, and disciplined. The repetition of questions around different types of argument can build students’ argumentative skills. It is also an excellent way to link students’ past and current knowledge. Similarly, the critical interpretation of the Quran requires teachers to help students identify different linguistic, historical, cultural, and other arguments in the process of experimenting with interpretation. Therefore, collaboration between different classes can be a useful strategy to develop students’ critical thinking skills. They can become effective communicators if a teacher uses the above approach and enables students to view social issues through the divine text and see the divine text through social and cultural issues. Therefore, personalised, multidisciplinary, inclusive, and real-world strategies are key in effective teaching of the critical interpretation of the Quran. </w:t>
      </w:r>
    </w:p>
    <w:p w14:paraId="52870884" w14:textId="77777777" w:rsidR="008708EB" w:rsidRPr="00C377C8" w:rsidRDefault="00FF6025" w:rsidP="00461178">
      <w:pPr>
        <w:pStyle w:val="Heading2"/>
        <w:ind w:left="2268"/>
        <w:rPr>
          <w:rFonts w:eastAsia="Calibri"/>
          <w:b w:val="0"/>
          <w:sz w:val="24"/>
          <w:szCs w:val="24"/>
        </w:rPr>
      </w:pPr>
      <w:bookmarkStart w:id="212" w:name="_Toc75796723"/>
      <w:bookmarkStart w:id="213" w:name="_Toc76374557"/>
      <w:bookmarkStart w:id="214" w:name="_Toc83735612"/>
      <w:bookmarkStart w:id="215" w:name="_Toc83818724"/>
      <w:bookmarkStart w:id="216" w:name="_Toc96609136"/>
      <w:r w:rsidRPr="00C377C8">
        <w:rPr>
          <w:rStyle w:val="Heading2Char"/>
          <w:b/>
        </w:rPr>
        <w:t>Barriers to effective teaching</w:t>
      </w:r>
      <w:bookmarkEnd w:id="212"/>
      <w:bookmarkEnd w:id="213"/>
      <w:bookmarkEnd w:id="214"/>
      <w:bookmarkEnd w:id="215"/>
      <w:bookmarkEnd w:id="216"/>
      <w:r w:rsidRPr="00C377C8">
        <w:rPr>
          <w:rFonts w:eastAsia="Calibri"/>
          <w:b w:val="0"/>
          <w:sz w:val="24"/>
          <w:szCs w:val="24"/>
        </w:rPr>
        <w:t xml:space="preserve"> </w:t>
      </w:r>
    </w:p>
    <w:p w14:paraId="215E9EC6" w14:textId="77777777" w:rsidR="009719B8" w:rsidRPr="00C377C8" w:rsidRDefault="009719B8" w:rsidP="00461178">
      <w:pPr>
        <w:spacing w:after="0" w:line="360" w:lineRule="auto"/>
        <w:ind w:left="2268"/>
        <w:jc w:val="both"/>
        <w:rPr>
          <w:rFonts w:ascii="Times New Roman" w:eastAsia="Times New Roman" w:hAnsi="Times New Roman" w:cs="Times New Roman"/>
          <w:color w:val="000000" w:themeColor="text1"/>
          <w:sz w:val="24"/>
          <w:szCs w:val="24"/>
        </w:rPr>
      </w:pPr>
      <w:r w:rsidRPr="00C377C8">
        <w:rPr>
          <w:rFonts w:ascii="Times New Roman" w:eastAsia="Times New Roman" w:hAnsi="Times New Roman" w:cs="Times New Roman"/>
          <w:color w:val="000000" w:themeColor="text1"/>
          <w:sz w:val="24"/>
          <w:szCs w:val="24"/>
        </w:rPr>
        <w:t xml:space="preserve">The findings indicated that multilingualism is embedded in each component of teaching and learning the critical interpretation of the Quran. The context is multi-layered: there is the context in which the Quran was revealed, the context in which the teachers have lived and were educated, and the context in which the text is being interpreted. Further, different languages are used in all those contexts. In the class of teaching and learning the critical interpretation of the Quran, there is a forced multilingualism because students do not have an option but to examine the text in Arabic and transfer it to English for re-thinking. Then, they return to Arabic when examining different arguments in form of Hadith, history, or Middle Eastern culture. Similarly, teachers do not have a choice than to teach in English only because of students’ limited communication skills in Arabic. In this multilingual context, teaching and learning are challenging. The current study highlighted several barriers, with one of them being communicating in both languages effectively and engaging students in the process of learning. </w:t>
      </w:r>
    </w:p>
    <w:p w14:paraId="45FDDE35" w14:textId="77777777" w:rsidR="009719B8" w:rsidRPr="00C377C8" w:rsidRDefault="009719B8" w:rsidP="00461178">
      <w:pPr>
        <w:spacing w:after="0" w:line="360" w:lineRule="auto"/>
        <w:ind w:left="2268"/>
        <w:jc w:val="both"/>
        <w:rPr>
          <w:rFonts w:ascii="Times New Roman" w:eastAsia="Times New Roman" w:hAnsi="Times New Roman" w:cs="Times New Roman"/>
          <w:color w:val="000000" w:themeColor="text1"/>
          <w:sz w:val="24"/>
          <w:szCs w:val="24"/>
        </w:rPr>
      </w:pPr>
      <w:r w:rsidRPr="00C377C8">
        <w:rPr>
          <w:rFonts w:ascii="Times New Roman" w:eastAsia="Times New Roman" w:hAnsi="Times New Roman" w:cs="Times New Roman"/>
          <w:color w:val="000000" w:themeColor="text1"/>
          <w:sz w:val="24"/>
          <w:szCs w:val="24"/>
        </w:rPr>
        <w:t xml:space="preserve">Effective communication for teacher participants is listening to students and understanding their views. They highlighted that they struggle to understand students’ accents and “sometimes not getting what they wanted to say”. Similarly, they felt very demoralised and disappointed when students make fun of their accents. It demonstrates the need to include English as a compulsory subject, with the focus on listening and speaking. Some may argue that English is already a compulsory subject, but I am of the view that it focuses on few poems and stories and their translation, which does not enable students to communicate effectively. The proposed course should focus on listening and speaking skills. </w:t>
      </w:r>
    </w:p>
    <w:p w14:paraId="37426DA6" w14:textId="77777777" w:rsidR="009719B8" w:rsidRPr="00C377C8" w:rsidRDefault="009719B8" w:rsidP="00461178">
      <w:pPr>
        <w:spacing w:after="0" w:line="360" w:lineRule="auto"/>
        <w:ind w:left="2268"/>
        <w:jc w:val="both"/>
        <w:rPr>
          <w:rFonts w:ascii="Times New Roman" w:eastAsia="Times New Roman" w:hAnsi="Times New Roman" w:cs="Times New Roman"/>
          <w:color w:val="000000" w:themeColor="text1"/>
          <w:sz w:val="24"/>
          <w:szCs w:val="24"/>
        </w:rPr>
      </w:pPr>
      <w:r w:rsidRPr="00C377C8">
        <w:rPr>
          <w:rFonts w:ascii="Times New Roman" w:eastAsia="Times New Roman" w:hAnsi="Times New Roman" w:cs="Times New Roman"/>
          <w:color w:val="000000" w:themeColor="text1"/>
          <w:sz w:val="24"/>
          <w:szCs w:val="24"/>
        </w:rPr>
        <w:t xml:space="preserve">It shows the need for including cultural studies and other languages such as English in Dars-e-Nizami curriculum. A culturally and linguistically competent teacher can design more student-centred classroom activities and create an inclusive and safe classroom environment, which would result in more respectful relations and interactions with students. Though technology has helped teachers when using translations in several languages to a certain extent, teacher’s own competency can be good for rapport and students may value teachers’ own knowledge and skills. </w:t>
      </w:r>
    </w:p>
    <w:p w14:paraId="0A753D58" w14:textId="77777777" w:rsidR="009719B8" w:rsidRPr="00C377C8" w:rsidRDefault="009719B8" w:rsidP="00461178">
      <w:pPr>
        <w:spacing w:after="0" w:line="360" w:lineRule="auto"/>
        <w:ind w:left="2268"/>
        <w:jc w:val="both"/>
        <w:rPr>
          <w:rFonts w:ascii="Times New Roman" w:eastAsia="Times New Roman" w:hAnsi="Times New Roman" w:cs="Times New Roman"/>
          <w:color w:val="000000" w:themeColor="text1"/>
          <w:sz w:val="24"/>
          <w:szCs w:val="24"/>
        </w:rPr>
      </w:pPr>
      <w:r w:rsidRPr="00C377C8">
        <w:rPr>
          <w:rFonts w:ascii="Times New Roman" w:eastAsia="Times New Roman" w:hAnsi="Times New Roman" w:cs="Times New Roman"/>
          <w:color w:val="000000" w:themeColor="text1"/>
          <w:sz w:val="24"/>
          <w:szCs w:val="24"/>
        </w:rPr>
        <w:t xml:space="preserve">Besides language and communication, the findings also revealed that creating a safe environment where students from different backgrounds and gender can study together was another challenge the teachers of the critical interpretation of the Quran faced in multilingual classrooms. Male and female students engage in separate group discussions with a divider between the two groups. It is quite challenging for students to engage or for teachers to monitor both groups at the same time. It was also observed that students had to speak louder to exchange ideas. Further research is needed to explore why parents in state institutes allow female students to work with male students, but in Islamic institutes they resist interactions between males and females. Though this is not the focus of this study, yet it is an interesting phenomenon, which is worth exploring from socio-religious perspectives. </w:t>
      </w:r>
    </w:p>
    <w:p w14:paraId="4EBF09BF" w14:textId="77777777" w:rsidR="008708EB" w:rsidRPr="00C377C8" w:rsidRDefault="00FF6025"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A clear finding from respondents of this study is that teachers are overburdened, they have been teaching several subjects, and often do not find much time to prepare lessons or conduct research. Overloading has a disastrous impact on teachers’ performance and their well-being. This concurs with Bubb and Earley (2004) finding of teachers’ workload having a negative impact on their classroom practice, commitment, and motivation to teach. This is one of the areas that Muslim institutes need to invest in and create a system of support for teaching staff. The UK universities have student and staff well-being programmes, which provide them with pastoral, emotional, and academic support. Muslim institutes can learn from this practice, and the government should also support these institutes financially to provide support for such services. </w:t>
      </w:r>
    </w:p>
    <w:p w14:paraId="11E5C7BF" w14:textId="77777777" w:rsidR="008708EB" w:rsidRPr="00C377C8" w:rsidRDefault="00FF6025" w:rsidP="00461178">
      <w:pPr>
        <w:pStyle w:val="Heading2"/>
        <w:ind w:left="2268"/>
        <w:rPr>
          <w:rStyle w:val="Heading2Char"/>
          <w:b/>
        </w:rPr>
      </w:pPr>
      <w:bookmarkStart w:id="217" w:name="_Toc75796724"/>
      <w:bookmarkStart w:id="218" w:name="_Toc76374558"/>
      <w:bookmarkStart w:id="219" w:name="_Toc83735613"/>
      <w:bookmarkStart w:id="220" w:name="_Toc83818725"/>
      <w:bookmarkStart w:id="221" w:name="_Toc96609137"/>
      <w:r w:rsidRPr="00C377C8">
        <w:rPr>
          <w:rStyle w:val="Heading2Char"/>
          <w:b/>
        </w:rPr>
        <w:t>Outputs: defining effective teaching</w:t>
      </w:r>
      <w:bookmarkEnd w:id="217"/>
      <w:bookmarkEnd w:id="218"/>
      <w:bookmarkEnd w:id="219"/>
      <w:bookmarkEnd w:id="220"/>
      <w:bookmarkEnd w:id="221"/>
    </w:p>
    <w:p w14:paraId="372C9852"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This section explains and highlights the outputs from the data in the form of definition of effective teaching of the critical interpretation of the Quran in multilingual classrooms. Exploration of factors, which influence interpretation and teaching, understanding the role of an effective teacher, and awareness of barriers to effective teaching show the value of acknowledging both the teachers’ and students’ reflections of their practice and experience of teaching and learning. Therefore, effective teaching of the critical interpretation of the Quran is a way in which pedagogy, contents, and assessment are designed to engage students in learning that is meaningful, creative, relevant, and accessible to all. In this definition, pedagogy refers to methods of teaching including lecturing, discussion, and dialogue. Contents are the text of the Quran and different interpretations generated either by students, their peers, or other scholars from diverse backgrounds. Assessment refers to the ways teachers determine students’ progress and development of critical thinking skills. Creativity refers to students’ ability to generate interpretations, analyse different interpretations critically, and draw rulings based on their interpretations. Relevance refers to students’ ability to relate interpretations and apply their knowledge in different contexts. Finally, accessibility refers to teachers’ ability to create a safe course climate where students from different backgrounds feel a sense of belonging. Effective teaching ensures that optimal student learning can happen to ensure that students are able to generate meanings from the text, re-think and evaluate different interpretations, and link them to their real-life experiences. </w:t>
      </w:r>
    </w:p>
    <w:p w14:paraId="44DC4287"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People studying intertextual interpretation have a model of Quran’s interpretation that they follow. The model is adopted and preached for by the scholars from the pulpit, but due to the changing demographics of Islamic studies in the UK’s classrooms, an increasing emphasis on real world issues and internationalisation of curriculum, growing concerns about teachers’ cultural competence and multilingualism requires novel and creative methods of teaching. From the very beginning of this study, the focus has been on developing a model or a framework, which new and existing teachers may use to maximise students’ learning in terms critical thinking skills development. Therefore, the researcher proposes the following effective teaching framework, which teachers can use to teach the critical interpretation of the Quran effectively and creatively. </w:t>
      </w:r>
    </w:p>
    <w:p w14:paraId="50F10C7C" w14:textId="77777777" w:rsidR="009719B8" w:rsidRPr="00C377C8" w:rsidRDefault="009719B8" w:rsidP="00461178">
      <w:pPr>
        <w:pStyle w:val="Heading2"/>
        <w:ind w:left="2268"/>
        <w:rPr>
          <w:rFonts w:eastAsia="Calibri"/>
        </w:rPr>
      </w:pPr>
      <w:bookmarkStart w:id="222" w:name="_Toc75796725"/>
      <w:bookmarkStart w:id="223" w:name="_Toc76374559"/>
      <w:bookmarkStart w:id="224" w:name="_Toc83735614"/>
      <w:r w:rsidRPr="00C377C8">
        <w:rPr>
          <w:rFonts w:eastAsia="Calibri"/>
        </w:rPr>
        <w:t xml:space="preserve"> </w:t>
      </w:r>
      <w:bookmarkStart w:id="225" w:name="_Toc83818726"/>
      <w:bookmarkStart w:id="226" w:name="_Toc96609138"/>
      <w:r w:rsidRPr="00C377C8">
        <w:rPr>
          <w:rFonts w:eastAsia="Calibri"/>
        </w:rPr>
        <w:t>Effective Teaching Framework</w:t>
      </w:r>
      <w:bookmarkEnd w:id="222"/>
      <w:bookmarkEnd w:id="223"/>
      <w:bookmarkEnd w:id="224"/>
      <w:bookmarkEnd w:id="225"/>
      <w:bookmarkEnd w:id="226"/>
      <w:r w:rsidRPr="00C377C8">
        <w:rPr>
          <w:rFonts w:eastAsia="Calibri"/>
        </w:rPr>
        <w:t xml:space="preserve"> </w:t>
      </w:r>
    </w:p>
    <w:p w14:paraId="4A78C9E9" w14:textId="5A94EFE2"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The proposed research is based on the nature of the subject: the critical interpretation of the Quran, teacher’s role in multilingual context, and students’ learning expectations. It is expected that the proposed teaching framework will ensure success, expand teachers’ knowledge and skills, and increase students’ engagement. Furthermore, it may help teachers to anticipate where and when students struggle, put support in place, and create a safe environment where all students feel a sense of belonging. </w:t>
      </w:r>
    </w:p>
    <w:p w14:paraId="1EC38AF1" w14:textId="4EB61139" w:rsidR="00E62A88" w:rsidRPr="00C377C8" w:rsidRDefault="00E62A88" w:rsidP="00461178">
      <w:pPr>
        <w:spacing w:after="0" w:line="360" w:lineRule="auto"/>
        <w:ind w:left="2268"/>
        <w:jc w:val="both"/>
        <w:rPr>
          <w:rFonts w:ascii="Times New Roman" w:eastAsia="Calibri" w:hAnsi="Times New Roman" w:cs="Times New Roman"/>
          <w:color w:val="000000" w:themeColor="text1"/>
          <w:sz w:val="24"/>
          <w:szCs w:val="24"/>
        </w:rPr>
      </w:pPr>
    </w:p>
    <w:p w14:paraId="39BF9119" w14:textId="052E3A50" w:rsidR="00E62A88" w:rsidRPr="00C377C8" w:rsidRDefault="00E62A88" w:rsidP="00461178">
      <w:pPr>
        <w:spacing w:after="0" w:line="360" w:lineRule="auto"/>
        <w:ind w:left="2268"/>
        <w:jc w:val="both"/>
        <w:rPr>
          <w:rFonts w:ascii="Times New Roman" w:eastAsia="Calibri" w:hAnsi="Times New Roman" w:cs="Times New Roman"/>
          <w:color w:val="000000" w:themeColor="text1"/>
          <w:sz w:val="24"/>
          <w:szCs w:val="24"/>
        </w:rPr>
      </w:pPr>
    </w:p>
    <w:p w14:paraId="597FB473" w14:textId="133A921F" w:rsidR="00E62A88" w:rsidRPr="00C377C8" w:rsidRDefault="00E62A88" w:rsidP="00461178">
      <w:pPr>
        <w:spacing w:after="0" w:line="360" w:lineRule="auto"/>
        <w:ind w:left="2268"/>
        <w:jc w:val="both"/>
        <w:rPr>
          <w:rFonts w:ascii="Times New Roman" w:eastAsia="Calibri" w:hAnsi="Times New Roman" w:cs="Times New Roman"/>
          <w:color w:val="000000" w:themeColor="text1"/>
          <w:sz w:val="24"/>
          <w:szCs w:val="24"/>
        </w:rPr>
      </w:pPr>
    </w:p>
    <w:p w14:paraId="490469C8" w14:textId="495AF22D" w:rsidR="00E62A88" w:rsidRPr="00C377C8" w:rsidRDefault="00E62A88" w:rsidP="00461178">
      <w:pPr>
        <w:spacing w:after="0" w:line="360" w:lineRule="auto"/>
        <w:ind w:left="2268"/>
        <w:jc w:val="both"/>
        <w:rPr>
          <w:rFonts w:ascii="Times New Roman" w:eastAsia="Calibri" w:hAnsi="Times New Roman" w:cs="Times New Roman"/>
          <w:color w:val="000000" w:themeColor="text1"/>
          <w:sz w:val="24"/>
          <w:szCs w:val="24"/>
        </w:rPr>
      </w:pPr>
    </w:p>
    <w:p w14:paraId="41097DFE" w14:textId="2433445B" w:rsidR="00E62A88" w:rsidRPr="00C377C8" w:rsidRDefault="00E62A88" w:rsidP="00461178">
      <w:pPr>
        <w:spacing w:after="0" w:line="360" w:lineRule="auto"/>
        <w:ind w:left="2268"/>
        <w:jc w:val="both"/>
        <w:rPr>
          <w:rFonts w:ascii="Times New Roman" w:eastAsia="Calibri" w:hAnsi="Times New Roman" w:cs="Times New Roman"/>
          <w:color w:val="000000" w:themeColor="text1"/>
          <w:sz w:val="24"/>
          <w:szCs w:val="24"/>
        </w:rPr>
      </w:pPr>
    </w:p>
    <w:p w14:paraId="5DD20AAF" w14:textId="5DF0BB2E" w:rsidR="00E62A88" w:rsidRPr="00C377C8" w:rsidRDefault="00E62A88" w:rsidP="00461178">
      <w:pPr>
        <w:spacing w:after="0" w:line="360" w:lineRule="auto"/>
        <w:ind w:left="2268"/>
        <w:jc w:val="both"/>
        <w:rPr>
          <w:rFonts w:ascii="Times New Roman" w:eastAsia="Calibri" w:hAnsi="Times New Roman" w:cs="Times New Roman"/>
          <w:color w:val="000000" w:themeColor="text1"/>
          <w:sz w:val="24"/>
          <w:szCs w:val="24"/>
        </w:rPr>
      </w:pPr>
    </w:p>
    <w:p w14:paraId="7749CB38" w14:textId="650618AE" w:rsidR="00E62A88" w:rsidRPr="00C377C8" w:rsidRDefault="00E62A88" w:rsidP="00461178">
      <w:pPr>
        <w:spacing w:after="0" w:line="360" w:lineRule="auto"/>
        <w:ind w:left="2268"/>
        <w:jc w:val="both"/>
        <w:rPr>
          <w:rFonts w:ascii="Times New Roman" w:eastAsia="Calibri" w:hAnsi="Times New Roman" w:cs="Times New Roman"/>
          <w:color w:val="000000" w:themeColor="text1"/>
          <w:sz w:val="24"/>
          <w:szCs w:val="24"/>
        </w:rPr>
      </w:pPr>
    </w:p>
    <w:p w14:paraId="35EDB66F" w14:textId="7B7C9763" w:rsidR="00E62A88" w:rsidRPr="00C377C8" w:rsidRDefault="00E62A88" w:rsidP="00461178">
      <w:pPr>
        <w:spacing w:after="0" w:line="360" w:lineRule="auto"/>
        <w:ind w:left="2268"/>
        <w:jc w:val="both"/>
        <w:rPr>
          <w:rFonts w:ascii="Times New Roman" w:eastAsia="Calibri" w:hAnsi="Times New Roman" w:cs="Times New Roman"/>
          <w:color w:val="000000" w:themeColor="text1"/>
          <w:sz w:val="24"/>
          <w:szCs w:val="24"/>
        </w:rPr>
      </w:pPr>
    </w:p>
    <w:p w14:paraId="75C8B3B6" w14:textId="2FA34BF9" w:rsidR="00E62A88" w:rsidRPr="00C377C8" w:rsidRDefault="00E62A88" w:rsidP="00461178">
      <w:pPr>
        <w:spacing w:after="0" w:line="360" w:lineRule="auto"/>
        <w:ind w:left="2268"/>
        <w:jc w:val="both"/>
        <w:rPr>
          <w:rFonts w:ascii="Times New Roman" w:eastAsia="Calibri" w:hAnsi="Times New Roman" w:cs="Times New Roman"/>
          <w:color w:val="000000" w:themeColor="text1"/>
          <w:sz w:val="24"/>
          <w:szCs w:val="24"/>
        </w:rPr>
      </w:pPr>
    </w:p>
    <w:p w14:paraId="26A656DE" w14:textId="565F3A18" w:rsidR="00E62A88" w:rsidRPr="00C377C8" w:rsidRDefault="00E62A88" w:rsidP="00461178">
      <w:pPr>
        <w:spacing w:after="0" w:line="360" w:lineRule="auto"/>
        <w:ind w:left="2268"/>
        <w:jc w:val="both"/>
        <w:rPr>
          <w:rFonts w:ascii="Times New Roman" w:eastAsia="Calibri" w:hAnsi="Times New Roman" w:cs="Times New Roman"/>
          <w:color w:val="000000" w:themeColor="text1"/>
          <w:sz w:val="24"/>
          <w:szCs w:val="24"/>
        </w:rPr>
      </w:pPr>
    </w:p>
    <w:p w14:paraId="1E449472" w14:textId="77777777" w:rsidR="00E62A88" w:rsidRPr="00C377C8" w:rsidRDefault="00E62A88" w:rsidP="00461178">
      <w:pPr>
        <w:spacing w:after="0" w:line="360" w:lineRule="auto"/>
        <w:ind w:left="2268"/>
        <w:jc w:val="both"/>
        <w:rPr>
          <w:rFonts w:ascii="Times New Roman" w:eastAsia="Calibri" w:hAnsi="Times New Roman" w:cs="Times New Roman"/>
          <w:color w:val="000000" w:themeColor="text1"/>
          <w:sz w:val="24"/>
          <w:szCs w:val="24"/>
        </w:rPr>
      </w:pPr>
    </w:p>
    <w:p w14:paraId="16E6D9D2" w14:textId="77777777" w:rsidR="009719B8" w:rsidRPr="00C377C8" w:rsidRDefault="009719B8" w:rsidP="00461178">
      <w:pPr>
        <w:spacing w:after="0" w:line="240" w:lineRule="auto"/>
        <w:ind w:left="2268"/>
        <w:rPr>
          <w:rFonts w:ascii="Times New Roman" w:eastAsia="Calibri" w:hAnsi="Times New Roman" w:cs="Times New Roman"/>
          <w:color w:val="000000" w:themeColor="text1"/>
          <w:sz w:val="24"/>
          <w:szCs w:val="24"/>
        </w:rPr>
      </w:pPr>
    </w:p>
    <w:p w14:paraId="313F0F87" w14:textId="21AA3A9B" w:rsidR="009719B8" w:rsidRPr="00C377C8" w:rsidRDefault="009719B8" w:rsidP="00461178">
      <w:pPr>
        <w:spacing w:after="0" w:line="240" w:lineRule="auto"/>
        <w:ind w:left="2268"/>
        <w:rPr>
          <w:rFonts w:ascii="Times New Roman" w:eastAsia="Calibri" w:hAnsi="Times New Roman" w:cs="Times New Roman"/>
          <w:b/>
          <w:i/>
          <w:iCs/>
          <w:color w:val="000000" w:themeColor="text1"/>
          <w:sz w:val="24"/>
          <w:szCs w:val="24"/>
        </w:rPr>
      </w:pPr>
      <w:r w:rsidRPr="00C377C8">
        <w:rPr>
          <w:rFonts w:ascii="Times New Roman" w:eastAsia="Calibri" w:hAnsi="Times New Roman" w:cs="Times New Roman"/>
          <w:b/>
          <w:bCs/>
          <w:color w:val="000000" w:themeColor="text1"/>
          <w:sz w:val="24"/>
          <w:szCs w:val="24"/>
        </w:rPr>
        <w:t xml:space="preserve">Figure 5.1: </w:t>
      </w:r>
      <w:r w:rsidRPr="00C377C8">
        <w:rPr>
          <w:rFonts w:ascii="Times New Roman" w:eastAsia="Calibri" w:hAnsi="Times New Roman" w:cs="Times New Roman"/>
          <w:b/>
          <w:i/>
          <w:iCs/>
          <w:color w:val="000000" w:themeColor="text1"/>
          <w:sz w:val="24"/>
          <w:szCs w:val="24"/>
        </w:rPr>
        <w:t>Proposed Effective Teaching Framework for the critical interpretation of the Quran</w:t>
      </w:r>
    </w:p>
    <w:p w14:paraId="1A96FFB6" w14:textId="77777777" w:rsidR="00E62A88" w:rsidRPr="00C377C8" w:rsidRDefault="00E62A88" w:rsidP="00461178">
      <w:pPr>
        <w:spacing w:after="0" w:line="240" w:lineRule="auto"/>
        <w:ind w:left="2268"/>
        <w:rPr>
          <w:rFonts w:ascii="Times New Roman" w:eastAsia="Calibri" w:hAnsi="Times New Roman" w:cs="Times New Roman"/>
          <w:b/>
          <w:bCs/>
          <w:color w:val="000000" w:themeColor="text1"/>
          <w:sz w:val="24"/>
          <w:szCs w:val="24"/>
        </w:rPr>
      </w:pPr>
    </w:p>
    <w:p w14:paraId="5B437765" w14:textId="77777777" w:rsidR="009719B8" w:rsidRPr="00C377C8" w:rsidRDefault="009719B8" w:rsidP="00461178">
      <w:pPr>
        <w:spacing w:after="0" w:line="240" w:lineRule="auto"/>
        <w:ind w:left="2268"/>
        <w:rPr>
          <w:rFonts w:ascii="Times New Roman" w:eastAsia="Calibri" w:hAnsi="Times New Roman" w:cs="Times New Roman"/>
          <w:color w:val="000000" w:themeColor="text1"/>
          <w:sz w:val="24"/>
          <w:szCs w:val="24"/>
        </w:rPr>
      </w:pPr>
      <w:r w:rsidRPr="00C377C8">
        <w:rPr>
          <w:rFonts w:ascii="Times New Roman" w:eastAsia="Calibri" w:hAnsi="Times New Roman" w:cs="Times New Roman"/>
          <w:noProof/>
          <w:color w:val="000000" w:themeColor="text1"/>
          <w:sz w:val="24"/>
          <w:szCs w:val="24"/>
          <w:lang w:val="en-US"/>
        </w:rPr>
        <w:drawing>
          <wp:inline distT="0" distB="0" distL="0" distR="0" wp14:anchorId="648EDCE2" wp14:editId="3436FD7B">
            <wp:extent cx="4911961" cy="8285260"/>
            <wp:effectExtent l="0" t="0" r="317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sentation 3 (1).pdf"/>
                    <pic:cNvPicPr/>
                  </pic:nvPicPr>
                  <pic:blipFill>
                    <a:blip r:embed="rId22">
                      <a:extLst>
                        <a:ext uri="{28A0092B-C50C-407E-A947-70E740481C1C}">
                          <a14:useLocalDpi xmlns:a14="http://schemas.microsoft.com/office/drawing/2010/main" val="0"/>
                        </a:ext>
                      </a:extLst>
                    </a:blip>
                    <a:stretch>
                      <a:fillRect/>
                    </a:stretch>
                  </pic:blipFill>
                  <pic:spPr>
                    <a:xfrm>
                      <a:off x="0" y="0"/>
                      <a:ext cx="4936479" cy="8326616"/>
                    </a:xfrm>
                    <a:prstGeom prst="rect">
                      <a:avLst/>
                    </a:prstGeom>
                  </pic:spPr>
                </pic:pic>
              </a:graphicData>
            </a:graphic>
          </wp:inline>
        </w:drawing>
      </w:r>
    </w:p>
    <w:p w14:paraId="125E6227" w14:textId="77777777" w:rsidR="00E62A88" w:rsidRPr="00C377C8" w:rsidRDefault="00E62A88" w:rsidP="00461178">
      <w:pPr>
        <w:spacing w:after="0" w:line="360" w:lineRule="auto"/>
        <w:ind w:left="2268"/>
        <w:jc w:val="both"/>
        <w:rPr>
          <w:rFonts w:ascii="Times New Roman" w:eastAsia="Calibri" w:hAnsi="Times New Roman" w:cs="Times New Roman"/>
          <w:color w:val="000000" w:themeColor="text1"/>
          <w:sz w:val="24"/>
          <w:szCs w:val="24"/>
        </w:rPr>
      </w:pPr>
    </w:p>
    <w:p w14:paraId="6B774B69" w14:textId="77777777" w:rsidR="00E62A88" w:rsidRPr="00C377C8" w:rsidRDefault="00E62A88" w:rsidP="00461178">
      <w:pPr>
        <w:spacing w:after="0" w:line="360" w:lineRule="auto"/>
        <w:ind w:left="2268"/>
        <w:jc w:val="both"/>
        <w:rPr>
          <w:rFonts w:ascii="Times New Roman" w:eastAsia="Calibri" w:hAnsi="Times New Roman" w:cs="Times New Roman"/>
          <w:color w:val="000000" w:themeColor="text1"/>
          <w:sz w:val="24"/>
          <w:szCs w:val="24"/>
        </w:rPr>
      </w:pPr>
    </w:p>
    <w:p w14:paraId="4648573A" w14:textId="49E82F9C"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Figure 5.</w:t>
      </w:r>
      <w:r w:rsidR="00D256CB" w:rsidRPr="00C377C8">
        <w:rPr>
          <w:rFonts w:ascii="Times New Roman" w:eastAsia="Calibri" w:hAnsi="Times New Roman" w:cs="Times New Roman"/>
          <w:color w:val="000000" w:themeColor="text1"/>
          <w:sz w:val="24"/>
          <w:szCs w:val="24"/>
        </w:rPr>
        <w:t>1</w:t>
      </w:r>
      <w:r w:rsidRPr="00C377C8">
        <w:rPr>
          <w:rFonts w:ascii="Times New Roman" w:eastAsia="Calibri" w:hAnsi="Times New Roman" w:cs="Times New Roman"/>
          <w:color w:val="000000" w:themeColor="text1"/>
          <w:sz w:val="24"/>
          <w:szCs w:val="24"/>
        </w:rPr>
        <w:t xml:space="preserve"> depicts the proposed framework, where a teacher acts as a stimulus to teaching and learning. Participants suggested that teachers act as an impetus who helps students and instils belief and confidence that they are critical thinkers or performers of interpreting texts and analysing its existing interpretations. It is important to understand that effective teaching requires effective teachers who have the right skills and knowledge to facilitate learning and teaching. To act as an active stimulus, the teacher must have thorough subject knowledge, understanding of the purpose of the curriculum, know students’ backgrounds and abilities, and have skills and willingness to engage all students in the process of learning. Additionally, they should have the motivation to develop students’ critical thinking skills by engaging them in the learning process, as proposed by both research participants and scholars (Adnan, 2016; Edwards-Groves, Bull and Anstey, 2014; O’Donnell, Hmelo-Silver and Erkens, 2012). </w:t>
      </w:r>
    </w:p>
    <w:p w14:paraId="6047175F"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The proposed effective teaching framework is in line with constructivism as the data showed that teaching and learning of the critical interpretation of the Quran is an active contextualised process of constructing knowledge </w:t>
      </w:r>
      <w:r w:rsidR="00FF6025" w:rsidRPr="00C377C8">
        <w:rPr>
          <w:rFonts w:ascii="Times New Roman" w:eastAsia="Calibri" w:hAnsi="Times New Roman" w:cs="Times New Roman"/>
          <w:color w:val="000000" w:themeColor="text1"/>
          <w:sz w:val="24"/>
          <w:szCs w:val="24"/>
        </w:rPr>
        <w:t xml:space="preserve">(Leonard, 2002; McInerney and Liem, 2008; Muijs and Reynolds, 2017). When generating or analysing interpretations, both teachers and students bring their unique cultural, theological, and social experiences, and each one of them has different ways of interpreting because of their diverse experiences. In the context of the current study, a teacher recognises students’ past experience, creates a safe environment for interactions, acts </w:t>
      </w:r>
      <w:r w:rsidRPr="00C377C8">
        <w:rPr>
          <w:rFonts w:ascii="Times New Roman" w:eastAsia="Calibri" w:hAnsi="Times New Roman" w:cs="Times New Roman"/>
          <w:color w:val="000000" w:themeColor="text1"/>
          <w:sz w:val="24"/>
          <w:szCs w:val="24"/>
        </w:rPr>
        <w:t>as “the most knowledgeable other”, and supports students to develop their knowledge and skills (Riordan</w:t>
      </w:r>
      <w:r w:rsidR="00FF6025" w:rsidRPr="00C377C8">
        <w:rPr>
          <w:rFonts w:ascii="Times New Roman" w:eastAsia="Calibri" w:hAnsi="Times New Roman" w:cs="Times New Roman"/>
          <w:color w:val="000000" w:themeColor="text1"/>
          <w:sz w:val="24"/>
          <w:szCs w:val="24"/>
        </w:rPr>
        <w:t>-Karlsson, 2000)</w:t>
      </w:r>
      <w:r w:rsidRPr="00C377C8">
        <w:rPr>
          <w:rFonts w:ascii="Times New Roman" w:eastAsia="Calibri" w:hAnsi="Times New Roman" w:cs="Times New Roman"/>
          <w:color w:val="000000" w:themeColor="text1"/>
          <w:sz w:val="24"/>
          <w:szCs w:val="24"/>
        </w:rPr>
        <w:t xml:space="preserve">. </w:t>
      </w:r>
    </w:p>
    <w:p w14:paraId="22588668"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The most important task of an effective teacher is to set explicit, clear, and consistent academic and behavioural expectations. Students must know what is expected of them: whether it is their involvement in interpretive activities like generating ideas from the text; comparing, analysing different interpretations; recognising an argument from texts; or how they are to behave when working on interpretive tasks. Furthermore, a teacher should make expectations of students in different learning situations clear, so that they can monitor their performance and participate more actively. In contrast, both teachers and students struggle in a classroom where expectations are not clear (</w:t>
      </w:r>
      <w:r w:rsidRPr="00C377C8">
        <w:rPr>
          <w:rFonts w:ascii="Times New Roman" w:eastAsia="Times New Roman" w:hAnsi="Times New Roman" w:cs="Times New Roman"/>
          <w:color w:val="000000" w:themeColor="text1"/>
          <w:sz w:val="24"/>
          <w:szCs w:val="24"/>
          <w:shd w:val="clear" w:color="auto" w:fill="FFFFFF"/>
        </w:rPr>
        <w:t>Mishra, 2009).</w:t>
      </w:r>
      <w:r w:rsidRPr="00C377C8">
        <w:rPr>
          <w:rFonts w:ascii="Times New Roman" w:eastAsia="Calibri" w:hAnsi="Times New Roman" w:cs="Times New Roman"/>
          <w:color w:val="000000" w:themeColor="text1"/>
          <w:sz w:val="24"/>
          <w:szCs w:val="24"/>
        </w:rPr>
        <w:t xml:space="preserve"> Likewise, </w:t>
      </w:r>
      <w:r w:rsidR="00FF6025" w:rsidRPr="00C377C8">
        <w:rPr>
          <w:rFonts w:ascii="Times New Roman" w:eastAsia="Calibri" w:hAnsi="Times New Roman" w:cs="Times New Roman"/>
          <w:color w:val="000000" w:themeColor="text1"/>
          <w:sz w:val="24"/>
          <w:szCs w:val="24"/>
        </w:rPr>
        <w:t xml:space="preserve">Butt (2008) highlighted that </w:t>
      </w:r>
      <w:r w:rsidRPr="00C377C8">
        <w:rPr>
          <w:rFonts w:ascii="Times New Roman" w:eastAsia="Calibri" w:hAnsi="Times New Roman" w:cs="Times New Roman"/>
          <w:color w:val="000000" w:themeColor="text1"/>
          <w:sz w:val="24"/>
          <w:szCs w:val="24"/>
        </w:rPr>
        <w:t xml:space="preserve">a classroom environment may be chaotic and disorderly or even unsafe for discussions and dialogue, and students would feel less confident to ask questions or challenge each other if teachers fail to clearly explain learning goals. The findings showed that with consistent expectations, students know what is expected of them. This makes them feel more confident, engaged, and productive in their learning of the critical interpretations of the Quran. </w:t>
      </w:r>
    </w:p>
    <w:p w14:paraId="39291707"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p>
    <w:p w14:paraId="786539D0"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Furthermore, for students who may be prejudiced or have unacknowledged bias, these clear expectations and consistent routines can provide them with the structure to behave when they explain their views, giving them the patience to listen and challenge other people' views respectfully (</w:t>
      </w:r>
      <w:r w:rsidR="00FF6025" w:rsidRPr="00C377C8">
        <w:rPr>
          <w:rFonts w:ascii="Times New Roman" w:eastAsia="Calibri" w:hAnsi="Times New Roman" w:cs="Times New Roman"/>
          <w:color w:val="000000" w:themeColor="text1"/>
          <w:sz w:val="24"/>
          <w:szCs w:val="24"/>
        </w:rPr>
        <w:t>Rogers, 2015; Tauber, 2007; Watkins, 2008)</w:t>
      </w:r>
      <w:r w:rsidRPr="00C377C8">
        <w:rPr>
          <w:rFonts w:ascii="Times New Roman" w:eastAsia="Calibri" w:hAnsi="Times New Roman" w:cs="Times New Roman"/>
          <w:color w:val="000000" w:themeColor="text1"/>
          <w:sz w:val="24"/>
          <w:szCs w:val="24"/>
        </w:rPr>
        <w:t xml:space="preserve">. Besides, clear expectations help to manage students who test new teachers' boundaries (Knoff, 2012). Similarly, having clear academic and behaviour expectations can diffuse emotionally heated discussions around people's values and beliefs. </w:t>
      </w:r>
    </w:p>
    <w:p w14:paraId="5E67CB55"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For effective teaching and learning, a teacher must demonstrate how to generate interpretations, identify other people’s positions, and how to evaluate evidence for different interpretations.  Teachers’ demonstrations may help students observe and listen, which can lead to permanent learning and development of reflective thinking (Seedhouse, 2004). It is worthy to note that excessive use of demonstrations and not involving students in the process may lead to disengagement (Frey, 2009). Therefore, an effective teacher draws a balance between demonstrations and involving students in constructing knowledge. Once students are settled, teachers can minimise demonstrations and encourage autonomy. </w:t>
      </w:r>
    </w:p>
    <w:p w14:paraId="4EF075F0"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The next stage of teaching and learning is engaging students in classroom activities. Both students and teachers come into classrooms with a wide range of educational experiences, cultural, linguistic, and theological differences that may influence the way they are involved in the process of constructing and evaluating interpretations. Participants asserted that using multiple means of representation such as auditory, visual, and text sources can help all students learn more efficiently. One of the teachers used Urdu and English in slides to accommodate a student who was not proficient in English. The teacher believed that including multiple representations made material more accessible and welcoming to students. Teachers also broke lessons into chunks of generating, re-thinking, and experimenting with interpretations. Teachers who use videos to share expert opinions should include captions and transcripts so that students with different needs may benefit more. Previous research also highlighted the importance of using multiple representations and its impact on students’ engagement and active participation (Bauer, 2014; Eid and Ratcliffe, 1997). Furthermore, by consistently offering multiple means of representation the teacher can support students who perceive information differently. In addition, these strategies ensure faster and deeper understanding of the text. </w:t>
      </w:r>
    </w:p>
    <w:p w14:paraId="79E94DE7"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Students’ motivation and engagement is based on their educational backgrounds, classroom culture, and the relevance of the course to their personal and professional life. Based on their educational experience and the purpose of the curriculum, it is recommended that teachers use multiple means of engagement to stimulate interest and motivation for learning. Using personalised, multidisciplinary, and real-world learning and teaching strategies that engage students interest could lead to students feeling empowered and taking charge of their own learning. Similarly, these strategies provide support and motivate students who may have different opinions in their critical thinking skills. Multidisciplinary and real-world teaching strategies offer different types of challenges for generating interpretation in one context and applying it to the other, whilst providing support through peer-assisted learning and teaching. While using these strategies, teachers must be considerate to students’ accessibility to resources such as library or digital tools.</w:t>
      </w:r>
    </w:p>
    <w:p w14:paraId="065E8F55"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 xml:space="preserve">As students come with different needs, abilities, and educational, cultural, and theological experiences, they may approach interpretation differently. The important point research participants made is that there is no one way that is best for students, but teachers must provide a wide range of opportunities to make students’ learning experience inclusive. Some students may like to work independently, others might like to work in a small group. Some may choose to give a presentation, while others may choose to make a video and share it with friends. In giving options of learning and engaging with the text, students may become more independent and confident and can demonstrate their learning in a more structured way. </w:t>
      </w:r>
    </w:p>
    <w:p w14:paraId="74AD5F75"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Using a multidisciplinary approach, students can identify other people’s positions, arguments, and conclusions. Inquiry-led and real-world approaches enable them to evaluate the text and weigh up opposing arguments. They also help them to read between the lines, see beneath the syntactic and morphological structure, recognise rhetorical techniques, and reflect on issues in a structured way (Alhaj, 2016). These learning and teaching strategies enable them to draw conclusions on whether arguments are laudable or illaudable, and finally, they can present their findings in an exact and well-reasoned way.</w:t>
      </w:r>
    </w:p>
    <w:p w14:paraId="3A33F275" w14:textId="77777777" w:rsidR="009719B8" w:rsidRPr="00C377C8" w:rsidRDefault="009719B8" w:rsidP="00461178">
      <w:pPr>
        <w:spacing w:after="0" w:line="360" w:lineRule="auto"/>
        <w:ind w:left="2268"/>
        <w:jc w:val="both"/>
        <w:rPr>
          <w:rFonts w:ascii="Times New Roman" w:eastAsia="Calibri" w:hAnsi="Times New Roman" w:cs="Times New Roman"/>
          <w:color w:val="000000" w:themeColor="text1"/>
          <w:sz w:val="24"/>
          <w:szCs w:val="24"/>
        </w:rPr>
      </w:pPr>
      <w:r w:rsidRPr="00C377C8">
        <w:rPr>
          <w:rFonts w:ascii="Times New Roman" w:eastAsia="Calibri" w:hAnsi="Times New Roman" w:cs="Times New Roman"/>
          <w:color w:val="000000" w:themeColor="text1"/>
          <w:sz w:val="24"/>
          <w:szCs w:val="24"/>
        </w:rPr>
        <w:t>With practice and active engagement, students can become independent thinkers, accept their responsibility of learning, and make their own decisions regarding when, how, and what they need to learn in any task such as generating, experimenting, or rethinking ideas. Active students can make such decisions either independently or following teacher's instructions (Anderson and De Silva, 2007). Sometimes, a teacher assigns students to a certain role to help them use a particular skill or approximate their existing knowledge. In such situations, a student must follow teacher’s advice and actively participate in the process of learning and teaching. An effective teacher motivates students to accept their responsibility, overcome the fear of criticising renowned scholars and their works and builds students’ confidence. In contrast, if a student does not accept responsibility, they could lose the ability to make informed academic decisions.</w:t>
      </w:r>
    </w:p>
    <w:p w14:paraId="75E93C28" w14:textId="77777777" w:rsidR="009719B8" w:rsidRPr="00C377C8" w:rsidRDefault="009719B8" w:rsidP="00461178">
      <w:pPr>
        <w:spacing w:after="0" w:line="360" w:lineRule="auto"/>
        <w:ind w:left="2268"/>
        <w:jc w:val="both"/>
        <w:rPr>
          <w:rFonts w:ascii="Times New Roman" w:eastAsia="Times New Roman" w:hAnsi="Times New Roman" w:cs="Times New Roman"/>
          <w:color w:val="000000" w:themeColor="text1"/>
          <w:sz w:val="24"/>
          <w:szCs w:val="24"/>
        </w:rPr>
      </w:pPr>
      <w:r w:rsidRPr="00C377C8">
        <w:rPr>
          <w:rFonts w:ascii="Times New Roman" w:eastAsia="Times New Roman" w:hAnsi="Times New Roman" w:cs="Times New Roman"/>
          <w:color w:val="000000" w:themeColor="text1"/>
          <w:sz w:val="24"/>
          <w:szCs w:val="24"/>
        </w:rPr>
        <w:t>Finally, students must receive feedback from their teacher and their peers who may act as more knowledgeable others. The feedback must be relevant, ethical, fair, and non-threatening as asserted by research participants. For effective teaching, a teacher must use polite and considerate language when giving feedback to students. It should be confidential in some instances, as some students may feel offended if their weaknesses or areas of improvement are disclosed to others (Koopmans, 2010). As state schools and colleges use information and communication technology, teachers of critical interpretation of the Quran must incorporate these resources within the assessment process and feedback.</w:t>
      </w:r>
    </w:p>
    <w:p w14:paraId="0FB5B994" w14:textId="77777777" w:rsidR="009719B8" w:rsidRPr="00C377C8" w:rsidRDefault="009719B8" w:rsidP="00461178">
      <w:pPr>
        <w:spacing w:after="0" w:line="240" w:lineRule="auto"/>
        <w:ind w:left="2268"/>
        <w:rPr>
          <w:rFonts w:ascii="Times New Roman" w:eastAsia="Calibri" w:hAnsi="Times New Roman" w:cs="Times New Roman"/>
          <w:color w:val="000000" w:themeColor="text1"/>
          <w:sz w:val="24"/>
          <w:szCs w:val="24"/>
        </w:rPr>
      </w:pPr>
    </w:p>
    <w:p w14:paraId="499D1DBC" w14:textId="77777777" w:rsidR="009719B8" w:rsidRPr="00C377C8" w:rsidRDefault="009719B8" w:rsidP="00461178">
      <w:pPr>
        <w:pStyle w:val="Heading2"/>
        <w:ind w:left="2268"/>
        <w:rPr>
          <w:rFonts w:eastAsia="Calibri"/>
        </w:rPr>
      </w:pPr>
      <w:bookmarkStart w:id="227" w:name="_Toc75796726"/>
      <w:bookmarkStart w:id="228" w:name="_Toc76374560"/>
      <w:r w:rsidRPr="00C377C8">
        <w:rPr>
          <w:rFonts w:eastAsia="Calibri"/>
        </w:rPr>
        <w:t xml:space="preserve"> </w:t>
      </w:r>
      <w:bookmarkStart w:id="229" w:name="_Toc83735615"/>
      <w:bookmarkStart w:id="230" w:name="_Toc83818727"/>
      <w:bookmarkStart w:id="231" w:name="_Toc96609139"/>
      <w:r w:rsidRPr="00C377C8">
        <w:rPr>
          <w:rFonts w:eastAsia="Calibri"/>
        </w:rPr>
        <w:t>Conclusion</w:t>
      </w:r>
      <w:bookmarkEnd w:id="227"/>
      <w:bookmarkEnd w:id="228"/>
      <w:bookmarkEnd w:id="229"/>
      <w:bookmarkEnd w:id="230"/>
      <w:bookmarkEnd w:id="231"/>
      <w:r w:rsidRPr="00C377C8">
        <w:rPr>
          <w:rFonts w:eastAsia="Calibri"/>
        </w:rPr>
        <w:t xml:space="preserve"> </w:t>
      </w:r>
    </w:p>
    <w:p w14:paraId="2B8A8D44" w14:textId="77777777" w:rsidR="009719B8" w:rsidRPr="00C377C8" w:rsidRDefault="009719B8" w:rsidP="00461178">
      <w:pPr>
        <w:spacing w:after="0" w:line="360" w:lineRule="auto"/>
        <w:ind w:left="2268"/>
        <w:jc w:val="both"/>
        <w:rPr>
          <w:rFonts w:ascii="Times New Roman" w:eastAsia="Times New Roman" w:hAnsi="Times New Roman" w:cs="Times New Roman"/>
          <w:color w:val="000000" w:themeColor="text1"/>
          <w:sz w:val="24"/>
          <w:szCs w:val="24"/>
        </w:rPr>
      </w:pPr>
      <w:r w:rsidRPr="00C377C8">
        <w:rPr>
          <w:rFonts w:ascii="Times New Roman" w:eastAsia="Times New Roman" w:hAnsi="Times New Roman" w:cs="Times New Roman"/>
          <w:color w:val="000000" w:themeColor="text1"/>
          <w:sz w:val="24"/>
          <w:szCs w:val="24"/>
        </w:rPr>
        <w:t xml:space="preserve">In this chapter, the readers were introduced to important aspects of effective teaching: the factors that influence interpretation, the factors which influence teaching the critical interpretation of the Quran, the changing role of a teacher, understanding effective classroom teaching and learning strategies, and finally barriers to effective teaching. Participants’ perspectives on why diverse representation matters to effective teaching and learning, and how teachers can help students engage with various interpretations through a teaching framework were also discussed. The chapter helps teachers of the critical interpretation of the Quran to reflect upon their practice and design appropriate teaching and learning strategies. The current study was conducted at Islamic institutions offering Dars-e-Nizami classes to explore both teachers’ and students’ perspectives on effective teaching. Their views and examples they shared were helpful for reflecting on how teacher’s choices can have an impact on student engagement, teaching and learning environment, and student attainment. </w:t>
      </w:r>
    </w:p>
    <w:p w14:paraId="1C5B92C2" w14:textId="700C998E" w:rsidR="001069D0" w:rsidRPr="00C377C8" w:rsidRDefault="009719B8" w:rsidP="00517D2D">
      <w:pPr>
        <w:spacing w:line="360" w:lineRule="auto"/>
        <w:ind w:left="2268"/>
        <w:jc w:val="both"/>
        <w:rPr>
          <w:rFonts w:ascii="Times New Roman" w:eastAsia="Times New Roman" w:hAnsi="Times New Roman" w:cs="Times New Roman"/>
          <w:color w:val="000000" w:themeColor="text1"/>
          <w:sz w:val="24"/>
          <w:szCs w:val="24"/>
        </w:rPr>
      </w:pPr>
      <w:r w:rsidRPr="00C377C8">
        <w:rPr>
          <w:rFonts w:ascii="Times New Roman" w:eastAsia="Times New Roman" w:hAnsi="Times New Roman" w:cs="Times New Roman"/>
          <w:color w:val="000000" w:themeColor="text1"/>
          <w:sz w:val="24"/>
          <w:szCs w:val="24"/>
        </w:rPr>
        <w:t>Finally, the effective teaching framework was developed based on students’ unique set of needs, abilities, and linguistic, cultural, and theological backgrounds. It is aimed at involving students in the process of learning and making them succeed at interpreting the text of the Quran. The teaching framework emphasises setting clear goals and using multiple contents, diverse activities, and engagement. During the delivery, clarity of teaching approaches helps teachers to create an inclusive and safe environment where students can work with each other and construct knowledge. The next chapter presents salient conclusions of this study, explaining the contributions of this research work. Furthermore, it will offer recommendations considering the findings and recommend further research within the field</w:t>
      </w:r>
      <w:r w:rsidR="001069D0" w:rsidRPr="00C377C8">
        <w:rPr>
          <w:rFonts w:ascii="Times New Roman" w:eastAsia="Times New Roman" w:hAnsi="Times New Roman" w:cs="Times New Roman"/>
          <w:color w:val="000000" w:themeColor="text1"/>
          <w:sz w:val="24"/>
          <w:szCs w:val="24"/>
        </w:rPr>
        <w:t>.</w:t>
      </w:r>
    </w:p>
    <w:p w14:paraId="2E6BD094" w14:textId="77777777" w:rsidR="00517D2D" w:rsidRPr="00C377C8" w:rsidRDefault="00517D2D" w:rsidP="00517D2D">
      <w:pPr>
        <w:spacing w:line="360" w:lineRule="auto"/>
        <w:ind w:left="2268"/>
        <w:jc w:val="both"/>
        <w:rPr>
          <w:rFonts w:ascii="Times New Roman" w:eastAsia="Times New Roman" w:hAnsi="Times New Roman" w:cs="Times New Roman"/>
          <w:color w:val="000000" w:themeColor="text1"/>
          <w:sz w:val="24"/>
          <w:szCs w:val="24"/>
        </w:rPr>
      </w:pPr>
    </w:p>
    <w:p w14:paraId="22157436" w14:textId="77777777" w:rsidR="00517D2D" w:rsidRPr="00C377C8" w:rsidRDefault="00517D2D" w:rsidP="00517D2D">
      <w:pPr>
        <w:spacing w:line="360" w:lineRule="auto"/>
        <w:ind w:left="2268"/>
        <w:jc w:val="both"/>
        <w:rPr>
          <w:rFonts w:ascii="Times New Roman" w:eastAsia="Times New Roman" w:hAnsi="Times New Roman" w:cs="Times New Roman"/>
          <w:color w:val="000000" w:themeColor="text1"/>
          <w:sz w:val="24"/>
          <w:szCs w:val="24"/>
        </w:rPr>
      </w:pPr>
    </w:p>
    <w:p w14:paraId="2C17EE0C" w14:textId="77777777" w:rsidR="00517D2D" w:rsidRPr="00C377C8" w:rsidRDefault="00517D2D" w:rsidP="00517D2D">
      <w:pPr>
        <w:spacing w:line="360" w:lineRule="auto"/>
        <w:ind w:left="2268"/>
        <w:jc w:val="both"/>
        <w:rPr>
          <w:rFonts w:ascii="Times New Roman" w:eastAsia="Times New Roman" w:hAnsi="Times New Roman" w:cs="Times New Roman"/>
          <w:color w:val="000000" w:themeColor="text1"/>
          <w:sz w:val="24"/>
          <w:szCs w:val="24"/>
        </w:rPr>
      </w:pPr>
    </w:p>
    <w:p w14:paraId="2D13FF34" w14:textId="1F5C9151" w:rsidR="00517D2D" w:rsidRPr="00C377C8" w:rsidRDefault="00517D2D" w:rsidP="00517D2D">
      <w:pPr>
        <w:spacing w:line="360" w:lineRule="auto"/>
        <w:ind w:left="2268"/>
        <w:jc w:val="both"/>
        <w:rPr>
          <w:rFonts w:ascii="Times New Roman" w:eastAsia="Times New Roman" w:hAnsi="Times New Roman" w:cs="Times New Roman"/>
          <w:color w:val="000000" w:themeColor="text1"/>
          <w:sz w:val="24"/>
          <w:szCs w:val="24"/>
        </w:rPr>
      </w:pPr>
    </w:p>
    <w:p w14:paraId="3D3FA5EB" w14:textId="4DCD0BE0" w:rsidR="0085481A" w:rsidRPr="00C377C8" w:rsidRDefault="0085481A" w:rsidP="00517D2D">
      <w:pPr>
        <w:spacing w:line="360" w:lineRule="auto"/>
        <w:ind w:left="2268"/>
        <w:jc w:val="both"/>
        <w:rPr>
          <w:rFonts w:ascii="Times New Roman" w:eastAsia="Times New Roman" w:hAnsi="Times New Roman" w:cs="Times New Roman"/>
          <w:color w:val="000000" w:themeColor="text1"/>
          <w:sz w:val="24"/>
          <w:szCs w:val="24"/>
        </w:rPr>
      </w:pPr>
    </w:p>
    <w:p w14:paraId="4E4D729B" w14:textId="0C32832C" w:rsidR="0085481A" w:rsidRPr="00C377C8" w:rsidRDefault="0085481A" w:rsidP="00517D2D">
      <w:pPr>
        <w:spacing w:line="360" w:lineRule="auto"/>
        <w:ind w:left="2268"/>
        <w:jc w:val="both"/>
        <w:rPr>
          <w:rFonts w:ascii="Times New Roman" w:eastAsia="Times New Roman" w:hAnsi="Times New Roman" w:cs="Times New Roman"/>
          <w:color w:val="000000" w:themeColor="text1"/>
          <w:sz w:val="24"/>
          <w:szCs w:val="24"/>
        </w:rPr>
      </w:pPr>
    </w:p>
    <w:p w14:paraId="08DEE0D1" w14:textId="69635D62" w:rsidR="0085481A" w:rsidRPr="00C377C8" w:rsidRDefault="0085481A" w:rsidP="00517D2D">
      <w:pPr>
        <w:spacing w:line="360" w:lineRule="auto"/>
        <w:ind w:left="2268"/>
        <w:jc w:val="both"/>
        <w:rPr>
          <w:rFonts w:ascii="Times New Roman" w:eastAsia="Times New Roman" w:hAnsi="Times New Roman" w:cs="Times New Roman"/>
          <w:color w:val="000000" w:themeColor="text1"/>
          <w:sz w:val="24"/>
          <w:szCs w:val="24"/>
        </w:rPr>
      </w:pPr>
    </w:p>
    <w:p w14:paraId="24025FEE" w14:textId="0A26F373" w:rsidR="0085481A" w:rsidRPr="00C377C8" w:rsidRDefault="0085481A" w:rsidP="00517D2D">
      <w:pPr>
        <w:spacing w:line="360" w:lineRule="auto"/>
        <w:ind w:left="2268"/>
        <w:jc w:val="both"/>
        <w:rPr>
          <w:rFonts w:ascii="Times New Roman" w:eastAsia="Times New Roman" w:hAnsi="Times New Roman" w:cs="Times New Roman"/>
          <w:color w:val="000000" w:themeColor="text1"/>
          <w:sz w:val="24"/>
          <w:szCs w:val="24"/>
        </w:rPr>
      </w:pPr>
    </w:p>
    <w:p w14:paraId="135628EB" w14:textId="6B6C844E" w:rsidR="0085481A" w:rsidRPr="00C377C8" w:rsidRDefault="0085481A" w:rsidP="00517D2D">
      <w:pPr>
        <w:spacing w:line="360" w:lineRule="auto"/>
        <w:ind w:left="2268"/>
        <w:jc w:val="both"/>
        <w:rPr>
          <w:rFonts w:ascii="Times New Roman" w:eastAsia="Times New Roman" w:hAnsi="Times New Roman" w:cs="Times New Roman"/>
          <w:color w:val="000000" w:themeColor="text1"/>
          <w:sz w:val="24"/>
          <w:szCs w:val="24"/>
        </w:rPr>
      </w:pPr>
    </w:p>
    <w:p w14:paraId="3D1C825F" w14:textId="09C24EDB" w:rsidR="0085481A" w:rsidRPr="00C377C8" w:rsidRDefault="0085481A" w:rsidP="00517D2D">
      <w:pPr>
        <w:spacing w:line="360" w:lineRule="auto"/>
        <w:ind w:left="2268"/>
        <w:jc w:val="both"/>
        <w:rPr>
          <w:rFonts w:ascii="Times New Roman" w:eastAsia="Times New Roman" w:hAnsi="Times New Roman" w:cs="Times New Roman"/>
          <w:color w:val="000000" w:themeColor="text1"/>
          <w:sz w:val="24"/>
          <w:szCs w:val="24"/>
        </w:rPr>
      </w:pPr>
    </w:p>
    <w:p w14:paraId="7E57E0F3" w14:textId="0C5DCFBA" w:rsidR="0085481A" w:rsidRPr="00C377C8" w:rsidRDefault="0085481A" w:rsidP="00517D2D">
      <w:pPr>
        <w:spacing w:line="360" w:lineRule="auto"/>
        <w:ind w:left="2268"/>
        <w:jc w:val="both"/>
        <w:rPr>
          <w:rFonts w:ascii="Times New Roman" w:eastAsia="Times New Roman" w:hAnsi="Times New Roman" w:cs="Times New Roman"/>
          <w:color w:val="000000" w:themeColor="text1"/>
          <w:sz w:val="24"/>
          <w:szCs w:val="24"/>
        </w:rPr>
      </w:pPr>
    </w:p>
    <w:p w14:paraId="05F6D962" w14:textId="69FE2AAA" w:rsidR="0085481A" w:rsidRPr="00C377C8" w:rsidRDefault="0085481A" w:rsidP="00517D2D">
      <w:pPr>
        <w:spacing w:line="360" w:lineRule="auto"/>
        <w:ind w:left="2268"/>
        <w:jc w:val="both"/>
        <w:rPr>
          <w:rFonts w:ascii="Times New Roman" w:eastAsia="Times New Roman" w:hAnsi="Times New Roman" w:cs="Times New Roman"/>
          <w:color w:val="000000" w:themeColor="text1"/>
          <w:sz w:val="24"/>
          <w:szCs w:val="24"/>
        </w:rPr>
      </w:pPr>
    </w:p>
    <w:p w14:paraId="56B7A016" w14:textId="5D854E26" w:rsidR="0085481A" w:rsidRPr="00C377C8" w:rsidRDefault="0085481A" w:rsidP="00517D2D">
      <w:pPr>
        <w:spacing w:line="360" w:lineRule="auto"/>
        <w:ind w:left="2268"/>
        <w:jc w:val="both"/>
        <w:rPr>
          <w:rFonts w:ascii="Times New Roman" w:eastAsia="Times New Roman" w:hAnsi="Times New Roman" w:cs="Times New Roman"/>
          <w:color w:val="000000" w:themeColor="text1"/>
          <w:sz w:val="24"/>
          <w:szCs w:val="24"/>
        </w:rPr>
      </w:pPr>
    </w:p>
    <w:p w14:paraId="5E13DFB2" w14:textId="3B798BFA" w:rsidR="0085481A" w:rsidRPr="00C377C8" w:rsidRDefault="0085481A" w:rsidP="00517D2D">
      <w:pPr>
        <w:spacing w:line="360" w:lineRule="auto"/>
        <w:ind w:left="2268"/>
        <w:jc w:val="both"/>
        <w:rPr>
          <w:rFonts w:ascii="Times New Roman" w:eastAsia="Times New Roman" w:hAnsi="Times New Roman" w:cs="Times New Roman"/>
          <w:color w:val="000000" w:themeColor="text1"/>
          <w:sz w:val="24"/>
          <w:szCs w:val="24"/>
        </w:rPr>
      </w:pPr>
    </w:p>
    <w:p w14:paraId="40FBC745" w14:textId="1618668E" w:rsidR="0085481A" w:rsidRPr="00C377C8" w:rsidRDefault="0085481A" w:rsidP="00517D2D">
      <w:pPr>
        <w:spacing w:line="360" w:lineRule="auto"/>
        <w:ind w:left="2268"/>
        <w:jc w:val="both"/>
        <w:rPr>
          <w:rFonts w:ascii="Times New Roman" w:eastAsia="Times New Roman" w:hAnsi="Times New Roman" w:cs="Times New Roman"/>
          <w:color w:val="000000" w:themeColor="text1"/>
          <w:sz w:val="24"/>
          <w:szCs w:val="24"/>
        </w:rPr>
      </w:pPr>
    </w:p>
    <w:p w14:paraId="412309D0" w14:textId="783C3B30" w:rsidR="0085481A" w:rsidRPr="00C377C8" w:rsidRDefault="0085481A" w:rsidP="00517D2D">
      <w:pPr>
        <w:spacing w:line="360" w:lineRule="auto"/>
        <w:ind w:left="2268"/>
        <w:jc w:val="both"/>
        <w:rPr>
          <w:rFonts w:ascii="Times New Roman" w:eastAsia="Times New Roman" w:hAnsi="Times New Roman" w:cs="Times New Roman"/>
          <w:color w:val="000000" w:themeColor="text1"/>
          <w:sz w:val="24"/>
          <w:szCs w:val="24"/>
        </w:rPr>
      </w:pPr>
    </w:p>
    <w:p w14:paraId="39B79D58" w14:textId="541C0B04" w:rsidR="0085481A" w:rsidRPr="00C377C8" w:rsidRDefault="0085481A" w:rsidP="00517D2D">
      <w:pPr>
        <w:spacing w:line="360" w:lineRule="auto"/>
        <w:ind w:left="2268"/>
        <w:jc w:val="both"/>
        <w:rPr>
          <w:rFonts w:ascii="Times New Roman" w:eastAsia="Times New Roman" w:hAnsi="Times New Roman" w:cs="Times New Roman"/>
          <w:color w:val="000000" w:themeColor="text1"/>
          <w:sz w:val="24"/>
          <w:szCs w:val="24"/>
        </w:rPr>
      </w:pPr>
    </w:p>
    <w:p w14:paraId="52DF6E52" w14:textId="77777777" w:rsidR="0085481A" w:rsidRPr="00C377C8" w:rsidRDefault="0085481A" w:rsidP="00517D2D">
      <w:pPr>
        <w:spacing w:line="360" w:lineRule="auto"/>
        <w:ind w:left="2268"/>
        <w:jc w:val="both"/>
        <w:rPr>
          <w:rFonts w:ascii="Times New Roman" w:eastAsia="Times New Roman" w:hAnsi="Times New Roman" w:cs="Times New Roman"/>
          <w:color w:val="000000" w:themeColor="text1"/>
          <w:sz w:val="24"/>
          <w:szCs w:val="24"/>
        </w:rPr>
      </w:pPr>
    </w:p>
    <w:p w14:paraId="7332343F" w14:textId="77777777" w:rsidR="00517D2D" w:rsidRPr="00C377C8" w:rsidRDefault="00517D2D" w:rsidP="00517D2D">
      <w:pPr>
        <w:spacing w:line="360" w:lineRule="auto"/>
        <w:ind w:left="2268"/>
        <w:jc w:val="both"/>
        <w:rPr>
          <w:rFonts w:ascii="Times New Roman" w:eastAsia="Times New Roman" w:hAnsi="Times New Roman" w:cs="Times New Roman"/>
          <w:color w:val="000000" w:themeColor="text1"/>
          <w:sz w:val="24"/>
          <w:szCs w:val="24"/>
        </w:rPr>
      </w:pPr>
    </w:p>
    <w:p w14:paraId="680B443A" w14:textId="77777777" w:rsidR="00517D2D" w:rsidRPr="00C377C8" w:rsidRDefault="00517D2D" w:rsidP="00517D2D">
      <w:pPr>
        <w:spacing w:line="360" w:lineRule="auto"/>
        <w:ind w:left="2268"/>
        <w:jc w:val="both"/>
        <w:rPr>
          <w:rFonts w:ascii="Times New Roman" w:eastAsia="Times New Roman" w:hAnsi="Times New Roman" w:cs="Times New Roman"/>
          <w:color w:val="000000" w:themeColor="text1"/>
          <w:sz w:val="24"/>
          <w:szCs w:val="24"/>
        </w:rPr>
      </w:pPr>
    </w:p>
    <w:p w14:paraId="07B9E6CD" w14:textId="5C92D4B8" w:rsidR="00E54AB6" w:rsidRPr="00C377C8" w:rsidRDefault="001069D0" w:rsidP="00461178">
      <w:pPr>
        <w:pStyle w:val="Heading1"/>
        <w:ind w:right="0"/>
      </w:pPr>
      <w:bookmarkStart w:id="232" w:name="_Toc83818728"/>
      <w:bookmarkStart w:id="233" w:name="_Toc96609140"/>
      <w:r w:rsidRPr="00C377C8">
        <w:t>Chapter 6 Conclusion and Recommendations</w:t>
      </w:r>
      <w:bookmarkEnd w:id="232"/>
      <w:bookmarkEnd w:id="233"/>
    </w:p>
    <w:p w14:paraId="580CE07D" w14:textId="77777777" w:rsidR="001069D0" w:rsidRPr="00C377C8" w:rsidRDefault="001069D0" w:rsidP="00461178">
      <w:pPr>
        <w:pStyle w:val="Heading2"/>
        <w:spacing w:line="360" w:lineRule="auto"/>
        <w:ind w:left="2268"/>
      </w:pPr>
      <w:bookmarkStart w:id="234" w:name="_Toc83818729"/>
      <w:bookmarkStart w:id="235" w:name="_Toc96609141"/>
      <w:r w:rsidRPr="00C377C8">
        <w:t>Introduction</w:t>
      </w:r>
      <w:bookmarkEnd w:id="234"/>
      <w:bookmarkEnd w:id="235"/>
      <w:r w:rsidRPr="00C377C8">
        <w:t xml:space="preserve"> </w:t>
      </w:r>
    </w:p>
    <w:p w14:paraId="010D08E2"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The previous chapter critically examined research findings within the context of literature and my own personal experience of teaching and learning and offered a framework for effective teaching of the critical interpretation of the Quran. This chapter reminds the reader of the broader aim and objectives of the research and summarises its main findings and outcomes. It further establishes a relationship between research objectives and the findings of the current study. It then discusses the contribution of this research within the pedagogy of Tafsir and makes recommendations for institutions, teachers of the critical interpretation of the Quran, and for future research in light of the current study limitations. My own professional development and learning was discussed followed by the conclusion.</w:t>
      </w:r>
    </w:p>
    <w:p w14:paraId="6C1A8809" w14:textId="77777777" w:rsidR="001069D0" w:rsidRPr="00C377C8" w:rsidRDefault="001069D0" w:rsidP="00461178">
      <w:pPr>
        <w:pStyle w:val="Heading2"/>
        <w:spacing w:line="360" w:lineRule="auto"/>
        <w:ind w:left="2268"/>
      </w:pPr>
      <w:bookmarkStart w:id="236" w:name="_Toc83818730"/>
      <w:bookmarkStart w:id="237" w:name="_Toc96609142"/>
      <w:r w:rsidRPr="00C377C8">
        <w:t>Research objectives and questions</w:t>
      </w:r>
      <w:bookmarkEnd w:id="236"/>
      <w:bookmarkEnd w:id="237"/>
    </w:p>
    <w:p w14:paraId="50E1BB7A"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current study's main objective was to develop an effective framework for teaching the critical interpretation of the Quran. Moreover, the study was directed to explore how research participants perceive, remember, and desire the act of teaching. These objectives were achieved by conducting in-depth interviews with research participants, classroom observation and reviewing classroom resources to explore participants’ teaching and learning experiences. These data collection methods helped to identify factors that influence the process of interpretations and its pedagogy, understand the changing role of a teacher, discuss effective teaching strategies, and finally examine barriers to effective teaching in multilingual classrooms. </w:t>
      </w:r>
    </w:p>
    <w:p w14:paraId="7EE22696"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Based on my ontological and epistemological position and contextual settings of the research, IPAwas chosen as a data analysis methodology. This methodology proved highly useful in creating data to answer research questions and achieve research objectives. To re-state, the main research question was: </w:t>
      </w:r>
    </w:p>
    <w:p w14:paraId="44EF3E94"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How do teachers and students of the critical interpretation of the Quran understand the concept of effective teaching in multilingual classrooms?  </w:t>
      </w:r>
    </w:p>
    <w:p w14:paraId="294097CC"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The secondary questions were:</w:t>
      </w:r>
    </w:p>
    <w:p w14:paraId="2E0C3365"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What do teachers and students think about how teaching of the critical interpretation of the Quran is carried out in multilingual classrooms?</w:t>
      </w:r>
    </w:p>
    <w:p w14:paraId="251C6BB5"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What are some of the traits of effective teachers involved in teaching of the critical interpretation of the Quran in multilingual classrooms?</w:t>
      </w:r>
    </w:p>
    <w:p w14:paraId="4E5CB334"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What types of teaching strategies are useful for developing students’ critical thinking skills for the interpretation of the Quran in multilingual classrooms?</w:t>
      </w:r>
    </w:p>
    <w:p w14:paraId="5553B16C" w14:textId="77777777" w:rsidR="001069D0" w:rsidRPr="00C377C8" w:rsidRDefault="001069D0" w:rsidP="00461178">
      <w:pPr>
        <w:pStyle w:val="Heading2"/>
        <w:spacing w:line="360" w:lineRule="auto"/>
        <w:ind w:left="2268"/>
      </w:pPr>
      <w:bookmarkStart w:id="238" w:name="_Toc83818731"/>
      <w:bookmarkStart w:id="239" w:name="_Toc96609143"/>
      <w:r w:rsidRPr="00C377C8">
        <w:t>Summary of research outcomes</w:t>
      </w:r>
      <w:bookmarkEnd w:id="238"/>
      <w:bookmarkEnd w:id="239"/>
      <w:r w:rsidRPr="00C377C8">
        <w:t xml:space="preserve"> </w:t>
      </w:r>
    </w:p>
    <w:p w14:paraId="06CA6CC8"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This section provides a brief overview of the relationship between study aims, its background, the purpose of the literature review (Chapter one), the chosen methodology (Chapter two), data analysis and study findings (Chapter three and four). The study's background offered an opportunity to reflect on the phenomenon, the complexity of teaching the critical interpretation of the Quran, and how contextual factors influence teachers' classroom practice. It helped me to question the research participants what he does and why he does it and then decide whether there is a better and more efficient way to explore the issue. The purpose of the literature review was to bring clarity and focus to the research problem, improve research methodology, broaden the researcher's knowledge in his research field, and contextualize findings. Furthermore, it helped the researcher to confirm the gap in the existing research and justify the current study. The current study's research outcomes have now been presented and are based on the examination of findings including: (1) factors that influence the process of interpretation and its pedagogy; (2) teachers’ traits; (3) effective teaching and learning strategies; (4) foreign language teachers’ and students' experience of teaching and learning in multilingual classrooms.</w:t>
      </w:r>
    </w:p>
    <w:p w14:paraId="1EBBE164"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First, it was clearly demonstrated that the critical interpretation of the Quran and its pedagogy is quite complex. The complexity lies in the multilingual nature of the subject, Arabic is used as a source language, and English used as a target language. Students have to do code switching and code borrowing to construct the interpretation. In addition, the context in which the interpretation is carried out as well as the fact that students are from different cultural and linguistic backgrounds adds to this complexity. </w:t>
      </w:r>
    </w:p>
    <w:p w14:paraId="28C27DAA"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Previous literature focused mainly on teaching the interpretation of the Quran through the Quran, Ahadith, and sayings of the companions and their successors. However, the current study found that interpretation is generative and is influenced by culture, language, power structures, and the interpreter's own knowledge and skills. Understanding these factors enables teachers to help students think 'outside the box', understand approaches or philosophies behind various interpretations, and weigh different arguments more confidently and creatively without any hidden and unacknowledged biases. </w:t>
      </w:r>
    </w:p>
    <w:p w14:paraId="485BAF69"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Furthermore, the current study found that the critical interpretation of the Quran is generating interpretation, re-thinking different interpretations, and experimenting with interpretations. Teachers must have both source and target language competence to generate culturally and religiously relevant interpretations. In contrast, lack of multilingual competence, unacknowledged bias, poor classroom climate, and failure to understand the real-world issues could hinder teacher’s ability to facilitate teaching and learning.</w:t>
      </w:r>
    </w:p>
    <w:p w14:paraId="00652205"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As highlighted in the literature review and the analysis chapter, re-thinking of interpretation requires both teachers and students to identify other people's positions and arguments. Since interpretation of the Quran was historically generated by authors who were influenced by different power structures to exercise and maintain their power. Therefore, a teacher must be knowledgeable about different cultures, politics, and other peoples’ norms and ideologies to lead the discussion when students compare different interpretations. It was emphasized that teachers' knowledge of the local culture in which they interact with students is essential. This cultural competence helps teachers to develop students' skills of applying knowledge when they are engaged in comparing different interpretations. </w:t>
      </w:r>
    </w:p>
    <w:p w14:paraId="42D6C93F"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The current study highlighted that having no written clear purpose of the course has a negative impact on teacher's classroom practice because it hinders their ability to set clear expectations and lesson objectives. Furthermore, they may not be able to measure students' progress and attainment. The study proposed specifying course objectives, which can be used across different institutes to ensure consistency. Nind (2013) argued that curriculum's clear purpose provides a clear path for teachers to facilitate teaching and for students to progress from one level to the other.</w:t>
      </w:r>
    </w:p>
    <w:p w14:paraId="44F34EE7"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In addition, the course climate or classroom environment has impact on both teachers and students. If a teacher fails to create a classroom where everyone can respectfully express their ideas without being judgemental or causing aggression. It may also restrict students' freedom to critically analyse the interpretation of the Quran. A teacher can achieve a good classroom environment through understanding and implementation of safeguarding policies, as students may not know how to express views in a structured and respectful way without clear behaviour expectations. The study expressed the need for teachers' understanding of policies and their ability to implement them for a safe classroom environment. </w:t>
      </w:r>
    </w:p>
    <w:p w14:paraId="4526D40D"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current study has identified that the role of a teacher has changed from lecturing to facilitating learning and acting as a co-creator of knowledge. Effective teaching is characterized by learning through teacher's presence and their interactions with students. In this context, both teachers and students are central figures in teaching and learning (Cullingford, 2010). Previous research revealed that an effective teacher is knowledgeable, acts as a good communicator and manager (McEwan-Adkins and McEwan-Adkins, 2010; Wilhoit and Ryken, 2012). However, this study highlighted that an effective teacher of the critical interpretation of the Quran has multidisciplinary knowledge, is inclusive, independent, impartial, and has skills to relate the divine text with real-world issues. Effective teachers are different from their less effective peers mainly by what they are and what they do. Therefore, as identified in the current research, their personal traits are mutual respect, openness, impartiality, and professional traits proposed by research participants, including communication skills in a multilingual context, multidisciplinary knowledge, adaptability, and inclusivity. </w:t>
      </w:r>
    </w:p>
    <w:p w14:paraId="7DA1D248"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The aforementioned traits are essential for creating a safe environment whereby teachers and students work together, listen to each other's views, challenge, and question each other's position on the different interpretations of the Quran (Rollins, 2010). Participants stated that respect is vital in creating a safe classroom environment, where students with different needs and backgrounds engage in discussions. Besides respectfulness, an effective teacher must be independent, impartial and must accommodate for everyone's views, especially students from other theological backgrounds. Teachers should think outside the box of their own school of thought and use diverse resources, which can widen and deepen students' understanding of different interpretations.</w:t>
      </w:r>
    </w:p>
    <w:p w14:paraId="440D1303"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Professional traits such as adapting teacher’s practice according to situations and showing empathy and consideration to others can make the practice effective. An effective teacher is passionate about establishing a good relationship with students, motivating them to question and compare different interpretations when interpreting the text of the Quran. Overall, teachers must create a critical classroom environment where effective teaching can occur. This allows teachers to work in partnership with students and support them to think creatively and effectively. </w:t>
      </w:r>
    </w:p>
    <w:p w14:paraId="449F217F"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p>
    <w:p w14:paraId="27D4E2F3"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The most significant finding that emerged in the current study was the teaching strategies for the critical interpretation of the Quran that can enable teachers to plan, deliver, and assess students effectively. No previous research was found on the pedagogy of the critical interpretation of the Quran in multilingual classrooms. The current study recommended personalized, multidisciplinary, inclusive, and real-world teaching to enhance students' critical thinking skills and engagement with the text. These strategies allow teachers to create a safe classroom climate that offer support to students to generate, analyse, and experiment with different interpretations.</w:t>
      </w:r>
    </w:p>
    <w:p w14:paraId="2D1347A4"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In personalized teaching and learning, a teacher recognizes student’s background, existing knowledge, their strengths and weaknesses, and sets individual tasks for them. This can help students enhance their existing skills and develop confidence in creating and re-thinking interpretations. In lecturing or teacher-centred methods, a teacher pays little attention to students' individual needs (Borich, 2007). Similarly, when using a multidisciplinary approach, a teacher can invite other students, teachers, and experts to share their views, which may expand students' understanding of different interpretations and improve their ability to apply text in other social, cultural, and political contexts. Students can see beyond the boundaries of their discipline and study meanings of the text from the viewpoint of more than one discipline (Barnes, 2015). </w:t>
      </w:r>
    </w:p>
    <w:p w14:paraId="57B01D5E"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Additionally, real-world teaching and learning strategy helps teachers to contextualize and relate the text to issues that people face within the society at a particular time. In the context of the current study, an effective teacher engages students to relate the text to socio-cultural issues that young people face within the UK. Therefore, the real-world teaching strategy makes learning more relevant to students' needs. The proposed teaching strategies can enable teachers to plan, deliver, and assess students creatively and effectively.</w:t>
      </w:r>
    </w:p>
    <w:p w14:paraId="1A63813B"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p>
    <w:p w14:paraId="7661855A"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 findings also identified some of the barriers that teachers face in multilingual classroom when teaching the critical interpretation of the Quran. The first and foremost challenge was helping and supporting students with generating interpretations from Arabic and transferring them to target language. Teacher respondents learnt Urdu as a first language but use Arabic and English as foreign languages. In contrast, students use English as a first language and use Arabic as a foreign language. When re-thinking interpretation, teachers' lack of cultural competence also creates a barrier to effective teaching because teachers should link the text with real-world issues and problems. This lack of linguistic and cultural competence sometimes results in poor classroom management and course climate, where teachers face abuse from students. Teachers recommended using technology and multiple resources in different languages to prepare student-centred content and to enhance students' engagement within the classroom.</w:t>
      </w:r>
    </w:p>
    <w:p w14:paraId="1645D47F"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In light of these findings, a framework for effective teaching of the critical interpretation of the Quran that teachers can use to proximate students' learning and enhance their critical thinking skills was designed. The framework is based on teacher's active role of acting as a stimulus and working with students to generate, re-think, and experiment with interpretations by setting clear behavioural and intellectual expectations. They help students to achieve learning targets by setting examples and demonstrating how to re-think interpretations by using personalized, inclusive, and multidisciplinary approaches. The current study makes it clear that teachers must be given an adequate training and professional development opportunities to enhance their knowledge and improve their communication skills to plan, deliver, and assess lessons effectively.</w:t>
      </w:r>
    </w:p>
    <w:p w14:paraId="0FF5B6ED" w14:textId="77777777" w:rsidR="001069D0" w:rsidRPr="00C377C8" w:rsidRDefault="001069D0" w:rsidP="00461178">
      <w:pPr>
        <w:spacing w:line="360" w:lineRule="auto"/>
        <w:ind w:left="2268"/>
        <w:jc w:val="both"/>
        <w:rPr>
          <w:color w:val="000000" w:themeColor="text1"/>
        </w:rPr>
      </w:pPr>
    </w:p>
    <w:p w14:paraId="60774AB5" w14:textId="77777777" w:rsidR="001069D0" w:rsidRPr="00C377C8" w:rsidRDefault="001069D0" w:rsidP="00461178">
      <w:pPr>
        <w:pStyle w:val="Heading3"/>
        <w:numPr>
          <w:ilvl w:val="2"/>
          <w:numId w:val="3"/>
        </w:numPr>
        <w:spacing w:line="360" w:lineRule="auto"/>
        <w:ind w:left="2268"/>
        <w:jc w:val="both"/>
      </w:pPr>
      <w:bookmarkStart w:id="240" w:name="_Toc83818732"/>
      <w:bookmarkStart w:id="241" w:name="_Toc96609144"/>
      <w:r w:rsidRPr="00C377C8">
        <w:t>Summary</w:t>
      </w:r>
      <w:bookmarkEnd w:id="240"/>
      <w:bookmarkEnd w:id="241"/>
    </w:p>
    <w:p w14:paraId="5B79ECD3"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A fundamental outcome of this research is the proposed teaching framework developed after examining teachers’ and students’ perspectives on experiencing the act of teaching in multilingual classrooms. Teachers and students shared ways in which they experienced acts of teaching of the critical interpretation of the Quran in multilingual classrooms. </w:t>
      </w:r>
    </w:p>
    <w:p w14:paraId="6F7F4A25"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This research has not measured teaching practice in terms of its effectiveness or ineffectiveness, but asked participants to offer their perspectives on what an effective teaching can be for the critical interpretation of the Quran. Therefore, IPA has allowed me to explore lived experience, how teachers engage students in the process of generating, re-thinking, and experimenting with different interpretations. The insight I gained from this exploration may equip new and existing teachers with a deeper comprehension of effective teaching. In turn, it may enable them to set clear behaviour expectations, use inclusive contents, use student-centred methods, and identify gaps in learning. Additionally, the current study has explained structures of effective teaching following the philosophical tradition by Edmund Husserl, Martin Heidegger, and others. Furthermore, it highlighted how the act of teaching of the critical interpretation of the Quran can appear differently depending on the context, text, and the recipient of text (teachers and students). </w:t>
      </w:r>
    </w:p>
    <w:p w14:paraId="014C5213" w14:textId="77777777" w:rsidR="001069D0" w:rsidRPr="00C377C8" w:rsidRDefault="001069D0" w:rsidP="00461178">
      <w:pPr>
        <w:pStyle w:val="Heading3"/>
        <w:numPr>
          <w:ilvl w:val="2"/>
          <w:numId w:val="3"/>
        </w:numPr>
        <w:spacing w:line="360" w:lineRule="auto"/>
        <w:ind w:left="2268"/>
        <w:jc w:val="both"/>
      </w:pPr>
      <w:bookmarkStart w:id="242" w:name="_Toc83818733"/>
      <w:bookmarkStart w:id="243" w:name="_Toc96609145"/>
      <w:r w:rsidRPr="00C377C8">
        <w:t>Contribution to knowledge</w:t>
      </w:r>
      <w:bookmarkEnd w:id="242"/>
      <w:bookmarkEnd w:id="243"/>
    </w:p>
    <w:p w14:paraId="67F55447" w14:textId="71848A2A" w:rsidR="001069D0" w:rsidRPr="00C377C8" w:rsidRDefault="001069D0" w:rsidP="0098341B">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Muslim academics have focused more on writing Tafsir and ignored the pedagogy of interpretation and practical classroom issues both teachers and students face in multilingual classrooms. Therefore, the study was aimed at exploring teachers’ and students’ perspectives on effective teaching of the critical interpretation of the Quran in multilingual classrooms. Participants recalled their challenges around specifying the purpose of the curriculum, setting clear academic and behaviour expectations, deciding on appropriate contents, creating a safe environment, delivering lessons with students’ needs in mind, involving students in learning activities, and giving them appropriate feedback. I, as a researcher, used my own knowledge and experience to </w:t>
      </w:r>
      <w:r w:rsidR="0098341B" w:rsidRPr="00C377C8">
        <w:rPr>
          <w:rFonts w:ascii="Times New Roman" w:hAnsi="Times New Roman" w:cs="Times New Roman"/>
          <w:color w:val="000000" w:themeColor="text1"/>
          <w:sz w:val="24"/>
          <w:szCs w:val="24"/>
        </w:rPr>
        <w:t xml:space="preserve">identify some of the attributes and skills students of the critical interpretation of the Quran need to develop by studying the curriculum of the critical interpretations of the Quran and presented in Table 5.3. which led to the development of </w:t>
      </w:r>
      <w:r w:rsidRPr="00C377C8">
        <w:rPr>
          <w:rFonts w:ascii="Times New Roman" w:hAnsi="Times New Roman" w:cs="Times New Roman"/>
          <w:color w:val="000000" w:themeColor="text1"/>
          <w:sz w:val="24"/>
          <w:szCs w:val="24"/>
        </w:rPr>
        <w:t xml:space="preserve">the proposed framework for effective teaching. Therefore, the effective teaching framework makes a remarkable contribution in the pedagogy of teaching the critical interpretation of the Quran because it did not previously exist. </w:t>
      </w:r>
    </w:p>
    <w:p w14:paraId="49AF1C88"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Additionally, this study highlighted gaps in the curriculum of Dars-e-Nizami and revealed that there is no clear and defined purpose of the course. Badawi and al-Jalalayn are taught, but it is not clear what knowledge and skills students must develop to become professional scholars. The current study has developed the purpose of the course so that teachers may set clear and defined goals from the beginning. The purpose of the curriculum may help teachers to set objectives and behaviour expectations and make their teaching effective. Similarly, the study emphasised the need to revisit the Dars-e-Nizami curriculum and include language, culture, and critical thinking skills as core subjects so that students have the knowledge and skills to learn in one context and apply their learning in another context. It is envisaged that teachers who can speak English, understand local cultural and social issues can offer better support to students. Therefore, the students may relate the text to local contexts, interpret or analyse different interpretations of verses used to establish fiqh rulings, conduct dialogue with people of faith and those outside the faith and explain the verses depicting any scientific phenomenon. </w:t>
      </w:r>
    </w:p>
    <w:p w14:paraId="5DE6728F"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Traditionally, teachers use principles of interpretations specifically linked to Tafsir bil Mathur (interpretation through the Quran, Hadith, and Aathaar), which is not very helpful for those teachers who teach the critical interpretation of the Quran. The current study provides support to those teachers who can use the framework and modify their teaching style to engage students in critical thinking skills. The research outcomes illustrated how a role of the teacher who acts as a stimulus is changing and has called for real change in teacher's classroom delivery (Austin and Soeda, 2009; Needels, 1994; Schwartz, 1980; Stein, Fujisaki and Davis, 2011). Potts (1994) and Easton, 2019) argued that the main reason students fail to develop critical thinking skills is that they do not get opportunities to work on different tasks and teachers use teacher-centred approaches (Easton, 2019; Hunt, Wiseman and Touzel, 2009; Pinnegar and Brophy, 2009; Richardson, 2002). </w:t>
      </w:r>
    </w:p>
    <w:p w14:paraId="6CC5BA07"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current study has also found that most teachers take their role of teaching the critical interpretation of the Quran without gaining any formal teaching qualification, which leads to poor classroom delivery and has a negative impact on students. The current study highlighted what measures teachers and Muslim institutes need to take for effective teaching. The Messenger of Allah emphasised the role of the teacher, but Muslim institutes did not focus much on teacher development. Therefore, the study explained how Muslim institutes need to re-focus on a teacher development programme and learn from the West. The current study may help teachers who did not have the opportunity to receive training to reflect on their practice and improve their teaching. Moreover, the research gives a complete description of the nature of the Quranic text, intra-lingual complexity, teacher's personal and professional traits, classrooms activities, and their impact on students' learning. This research addresses considerable details of what happens in the classroom and how teachers need to consider students' linguistic and cultural backgrounds. Therefore, educational stakeholders should organize teacher training courses for teachers to understand current teaching practices and classroom strategies that enhance students' critical thinking skills (Elton-Chalcraft, 2015). </w:t>
      </w:r>
    </w:p>
    <w:p w14:paraId="787E95D3"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Teachers may also be able to decide upon their teaching strategies by considering their context, students' linguistic competence, and backgrounds. The outcomes of this research proposed that an effective teacher acts as a stimulus and aims to immerse students into the text, motivate them to accept their responsibility of questioning different interpretations in a respectful and structured way. The research also suggested how a teacher can benefit from the framework when they teach students how to generate, re-think, and experiment with interpretations. This framework can also clarify the process of critical interpretation for both prospective and practising teachers. It gives teachers clear instructions on ideas and stages at which they need to introduce new contents in for effective teaching. It helps teachers create an entry point of generating, re-thinking, and experimenting with ideas. Several practical classroom issues and their impact on students' outcomes have been discussed in light of developing critical thinking skills. </w:t>
      </w:r>
    </w:p>
    <w:p w14:paraId="2B46C673" w14:textId="77777777" w:rsidR="001069D0" w:rsidRPr="00C377C8" w:rsidRDefault="001069D0" w:rsidP="00461178">
      <w:pPr>
        <w:pStyle w:val="Heading3"/>
        <w:numPr>
          <w:ilvl w:val="2"/>
          <w:numId w:val="3"/>
        </w:numPr>
        <w:spacing w:line="360" w:lineRule="auto"/>
        <w:ind w:left="2268"/>
        <w:jc w:val="both"/>
      </w:pPr>
      <w:bookmarkStart w:id="244" w:name="_Toc83818734"/>
      <w:bookmarkStart w:id="245" w:name="_Toc96609146"/>
      <w:r w:rsidRPr="00C377C8">
        <w:t>Recommendations to institutional leaders</w:t>
      </w:r>
      <w:bookmarkEnd w:id="244"/>
      <w:bookmarkEnd w:id="245"/>
    </w:p>
    <w:p w14:paraId="5537FAEC"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senior leadership of Islamic institutes need to demonstrate their commitment to improve the quality of teaching. This commitment needs to be supported by trustees, education committees, teaching staff, and administration. They can take the following steps to improve teaching: </w:t>
      </w:r>
    </w:p>
    <w:p w14:paraId="5FA22512"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The institutional leaders must declare that effective teaching of the critical interpretation of the Quran is their highest priority and assert that, unless lack of teacher training is addressed, the road to producing moderate scholars will remain fraught. They need to develop specialised teacher training related to this discipline. To ensure progress, the institutions should develop a CPD strategy that will prioritise teacher training. Teachers from other countries face several linguistic and cultural competence challenges, and their unfamiliarity with current teaching practices does not allow them to play their role effectively (Gitsaki and Alexiou, 2016; Watson and Thompson, 2014). Therefore, teacher training should include modules on language, culture, and teaching.</w:t>
      </w:r>
    </w:p>
    <w:p w14:paraId="6A750E9C"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Institutional leaders should develop an appraisal or performance review system in which teachers can record their objectives, network of support to achieve their objectives, and finally conduct a review aimed at measuring their performance. They should create a culture where students’ and teachers’ voice are heard and valued. </w:t>
      </w:r>
    </w:p>
    <w:p w14:paraId="27BE662B"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Teachers revealed that they have to spend a lot of time on teaching, and they do not have the time to prepare their lessons and do research. The institutions should hire more staff and introduce teachers with specialisations in subjects who can balance between teaching and research, as this will improve their practice.</w:t>
      </w:r>
    </w:p>
    <w:p w14:paraId="4E623DE3"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Muslim institutes offering Dars-e-Nizami should establish collaboration with state funded higher education institutes and run an exchange programme. They should benefit from visiting lecturers and teachers who work in state institutions and hold professional qualifications.</w:t>
      </w:r>
    </w:p>
    <w:p w14:paraId="29ED0522"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current Dars-e-Nizami curriculum includes many courses that are outdated. The institutes need to revisit the curriculum and include subjects around teaching, ICT, culture and globalisation, so that students who graduate from the programme have better job opportunities. </w:t>
      </w:r>
    </w:p>
    <w:p w14:paraId="04EAB0C3" w14:textId="77777777" w:rsidR="001069D0" w:rsidRPr="00C377C8" w:rsidRDefault="001069D0" w:rsidP="00461178">
      <w:pPr>
        <w:pStyle w:val="Heading3"/>
        <w:numPr>
          <w:ilvl w:val="2"/>
          <w:numId w:val="3"/>
        </w:numPr>
        <w:spacing w:line="360" w:lineRule="auto"/>
        <w:ind w:left="2268"/>
        <w:jc w:val="both"/>
      </w:pPr>
      <w:bookmarkStart w:id="246" w:name="_Toc83818735"/>
      <w:bookmarkStart w:id="247" w:name="_Toc96609147"/>
      <w:r w:rsidRPr="00C377C8">
        <w:t>Recommendations for teachers of interpretation studies</w:t>
      </w:r>
      <w:bookmarkEnd w:id="246"/>
      <w:bookmarkEnd w:id="247"/>
    </w:p>
    <w:p w14:paraId="3A8BE04A"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A teacher is at the centre of the process of teaching and learning (Duncan, 1918). Teaching the critical interpretation of the Quran is a complex subject and involves multilingual competence, contextual duality, and much more. Teacher’s professional expertise and pedagogical knowledge and skills can enable them to use effective teaching strategies, which can enhance students’ critical interpretive skills. Participants in the current study offered advice to teachers. Here are some of the recommendations:</w:t>
      </w:r>
    </w:p>
    <w:p w14:paraId="23283A3F"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To ensure a creative and productive dialogue, teachers should create safe learning environment where each student is valued, heard, and encouraged to participate. Micro-aggressions against students from different schools of thought and backgrounds should be addressed and challenged, and students may work independently and creatively. This can enable students to generate ideas and share them with their peers without any fear of judgement or criticism and generate responses in a structured manner. This can be achieved if teachers can communicate effectively. Therefore, teachers of the critical interpretation of the Quran must improve their English. </w:t>
      </w:r>
    </w:p>
    <w:p w14:paraId="594F41AD"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Student respondents expressed a desire to work with a teacher who is respectful, impartial, and independent. Teachers should see beyond their own belief systems and be open to other perspectives. If a teacher does not use diverse content, it may limit students’ critical thinking skills. They should provide students with multiple ways to succeed in their studies and develop their skills. </w:t>
      </w:r>
    </w:p>
    <w:p w14:paraId="50976BEE"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Teachers should set high academic standards or expectations for students and articulate them clearly. These expectations must be realistic and based on students’ backgrounds and existing knowledge. Lesson preparation should be done while keeping in mind students’ backgrounds, subject knowledge, and linguistic competence. They should break down the lesson and focus on generating ideas, re-thinking different interpretations, and experimenting with them. Furthermore, they should improve their knowledge of local culture and values. </w:t>
      </w:r>
    </w:p>
    <w:p w14:paraId="5C145A62"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A teacher should use personalized, multidisciplinary, inclusive, and real-world teaching and learning strategies, which offer students an opportunity to generate and evaluate different interpretations, relate the text with real world, weigh textual evidence, and finally present it in a structured way. Besides Tafsir Bil Mathur framework, they should encourage students to use socio-cultural and linguistic lens when comparing different interpretations.  </w:t>
      </w:r>
    </w:p>
    <w:p w14:paraId="13DC420A"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A teacher should encourage students and remind them of the importance of critical thinking skills in academic and professional life and how they relate to their future as imams or Islamic scholars. They should emphasize the need for critical thinkers and their role in a development of a healthy society and community.</w:t>
      </w:r>
    </w:p>
    <w:p w14:paraId="03DE2459" w14:textId="77777777" w:rsidR="001069D0" w:rsidRPr="00C377C8" w:rsidRDefault="001069D0" w:rsidP="00461178">
      <w:pPr>
        <w:pStyle w:val="Heading3"/>
        <w:numPr>
          <w:ilvl w:val="2"/>
          <w:numId w:val="3"/>
        </w:numPr>
        <w:spacing w:line="360" w:lineRule="auto"/>
        <w:ind w:left="2268"/>
        <w:jc w:val="both"/>
      </w:pPr>
      <w:bookmarkStart w:id="248" w:name="_Toc83818736"/>
      <w:bookmarkStart w:id="249" w:name="_Toc96609148"/>
      <w:r w:rsidRPr="00C377C8">
        <w:t>Recommendations for future research</w:t>
      </w:r>
      <w:bookmarkEnd w:id="248"/>
      <w:bookmarkEnd w:id="249"/>
    </w:p>
    <w:p w14:paraId="7C250BF9"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As stated in the introduction chapter, both Muslim and Western academics seem to have neglected the pedagogy of the critical interpretation of the Quran. There are several gaps in this discipline around context, text, teachers and students' relation, classroom behaviour, and the assessment that follows from the current study's findings. The discipline can benefit from further research including evaluating the proposed teaching framework. The proposed Effective Teaching Framework for the critical interpretation of the Quran can be used as a basis for further research:</w:t>
      </w:r>
    </w:p>
    <w:p w14:paraId="34493EA7"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A longitudinal study that explores same teachers over a period following the implementation of the framework to assess its effectiveness. Furthermore, the study can be conducted in other contexts to explore people’s views after implementing the framework and compared with this study. </w:t>
      </w:r>
    </w:p>
    <w:p w14:paraId="78F5556C"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It was also found that male and female students are separated and have few interactions with students of other genders. It is worth exploring teachers’ and students’ perspectives on the issue of inclusion and its impact on their learning and character development. </w:t>
      </w:r>
    </w:p>
    <w:p w14:paraId="76DAF862"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Similarly, further research could be carried out to investigate the perspectives of native speakers on effective teaching of the critical interpretation of the Quran in monolingual classrooms, where only Arabic is used as a mean of communication. A comparison between native speakers' and foreign-language speakers' perspectives can further refine the framework. Taking the outcome of critical thinking skills and exploring the effect of critical thinking skills on students' vision, values, and beliefs could be a further progression of the current study. The researcher is currently planning to implement the framework in actual teaching practice and assess its outcomes.  </w:t>
      </w:r>
    </w:p>
    <w:p w14:paraId="4977B406"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Interactions between male and female students in classrooms, the impact of no training on teachers’ performance, teachers’ and students’ sense of being in multilingual classrooms, examining the role of technology in teaching the critical interpretation of the Quran during the COVID-19 pandemic were all identified as areas of potential future research. </w:t>
      </w:r>
    </w:p>
    <w:p w14:paraId="10421DBA" w14:textId="77777777" w:rsidR="001069D0" w:rsidRPr="00C377C8" w:rsidRDefault="001069D0" w:rsidP="00461178">
      <w:pPr>
        <w:spacing w:line="360" w:lineRule="auto"/>
        <w:ind w:left="2268"/>
        <w:jc w:val="both"/>
        <w:rPr>
          <w:color w:val="000000" w:themeColor="text1"/>
        </w:rPr>
      </w:pPr>
      <w:r w:rsidRPr="00C377C8">
        <w:rPr>
          <w:rFonts w:ascii="Times New Roman" w:hAnsi="Times New Roman" w:cs="Times New Roman"/>
          <w:color w:val="000000" w:themeColor="text1"/>
          <w:sz w:val="24"/>
          <w:szCs w:val="24"/>
        </w:rPr>
        <w:t>Study with teachers and students from Ahl-ul-Hadith and Shia school of thoughts can be conducted to examine their perspectives of effective teaching.</w:t>
      </w:r>
    </w:p>
    <w:p w14:paraId="537B305A" w14:textId="77777777" w:rsidR="001069D0" w:rsidRPr="00C377C8" w:rsidRDefault="001069D0" w:rsidP="00461178">
      <w:pPr>
        <w:pStyle w:val="Heading2"/>
        <w:spacing w:line="360" w:lineRule="auto"/>
        <w:ind w:left="2268"/>
      </w:pPr>
      <w:bookmarkStart w:id="250" w:name="_Toc83818737"/>
      <w:bookmarkStart w:id="251" w:name="_Toc96609149"/>
      <w:r w:rsidRPr="00C377C8">
        <w:t>Strengths and weaknesses</w:t>
      </w:r>
      <w:bookmarkEnd w:id="250"/>
      <w:bookmarkEnd w:id="251"/>
    </w:p>
    <w:p w14:paraId="37FAC6FC"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current study has several limitations which are examined here. The study was undertaken to explore teachers’ and students' perspectives on the effective teaching of the critical interpretation of the Quran based on their experience and reflections, and not to evaluate their classroom practice. I used purposive sampling approach and included teachers from Pakistani-British background due to my own background and existing connections. The study and its generalisability can be enhanced by including participants from other ethnicities like Indian-British, Bangla-British, Arab-British. Using the research participants who come from same cultural and linguistic background was useful in dialogue and interpretation of data. </w:t>
      </w:r>
    </w:p>
    <w:p w14:paraId="2AB086AB"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A small sample size of eight research participants was used as a standard within the interpretive phenomenology (Heidegger and Dahlstrom, 2005; Moustakas, 1995) but using other methodologies, such as grounded theory, would require an increased number of research participants which may enhance generalisability of the findings but using other methodologies may not help gain an in-depth understanding of individual phenomenon.</w:t>
      </w:r>
    </w:p>
    <w:p w14:paraId="512B0EC9"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Similarly, some researchers may prefer to add mixed methods but one to one interview with the research participants gave me the opportunity to generate rich data from the individuals which helped to understand the concept of effective teaching of the critical interpretation of the Quran. </w:t>
      </w:r>
    </w:p>
    <w:p w14:paraId="7BE3057D"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study was conducted in the UK context, and it could be conducted in other international contexts and global cultures, since many students are joining classes from different parts of the world with the use of technology. This became evident when the researcher himself delivered an online course called “Understanding the Quran”, and student from different countries were part of it. Therefore, the UK context may be a limitation of the study. </w:t>
      </w:r>
    </w:p>
    <w:p w14:paraId="4F568FC2" w14:textId="77777777" w:rsidR="001069D0" w:rsidRPr="00C377C8" w:rsidRDefault="001069D0" w:rsidP="00461178">
      <w:pPr>
        <w:pStyle w:val="Heading2"/>
        <w:spacing w:line="360" w:lineRule="auto"/>
        <w:ind w:left="2268"/>
      </w:pPr>
      <w:bookmarkStart w:id="252" w:name="_Toc83818738"/>
      <w:bookmarkStart w:id="253" w:name="_Toc96609150"/>
      <w:r w:rsidRPr="00C377C8">
        <w:t>Outcome in form of personal and professional development</w:t>
      </w:r>
      <w:bookmarkEnd w:id="252"/>
      <w:bookmarkEnd w:id="253"/>
    </w:p>
    <w:p w14:paraId="46D5EF5A"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professional doctorate in education has given me an opportunity to build upon my existing knowledge and skills of the pedagogy of the critical interpretation of the Quran and explore and advance my own practice. </w:t>
      </w:r>
    </w:p>
    <w:p w14:paraId="184C1C6D"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It enabled me to conduct in-depth, empirical study related to my own professional practice of relevant teaching, theory, and practice. Additionally, I could address current problems around teaching the critical interpretation of the Quran and improved future practice in religious education. The taught programme developed and enhanced my knowledge and understanding of key educational issues; I was able to debate contemporary education issues about policy, theory, and practice with peers and teachers. It has also developed my research skills, academic scholarship, and deepened my understanding of the pedagogy of the critical interpretation of the Quran. </w:t>
      </w:r>
    </w:p>
    <w:p w14:paraId="3AEB3513"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Most of my learning came from the taught part of the degree, all four modules of Policy and Professional Practice, Theory in Educational Research, Designing Educational Research and Thesis Research proposal helped me to develop my research focus as well as academic skills. Policy and professional practice module helped me to develop in-depth knowledge and understanding of aspects of education policy-making that shape the parameters of professional activities linked with educational institutes. During the current study, I developed the ability to deploy theoretical concepts and to make recommendations for future research. In addition, theory in educational research module helped me to develop understanding of conceptual frameworks that I used, to interpret, and to make sense of data. I developed my understanding of methodology, epistemology, and ontology in the third module, where I examined different debates concerning positivist and interpretive paradigms of research, and their strengths and weaknesses. Pilot study was also very important for designing research questions, testing research tools, and generating small data. </w:t>
      </w:r>
    </w:p>
    <w:p w14:paraId="6C5FEB92"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Finally, the current study has widened my understanding of tafsir literature. Throughout the journey, I continued to explore major works in Tafsir, including the works of Muhaddiseen (those who use traditions), jurists, linguists, grammarian, and Sufis. I have critically explored similarities and differences between their approaches to interpretation. Similarly, I had the opportunity to study some Western and feminist scholars who approach the text of the Quran through rational, open, and scientific lens. The greatest learning was reading on effective teaching, critical thinking skills, and multilingual classrooms. During the literature review, exploring the pedagogy of the Bible was quite advantageous as it allowed me to compare biblical teachers’ approaches, and relate them with my own experience of teaching and learning. </w:t>
      </w:r>
    </w:p>
    <w:p w14:paraId="36DD3FCB"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study has given me an opportunity to conduct academic inquiry and to maintain professional poise from planning the design of the study to the execution of the plan, and achieving the broader aim of the research (Pruzen, 2018, p. 20). It enhanced my understanding of ethical issues in the process of research, most significantly when studying sensitive issues. I developed skills such as empathy and consideration for research participants. I have learnt how to effectively use qualitative methods, which I will be able to use in future research. I have learnt how to work under pressure and build rapport with supervisory team. The most significant milestone was extracting papers from the thesis and presenting them at national and international conferences. I had the opportunity to present my paper entitled “Teaching strategies for inclusive teaching of the critical interpretation of the Quran in Muslim-faith institutes” at British Education Studies Association conference held on the 24th and 25th of June 2021. Additionally, I presented “Using interpretive methodology for exploring religiously sensitive issues” at postgraduate conference held  at University of East Anglia on 7th July, 2021 and “Exploring Imams’ perspectives on effective teaching of difficult religious issue in multicultural classrooms” at British Educational Research Association conference in September 2021. </w:t>
      </w:r>
    </w:p>
    <w:p w14:paraId="60E51D0B"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current study focused on the broader aspect of pedagogy, as it explored several issues linked to effective teaching. Therefore, the study has helped me understand broader issues that teachers and students face in Muslim-faith institutes and use this knowledge to develop some support system for them. </w:t>
      </w:r>
    </w:p>
    <w:p w14:paraId="50982814" w14:textId="77777777" w:rsidR="001069D0" w:rsidRPr="00C377C8" w:rsidRDefault="001069D0" w:rsidP="00461178">
      <w:pPr>
        <w:pStyle w:val="Heading2"/>
        <w:spacing w:line="360" w:lineRule="auto"/>
        <w:ind w:left="2268"/>
      </w:pPr>
      <w:bookmarkStart w:id="254" w:name="_Toc83818739"/>
      <w:bookmarkStart w:id="255" w:name="_Toc96609151"/>
      <w:r w:rsidRPr="00C377C8">
        <w:t>Conclusion</w:t>
      </w:r>
      <w:bookmarkEnd w:id="254"/>
      <w:bookmarkEnd w:id="255"/>
    </w:p>
    <w:p w14:paraId="7846757B" w14:textId="77777777" w:rsidR="001069D0"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current study aimed to explore teachers’ and students’ perspectives on effective teaching of the critical interpretation of the Quran in multilingual classrooms. With this exploration and researcher’s own reflection, the current study offered a framework for effective teaching by identifying factors, which influence the process of interpretation and its pedagogy, understanding teacher’s role in multilingual classrooms, and examining teacher’s teaching strategies. The primary advice to Islamic institutions leadership and teachers is that teaching is a learned skill, and institutes should develop a teacher training policy and programme. Furthermore, teachers must reflect on their practice to see what works well and what does not and improve their practice through their reflections. The teacher training programme should include English language, culture, ICT, and teaching methods.  </w:t>
      </w:r>
    </w:p>
    <w:p w14:paraId="4215F74E" w14:textId="77777777" w:rsidR="00011AFA" w:rsidRPr="00C377C8" w:rsidRDefault="001069D0"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The proposed effective teaching framework can be implemented to improve teaching and students’ learning outcomes in terms of developing critical thinking skills. This can be achieved only if a teacher is skilled and culturally competent, because a teacher occupies the central position within the framework but also understands that knowledge is co-created. An effective teacher shows students how to generate, re-think and experiment with interpretations by setting clear expectations and demonstrations in a safe learning environment. To date, no model or framework for teaching the critical interpretation of the Quran was found, so the proposed effective teaching framework offers teachers a model to pursue an effective teaching practice. Educational stakeholders, teachers, and students must work together in partnership and show their commitment to effective teaching and learning to produce better results in it.</w:t>
      </w:r>
    </w:p>
    <w:p w14:paraId="650ED424" w14:textId="77777777" w:rsidR="00FB6B91" w:rsidRPr="00C377C8" w:rsidRDefault="00FB6B91" w:rsidP="00461178">
      <w:pPr>
        <w:spacing w:line="360" w:lineRule="auto"/>
        <w:ind w:left="2268"/>
        <w:rPr>
          <w:b/>
          <w:color w:val="000000" w:themeColor="text1"/>
        </w:rPr>
      </w:pPr>
      <w:r w:rsidRPr="00C377C8">
        <w:rPr>
          <w:color w:val="000000" w:themeColor="text1"/>
        </w:rPr>
        <w:t>Abbas, A., 2007. Muhadarat fi al-Tafsir al-Mawdu’iy. Dimasq: Dar al-Fikr</w:t>
      </w:r>
    </w:p>
    <w:p w14:paraId="04ED5F9E" w14:textId="77777777" w:rsidR="00FB6B91" w:rsidRPr="00C377C8" w:rsidRDefault="00FB6B91" w:rsidP="00461178">
      <w:pPr>
        <w:spacing w:line="360" w:lineRule="auto"/>
        <w:ind w:left="2268"/>
        <w:rPr>
          <w:color w:val="000000" w:themeColor="text1"/>
          <w:shd w:val="clear" w:color="auto" w:fill="FFFFFF"/>
        </w:rPr>
      </w:pPr>
      <w:r w:rsidRPr="00C377C8">
        <w:rPr>
          <w:rStyle w:val="selectable"/>
          <w:color w:val="000000" w:themeColor="text1"/>
        </w:rPr>
        <w:t>Abdul Mannan, M., 2021. </w:t>
      </w:r>
      <w:r w:rsidRPr="00C377C8">
        <w:rPr>
          <w:rStyle w:val="selectable"/>
          <w:i/>
          <w:iCs/>
          <w:color w:val="000000" w:themeColor="text1"/>
        </w:rPr>
        <w:t>The Contemporary Qur'an With Contextual Translation</w:t>
      </w:r>
      <w:r w:rsidRPr="00C377C8">
        <w:rPr>
          <w:rStyle w:val="selectable"/>
          <w:color w:val="000000" w:themeColor="text1"/>
        </w:rPr>
        <w:t>. New Dehli: Independently published.</w:t>
      </w:r>
    </w:p>
    <w:p w14:paraId="2179F183" w14:textId="77777777" w:rsidR="00FB6B91" w:rsidRPr="00C377C8" w:rsidRDefault="00FB6B91" w:rsidP="00461178">
      <w:pPr>
        <w:spacing w:line="360" w:lineRule="auto"/>
        <w:ind w:left="2268"/>
        <w:rPr>
          <w:rFonts w:eastAsia="Times New Roman"/>
          <w:color w:val="000000" w:themeColor="text1"/>
        </w:rPr>
      </w:pPr>
      <w:r w:rsidRPr="00C377C8">
        <w:rPr>
          <w:rFonts w:eastAsia="Times New Roman"/>
          <w:color w:val="000000" w:themeColor="text1"/>
          <w:shd w:val="clear" w:color="auto" w:fill="FFFFFF"/>
        </w:rPr>
        <w:t>Abdul Rehman, A., 1961. </w:t>
      </w:r>
      <w:r w:rsidRPr="00C377C8">
        <w:rPr>
          <w:rFonts w:eastAsia="Times New Roman"/>
          <w:i/>
          <w:iCs/>
          <w:color w:val="000000" w:themeColor="text1"/>
          <w:shd w:val="clear" w:color="auto" w:fill="FFFFFF"/>
        </w:rPr>
        <w:t>Al-Tafsir al-Bayani li’l-Qur’an</w:t>
      </w:r>
      <w:r w:rsidRPr="00C377C8">
        <w:rPr>
          <w:rFonts w:eastAsia="Times New Roman"/>
          <w:color w:val="000000" w:themeColor="text1"/>
          <w:shd w:val="clear" w:color="auto" w:fill="FFFFFF"/>
        </w:rPr>
        <w:t>. Cairo: Dar Al Marifah.</w:t>
      </w:r>
    </w:p>
    <w:p w14:paraId="5E330282" w14:textId="77777777" w:rsidR="00FB6B91" w:rsidRPr="00C377C8" w:rsidRDefault="00FB6B91" w:rsidP="00461178">
      <w:pPr>
        <w:spacing w:line="360" w:lineRule="auto"/>
        <w:ind w:left="2268"/>
        <w:rPr>
          <w:rFonts w:eastAsia="Times New Roman"/>
          <w:color w:val="000000" w:themeColor="text1"/>
        </w:rPr>
      </w:pPr>
      <w:r w:rsidRPr="00C377C8">
        <w:rPr>
          <w:rFonts w:eastAsia="Times New Roman"/>
          <w:color w:val="000000" w:themeColor="text1"/>
          <w:shd w:val="clear" w:color="auto" w:fill="FFFFFF"/>
        </w:rPr>
        <w:t>Abdul-Raof, H.,2012. </w:t>
      </w:r>
      <w:r w:rsidRPr="00C377C8">
        <w:rPr>
          <w:rFonts w:eastAsia="Times New Roman"/>
          <w:i/>
          <w:iCs/>
          <w:color w:val="000000" w:themeColor="text1"/>
          <w:shd w:val="clear" w:color="auto" w:fill="FFFFFF"/>
        </w:rPr>
        <w:t>Theological approaches to Qur'anic exegesis</w:t>
      </w:r>
      <w:r w:rsidRPr="00C377C8">
        <w:rPr>
          <w:rFonts w:eastAsia="Times New Roman"/>
          <w:color w:val="000000" w:themeColor="text1"/>
          <w:shd w:val="clear" w:color="auto" w:fill="FFFFFF"/>
        </w:rPr>
        <w:t>. London: Routledge.</w:t>
      </w:r>
    </w:p>
    <w:p w14:paraId="65F41FD9" w14:textId="77777777" w:rsidR="00FB6B91" w:rsidRPr="00C377C8" w:rsidRDefault="00FB6B91" w:rsidP="00461178">
      <w:pPr>
        <w:spacing w:line="360" w:lineRule="auto"/>
        <w:ind w:left="2268"/>
        <w:rPr>
          <w:rStyle w:val="selectable"/>
          <w:color w:val="000000" w:themeColor="text1"/>
        </w:rPr>
      </w:pPr>
      <w:r w:rsidRPr="00C377C8">
        <w:rPr>
          <w:rStyle w:val="Strong"/>
          <w:b w:val="0"/>
          <w:color w:val="000000" w:themeColor="text1"/>
        </w:rPr>
        <w:t xml:space="preserve">Abraha, M., 2019. Reflective Teaching New York: </w:t>
      </w:r>
      <w:r w:rsidRPr="00C377C8">
        <w:rPr>
          <w:rStyle w:val="selectable"/>
          <w:color w:val="000000" w:themeColor="text1"/>
        </w:rPr>
        <w:t>Scholar’s Press.</w:t>
      </w:r>
    </w:p>
    <w:p w14:paraId="6176B3E0" w14:textId="77777777" w:rsidR="00FB6B91" w:rsidRPr="00C377C8" w:rsidRDefault="00FB6B91" w:rsidP="00F1408E">
      <w:pPr>
        <w:ind w:left="2268"/>
        <w:jc w:val="both"/>
        <w:rPr>
          <w:rFonts w:ascii="Open Sans" w:eastAsia="Calibri" w:hAnsi="Open Sans" w:cs="Open Sans"/>
          <w:color w:val="000000" w:themeColor="text1"/>
          <w:sz w:val="20"/>
          <w:szCs w:val="20"/>
          <w:shd w:val="clear" w:color="auto" w:fill="FFFFFF"/>
        </w:rPr>
      </w:pPr>
      <w:r w:rsidRPr="00C377C8">
        <w:rPr>
          <w:rFonts w:ascii="Open Sans" w:eastAsia="Calibri" w:hAnsi="Open Sans" w:cs="Open Sans"/>
          <w:color w:val="000000" w:themeColor="text1"/>
          <w:sz w:val="20"/>
          <w:szCs w:val="20"/>
          <w:shd w:val="clear" w:color="auto" w:fill="FFFFFF"/>
        </w:rPr>
        <w:t>Abu</w:t>
      </w:r>
      <w:r w:rsidRPr="00C377C8">
        <w:rPr>
          <w:rFonts w:ascii="Arial" w:eastAsia="Calibri" w:hAnsi="Arial" w:cs="Arial"/>
          <w:color w:val="000000" w:themeColor="text1"/>
          <w:sz w:val="20"/>
          <w:szCs w:val="20"/>
          <w:shd w:val="clear" w:color="auto" w:fill="FFFFFF"/>
        </w:rPr>
        <w:t>̄</w:t>
      </w:r>
      <w:r w:rsidRPr="00C377C8">
        <w:rPr>
          <w:rFonts w:ascii="Open Sans" w:eastAsia="Calibri" w:hAnsi="Open Sans" w:cs="Open Sans"/>
          <w:color w:val="000000" w:themeColor="text1"/>
          <w:sz w:val="20"/>
          <w:szCs w:val="20"/>
          <w:shd w:val="clear" w:color="auto" w:fill="FFFFFF"/>
        </w:rPr>
        <w:t xml:space="preserve"> Zayd, N., 2004. </w:t>
      </w:r>
      <w:r w:rsidRPr="00C377C8">
        <w:rPr>
          <w:rFonts w:ascii="Open Sans" w:eastAsia="Calibri" w:hAnsi="Open Sans" w:cs="Open Sans"/>
          <w:i/>
          <w:iCs/>
          <w:color w:val="000000" w:themeColor="text1"/>
          <w:sz w:val="20"/>
          <w:szCs w:val="20"/>
          <w:shd w:val="clear" w:color="auto" w:fill="FFFFFF"/>
        </w:rPr>
        <w:t>Rethinking the Qur'an</w:t>
      </w:r>
      <w:r w:rsidRPr="00C377C8">
        <w:rPr>
          <w:rFonts w:ascii="Open Sans" w:eastAsia="Calibri" w:hAnsi="Open Sans" w:cs="Open Sans"/>
          <w:color w:val="000000" w:themeColor="text1"/>
          <w:sz w:val="20"/>
          <w:szCs w:val="20"/>
          <w:shd w:val="clear" w:color="auto" w:fill="FFFFFF"/>
        </w:rPr>
        <w:t>. Amsterdam: Humanistics University Press.</w:t>
      </w:r>
    </w:p>
    <w:p w14:paraId="21DF95BB"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Aden, R., 2013. </w:t>
      </w:r>
      <w:r w:rsidRPr="00C377C8">
        <w:rPr>
          <w:rStyle w:val="selectable"/>
          <w:i/>
          <w:iCs/>
          <w:color w:val="000000" w:themeColor="text1"/>
        </w:rPr>
        <w:t>Religion Today</w:t>
      </w:r>
      <w:r w:rsidRPr="00C377C8">
        <w:rPr>
          <w:rStyle w:val="selectable"/>
          <w:color w:val="000000" w:themeColor="text1"/>
        </w:rPr>
        <w:t>. Lanham: Rowman &amp; Littlefield Publishers.</w:t>
      </w:r>
    </w:p>
    <w:p w14:paraId="197FFC5B" w14:textId="77777777" w:rsidR="00FB6B91" w:rsidRPr="00C377C8" w:rsidRDefault="00FB6B91" w:rsidP="00461178">
      <w:pPr>
        <w:spacing w:line="360" w:lineRule="auto"/>
        <w:ind w:left="2268"/>
        <w:rPr>
          <w:rStyle w:val="selectable"/>
          <w:rFonts w:eastAsia="Times New Roman"/>
          <w:color w:val="000000" w:themeColor="text1"/>
        </w:rPr>
      </w:pPr>
      <w:r w:rsidRPr="00C377C8">
        <w:rPr>
          <w:rFonts w:eastAsia="Times New Roman"/>
          <w:color w:val="000000" w:themeColor="text1"/>
          <w:shd w:val="clear" w:color="auto" w:fill="FFFFFF"/>
        </w:rPr>
        <w:t>Afsaruddin, A., 2013. </w:t>
      </w:r>
      <w:r w:rsidRPr="00C377C8">
        <w:rPr>
          <w:rFonts w:eastAsia="Times New Roman"/>
          <w:i/>
          <w:iCs/>
          <w:color w:val="000000" w:themeColor="text1"/>
          <w:shd w:val="clear" w:color="auto" w:fill="FFFFFF"/>
        </w:rPr>
        <w:t>Striving in the path of God</w:t>
      </w:r>
      <w:r w:rsidRPr="00C377C8">
        <w:rPr>
          <w:rFonts w:eastAsia="Times New Roman"/>
          <w:color w:val="000000" w:themeColor="text1"/>
          <w:shd w:val="clear" w:color="auto" w:fill="FFFFFF"/>
        </w:rPr>
        <w:t>. Oxford: Oxford University Press.</w:t>
      </w:r>
    </w:p>
    <w:p w14:paraId="5E00E53B" w14:textId="77777777" w:rsidR="00FB6B91" w:rsidRPr="00C377C8" w:rsidRDefault="00FB6B91" w:rsidP="00461178">
      <w:pPr>
        <w:spacing w:line="360" w:lineRule="auto"/>
        <w:ind w:left="2268"/>
        <w:rPr>
          <w:rStyle w:val="xs1"/>
          <w:color w:val="000000" w:themeColor="text1"/>
        </w:rPr>
      </w:pPr>
      <w:r w:rsidRPr="00C377C8">
        <w:rPr>
          <w:rStyle w:val="selectable"/>
          <w:color w:val="000000" w:themeColor="text1"/>
        </w:rPr>
        <w:t xml:space="preserve">Ahmad, Q and Abdusamad, H., 2015. Quran aur Muffasir Quran. Lahore. Ishat-e-Islam.  </w:t>
      </w:r>
    </w:p>
    <w:p w14:paraId="6366EEC9"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Ahmad, S., 2019. </w:t>
      </w:r>
      <w:r w:rsidRPr="00C377C8">
        <w:rPr>
          <w:rStyle w:val="selectable"/>
          <w:i/>
          <w:iCs/>
          <w:color w:val="000000" w:themeColor="text1"/>
        </w:rPr>
        <w:t>Quranic Interpretation: limitations and challenges</w:t>
      </w:r>
      <w:r w:rsidRPr="00C377C8">
        <w:rPr>
          <w:rStyle w:val="selectable"/>
          <w:color w:val="000000" w:themeColor="text1"/>
        </w:rPr>
        <w:t>. Lahore: Azad Publications.</w:t>
      </w:r>
    </w:p>
    <w:p w14:paraId="7EE37380"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Aḥmad, S.,2004. </w:t>
      </w:r>
      <w:r w:rsidRPr="00C377C8">
        <w:rPr>
          <w:rStyle w:val="selectable"/>
          <w:i/>
          <w:iCs/>
          <w:color w:val="000000" w:themeColor="text1"/>
        </w:rPr>
        <w:t>Islamic education</w:t>
      </w:r>
      <w:r w:rsidRPr="00C377C8">
        <w:rPr>
          <w:rStyle w:val="selectable"/>
          <w:color w:val="000000" w:themeColor="text1"/>
        </w:rPr>
        <w:t>. New Delhi: Anmol Publications</w:t>
      </w:r>
    </w:p>
    <w:p w14:paraId="76D2F793"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Ahmed, A., 2015. </w:t>
      </w:r>
      <w:r w:rsidRPr="00C377C8">
        <w:rPr>
          <w:rStyle w:val="selectable"/>
          <w:i/>
          <w:iCs/>
          <w:color w:val="000000" w:themeColor="text1"/>
        </w:rPr>
        <w:t>Worlds apart</w:t>
      </w:r>
      <w:r w:rsidRPr="00C377C8">
        <w:rPr>
          <w:rStyle w:val="selectable"/>
          <w:color w:val="000000" w:themeColor="text1"/>
        </w:rPr>
        <w:t>. London, UK: University New South Wales.</w:t>
      </w:r>
    </w:p>
    <w:p w14:paraId="1670A8D5"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Ahmed, I., 2018. </w:t>
      </w:r>
      <w:r w:rsidRPr="00C377C8">
        <w:rPr>
          <w:rStyle w:val="selectable"/>
          <w:i/>
          <w:iCs/>
          <w:color w:val="000000" w:themeColor="text1"/>
        </w:rPr>
        <w:t>The obligation Muslims owe to the Quran</w:t>
      </w:r>
      <w:r w:rsidRPr="00C377C8">
        <w:rPr>
          <w:rStyle w:val="selectable"/>
          <w:color w:val="000000" w:themeColor="text1"/>
        </w:rPr>
        <w:t>. 1st ed. Lahore: Dar us Saqafah.</w:t>
      </w:r>
    </w:p>
    <w:p w14:paraId="7B09B28A"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Ahmed, N., 2019. </w:t>
      </w:r>
      <w:r w:rsidRPr="00C377C8">
        <w:rPr>
          <w:rStyle w:val="selectable"/>
          <w:i/>
          <w:iCs/>
          <w:color w:val="000000" w:themeColor="text1"/>
        </w:rPr>
        <w:t>Wisdom from the Quran</w:t>
      </w:r>
      <w:r w:rsidRPr="00C377C8">
        <w:rPr>
          <w:rStyle w:val="selectable"/>
          <w:color w:val="000000" w:themeColor="text1"/>
        </w:rPr>
        <w:t>. Royal Book Company: London New York.</w:t>
      </w:r>
    </w:p>
    <w:p w14:paraId="3E135D0E"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Ahzami, A.,2017</w:t>
      </w:r>
      <w:r w:rsidRPr="00C377C8">
        <w:rPr>
          <w:rStyle w:val="selectable"/>
          <w:i/>
          <w:color w:val="000000" w:themeColor="text1"/>
        </w:rPr>
        <w:t>, Interpretation of Quran</w:t>
      </w:r>
      <w:r w:rsidRPr="00C377C8">
        <w:rPr>
          <w:rStyle w:val="selectable"/>
          <w:color w:val="000000" w:themeColor="text1"/>
        </w:rPr>
        <w:t>. Lahore: Dannyal publication.</w:t>
      </w:r>
    </w:p>
    <w:p w14:paraId="07E5C4EC" w14:textId="77777777" w:rsidR="00FB6B91" w:rsidRPr="00C377C8" w:rsidRDefault="00FB6B91" w:rsidP="00461178">
      <w:pPr>
        <w:spacing w:line="360" w:lineRule="auto"/>
        <w:ind w:left="2268"/>
        <w:rPr>
          <w:rFonts w:eastAsia="Times New Roman"/>
          <w:color w:val="000000" w:themeColor="text1"/>
          <w:lang w:val="en-US"/>
        </w:rPr>
      </w:pPr>
      <w:r w:rsidRPr="00C377C8">
        <w:rPr>
          <w:rFonts w:eastAsia="Times New Roman"/>
          <w:color w:val="000000" w:themeColor="text1"/>
          <w:shd w:val="clear" w:color="auto" w:fill="FFFFFF"/>
        </w:rPr>
        <w:t>Akbar, A., 2019. </w:t>
      </w:r>
      <w:r w:rsidRPr="00C377C8">
        <w:rPr>
          <w:rFonts w:eastAsia="Times New Roman"/>
          <w:i/>
          <w:iCs/>
          <w:color w:val="000000" w:themeColor="text1"/>
          <w:shd w:val="clear" w:color="auto" w:fill="FFFFFF"/>
        </w:rPr>
        <w:t>Tafsir Zia ul Quran ka Usool</w:t>
      </w:r>
      <w:r w:rsidRPr="00C377C8">
        <w:rPr>
          <w:rFonts w:eastAsia="Times New Roman"/>
          <w:color w:val="000000" w:themeColor="text1"/>
          <w:shd w:val="clear" w:color="auto" w:fill="FFFFFF"/>
        </w:rPr>
        <w:t>. Lahore: Ahmad Sons publications.</w:t>
      </w:r>
    </w:p>
    <w:p w14:paraId="14C03541"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Åkerlind, G. (2005). Variation and commonality in phenomenographic research methods. </w:t>
      </w:r>
      <w:r w:rsidRPr="00C377C8">
        <w:rPr>
          <w:i/>
          <w:iCs/>
          <w:color w:val="000000" w:themeColor="text1"/>
          <w:shd w:val="clear" w:color="auto" w:fill="FFFFFF"/>
        </w:rPr>
        <w:t>Higher Education Research &amp; Development</w:t>
      </w:r>
      <w:r w:rsidRPr="00C377C8">
        <w:rPr>
          <w:color w:val="000000" w:themeColor="text1"/>
          <w:shd w:val="clear" w:color="auto" w:fill="FFFFFF"/>
        </w:rPr>
        <w:t>, 24(4), 321-334.</w:t>
      </w:r>
    </w:p>
    <w:p w14:paraId="2CC7B5D6"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Akiba, M., 2013. </w:t>
      </w:r>
      <w:r w:rsidRPr="00C377C8">
        <w:rPr>
          <w:rStyle w:val="selectable"/>
          <w:i/>
          <w:iCs/>
          <w:color w:val="000000" w:themeColor="text1"/>
        </w:rPr>
        <w:t>Teacher Reforms Around The World</w:t>
      </w:r>
      <w:r w:rsidRPr="00C377C8">
        <w:rPr>
          <w:rStyle w:val="selectable"/>
          <w:color w:val="000000" w:themeColor="text1"/>
        </w:rPr>
        <w:t>. Bingley, U.K.: Emerald.</w:t>
      </w:r>
    </w:p>
    <w:p w14:paraId="0497A791" w14:textId="77777777" w:rsidR="00FB6B91" w:rsidRPr="00C377C8" w:rsidRDefault="00FB6B91" w:rsidP="00461178">
      <w:pPr>
        <w:spacing w:line="360" w:lineRule="auto"/>
        <w:ind w:left="2268"/>
        <w:rPr>
          <w:color w:val="000000" w:themeColor="text1"/>
        </w:rPr>
      </w:pPr>
      <w:r w:rsidRPr="00C377C8">
        <w:rPr>
          <w:color w:val="000000" w:themeColor="text1"/>
          <w:lang w:val="en-US"/>
        </w:rPr>
        <w:t>Akpaca, D., 2020. New Trends in Translation and Interpretation Teaching/Training. </w:t>
      </w:r>
      <w:r w:rsidRPr="00C377C8">
        <w:rPr>
          <w:i/>
          <w:iCs/>
          <w:color w:val="000000" w:themeColor="text1"/>
          <w:lang w:val="en-US"/>
        </w:rPr>
        <w:t>English Language Teaching and Linguistics Studies</w:t>
      </w:r>
      <w:r w:rsidRPr="00C377C8">
        <w:rPr>
          <w:color w:val="000000" w:themeColor="text1"/>
          <w:lang w:val="en-US"/>
        </w:rPr>
        <w:t>, 2(2), p.p5.</w:t>
      </w:r>
    </w:p>
    <w:p w14:paraId="49040A77" w14:textId="77777777" w:rsidR="00FB6B91" w:rsidRPr="00C377C8" w:rsidRDefault="00FB6B91" w:rsidP="00461178">
      <w:pPr>
        <w:spacing w:line="360" w:lineRule="auto"/>
        <w:ind w:left="2268"/>
        <w:rPr>
          <w:rFonts w:eastAsia="Times New Roman"/>
          <w:color w:val="000000" w:themeColor="text1"/>
          <w:lang w:val="en-US"/>
        </w:rPr>
      </w:pPr>
      <w:r w:rsidRPr="00C377C8">
        <w:rPr>
          <w:rFonts w:eastAsia="Times New Roman"/>
          <w:color w:val="000000" w:themeColor="text1"/>
          <w:shd w:val="clear" w:color="auto" w:fill="FFFFFF"/>
        </w:rPr>
        <w:t>Akram, M., 2021. </w:t>
      </w:r>
      <w:r w:rsidRPr="00C377C8">
        <w:rPr>
          <w:rFonts w:eastAsia="Times New Roman"/>
          <w:i/>
          <w:iCs/>
          <w:color w:val="000000" w:themeColor="text1"/>
          <w:shd w:val="clear" w:color="auto" w:fill="FFFFFF"/>
        </w:rPr>
        <w:t>Tafsir e Jalayan main Nasikh o Mansookh ka Ilmi Muhakamah</w:t>
      </w:r>
      <w:r w:rsidRPr="00C377C8">
        <w:rPr>
          <w:rFonts w:eastAsia="Times New Roman"/>
          <w:color w:val="000000" w:themeColor="text1"/>
          <w:shd w:val="clear" w:color="auto" w:fill="FFFFFF"/>
        </w:rPr>
        <w:t>. Lahore: Darsunnah.</w:t>
      </w:r>
    </w:p>
    <w:p w14:paraId="3B125830" w14:textId="77777777" w:rsidR="00FB6B91" w:rsidRPr="00C377C8" w:rsidRDefault="00FB6B91" w:rsidP="00461178">
      <w:pPr>
        <w:spacing w:line="360" w:lineRule="auto"/>
        <w:ind w:left="2268"/>
        <w:rPr>
          <w:rStyle w:val="selectable"/>
          <w:color w:val="000000" w:themeColor="text1"/>
        </w:rPr>
      </w:pPr>
      <w:r w:rsidRPr="00C377C8">
        <w:rPr>
          <w:rStyle w:val="Strong"/>
          <w:b w:val="0"/>
          <w:color w:val="000000" w:themeColor="text1"/>
        </w:rPr>
        <w:t> </w:t>
      </w:r>
      <w:r w:rsidRPr="00C377C8">
        <w:rPr>
          <w:rStyle w:val="selectable"/>
          <w:color w:val="000000" w:themeColor="text1"/>
        </w:rPr>
        <w:t>Alexander, H. and Agbaria, A. (2012). </w:t>
      </w:r>
      <w:r w:rsidRPr="00C377C8">
        <w:rPr>
          <w:rStyle w:val="selectable"/>
          <w:i/>
          <w:iCs/>
          <w:color w:val="000000" w:themeColor="text1"/>
        </w:rPr>
        <w:t>Commitment, character, and citizenship</w:t>
      </w:r>
      <w:r w:rsidRPr="00C377C8">
        <w:rPr>
          <w:rStyle w:val="selectable"/>
          <w:color w:val="000000" w:themeColor="text1"/>
        </w:rPr>
        <w:t>. New York: Routledge</w:t>
      </w:r>
    </w:p>
    <w:p w14:paraId="49CE04ED" w14:textId="77777777" w:rsidR="00FB6B91" w:rsidRPr="00C377C8" w:rsidRDefault="00FB6B91" w:rsidP="00F1408E">
      <w:pPr>
        <w:ind w:left="2268"/>
        <w:jc w:val="both"/>
        <w:rPr>
          <w:rFonts w:ascii="Times New Roman" w:eastAsia="Calibri" w:hAnsi="Times New Roman" w:cs="Times New Roman"/>
          <w:color w:val="000000" w:themeColor="text1"/>
          <w:sz w:val="24"/>
          <w:szCs w:val="24"/>
          <w:shd w:val="clear" w:color="auto" w:fill="FFFFFF"/>
        </w:rPr>
      </w:pPr>
      <w:r w:rsidRPr="00C377C8">
        <w:rPr>
          <w:rFonts w:ascii="Open Sans" w:eastAsia="Calibri" w:hAnsi="Open Sans" w:cs="Open Sans"/>
          <w:b/>
          <w:bCs/>
          <w:color w:val="000000" w:themeColor="text1"/>
          <w:sz w:val="20"/>
          <w:szCs w:val="20"/>
          <w:shd w:val="clear" w:color="auto" w:fill="FFFFFF"/>
        </w:rPr>
        <w:t> </w:t>
      </w:r>
      <w:r w:rsidRPr="00C377C8">
        <w:rPr>
          <w:rFonts w:ascii="Open Sans" w:eastAsia="Calibri" w:hAnsi="Open Sans" w:cs="Open Sans"/>
          <w:color w:val="000000" w:themeColor="text1"/>
          <w:sz w:val="20"/>
          <w:szCs w:val="20"/>
          <w:shd w:val="clear" w:color="auto" w:fill="FFFFFF"/>
        </w:rPr>
        <w:t>al-Farsiyaah, S., 2020. </w:t>
      </w:r>
      <w:r w:rsidRPr="00C377C8">
        <w:rPr>
          <w:rFonts w:ascii="Open Sans" w:eastAsia="Calibri" w:hAnsi="Open Sans" w:cs="Open Sans"/>
          <w:i/>
          <w:iCs/>
          <w:color w:val="000000" w:themeColor="text1"/>
          <w:sz w:val="20"/>
          <w:szCs w:val="20"/>
          <w:shd w:val="clear" w:color="auto" w:fill="FFFFFF"/>
        </w:rPr>
        <w:t>The Nizami Curriculum: A Historical Glimpse &amp; Critical Proposals</w:t>
      </w:r>
      <w:r w:rsidRPr="00C377C8">
        <w:rPr>
          <w:rFonts w:ascii="Open Sans" w:eastAsia="Calibri" w:hAnsi="Open Sans" w:cs="Open Sans"/>
          <w:color w:val="000000" w:themeColor="text1"/>
          <w:sz w:val="20"/>
          <w:szCs w:val="20"/>
          <w:shd w:val="clear" w:color="auto" w:fill="FFFFFF"/>
        </w:rPr>
        <w:t>. Daruloom Birmingham.</w:t>
      </w:r>
    </w:p>
    <w:p w14:paraId="7F9FC99E"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Alhaj, A., 2016. </w:t>
      </w:r>
      <w:r w:rsidRPr="00C377C8">
        <w:rPr>
          <w:rStyle w:val="selectable"/>
          <w:i/>
          <w:iCs/>
          <w:color w:val="000000" w:themeColor="text1"/>
        </w:rPr>
        <w:t>Understanding Semantics. A Textbook for Students of Linguistics and Translation</w:t>
      </w:r>
      <w:r w:rsidRPr="00C377C8">
        <w:rPr>
          <w:rStyle w:val="selectable"/>
          <w:color w:val="000000" w:themeColor="text1"/>
        </w:rPr>
        <w:t>. Hamberg: Anchor Academic Publishing.</w:t>
      </w:r>
    </w:p>
    <w:p w14:paraId="3006A437"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 xml:space="preserve">al-Ḥajjāj, M., 2011. </w:t>
      </w:r>
      <w:r w:rsidRPr="00C377C8">
        <w:rPr>
          <w:rStyle w:val="selectable"/>
          <w:i/>
          <w:iCs/>
          <w:color w:val="000000" w:themeColor="text1"/>
        </w:rPr>
        <w:t>Sahih Muslim</w:t>
      </w:r>
      <w:r w:rsidRPr="00C377C8">
        <w:rPr>
          <w:rStyle w:val="selectable"/>
          <w:color w:val="000000" w:themeColor="text1"/>
        </w:rPr>
        <w:t>. New Delhi: Islamic Book Service.</w:t>
      </w:r>
    </w:p>
    <w:p w14:paraId="09D6A887" w14:textId="77777777" w:rsidR="00FB6B91" w:rsidRPr="00C377C8" w:rsidRDefault="00FB6B91" w:rsidP="00461178">
      <w:pPr>
        <w:spacing w:line="360" w:lineRule="auto"/>
        <w:ind w:left="2268"/>
        <w:rPr>
          <w:color w:val="000000" w:themeColor="text1"/>
        </w:rPr>
      </w:pPr>
      <w:r w:rsidRPr="00C377C8">
        <w:rPr>
          <w:color w:val="000000" w:themeColor="text1"/>
        </w:rPr>
        <w:t xml:space="preserve">al-halili, M. and Khan, T., 2019. Translation of the meanings of The Noble Qur’an In The English Language: Free Download, Borrow, and Streaming: Internet Archive. [Online] Internet Archive. Available at: </w:t>
      </w:r>
      <w:hyperlink r:id="rId23" w:history="1">
        <w:r w:rsidRPr="00C377C8">
          <w:rPr>
            <w:rStyle w:val="Hyperlink"/>
            <w:color w:val="000000" w:themeColor="text1"/>
          </w:rPr>
          <w:t>https://archive.org/details/Translation</w:t>
        </w:r>
      </w:hyperlink>
      <w:r w:rsidRPr="00C377C8">
        <w:rPr>
          <w:color w:val="000000" w:themeColor="text1"/>
        </w:rPr>
        <w:t xml:space="preserve"> OfTheMeaningsOfTheNobleQuranInTheEnglishLanguage_201606 [Accessed 22 SEP. 2018].</w:t>
      </w:r>
    </w:p>
    <w:p w14:paraId="0B0BEEA8"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Ali, A., 2004. </w:t>
      </w:r>
      <w:r w:rsidRPr="00C377C8">
        <w:rPr>
          <w:rStyle w:val="selectable"/>
          <w:i/>
          <w:iCs/>
          <w:color w:val="000000" w:themeColor="text1"/>
        </w:rPr>
        <w:t>The meaning of the Holy Quʼrān</w:t>
      </w:r>
      <w:r w:rsidRPr="00C377C8">
        <w:rPr>
          <w:rStyle w:val="selectable"/>
          <w:color w:val="000000" w:themeColor="text1"/>
        </w:rPr>
        <w:t>. Beltsville, Md.: Amana Publications</w:t>
      </w:r>
    </w:p>
    <w:p w14:paraId="63CF4B91"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Ali, S., 2002. </w:t>
      </w:r>
      <w:r w:rsidRPr="00C377C8">
        <w:rPr>
          <w:rStyle w:val="selectable"/>
          <w:i/>
          <w:iCs/>
          <w:color w:val="000000" w:themeColor="text1"/>
        </w:rPr>
        <w:t>Sunnah, the way of Qurʼanic life</w:t>
      </w:r>
      <w:r w:rsidRPr="00C377C8">
        <w:rPr>
          <w:rStyle w:val="selectable"/>
          <w:color w:val="000000" w:themeColor="text1"/>
        </w:rPr>
        <w:t>. Lahore: Zia-ul-Quran Publications.</w:t>
      </w:r>
    </w:p>
    <w:p w14:paraId="2292DDC8" w14:textId="77777777" w:rsidR="00FB6B91" w:rsidRPr="00C377C8" w:rsidRDefault="00FB6B91" w:rsidP="00461178">
      <w:pPr>
        <w:spacing w:line="360" w:lineRule="auto"/>
        <w:ind w:left="2268"/>
        <w:rPr>
          <w:color w:val="000000" w:themeColor="text1"/>
          <w:shd w:val="clear" w:color="auto" w:fill="FFFFFF"/>
        </w:rPr>
      </w:pPr>
      <w:r w:rsidRPr="00C377C8">
        <w:rPr>
          <w:rStyle w:val="selectable"/>
          <w:color w:val="000000" w:themeColor="text1"/>
        </w:rPr>
        <w:t>Ali, S.,2009. </w:t>
      </w:r>
      <w:r w:rsidRPr="00C377C8">
        <w:rPr>
          <w:rStyle w:val="selectable"/>
          <w:i/>
          <w:iCs/>
          <w:color w:val="000000" w:themeColor="text1"/>
        </w:rPr>
        <w:t>Islam and Education</w:t>
      </w:r>
      <w:r w:rsidRPr="00C377C8">
        <w:rPr>
          <w:rStyle w:val="selectable"/>
          <w:color w:val="000000" w:themeColor="text1"/>
        </w:rPr>
        <w:t>. Karachi: Oxford University Press.</w:t>
      </w:r>
    </w:p>
    <w:p w14:paraId="77530EE7" w14:textId="77777777" w:rsidR="00FB6B91" w:rsidRPr="00C377C8" w:rsidRDefault="00FB6B91" w:rsidP="00461178">
      <w:pPr>
        <w:spacing w:line="360" w:lineRule="auto"/>
        <w:ind w:left="2268"/>
        <w:rPr>
          <w:rFonts w:eastAsia="Times New Roman"/>
          <w:color w:val="000000" w:themeColor="text1"/>
          <w:lang w:val="en-US"/>
        </w:rPr>
      </w:pPr>
      <w:r w:rsidRPr="00C377C8">
        <w:rPr>
          <w:rFonts w:eastAsia="Times New Roman"/>
          <w:color w:val="000000" w:themeColor="text1"/>
          <w:shd w:val="clear" w:color="auto" w:fill="FFFFFF"/>
          <w:lang w:val="en-US"/>
        </w:rPr>
        <w:t>al-Jassas, A., 1984. </w:t>
      </w:r>
      <w:r w:rsidRPr="00C377C8">
        <w:rPr>
          <w:rFonts w:eastAsia="Times New Roman"/>
          <w:i/>
          <w:iCs/>
          <w:color w:val="000000" w:themeColor="text1"/>
          <w:shd w:val="clear" w:color="auto" w:fill="FFFFFF"/>
          <w:lang w:val="en-US"/>
        </w:rPr>
        <w:t>Aḥkām al-Qur’ān</w:t>
      </w:r>
      <w:r w:rsidRPr="00C377C8">
        <w:rPr>
          <w:rFonts w:eastAsia="Times New Roman"/>
          <w:color w:val="000000" w:themeColor="text1"/>
          <w:shd w:val="clear" w:color="auto" w:fill="FFFFFF"/>
          <w:lang w:val="en-US"/>
        </w:rPr>
        <w:t>. Beirut, Libanon: Dār al-Iḥyā’ al-Turāth.</w:t>
      </w:r>
    </w:p>
    <w:p w14:paraId="486FBE89" w14:textId="77777777" w:rsidR="00FB6B91" w:rsidRPr="00C377C8" w:rsidRDefault="00FB6B91" w:rsidP="00461178">
      <w:pPr>
        <w:spacing w:line="360" w:lineRule="auto"/>
        <w:ind w:left="2268"/>
        <w:rPr>
          <w:color w:val="000000" w:themeColor="text1"/>
        </w:rPr>
      </w:pPr>
      <w:r w:rsidRPr="00C377C8">
        <w:rPr>
          <w:color w:val="000000" w:themeColor="text1"/>
        </w:rPr>
        <w:t>al-Khalidi, Salah Abd al-Fatah. (1996). Al-Tafsir wa al-Ta’wil fi al-Quran. Amman: Dar al-Nafais</w:t>
      </w:r>
    </w:p>
    <w:p w14:paraId="01ED691C" w14:textId="77777777" w:rsidR="00FB6B91" w:rsidRPr="00C377C8" w:rsidRDefault="00FB6B91" w:rsidP="00461178">
      <w:pPr>
        <w:spacing w:line="360" w:lineRule="auto"/>
        <w:ind w:left="2268"/>
        <w:rPr>
          <w:color w:val="000000" w:themeColor="text1"/>
        </w:rPr>
      </w:pPr>
      <w:r w:rsidRPr="00C377C8">
        <w:rPr>
          <w:color w:val="000000" w:themeColor="text1"/>
        </w:rPr>
        <w:t>al-Kubaisiy, K., 2007. ‘Ilm al-Tafsir: Usuluhu wa Qawa’iduhu. Kaherah: Dar al-Sahabah</w:t>
      </w:r>
    </w:p>
    <w:p w14:paraId="0BE61AC3"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Allen, D.,</w:t>
      </w:r>
      <w:r w:rsidRPr="00C377C8">
        <w:rPr>
          <w:rStyle w:val="nlmyear"/>
          <w:color w:val="000000" w:themeColor="text1"/>
          <w:shd w:val="clear" w:color="auto" w:fill="FFFFFF"/>
        </w:rPr>
        <w:t>1996</w:t>
      </w:r>
      <w:r w:rsidRPr="00C377C8">
        <w:rPr>
          <w:color w:val="000000" w:themeColor="text1"/>
          <w:shd w:val="clear" w:color="auto" w:fill="FFFFFF"/>
        </w:rPr>
        <w:t>. </w:t>
      </w:r>
      <w:r w:rsidRPr="00C377C8">
        <w:rPr>
          <w:rStyle w:val="nlmarticle-title"/>
          <w:color w:val="000000" w:themeColor="text1"/>
          <w:shd w:val="clear" w:color="auto" w:fill="FFFFFF"/>
        </w:rPr>
        <w:t>Knowledge, politics, culture and gender: A discourse perspective</w:t>
      </w:r>
      <w:r w:rsidRPr="00C377C8">
        <w:rPr>
          <w:color w:val="000000" w:themeColor="text1"/>
          <w:shd w:val="clear" w:color="auto" w:fill="FFFFFF"/>
        </w:rPr>
        <w:t>. Canadian Journal of Nursing Research, 28(1), </w:t>
      </w:r>
      <w:r w:rsidRPr="00C377C8">
        <w:rPr>
          <w:rStyle w:val="nlmfpage"/>
          <w:color w:val="000000" w:themeColor="text1"/>
          <w:shd w:val="clear" w:color="auto" w:fill="FFFFFF"/>
        </w:rPr>
        <w:t>95</w:t>
      </w:r>
      <w:r w:rsidRPr="00C377C8">
        <w:rPr>
          <w:color w:val="000000" w:themeColor="text1"/>
          <w:shd w:val="clear" w:color="auto" w:fill="FFFFFF"/>
        </w:rPr>
        <w:t>–</w:t>
      </w:r>
      <w:r w:rsidRPr="00C377C8">
        <w:rPr>
          <w:rStyle w:val="nlmlpage"/>
          <w:color w:val="000000" w:themeColor="text1"/>
          <w:shd w:val="clear" w:color="auto" w:fill="FFFFFF"/>
        </w:rPr>
        <w:t>102</w:t>
      </w:r>
      <w:r w:rsidRPr="00C377C8">
        <w:rPr>
          <w:color w:val="000000" w:themeColor="text1"/>
          <w:shd w:val="clear" w:color="auto" w:fill="FFFFFF"/>
        </w:rPr>
        <w:t>. </w:t>
      </w:r>
    </w:p>
    <w:p w14:paraId="159D582D"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al-Qadri, M., 2017. </w:t>
      </w:r>
      <w:r w:rsidRPr="00C377C8">
        <w:rPr>
          <w:rStyle w:val="selectable"/>
          <w:i/>
          <w:iCs/>
          <w:color w:val="000000" w:themeColor="text1"/>
        </w:rPr>
        <w:t>Philosophy of Ijtihad and Modern World</w:t>
      </w:r>
      <w:r w:rsidRPr="00C377C8">
        <w:rPr>
          <w:rStyle w:val="selectable"/>
          <w:color w:val="000000" w:themeColor="text1"/>
        </w:rPr>
        <w:t>. Lahore: Minhaj publications.</w:t>
      </w:r>
    </w:p>
    <w:p w14:paraId="504C7CB2"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al-Qadri, M., 2019. </w:t>
      </w:r>
      <w:r w:rsidRPr="00C377C8">
        <w:rPr>
          <w:rStyle w:val="selectable"/>
          <w:i/>
          <w:iCs/>
          <w:color w:val="000000" w:themeColor="text1"/>
        </w:rPr>
        <w:t>Knowledge and sources of knowledge</w:t>
      </w:r>
      <w:r w:rsidRPr="00C377C8">
        <w:rPr>
          <w:rStyle w:val="selectable"/>
          <w:color w:val="000000" w:themeColor="text1"/>
        </w:rPr>
        <w:t>. lahore: Minhaj publications.</w:t>
      </w:r>
    </w:p>
    <w:p w14:paraId="215898C3"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al-Qadri, M., 2019. </w:t>
      </w:r>
      <w:r w:rsidRPr="00C377C8">
        <w:rPr>
          <w:rStyle w:val="selectable"/>
          <w:i/>
          <w:iCs/>
          <w:color w:val="000000" w:themeColor="text1"/>
        </w:rPr>
        <w:t>Quranic Encyclopaedia</w:t>
      </w:r>
      <w:r w:rsidRPr="00C377C8">
        <w:rPr>
          <w:rStyle w:val="selectable"/>
          <w:color w:val="000000" w:themeColor="text1"/>
        </w:rPr>
        <w:t>. Lahore: Minhaj publications.</w:t>
      </w:r>
    </w:p>
    <w:p w14:paraId="5EE935C6" w14:textId="77777777" w:rsidR="00FB6B91" w:rsidRPr="00C377C8" w:rsidRDefault="00FB6B91" w:rsidP="00461178">
      <w:pPr>
        <w:spacing w:line="360" w:lineRule="auto"/>
        <w:ind w:left="2268"/>
        <w:rPr>
          <w:color w:val="000000" w:themeColor="text1"/>
        </w:rPr>
      </w:pPr>
      <w:r w:rsidRPr="00C377C8">
        <w:rPr>
          <w:color w:val="000000" w:themeColor="text1"/>
        </w:rPr>
        <w:t>al-Qattan, Manna’ Khalil.,2006. Mabahith fi Ulum al-Quran. Beirut: Muassasah al-Risalah Nasyirun</w:t>
      </w:r>
    </w:p>
    <w:p w14:paraId="33C0CAF7" w14:textId="77777777" w:rsidR="00FB6B91" w:rsidRPr="00C377C8" w:rsidRDefault="00FB6B91" w:rsidP="00461178">
      <w:pPr>
        <w:spacing w:line="360" w:lineRule="auto"/>
        <w:ind w:left="2268"/>
        <w:rPr>
          <w:color w:val="000000" w:themeColor="text1"/>
        </w:rPr>
      </w:pPr>
      <w:r w:rsidRPr="00C377C8">
        <w:rPr>
          <w:color w:val="000000" w:themeColor="text1"/>
        </w:rPr>
        <w:t>al-Rumiy,F ., 2012. Dirasat fi ‘Ulum al-Qur’an. Riyadh: Maktabah al-Riyadh</w:t>
      </w:r>
    </w:p>
    <w:p w14:paraId="06373E00" w14:textId="77777777" w:rsidR="00FB6B91" w:rsidRPr="00C377C8" w:rsidRDefault="00FB6B91" w:rsidP="00461178">
      <w:pPr>
        <w:spacing w:line="360" w:lineRule="auto"/>
        <w:ind w:left="2268"/>
        <w:rPr>
          <w:rFonts w:eastAsia="Times New Roman"/>
          <w:color w:val="000000" w:themeColor="text1"/>
          <w:lang w:val="en-US"/>
        </w:rPr>
      </w:pPr>
      <w:r w:rsidRPr="00C377C8">
        <w:rPr>
          <w:rFonts w:eastAsia="Times New Roman"/>
          <w:color w:val="000000" w:themeColor="text1"/>
          <w:shd w:val="clear" w:color="auto" w:fill="FFFFFF"/>
        </w:rPr>
        <w:t>Alsaawi, A., 2017. </w:t>
      </w:r>
      <w:r w:rsidRPr="00C377C8">
        <w:rPr>
          <w:rFonts w:eastAsia="Times New Roman"/>
          <w:i/>
          <w:iCs/>
          <w:color w:val="000000" w:themeColor="text1"/>
          <w:shd w:val="clear" w:color="auto" w:fill="FFFFFF"/>
        </w:rPr>
        <w:t>Imams' language use in mosque sermons</w:t>
      </w:r>
      <w:r w:rsidRPr="00C377C8">
        <w:rPr>
          <w:rFonts w:eastAsia="Times New Roman"/>
          <w:color w:val="000000" w:themeColor="text1"/>
          <w:shd w:val="clear" w:color="auto" w:fill="FFFFFF"/>
        </w:rPr>
        <w:t>. PhD. New Castle University.</w:t>
      </w:r>
    </w:p>
    <w:p w14:paraId="1052386E" w14:textId="77777777" w:rsidR="00FB6B91" w:rsidRPr="00C377C8" w:rsidRDefault="00FB6B91" w:rsidP="00461178">
      <w:pPr>
        <w:spacing w:line="360" w:lineRule="auto"/>
        <w:ind w:left="2268"/>
        <w:rPr>
          <w:rFonts w:eastAsia="Times New Roman"/>
          <w:color w:val="000000" w:themeColor="text1"/>
          <w:lang w:val="en-US"/>
        </w:rPr>
      </w:pPr>
      <w:r w:rsidRPr="00C377C8">
        <w:rPr>
          <w:rFonts w:eastAsia="Times New Roman"/>
          <w:color w:val="000000" w:themeColor="text1"/>
          <w:shd w:val="clear" w:color="auto" w:fill="FFFFFF"/>
          <w:lang w:val="en-US"/>
        </w:rPr>
        <w:t>al-Sayyuti, J., 2018. </w:t>
      </w:r>
      <w:r w:rsidRPr="00C377C8">
        <w:rPr>
          <w:rFonts w:eastAsia="Times New Roman"/>
          <w:i/>
          <w:iCs/>
          <w:color w:val="000000" w:themeColor="text1"/>
          <w:shd w:val="clear" w:color="auto" w:fill="FFFFFF"/>
          <w:lang w:val="en-US"/>
        </w:rPr>
        <w:t>Al-Itqān fi ‘Ulum Al-Qur’an</w:t>
      </w:r>
      <w:r w:rsidRPr="00C377C8">
        <w:rPr>
          <w:rFonts w:eastAsia="Times New Roman"/>
          <w:color w:val="000000" w:themeColor="text1"/>
          <w:shd w:val="clear" w:color="auto" w:fill="FFFFFF"/>
          <w:lang w:val="en-US"/>
        </w:rPr>
        <w:t>. Lahore: Idara e Islamiat.</w:t>
      </w:r>
    </w:p>
    <w:p w14:paraId="3D4B90CE" w14:textId="77777777" w:rsidR="00FB6B91" w:rsidRPr="00C377C8" w:rsidRDefault="00FB6B91" w:rsidP="00461178">
      <w:pPr>
        <w:pStyle w:val="NormalWeb"/>
        <w:shd w:val="clear" w:color="auto" w:fill="FFFFFF"/>
        <w:spacing w:before="0" w:beforeAutospacing="0" w:after="0" w:afterAutospacing="0" w:line="360" w:lineRule="auto"/>
        <w:ind w:left="2268" w:hanging="120"/>
        <w:rPr>
          <w:color w:val="000000" w:themeColor="text1"/>
          <w:lang w:val="en-US"/>
        </w:rPr>
      </w:pPr>
      <w:r w:rsidRPr="00C377C8">
        <w:rPr>
          <w:rStyle w:val="selectable"/>
          <w:color w:val="000000" w:themeColor="text1"/>
        </w:rPr>
        <w:t>al-Shawkani, M., 2013. </w:t>
      </w:r>
      <w:r w:rsidRPr="00C377C8">
        <w:rPr>
          <w:rStyle w:val="selectable"/>
          <w:i/>
          <w:iCs/>
          <w:color w:val="000000" w:themeColor="text1"/>
        </w:rPr>
        <w:t>Fath al-Qadir</w:t>
      </w:r>
      <w:r w:rsidRPr="00C377C8">
        <w:rPr>
          <w:rStyle w:val="selectable"/>
          <w:color w:val="000000" w:themeColor="text1"/>
        </w:rPr>
        <w:t>. lahore: Idara e Islamiat.</w:t>
      </w:r>
    </w:p>
    <w:p w14:paraId="16FEF532"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al-Sofi, K., Maros, M. and Abu Baker, K. (2014). Quranic Collocations: A Problem in Translation. </w:t>
      </w:r>
      <w:r w:rsidRPr="00C377C8">
        <w:rPr>
          <w:rFonts w:eastAsia="Times New Roman"/>
          <w:i/>
          <w:iCs/>
          <w:color w:val="000000" w:themeColor="text1"/>
          <w:lang w:eastAsia="en-GB"/>
        </w:rPr>
        <w:t>International Journal of Quranic Research</w:t>
      </w:r>
      <w:r w:rsidRPr="00C377C8">
        <w:rPr>
          <w:rFonts w:eastAsia="Times New Roman"/>
          <w:color w:val="000000" w:themeColor="text1"/>
          <w:lang w:eastAsia="en-GB"/>
        </w:rPr>
        <w:t>, 6(2), pp.39-50.</w:t>
      </w:r>
    </w:p>
    <w:p w14:paraId="4E114825" w14:textId="77777777" w:rsidR="00FB6B91" w:rsidRPr="00C377C8" w:rsidRDefault="00FB6B91" w:rsidP="00461178">
      <w:pPr>
        <w:pStyle w:val="NormalWeb"/>
        <w:shd w:val="clear" w:color="auto" w:fill="FFFFFF"/>
        <w:spacing w:before="0" w:beforeAutospacing="0" w:after="0" w:afterAutospacing="0" w:line="360" w:lineRule="auto"/>
        <w:ind w:left="2268" w:hanging="120"/>
        <w:rPr>
          <w:color w:val="000000" w:themeColor="text1"/>
        </w:rPr>
      </w:pPr>
      <w:r w:rsidRPr="00C377C8">
        <w:rPr>
          <w:rStyle w:val="selectable"/>
          <w:color w:val="000000" w:themeColor="text1"/>
        </w:rPr>
        <w:t>al-Tabri, M., 2008. </w:t>
      </w:r>
      <w:r w:rsidRPr="00C377C8">
        <w:rPr>
          <w:rStyle w:val="selectable"/>
          <w:i/>
          <w:iCs/>
          <w:color w:val="000000" w:themeColor="text1"/>
        </w:rPr>
        <w:t>Jamiul Bayyan fi Tahwilil Quran</w:t>
      </w:r>
      <w:r w:rsidRPr="00C377C8">
        <w:rPr>
          <w:rStyle w:val="selectable"/>
          <w:color w:val="000000" w:themeColor="text1"/>
        </w:rPr>
        <w:t>. Morocco: Darrussanah.</w:t>
      </w:r>
    </w:p>
    <w:p w14:paraId="08098A23" w14:textId="77777777" w:rsidR="00FB6B91" w:rsidRPr="00C377C8" w:rsidRDefault="00FB6B91" w:rsidP="00461178">
      <w:pPr>
        <w:pStyle w:val="NormalWeb"/>
        <w:shd w:val="clear" w:color="auto" w:fill="FFFFFF"/>
        <w:spacing w:before="0" w:beforeAutospacing="0" w:after="0" w:afterAutospacing="0" w:line="360" w:lineRule="auto"/>
        <w:ind w:left="2268" w:hanging="120"/>
        <w:rPr>
          <w:color w:val="000000" w:themeColor="text1"/>
        </w:rPr>
      </w:pPr>
      <w:r w:rsidRPr="00C377C8">
        <w:rPr>
          <w:rStyle w:val="selectable"/>
          <w:color w:val="000000" w:themeColor="text1"/>
        </w:rPr>
        <w:t>al-Tha'alibi, M., 2011. </w:t>
      </w:r>
      <w:r w:rsidRPr="00C377C8">
        <w:rPr>
          <w:rStyle w:val="selectable"/>
          <w:i/>
          <w:iCs/>
          <w:color w:val="000000" w:themeColor="text1"/>
        </w:rPr>
        <w:t>Kitāb Fiqh ul-Lugha</w:t>
      </w:r>
      <w:r w:rsidRPr="00C377C8">
        <w:rPr>
          <w:rStyle w:val="selectable"/>
          <w:color w:val="000000" w:themeColor="text1"/>
        </w:rPr>
        <w:t>. Beirut: Orient publication.</w:t>
      </w:r>
    </w:p>
    <w:p w14:paraId="71051A42" w14:textId="77777777" w:rsidR="00FB6B91" w:rsidRPr="00C377C8" w:rsidRDefault="00FB6B91" w:rsidP="00461178">
      <w:pPr>
        <w:spacing w:line="360" w:lineRule="auto"/>
        <w:ind w:left="2268"/>
        <w:rPr>
          <w:rFonts w:eastAsia="Times New Roman"/>
          <w:color w:val="000000" w:themeColor="text1"/>
          <w:lang w:val="en-US"/>
        </w:rPr>
      </w:pPr>
      <w:r w:rsidRPr="00C377C8">
        <w:rPr>
          <w:rFonts w:eastAsia="Times New Roman"/>
          <w:color w:val="000000" w:themeColor="text1"/>
          <w:shd w:val="clear" w:color="auto" w:fill="FFFFFF"/>
        </w:rPr>
        <w:t>Alvesson, M. and Karreman, D., 2000. Varieties of Discourse: On the Study of Organizations through Discourse Analysis. </w:t>
      </w:r>
      <w:r w:rsidRPr="00C377C8">
        <w:rPr>
          <w:rFonts w:eastAsia="Times New Roman"/>
          <w:i/>
          <w:iCs/>
          <w:color w:val="000000" w:themeColor="text1"/>
          <w:shd w:val="clear" w:color="auto" w:fill="FFFFFF"/>
        </w:rPr>
        <w:t>Human Relations</w:t>
      </w:r>
      <w:r w:rsidRPr="00C377C8">
        <w:rPr>
          <w:rFonts w:eastAsia="Times New Roman"/>
          <w:color w:val="000000" w:themeColor="text1"/>
          <w:shd w:val="clear" w:color="auto" w:fill="FFFFFF"/>
        </w:rPr>
        <w:t>, 53(9), pp.1125-1149.</w:t>
      </w:r>
    </w:p>
    <w:p w14:paraId="6BCD42FF" w14:textId="77777777" w:rsidR="00FB6B91" w:rsidRPr="00C377C8" w:rsidRDefault="00FB6B91" w:rsidP="00461178">
      <w:pPr>
        <w:pStyle w:val="NormalWeb"/>
        <w:shd w:val="clear" w:color="auto" w:fill="FFFFFF"/>
        <w:spacing w:before="0" w:beforeAutospacing="0" w:after="0" w:afterAutospacing="0" w:line="360" w:lineRule="auto"/>
        <w:ind w:left="2268" w:hanging="120"/>
        <w:rPr>
          <w:color w:val="000000" w:themeColor="text1"/>
        </w:rPr>
      </w:pPr>
      <w:r w:rsidRPr="00C377C8">
        <w:rPr>
          <w:rStyle w:val="selectable"/>
          <w:color w:val="000000" w:themeColor="text1"/>
        </w:rPr>
        <w:t>al-Wahidi, 2008. </w:t>
      </w:r>
      <w:r w:rsidRPr="00C377C8">
        <w:rPr>
          <w:rStyle w:val="selectable"/>
          <w:i/>
          <w:iCs/>
          <w:color w:val="000000" w:themeColor="text1"/>
        </w:rPr>
        <w:t>Asbab al-Nuzul</w:t>
      </w:r>
      <w:r w:rsidRPr="00C377C8">
        <w:rPr>
          <w:rStyle w:val="selectable"/>
          <w:color w:val="000000" w:themeColor="text1"/>
        </w:rPr>
        <w:t>. Fon Vittae: Royal al- Al-bait.</w:t>
      </w:r>
    </w:p>
    <w:p w14:paraId="3C901591"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al-Wani., T., 2017. </w:t>
      </w:r>
      <w:r w:rsidRPr="00C377C8">
        <w:rPr>
          <w:rStyle w:val="selectable"/>
          <w:i/>
          <w:iCs/>
          <w:color w:val="000000" w:themeColor="text1"/>
        </w:rPr>
        <w:t>Reviving The Balance: The Authority of The Qur'an and The Status of The Sunnah</w:t>
      </w:r>
      <w:r w:rsidRPr="00C377C8">
        <w:rPr>
          <w:rStyle w:val="selectable"/>
          <w:color w:val="000000" w:themeColor="text1"/>
        </w:rPr>
        <w:t>. London: International Institute of Islamic Thoughts.</w:t>
      </w:r>
    </w:p>
    <w:p w14:paraId="7E9828EC" w14:textId="77777777" w:rsidR="00FB6B91" w:rsidRPr="00C377C8" w:rsidRDefault="00FB6B91" w:rsidP="00461178">
      <w:pPr>
        <w:spacing w:line="360" w:lineRule="auto"/>
        <w:ind w:left="2268"/>
        <w:rPr>
          <w:color w:val="000000" w:themeColor="text1"/>
        </w:rPr>
      </w:pPr>
      <w:r w:rsidRPr="00C377C8">
        <w:rPr>
          <w:color w:val="000000" w:themeColor="text1"/>
        </w:rPr>
        <w:t>Amanze, J., Nkomazana, F. and Kealotswe, O., 2010. </w:t>
      </w:r>
      <w:r w:rsidRPr="00C377C8">
        <w:rPr>
          <w:i/>
          <w:iCs/>
          <w:color w:val="000000" w:themeColor="text1"/>
        </w:rPr>
        <w:t>Biblical Studies, Theology, Religion, And Philosophy</w:t>
      </w:r>
      <w:r w:rsidRPr="00C377C8">
        <w:rPr>
          <w:color w:val="000000" w:themeColor="text1"/>
        </w:rPr>
        <w:t>. Eldoret, Kenya: Zapf Chancery.</w:t>
      </w:r>
    </w:p>
    <w:p w14:paraId="2E66F05A" w14:textId="77777777" w:rsidR="00FB6B91" w:rsidRPr="00C377C8" w:rsidRDefault="00FB6B91" w:rsidP="00461178">
      <w:pPr>
        <w:spacing w:line="360" w:lineRule="auto"/>
        <w:ind w:left="2268"/>
        <w:rPr>
          <w:rFonts w:eastAsia="Times New Roman"/>
          <w:color w:val="000000" w:themeColor="text1"/>
        </w:rPr>
      </w:pPr>
      <w:r w:rsidRPr="00C377C8">
        <w:rPr>
          <w:rFonts w:eastAsia="Times New Roman"/>
          <w:color w:val="000000" w:themeColor="text1"/>
          <w:shd w:val="clear" w:color="auto" w:fill="FFFFFF"/>
        </w:rPr>
        <w:t>Ambrose, S., Bridges, M., Lovett, M., DiPietro, M., &amp; Norman, M., 2010. How Learning Works: 7 Research – Based Principles for Smart Teaching. San Francisco: Jossey-Bass.</w:t>
      </w:r>
    </w:p>
    <w:p w14:paraId="3E1F8809"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Amir, S. and Mohd Yusoff, Z., 2017. The Contemporary Scientific Interpretation of Al-Quran: A Review on Al-Sha’rawi’s Method in Tafsir. </w:t>
      </w:r>
      <w:r w:rsidRPr="00C377C8">
        <w:rPr>
          <w:rStyle w:val="selectable"/>
          <w:i/>
          <w:iCs/>
          <w:color w:val="000000" w:themeColor="text1"/>
        </w:rPr>
        <w:t>International Journal of Quranic Research</w:t>
      </w:r>
      <w:r w:rsidRPr="00C377C8">
        <w:rPr>
          <w:rStyle w:val="selectable"/>
          <w:color w:val="000000" w:themeColor="text1"/>
        </w:rPr>
        <w:t>, 9(1), pp.51-66.</w:t>
      </w:r>
    </w:p>
    <w:p w14:paraId="5AB284DB" w14:textId="77777777" w:rsidR="00FB6B91" w:rsidRPr="00C377C8" w:rsidRDefault="00FB6B91" w:rsidP="00461178">
      <w:pPr>
        <w:spacing w:line="360" w:lineRule="auto"/>
        <w:ind w:left="2268"/>
        <w:rPr>
          <w:color w:val="000000" w:themeColor="text1"/>
        </w:rPr>
      </w:pPr>
      <w:r w:rsidRPr="00C377C8">
        <w:rPr>
          <w:color w:val="000000" w:themeColor="text1"/>
        </w:rPr>
        <w:t>Anderson, H D., 1997. Conversation, language and possibilities: A postmodern approach to therapy. New York: Basic Books.</w:t>
      </w:r>
    </w:p>
    <w:p w14:paraId="0D9F9942"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Anderson, M. and De Silva, S., 2007. </w:t>
      </w:r>
      <w:r w:rsidRPr="00C377C8">
        <w:rPr>
          <w:rFonts w:eastAsia="Times New Roman"/>
          <w:i/>
          <w:iCs/>
          <w:color w:val="000000" w:themeColor="text1"/>
          <w:lang w:eastAsia="en-GB"/>
        </w:rPr>
        <w:t>Active Learning</w:t>
      </w:r>
      <w:r w:rsidRPr="00C377C8">
        <w:rPr>
          <w:rFonts w:eastAsia="Times New Roman"/>
          <w:color w:val="000000" w:themeColor="text1"/>
          <w:lang w:eastAsia="en-GB"/>
        </w:rPr>
        <w:t>. Sedbergh, Cumbria: Me-and-Us.</w:t>
      </w:r>
    </w:p>
    <w:p w14:paraId="3EC72855" w14:textId="77777777" w:rsidR="00FB6B91" w:rsidRPr="00C377C8" w:rsidRDefault="00FB6B91" w:rsidP="00461178">
      <w:pPr>
        <w:spacing w:line="360" w:lineRule="auto"/>
        <w:ind w:left="2268"/>
        <w:rPr>
          <w:color w:val="000000" w:themeColor="text1"/>
        </w:rPr>
      </w:pPr>
      <w:r w:rsidRPr="00C377C8">
        <w:rPr>
          <w:color w:val="000000" w:themeColor="text1"/>
        </w:rPr>
        <w:t>Andrews, S., 2007. </w:t>
      </w:r>
      <w:r w:rsidRPr="00C377C8">
        <w:rPr>
          <w:i/>
          <w:iCs/>
          <w:color w:val="000000" w:themeColor="text1"/>
        </w:rPr>
        <w:t>Teacher Language Awareness</w:t>
      </w:r>
      <w:r w:rsidRPr="00C377C8">
        <w:rPr>
          <w:color w:val="000000" w:themeColor="text1"/>
        </w:rPr>
        <w:t>. Cambridge, UK: Cambridge University Press.</w:t>
      </w:r>
    </w:p>
    <w:p w14:paraId="796316EC"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Angel, H., 2009. </w:t>
      </w:r>
      <w:r w:rsidRPr="00C377C8">
        <w:rPr>
          <w:rStyle w:val="selectable"/>
          <w:i/>
          <w:iCs/>
          <w:color w:val="000000" w:themeColor="text1"/>
        </w:rPr>
        <w:t>Revealed Texts, Hidden Meanings</w:t>
      </w:r>
      <w:r w:rsidRPr="00C377C8">
        <w:rPr>
          <w:rStyle w:val="selectable"/>
          <w:color w:val="000000" w:themeColor="text1"/>
        </w:rPr>
        <w:t>. Jersey City, NJ: KTAV Pub. House in association with Sephardic Publication Foundation.</w:t>
      </w:r>
    </w:p>
    <w:p w14:paraId="697357F7"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An-neesaboori, A., 2009. </w:t>
      </w:r>
      <w:r w:rsidRPr="00C377C8">
        <w:rPr>
          <w:rFonts w:eastAsia="Times New Roman"/>
          <w:i/>
          <w:iCs/>
          <w:color w:val="000000" w:themeColor="text1"/>
          <w:lang w:eastAsia="en-GB"/>
        </w:rPr>
        <w:t>The reasons for revelation (of the Qur'an)</w:t>
      </w:r>
      <w:r w:rsidRPr="00C377C8">
        <w:rPr>
          <w:rFonts w:eastAsia="Times New Roman"/>
          <w:color w:val="000000" w:themeColor="text1"/>
          <w:lang w:eastAsia="en-GB"/>
        </w:rPr>
        <w:t>. Riyadh: International Islamic Publishing House.</w:t>
      </w:r>
    </w:p>
    <w:p w14:paraId="09027EDE" w14:textId="77777777" w:rsidR="00FB6B91" w:rsidRPr="00C377C8" w:rsidRDefault="00FB6B91" w:rsidP="00F1408E">
      <w:pPr>
        <w:shd w:val="clear" w:color="auto" w:fill="FFFFFF"/>
        <w:spacing w:after="0" w:line="360" w:lineRule="atLeast"/>
        <w:ind w:left="2268" w:hanging="120"/>
        <w:rPr>
          <w:rFonts w:ascii="Open Sans" w:eastAsia="Times New Roman" w:hAnsi="Open Sans" w:cs="Open Sans"/>
          <w:color w:val="000000" w:themeColor="text1"/>
          <w:sz w:val="20"/>
          <w:szCs w:val="20"/>
          <w:lang w:eastAsia="en-GB"/>
        </w:rPr>
      </w:pPr>
      <w:r w:rsidRPr="00C377C8">
        <w:rPr>
          <w:rFonts w:ascii="Open Sans" w:eastAsia="Times New Roman" w:hAnsi="Open Sans" w:cs="Open Sans"/>
          <w:b/>
          <w:bCs/>
          <w:color w:val="000000" w:themeColor="text1"/>
          <w:sz w:val="20"/>
          <w:szCs w:val="20"/>
          <w:lang w:eastAsia="en-GB"/>
        </w:rPr>
        <w:t> </w:t>
      </w:r>
      <w:r w:rsidRPr="00C377C8">
        <w:rPr>
          <w:rFonts w:ascii="Open Sans" w:eastAsia="Times New Roman" w:hAnsi="Open Sans" w:cs="Open Sans"/>
          <w:color w:val="000000" w:themeColor="text1"/>
          <w:sz w:val="20"/>
          <w:szCs w:val="20"/>
          <w:lang w:eastAsia="en-GB"/>
        </w:rPr>
        <w:t>Arkoun, M., 2019. </w:t>
      </w:r>
      <w:r w:rsidRPr="00C377C8">
        <w:rPr>
          <w:rFonts w:ascii="Open Sans" w:eastAsia="Times New Roman" w:hAnsi="Open Sans" w:cs="Open Sans"/>
          <w:i/>
          <w:iCs/>
          <w:color w:val="000000" w:themeColor="text1"/>
          <w:sz w:val="20"/>
          <w:szCs w:val="20"/>
          <w:lang w:eastAsia="en-GB"/>
        </w:rPr>
        <w:t>Rethinking Islam</w:t>
      </w:r>
      <w:r w:rsidRPr="00C377C8">
        <w:rPr>
          <w:rFonts w:ascii="Open Sans" w:eastAsia="Times New Roman" w:hAnsi="Open Sans" w:cs="Open Sans"/>
          <w:color w:val="000000" w:themeColor="text1"/>
          <w:sz w:val="20"/>
          <w:szCs w:val="20"/>
          <w:lang w:eastAsia="en-GB"/>
        </w:rPr>
        <w:t>. Boulder, Colo: Routledge.</w:t>
      </w:r>
    </w:p>
    <w:p w14:paraId="3FC9BFD9" w14:textId="77777777" w:rsidR="00FB6B91" w:rsidRPr="00C377C8" w:rsidRDefault="00FB6B91" w:rsidP="00461178">
      <w:pPr>
        <w:spacing w:line="360" w:lineRule="auto"/>
        <w:ind w:left="2268"/>
        <w:rPr>
          <w:color w:val="000000" w:themeColor="text1"/>
        </w:rPr>
      </w:pPr>
      <w:r w:rsidRPr="00C377C8">
        <w:rPr>
          <w:color w:val="000000" w:themeColor="text1"/>
        </w:rPr>
        <w:t>Armitage, A., 2007. </w:t>
      </w:r>
      <w:r w:rsidRPr="00C377C8">
        <w:rPr>
          <w:i/>
          <w:iCs/>
          <w:color w:val="000000" w:themeColor="text1"/>
        </w:rPr>
        <w:t>Teaching and Training In Post-Compulsory Education</w:t>
      </w:r>
      <w:r w:rsidRPr="00C377C8">
        <w:rPr>
          <w:color w:val="000000" w:themeColor="text1"/>
        </w:rPr>
        <w:t>. Maidenhead: McGraw-Hill/Open University Press.</w:t>
      </w:r>
    </w:p>
    <w:p w14:paraId="39D1C053"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Armstrong, S., Brown, S. and Thompson, G., 2014. </w:t>
      </w:r>
      <w:r w:rsidRPr="00C377C8">
        <w:rPr>
          <w:rStyle w:val="selectable"/>
          <w:i/>
          <w:iCs/>
          <w:color w:val="000000" w:themeColor="text1"/>
        </w:rPr>
        <w:t>Motivating Students</w:t>
      </w:r>
      <w:r w:rsidRPr="00C377C8">
        <w:rPr>
          <w:rStyle w:val="selectable"/>
          <w:color w:val="000000" w:themeColor="text1"/>
        </w:rPr>
        <w:t>. Florence: Taylor and Francis</w:t>
      </w:r>
    </w:p>
    <w:p w14:paraId="3ECBF77C"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Armstrong, S., Brown, S. and Thompson, G., 2014. </w:t>
      </w:r>
      <w:r w:rsidRPr="00C377C8">
        <w:rPr>
          <w:rStyle w:val="selectable"/>
          <w:i/>
          <w:iCs/>
          <w:color w:val="000000" w:themeColor="text1"/>
        </w:rPr>
        <w:t>Motivating Students</w:t>
      </w:r>
      <w:r w:rsidRPr="00C377C8">
        <w:rPr>
          <w:rStyle w:val="selectable"/>
          <w:color w:val="000000" w:themeColor="text1"/>
        </w:rPr>
        <w:t>. Florence: Taylor and Francis.</w:t>
      </w:r>
    </w:p>
    <w:p w14:paraId="31E226E4"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Arp, R., Smith, B. and Spear, A., 2015. </w:t>
      </w:r>
      <w:r w:rsidRPr="00C377C8">
        <w:rPr>
          <w:rStyle w:val="selectable"/>
          <w:i/>
          <w:iCs/>
          <w:color w:val="000000" w:themeColor="text1"/>
        </w:rPr>
        <w:t>Building ontologies with basic formal ontology</w:t>
      </w:r>
      <w:r w:rsidRPr="00C377C8">
        <w:rPr>
          <w:rStyle w:val="selectable"/>
          <w:color w:val="000000" w:themeColor="text1"/>
        </w:rPr>
        <w:t>. Cambridge: MIT Press.</w:t>
      </w:r>
    </w:p>
    <w:p w14:paraId="4BFAC04F"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Arslan, H., 2014. </w:t>
      </w:r>
      <w:r w:rsidRPr="00C377C8">
        <w:rPr>
          <w:rStyle w:val="selectable"/>
          <w:i/>
          <w:iCs/>
          <w:color w:val="000000" w:themeColor="text1"/>
        </w:rPr>
        <w:t>Multidisciplinary Perspectives on Education</w:t>
      </w:r>
      <w:r w:rsidRPr="00C377C8">
        <w:rPr>
          <w:rStyle w:val="selectable"/>
          <w:color w:val="000000" w:themeColor="text1"/>
        </w:rPr>
        <w:t>. New York: Cambridge Scholars Publishing.</w:t>
      </w:r>
    </w:p>
    <w:p w14:paraId="6DB07B7A" w14:textId="77777777" w:rsidR="00FB6B91" w:rsidRPr="00C377C8" w:rsidRDefault="00FB6B91" w:rsidP="00461178">
      <w:pPr>
        <w:spacing w:line="360" w:lineRule="auto"/>
        <w:ind w:left="2268"/>
        <w:rPr>
          <w:color w:val="000000" w:themeColor="text1"/>
        </w:rPr>
      </w:pPr>
      <w:r w:rsidRPr="00C377C8">
        <w:rPr>
          <w:color w:val="000000" w:themeColor="text1"/>
        </w:rPr>
        <w:t>Ashworth, P. &amp; Lucas, U., 2000. Achieving empathy and engagement: a practical approach to the design, conduct and reporting of Phenomenographic research, Studies in Higher Education, 25(3): 295-308.</w:t>
      </w:r>
    </w:p>
    <w:p w14:paraId="267DDCED" w14:textId="77777777" w:rsidR="00FB6B91" w:rsidRPr="00C377C8" w:rsidRDefault="00FB6B91" w:rsidP="00461178">
      <w:pPr>
        <w:spacing w:line="360" w:lineRule="auto"/>
        <w:ind w:left="2268"/>
        <w:rPr>
          <w:color w:val="000000" w:themeColor="text1"/>
        </w:rPr>
      </w:pPr>
      <w:r w:rsidRPr="00C377C8">
        <w:rPr>
          <w:color w:val="000000" w:themeColor="text1"/>
        </w:rPr>
        <w:t xml:space="preserve">Ashworth, P., 2008.  </w:t>
      </w:r>
      <w:r w:rsidRPr="00C377C8">
        <w:rPr>
          <w:i/>
          <w:color w:val="000000" w:themeColor="text1"/>
        </w:rPr>
        <w:t>Qualitative Psychology: A practical Guide to Methods London</w:t>
      </w:r>
      <w:r w:rsidRPr="00C377C8">
        <w:rPr>
          <w:color w:val="000000" w:themeColor="text1"/>
        </w:rPr>
        <w:t>: Sage.</w:t>
      </w:r>
    </w:p>
    <w:p w14:paraId="45912F43" w14:textId="77777777" w:rsidR="00FB6B91" w:rsidRPr="00C377C8" w:rsidRDefault="00FB6B91" w:rsidP="00461178">
      <w:pPr>
        <w:spacing w:line="360" w:lineRule="auto"/>
        <w:ind w:left="2268"/>
        <w:rPr>
          <w:rFonts w:eastAsia="Times New Roman"/>
          <w:color w:val="000000" w:themeColor="text1"/>
        </w:rPr>
      </w:pPr>
      <w:r w:rsidRPr="00C377C8">
        <w:rPr>
          <w:rFonts w:eastAsia="Times New Roman"/>
          <w:color w:val="000000" w:themeColor="text1"/>
          <w:shd w:val="clear" w:color="auto" w:fill="FFFFFF"/>
        </w:rPr>
        <w:t xml:space="preserve">Ateeq, A., 2009. Tafsir ul Quran. Karachi: Memon Publications. </w:t>
      </w:r>
    </w:p>
    <w:p w14:paraId="6DCEFBE6" w14:textId="77777777" w:rsidR="00FB6B91" w:rsidRPr="00C377C8" w:rsidRDefault="00FB6B91" w:rsidP="00461178">
      <w:pPr>
        <w:spacing w:line="360" w:lineRule="auto"/>
        <w:ind w:left="2268"/>
        <w:rPr>
          <w:rFonts w:eastAsia="Times New Roman"/>
          <w:color w:val="000000" w:themeColor="text1"/>
          <w:shd w:val="clear" w:color="auto" w:fill="FFFFFF"/>
        </w:rPr>
      </w:pPr>
      <w:r w:rsidRPr="00C377C8">
        <w:rPr>
          <w:rFonts w:eastAsia="Times New Roman"/>
          <w:color w:val="000000" w:themeColor="text1"/>
          <w:shd w:val="clear" w:color="auto" w:fill="FFFFFF"/>
        </w:rPr>
        <w:t>Attas, S., 1979. </w:t>
      </w:r>
      <w:r w:rsidRPr="00C377C8">
        <w:rPr>
          <w:rFonts w:eastAsia="Times New Roman"/>
          <w:i/>
          <w:iCs/>
          <w:color w:val="000000" w:themeColor="text1"/>
          <w:shd w:val="clear" w:color="auto" w:fill="FFFFFF"/>
        </w:rPr>
        <w:t>Aims and Objectives of Islamic Education</w:t>
      </w:r>
      <w:r w:rsidRPr="00C377C8">
        <w:rPr>
          <w:rFonts w:eastAsia="Times New Roman"/>
          <w:color w:val="000000" w:themeColor="text1"/>
          <w:shd w:val="clear" w:color="auto" w:fill="FFFFFF"/>
        </w:rPr>
        <w:t>. Jeddah.</w:t>
      </w:r>
    </w:p>
    <w:p w14:paraId="38A2893C"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Atweh, B., 2008. </w:t>
      </w:r>
      <w:r w:rsidRPr="00C377C8">
        <w:rPr>
          <w:rStyle w:val="selectable"/>
          <w:i/>
          <w:iCs/>
          <w:color w:val="000000" w:themeColor="text1"/>
        </w:rPr>
        <w:t>Internationalisation and Globalisation In Mathematics And Science Education</w:t>
      </w:r>
      <w:r w:rsidRPr="00C377C8">
        <w:rPr>
          <w:rStyle w:val="selectable"/>
          <w:color w:val="000000" w:themeColor="text1"/>
        </w:rPr>
        <w:t>. Dordrecht: Springer.</w:t>
      </w:r>
    </w:p>
    <w:p w14:paraId="4E77A52D"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Aubrey, C., 1994. </w:t>
      </w:r>
      <w:r w:rsidRPr="00C377C8">
        <w:rPr>
          <w:rStyle w:val="selectable"/>
          <w:i/>
          <w:iCs/>
          <w:color w:val="000000" w:themeColor="text1"/>
        </w:rPr>
        <w:t>The Role of subject knowledge in the early years of schooling</w:t>
      </w:r>
      <w:r w:rsidRPr="00C377C8">
        <w:rPr>
          <w:rStyle w:val="selectable"/>
          <w:color w:val="000000" w:themeColor="text1"/>
        </w:rPr>
        <w:t>. London: The Falmer Press.</w:t>
      </w:r>
    </w:p>
    <w:p w14:paraId="5F089C24"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Aubrey, K. and Riley, A., 2019. </w:t>
      </w:r>
      <w:r w:rsidRPr="00C377C8">
        <w:rPr>
          <w:rStyle w:val="selectable"/>
          <w:i/>
          <w:iCs/>
          <w:color w:val="000000" w:themeColor="text1"/>
        </w:rPr>
        <w:t>Understanding and using educational theories</w:t>
      </w:r>
      <w:r w:rsidRPr="00C377C8">
        <w:rPr>
          <w:rStyle w:val="selectable"/>
          <w:color w:val="000000" w:themeColor="text1"/>
        </w:rPr>
        <w:t>. London: Sage Publications.</w:t>
      </w:r>
    </w:p>
    <w:p w14:paraId="685B0763"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Auer, P. and Wei, L., 2009. </w:t>
      </w:r>
      <w:r w:rsidRPr="00C377C8">
        <w:rPr>
          <w:rStyle w:val="selectable"/>
          <w:i/>
          <w:iCs/>
          <w:color w:val="000000" w:themeColor="text1"/>
        </w:rPr>
        <w:t>Handbook of multilingualism and multilingual communication</w:t>
      </w:r>
      <w:r w:rsidRPr="00C377C8">
        <w:rPr>
          <w:rStyle w:val="selectable"/>
          <w:color w:val="000000" w:themeColor="text1"/>
        </w:rPr>
        <w:t>. New York, N.Y.: Mouton de Gruyter.</w:t>
      </w:r>
    </w:p>
    <w:p w14:paraId="073759E7" w14:textId="77777777" w:rsidR="00FB6B91" w:rsidRPr="00C377C8" w:rsidRDefault="00FB6B91" w:rsidP="00461178">
      <w:pPr>
        <w:spacing w:line="360" w:lineRule="auto"/>
        <w:ind w:left="2268"/>
        <w:rPr>
          <w:color w:val="000000" w:themeColor="text1"/>
        </w:rPr>
      </w:pPr>
      <w:r w:rsidRPr="00C377C8">
        <w:rPr>
          <w:color w:val="000000" w:themeColor="text1"/>
        </w:rPr>
        <w:t>Austin, J. and Soeda, J., 2009. Effective Teaching, Effective Living: A Review of Behavior Analysis for Effective Teaching by Julie S. Vargas. </w:t>
      </w:r>
      <w:r w:rsidRPr="00C377C8">
        <w:rPr>
          <w:i/>
          <w:iCs/>
          <w:color w:val="000000" w:themeColor="text1"/>
        </w:rPr>
        <w:t>Behavior Analysis in Practice</w:t>
      </w:r>
      <w:r w:rsidRPr="00C377C8">
        <w:rPr>
          <w:color w:val="000000" w:themeColor="text1"/>
        </w:rPr>
        <w:t>, 2(2), pp.63-68.</w:t>
      </w:r>
    </w:p>
    <w:p w14:paraId="7180ACD6" w14:textId="77777777" w:rsidR="00FB6B91" w:rsidRPr="00C377C8" w:rsidRDefault="00FB6B91" w:rsidP="00461178">
      <w:pPr>
        <w:spacing w:line="360" w:lineRule="auto"/>
        <w:ind w:left="2268"/>
        <w:rPr>
          <w:color w:val="000000" w:themeColor="text1"/>
        </w:rPr>
      </w:pPr>
      <w:r w:rsidRPr="00C377C8">
        <w:rPr>
          <w:color w:val="000000" w:themeColor="text1"/>
        </w:rPr>
        <w:t xml:space="preserve">Azhar, K., 2011. </w:t>
      </w:r>
      <w:r w:rsidRPr="00C377C8">
        <w:rPr>
          <w:i/>
          <w:color w:val="000000" w:themeColor="text1"/>
        </w:rPr>
        <w:t>Education in Islam</w:t>
      </w:r>
      <w:r w:rsidRPr="00C377C8">
        <w:rPr>
          <w:color w:val="000000" w:themeColor="text1"/>
        </w:rPr>
        <w:t xml:space="preserve">. Karachi: Memon Publications. </w:t>
      </w:r>
    </w:p>
    <w:p w14:paraId="7073773D" w14:textId="77777777" w:rsidR="00FB6B91" w:rsidRPr="00C377C8" w:rsidRDefault="00FB6B91" w:rsidP="00461178">
      <w:pPr>
        <w:spacing w:line="360" w:lineRule="auto"/>
        <w:ind w:left="2268"/>
        <w:rPr>
          <w:color w:val="000000" w:themeColor="text1"/>
        </w:rPr>
      </w:pPr>
      <w:r w:rsidRPr="00C377C8">
        <w:rPr>
          <w:color w:val="000000" w:themeColor="text1"/>
        </w:rPr>
        <w:t>Badiola, L., Delgado, R., Sande, A. and Stefanich, S., 2018. Code-switching attitudes and their effects on acceptability judgment tasks. </w:t>
      </w:r>
      <w:r w:rsidRPr="00C377C8">
        <w:rPr>
          <w:i/>
          <w:iCs/>
          <w:color w:val="000000" w:themeColor="text1"/>
        </w:rPr>
        <w:t>Linguistic Approaches to Bilingualism</w:t>
      </w:r>
      <w:r w:rsidRPr="00C377C8">
        <w:rPr>
          <w:color w:val="000000" w:themeColor="text1"/>
        </w:rPr>
        <w:t>, 8(1), pp.5-24</w:t>
      </w:r>
    </w:p>
    <w:p w14:paraId="18B255C6"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Baines, E., Kutnick, P. and Blatchford, P., 2009. </w:t>
      </w:r>
      <w:r w:rsidRPr="00C377C8">
        <w:rPr>
          <w:rStyle w:val="selectable"/>
          <w:i/>
          <w:iCs/>
          <w:color w:val="000000" w:themeColor="text1"/>
        </w:rPr>
        <w:t>Promoting Effective Group Work In The Classroom</w:t>
      </w:r>
      <w:r w:rsidRPr="00C377C8">
        <w:rPr>
          <w:rStyle w:val="selectable"/>
          <w:color w:val="000000" w:themeColor="text1"/>
        </w:rPr>
        <w:t>. London: Routledge.</w:t>
      </w:r>
    </w:p>
    <w:p w14:paraId="0C915517"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Baines, E., Kutnick, P. and Blatchford, P., 2009. </w:t>
      </w:r>
      <w:r w:rsidRPr="00C377C8">
        <w:rPr>
          <w:rStyle w:val="selectable"/>
          <w:i/>
          <w:iCs/>
          <w:color w:val="000000" w:themeColor="text1"/>
        </w:rPr>
        <w:t>Promoting Effective Group Work In The Classroom</w:t>
      </w:r>
      <w:r w:rsidRPr="00C377C8">
        <w:rPr>
          <w:rStyle w:val="selectable"/>
          <w:color w:val="000000" w:themeColor="text1"/>
        </w:rPr>
        <w:t>. London: Routledge.</w:t>
      </w:r>
    </w:p>
    <w:p w14:paraId="3E7A03C2" w14:textId="77777777" w:rsidR="00FB6B91" w:rsidRPr="00C377C8" w:rsidRDefault="00FB6B91" w:rsidP="00461178">
      <w:pPr>
        <w:spacing w:line="360" w:lineRule="auto"/>
        <w:ind w:left="2268"/>
        <w:rPr>
          <w:color w:val="000000" w:themeColor="text1"/>
        </w:rPr>
      </w:pPr>
      <w:r w:rsidRPr="00C377C8">
        <w:rPr>
          <w:color w:val="000000" w:themeColor="text1"/>
          <w:shd w:val="clear" w:color="auto" w:fill="FFFFFF"/>
        </w:rPr>
        <w:t>Baker, L. (1994), </w:t>
      </w:r>
      <w:r w:rsidRPr="00C377C8">
        <w:rPr>
          <w:i/>
          <w:iCs/>
          <w:color w:val="000000" w:themeColor="text1"/>
          <w:shd w:val="clear" w:color="auto" w:fill="FFFFFF"/>
        </w:rPr>
        <w:t>Doing Social Research</w:t>
      </w:r>
      <w:r w:rsidRPr="00C377C8">
        <w:rPr>
          <w:color w:val="000000" w:themeColor="text1"/>
          <w:shd w:val="clear" w:color="auto" w:fill="FFFFFF"/>
        </w:rPr>
        <w:t> (2nd Edn.), New York: McGraw-Hill Inc.</w:t>
      </w:r>
    </w:p>
    <w:p w14:paraId="69EF105A"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Balog, E., Pelzner, M., Hanson, J. and Kieling, K., 2012. Designing and Delivering an Effective Lesson. </w:t>
      </w:r>
      <w:r w:rsidRPr="00C377C8">
        <w:rPr>
          <w:rStyle w:val="selectable"/>
          <w:i/>
          <w:iCs/>
          <w:color w:val="000000" w:themeColor="text1"/>
        </w:rPr>
        <w:t>MedEdPORTAL</w:t>
      </w:r>
      <w:r w:rsidRPr="00C377C8">
        <w:rPr>
          <w:rStyle w:val="selectable"/>
          <w:color w:val="000000" w:themeColor="text1"/>
        </w:rPr>
        <w:t>, 8(1).</w:t>
      </w:r>
    </w:p>
    <w:p w14:paraId="13533599"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Bamber, V., Trowler, P. and Saunders, M., 2009. </w:t>
      </w:r>
      <w:r w:rsidRPr="00C377C8">
        <w:rPr>
          <w:rStyle w:val="selectable"/>
          <w:i/>
          <w:iCs/>
          <w:color w:val="000000" w:themeColor="text1"/>
        </w:rPr>
        <w:t>Enhancing Learning, Teaching, Assessment And Curriculum In Higher Education</w:t>
      </w:r>
      <w:r w:rsidRPr="00C377C8">
        <w:rPr>
          <w:rStyle w:val="selectable"/>
          <w:color w:val="000000" w:themeColor="text1"/>
        </w:rPr>
        <w:t>. Maidenhead, England: McGraw-Hill.</w:t>
      </w:r>
    </w:p>
    <w:p w14:paraId="7A3BED72"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Barnes, P., 2012. </w:t>
      </w:r>
      <w:r w:rsidRPr="00C377C8">
        <w:rPr>
          <w:rStyle w:val="selectable"/>
          <w:i/>
          <w:iCs/>
          <w:color w:val="000000" w:themeColor="text1"/>
        </w:rPr>
        <w:t>Debates in religious education</w:t>
      </w:r>
      <w:r w:rsidRPr="00C377C8">
        <w:rPr>
          <w:rStyle w:val="selectable"/>
          <w:color w:val="000000" w:themeColor="text1"/>
        </w:rPr>
        <w:t>. Abingdon: Routledge.</w:t>
      </w:r>
    </w:p>
    <w:p w14:paraId="68111776" w14:textId="77777777" w:rsidR="00FB6B91" w:rsidRPr="00C377C8" w:rsidRDefault="00FB6B91" w:rsidP="00461178">
      <w:pPr>
        <w:spacing w:line="360" w:lineRule="auto"/>
        <w:ind w:left="2268"/>
        <w:rPr>
          <w:rFonts w:eastAsia="Times New Roman"/>
          <w:color w:val="000000" w:themeColor="text1"/>
          <w:shd w:val="clear" w:color="auto" w:fill="FFFFFF"/>
        </w:rPr>
      </w:pPr>
      <w:r w:rsidRPr="00C377C8">
        <w:rPr>
          <w:rFonts w:eastAsia="Times New Roman"/>
          <w:color w:val="000000" w:themeColor="text1"/>
          <w:shd w:val="clear" w:color="auto" w:fill="FFFFFF"/>
        </w:rPr>
        <w:t>Barnes, P., 2015. </w:t>
      </w:r>
      <w:r w:rsidRPr="00C377C8">
        <w:rPr>
          <w:rFonts w:eastAsia="Times New Roman"/>
          <w:i/>
          <w:iCs/>
          <w:color w:val="000000" w:themeColor="text1"/>
          <w:shd w:val="clear" w:color="auto" w:fill="FFFFFF"/>
        </w:rPr>
        <w:t>Learning to teach religious education in the secondary school</w:t>
      </w:r>
      <w:r w:rsidRPr="00C377C8">
        <w:rPr>
          <w:rFonts w:eastAsia="Times New Roman"/>
          <w:color w:val="000000" w:themeColor="text1"/>
          <w:shd w:val="clear" w:color="auto" w:fill="FFFFFF"/>
        </w:rPr>
        <w:t xml:space="preserve">. london: Taylors and Francis. </w:t>
      </w:r>
    </w:p>
    <w:p w14:paraId="72BDFD2E" w14:textId="77777777" w:rsidR="00FB6B91" w:rsidRPr="00C377C8" w:rsidRDefault="00FB6B91" w:rsidP="00F1408E">
      <w:pPr>
        <w:ind w:left="2268"/>
        <w:rPr>
          <w:rFonts w:ascii="Calibri" w:eastAsia="Calibri" w:hAnsi="Calibri" w:cs="Times New Roman"/>
          <w:color w:val="000000" w:themeColor="text1"/>
        </w:rPr>
      </w:pPr>
      <w:r w:rsidRPr="00C377C8">
        <w:rPr>
          <w:rFonts w:ascii="Calibri" w:eastAsia="Calibri" w:hAnsi="Calibri" w:cs="Times New Roman"/>
          <w:color w:val="000000" w:themeColor="text1"/>
        </w:rPr>
        <w:t>Barton, John.,1998. Historical-Critical Approaches, in John Barton ed. The Companion to Biblical Interpretation. Cambridge: University Press, pp. 9-20.</w:t>
      </w:r>
    </w:p>
    <w:p w14:paraId="7DA6BC74"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Barwell, R., 2009. </w:t>
      </w:r>
      <w:r w:rsidRPr="00C377C8">
        <w:rPr>
          <w:i/>
          <w:iCs/>
          <w:color w:val="000000" w:themeColor="text1"/>
          <w:shd w:val="clear" w:color="auto" w:fill="FFFFFF"/>
        </w:rPr>
        <w:t>Multilingualism in mathematics classrooms</w:t>
      </w:r>
      <w:r w:rsidRPr="00C377C8">
        <w:rPr>
          <w:color w:val="000000" w:themeColor="text1"/>
          <w:shd w:val="clear" w:color="auto" w:fill="FFFFFF"/>
        </w:rPr>
        <w:t>. Bristol: Multilingual Matters.</w:t>
      </w:r>
    </w:p>
    <w:p w14:paraId="009899F7" w14:textId="77777777" w:rsidR="00FB6B91" w:rsidRPr="00C377C8" w:rsidRDefault="00FB6B91" w:rsidP="00461178">
      <w:pPr>
        <w:spacing w:line="360" w:lineRule="auto"/>
        <w:ind w:left="2268"/>
        <w:rPr>
          <w:color w:val="000000" w:themeColor="text1"/>
        </w:rPr>
      </w:pPr>
      <w:r w:rsidRPr="00C377C8">
        <w:rPr>
          <w:rStyle w:val="Strong"/>
          <w:b w:val="0"/>
          <w:color w:val="000000" w:themeColor="text1"/>
        </w:rPr>
        <w:t> </w:t>
      </w:r>
      <w:r w:rsidRPr="00C377C8">
        <w:rPr>
          <w:rStyle w:val="selectable"/>
          <w:color w:val="000000" w:themeColor="text1"/>
        </w:rPr>
        <w:t>Bassiouney, R. and Katz, E., 2012. </w:t>
      </w:r>
      <w:r w:rsidRPr="00C377C8">
        <w:rPr>
          <w:rStyle w:val="selectable"/>
          <w:i/>
          <w:iCs/>
          <w:color w:val="000000" w:themeColor="text1"/>
        </w:rPr>
        <w:t>Arabic language and linguistics</w:t>
      </w:r>
      <w:r w:rsidRPr="00C377C8">
        <w:rPr>
          <w:rStyle w:val="selectable"/>
          <w:color w:val="000000" w:themeColor="text1"/>
        </w:rPr>
        <w:t>. Washington DC: Georgetown University Press.</w:t>
      </w:r>
    </w:p>
    <w:p w14:paraId="79575AE4"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Batich, C., 2007. Better Use of Existing Knowledge. </w:t>
      </w:r>
      <w:r w:rsidRPr="00C377C8">
        <w:rPr>
          <w:rStyle w:val="selectable"/>
          <w:i/>
          <w:iCs/>
          <w:color w:val="000000" w:themeColor="text1"/>
        </w:rPr>
        <w:t>Science</w:t>
      </w:r>
      <w:r w:rsidRPr="00C377C8">
        <w:rPr>
          <w:rStyle w:val="selectable"/>
          <w:color w:val="000000" w:themeColor="text1"/>
        </w:rPr>
        <w:t>, 316(5831), pp.1564c-1564c.</w:t>
      </w:r>
    </w:p>
    <w:p w14:paraId="2746C595"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Batich, C., 2007. Better Use of Existing Knowledge. </w:t>
      </w:r>
      <w:r w:rsidRPr="00C377C8">
        <w:rPr>
          <w:rStyle w:val="selectable"/>
          <w:i/>
          <w:iCs/>
          <w:color w:val="000000" w:themeColor="text1"/>
        </w:rPr>
        <w:t>Science</w:t>
      </w:r>
      <w:r w:rsidRPr="00C377C8">
        <w:rPr>
          <w:rStyle w:val="selectable"/>
          <w:color w:val="000000" w:themeColor="text1"/>
        </w:rPr>
        <w:t>, 316(5831), pp.1564c-1564c.</w:t>
      </w:r>
    </w:p>
    <w:p w14:paraId="6116A198"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Bauer, K., 2013. </w:t>
      </w:r>
      <w:r w:rsidRPr="00C377C8">
        <w:rPr>
          <w:i/>
          <w:iCs/>
          <w:color w:val="000000" w:themeColor="text1"/>
          <w:shd w:val="clear" w:color="auto" w:fill="FFFFFF"/>
        </w:rPr>
        <w:t>Aims, methods and contexts of Qurʼanic exegesis (15th c.)</w:t>
      </w:r>
      <w:r w:rsidRPr="00C377C8">
        <w:rPr>
          <w:color w:val="000000" w:themeColor="text1"/>
          <w:shd w:val="clear" w:color="auto" w:fill="FFFFFF"/>
        </w:rPr>
        <w:t>. Oxford: Oxford University Press in assoc. with the Institute of Ismaili Studies.</w:t>
      </w:r>
    </w:p>
    <w:p w14:paraId="3C423476"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Bauer, M., 2014. </w:t>
      </w:r>
      <w:r w:rsidRPr="00C377C8">
        <w:rPr>
          <w:rFonts w:eastAsia="Times New Roman"/>
          <w:i/>
          <w:iCs/>
          <w:color w:val="000000" w:themeColor="text1"/>
          <w:lang w:eastAsia="en-GB"/>
        </w:rPr>
        <w:t>Textual Analysis</w:t>
      </w:r>
      <w:r w:rsidRPr="00C377C8">
        <w:rPr>
          <w:rFonts w:eastAsia="Times New Roman"/>
          <w:color w:val="000000" w:themeColor="text1"/>
          <w:lang w:eastAsia="en-GB"/>
        </w:rPr>
        <w:t>. Los Angeles: SAGE.</w:t>
      </w:r>
    </w:p>
    <w:p w14:paraId="52E37074"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Beckford, J. and Gilliat-Ray, S.,2005. </w:t>
      </w:r>
      <w:r w:rsidRPr="00C377C8">
        <w:rPr>
          <w:rFonts w:eastAsia="Times New Roman"/>
          <w:i/>
          <w:iCs/>
          <w:color w:val="000000" w:themeColor="text1"/>
          <w:lang w:eastAsia="en-GB"/>
        </w:rPr>
        <w:t>Religion in prison</w:t>
      </w:r>
      <w:r w:rsidRPr="00C377C8">
        <w:rPr>
          <w:rFonts w:eastAsia="Times New Roman"/>
          <w:color w:val="000000" w:themeColor="text1"/>
          <w:lang w:eastAsia="en-GB"/>
        </w:rPr>
        <w:t>. Cambridge: Cambridge University Press.</w:t>
      </w:r>
    </w:p>
    <w:p w14:paraId="7A5DE6F5" w14:textId="77777777" w:rsidR="00FB6B91" w:rsidRPr="00C377C8" w:rsidRDefault="00FB6B91" w:rsidP="00461178">
      <w:pPr>
        <w:spacing w:line="360" w:lineRule="auto"/>
        <w:ind w:left="2268"/>
        <w:rPr>
          <w:color w:val="000000" w:themeColor="text1"/>
        </w:rPr>
      </w:pPr>
      <w:r w:rsidRPr="00C377C8">
        <w:rPr>
          <w:color w:val="000000" w:themeColor="text1"/>
        </w:rPr>
        <w:t>Beckford, J., 2015. </w:t>
      </w:r>
      <w:r w:rsidRPr="00C377C8">
        <w:rPr>
          <w:i/>
          <w:iCs/>
          <w:color w:val="000000" w:themeColor="text1"/>
        </w:rPr>
        <w:t>Migration and Religion</w:t>
      </w:r>
      <w:r w:rsidRPr="00C377C8">
        <w:rPr>
          <w:color w:val="000000" w:themeColor="text1"/>
        </w:rPr>
        <w:t>. Cheltenham: Edward Elgar Pub. Ltd.</w:t>
      </w:r>
    </w:p>
    <w:p w14:paraId="7F723684"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Bell, L., Schrum, L. and Thompson, A., 2008. </w:t>
      </w:r>
      <w:r w:rsidRPr="00C377C8">
        <w:rPr>
          <w:rStyle w:val="selectable"/>
          <w:i/>
          <w:iCs/>
          <w:color w:val="000000" w:themeColor="text1"/>
        </w:rPr>
        <w:t>Framing research on technology and student learning in the content area</w:t>
      </w:r>
      <w:r w:rsidRPr="00C377C8">
        <w:rPr>
          <w:rStyle w:val="selectable"/>
          <w:color w:val="000000" w:themeColor="text1"/>
        </w:rPr>
        <w:t>. Charlotte, NC: IAP.</w:t>
      </w:r>
    </w:p>
    <w:p w14:paraId="5BA26D59"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Bell, T., 1962. </w:t>
      </w:r>
      <w:r w:rsidRPr="00C377C8">
        <w:rPr>
          <w:rStyle w:val="selectable"/>
          <w:i/>
          <w:iCs/>
          <w:color w:val="000000" w:themeColor="text1"/>
        </w:rPr>
        <w:t>Effective teaching</w:t>
      </w:r>
      <w:r w:rsidRPr="00C377C8">
        <w:rPr>
          <w:rStyle w:val="selectable"/>
          <w:color w:val="000000" w:themeColor="text1"/>
        </w:rPr>
        <w:t>. New York: Exposition Press.</w:t>
      </w:r>
    </w:p>
    <w:p w14:paraId="0149D1DE"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Bendall, P., Bollhoefer, A. and Koilpillai, V., 2015. </w:t>
      </w:r>
      <w:r w:rsidRPr="00C377C8">
        <w:rPr>
          <w:rStyle w:val="selectable"/>
          <w:i/>
          <w:iCs/>
          <w:color w:val="000000" w:themeColor="text1"/>
        </w:rPr>
        <w:t>AVID Critical Thinking And Engagement</w:t>
      </w:r>
      <w:r w:rsidRPr="00C377C8">
        <w:rPr>
          <w:rStyle w:val="selectable"/>
          <w:color w:val="000000" w:themeColor="text1"/>
        </w:rPr>
        <w:t>. San Diego, CA: AVID Press.</w:t>
      </w:r>
    </w:p>
    <w:p w14:paraId="0804DFA8" w14:textId="77777777" w:rsidR="00FB6B91" w:rsidRPr="00C377C8" w:rsidRDefault="00FB6B91" w:rsidP="00461178">
      <w:pPr>
        <w:spacing w:line="360" w:lineRule="auto"/>
        <w:ind w:left="2268"/>
        <w:rPr>
          <w:color w:val="000000" w:themeColor="text1"/>
        </w:rPr>
      </w:pPr>
      <w:r w:rsidRPr="00C377C8">
        <w:rPr>
          <w:rStyle w:val="Strong"/>
          <w:b w:val="0"/>
          <w:color w:val="000000" w:themeColor="text1"/>
        </w:rPr>
        <w:t> </w:t>
      </w:r>
      <w:r w:rsidRPr="00C377C8">
        <w:rPr>
          <w:rStyle w:val="selectable"/>
          <w:color w:val="000000" w:themeColor="text1"/>
        </w:rPr>
        <w:t>Bender, Y., 2014. </w:t>
      </w:r>
      <w:r w:rsidRPr="00C377C8">
        <w:rPr>
          <w:rStyle w:val="selectable"/>
          <w:i/>
          <w:iCs/>
          <w:color w:val="000000" w:themeColor="text1"/>
        </w:rPr>
        <w:t>The Tactful Teacher</w:t>
      </w:r>
      <w:r w:rsidRPr="00C377C8">
        <w:rPr>
          <w:rStyle w:val="selectable"/>
          <w:color w:val="000000" w:themeColor="text1"/>
        </w:rPr>
        <w:t>. White River Junction, VT: Nomad Press.</w:t>
      </w:r>
    </w:p>
    <w:p w14:paraId="3E04F7BD"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Bennett, T., 2012. </w:t>
      </w:r>
      <w:r w:rsidRPr="00C377C8">
        <w:rPr>
          <w:rStyle w:val="selectable"/>
          <w:i/>
          <w:iCs/>
          <w:color w:val="000000" w:themeColor="text1"/>
        </w:rPr>
        <w:t>Teacher</w:t>
      </w:r>
      <w:r w:rsidRPr="00C377C8">
        <w:rPr>
          <w:rStyle w:val="selectable"/>
          <w:color w:val="000000" w:themeColor="text1"/>
        </w:rPr>
        <w:t>. London: Continuum International Pub. Group.</w:t>
      </w:r>
    </w:p>
    <w:p w14:paraId="5FA0EC7B" w14:textId="77777777" w:rsidR="00FB6B91" w:rsidRPr="00C377C8" w:rsidRDefault="00FB6B91" w:rsidP="00461178">
      <w:pPr>
        <w:spacing w:line="360" w:lineRule="auto"/>
        <w:ind w:left="2268"/>
        <w:rPr>
          <w:color w:val="000000" w:themeColor="text1"/>
        </w:rPr>
      </w:pPr>
      <w:r w:rsidRPr="00C377C8">
        <w:rPr>
          <w:color w:val="000000" w:themeColor="text1"/>
        </w:rPr>
        <w:t>Berglund, J., 2010. </w:t>
      </w:r>
      <w:r w:rsidRPr="00C377C8">
        <w:rPr>
          <w:i/>
          <w:iCs/>
          <w:color w:val="000000" w:themeColor="text1"/>
        </w:rPr>
        <w:t>Teaching Islam</w:t>
      </w:r>
      <w:r w:rsidRPr="00C377C8">
        <w:rPr>
          <w:color w:val="000000" w:themeColor="text1"/>
        </w:rPr>
        <w:t>. Münster: Waxmann.</w:t>
      </w:r>
    </w:p>
    <w:p w14:paraId="3B9D1289"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Bernard, H., 2002. </w:t>
      </w:r>
      <w:r w:rsidRPr="00C377C8">
        <w:rPr>
          <w:i/>
          <w:iCs/>
          <w:color w:val="000000" w:themeColor="text1"/>
          <w:shd w:val="clear" w:color="auto" w:fill="FFFFFF"/>
        </w:rPr>
        <w:t>Research methods in anthropology</w:t>
      </w:r>
      <w:r w:rsidRPr="00C377C8">
        <w:rPr>
          <w:color w:val="000000" w:themeColor="text1"/>
          <w:shd w:val="clear" w:color="auto" w:fill="FFFFFF"/>
        </w:rPr>
        <w:t>. Walnut Creek: AltaMira Press.</w:t>
      </w:r>
    </w:p>
    <w:p w14:paraId="13DCE22C"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Best, J. and Kahn, J., 2016. </w:t>
      </w:r>
      <w:r w:rsidRPr="00C377C8">
        <w:rPr>
          <w:rStyle w:val="selectable"/>
          <w:i/>
          <w:iCs/>
          <w:color w:val="000000" w:themeColor="text1"/>
        </w:rPr>
        <w:t>Research in Education</w:t>
      </w:r>
      <w:r w:rsidRPr="00C377C8">
        <w:rPr>
          <w:rStyle w:val="selectable"/>
          <w:color w:val="000000" w:themeColor="text1"/>
        </w:rPr>
        <w:t>. Dehli: Pearson India.</w:t>
      </w:r>
    </w:p>
    <w:p w14:paraId="1BDD61A4"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Best, J. and Kahn, J., 2016. </w:t>
      </w:r>
      <w:r w:rsidRPr="00C377C8">
        <w:rPr>
          <w:rStyle w:val="selectable"/>
          <w:i/>
          <w:iCs/>
          <w:color w:val="000000" w:themeColor="text1"/>
        </w:rPr>
        <w:t>Research in Education</w:t>
      </w:r>
      <w:r w:rsidRPr="00C377C8">
        <w:rPr>
          <w:rStyle w:val="selectable"/>
          <w:color w:val="000000" w:themeColor="text1"/>
        </w:rPr>
        <w:t>. Dehli: Pearson India.</w:t>
      </w:r>
    </w:p>
    <w:p w14:paraId="16F79823" w14:textId="77777777" w:rsidR="00FB6B91" w:rsidRPr="00C377C8" w:rsidRDefault="00FB6B91" w:rsidP="00F1408E">
      <w:pPr>
        <w:ind w:left="2268"/>
        <w:rPr>
          <w:rFonts w:ascii="Calibri" w:eastAsia="Calibri" w:hAnsi="Calibri" w:cs="Times New Roman"/>
          <w:color w:val="000000" w:themeColor="text1"/>
        </w:rPr>
      </w:pPr>
      <w:r w:rsidRPr="00C377C8">
        <w:rPr>
          <w:rFonts w:ascii="Open Sans" w:eastAsia="Calibri" w:hAnsi="Open Sans" w:cs="Open Sans"/>
          <w:color w:val="000000" w:themeColor="text1"/>
          <w:sz w:val="20"/>
          <w:szCs w:val="20"/>
          <w:shd w:val="clear" w:color="auto" w:fill="FFFFFF"/>
        </w:rPr>
        <w:t>Betti, E., 1987. On a General Theory of Interpretation: The Raison d'Etre of Hermeneutics. </w:t>
      </w:r>
      <w:r w:rsidRPr="00C377C8">
        <w:rPr>
          <w:rFonts w:ascii="Open Sans" w:eastAsia="Calibri" w:hAnsi="Open Sans" w:cs="Open Sans"/>
          <w:i/>
          <w:iCs/>
          <w:color w:val="000000" w:themeColor="text1"/>
          <w:sz w:val="20"/>
          <w:szCs w:val="20"/>
          <w:shd w:val="clear" w:color="auto" w:fill="FFFFFF"/>
        </w:rPr>
        <w:t>The American Journal of Jurisprudence</w:t>
      </w:r>
      <w:r w:rsidRPr="00C377C8">
        <w:rPr>
          <w:rFonts w:ascii="Open Sans" w:eastAsia="Calibri" w:hAnsi="Open Sans" w:cs="Open Sans"/>
          <w:color w:val="000000" w:themeColor="text1"/>
          <w:sz w:val="20"/>
          <w:szCs w:val="20"/>
          <w:shd w:val="clear" w:color="auto" w:fill="FFFFFF"/>
        </w:rPr>
        <w:t>, 32(1), pp.245-268.</w:t>
      </w:r>
    </w:p>
    <w:p w14:paraId="33943C19"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Beyer, B., 1995. </w:t>
      </w:r>
      <w:r w:rsidRPr="00C377C8">
        <w:rPr>
          <w:rStyle w:val="selectable"/>
          <w:i/>
          <w:iCs/>
          <w:color w:val="000000" w:themeColor="text1"/>
        </w:rPr>
        <w:t>Critical thinking</w:t>
      </w:r>
      <w:r w:rsidRPr="00C377C8">
        <w:rPr>
          <w:rStyle w:val="selectable"/>
          <w:color w:val="000000" w:themeColor="text1"/>
        </w:rPr>
        <w:t>. Bloomington, Ind.: Phi Delta Kappa Educational Foundation.</w:t>
      </w:r>
    </w:p>
    <w:p w14:paraId="58D26C90"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Bhatnagar, N. and Bhatnagar, M., 2012. </w:t>
      </w:r>
      <w:r w:rsidRPr="00C377C8">
        <w:rPr>
          <w:rStyle w:val="selectable"/>
          <w:i/>
          <w:iCs/>
          <w:color w:val="000000" w:themeColor="text1"/>
        </w:rPr>
        <w:t>Effective communication and soft skills</w:t>
      </w:r>
      <w:r w:rsidRPr="00C377C8">
        <w:rPr>
          <w:rStyle w:val="selectable"/>
          <w:color w:val="000000" w:themeColor="text1"/>
        </w:rPr>
        <w:t>. New Delhi: Dorling Kindersley (India).</w:t>
      </w:r>
    </w:p>
    <w:p w14:paraId="1B9BB638" w14:textId="77777777" w:rsidR="00FB6B91" w:rsidRPr="00C377C8" w:rsidRDefault="00FB6B91" w:rsidP="00461178">
      <w:pPr>
        <w:spacing w:line="360" w:lineRule="auto"/>
        <w:ind w:left="2268"/>
        <w:rPr>
          <w:color w:val="000000" w:themeColor="text1"/>
        </w:rPr>
      </w:pPr>
      <w:r w:rsidRPr="00C377C8">
        <w:rPr>
          <w:color w:val="000000" w:themeColor="text1"/>
        </w:rPr>
        <w:t>Biddington, T., 2021. </w:t>
      </w:r>
      <w:r w:rsidRPr="00C377C8">
        <w:rPr>
          <w:i/>
          <w:iCs/>
          <w:color w:val="000000" w:themeColor="text1"/>
        </w:rPr>
        <w:t>Multifaith Spaces</w:t>
      </w:r>
      <w:r w:rsidRPr="00C377C8">
        <w:rPr>
          <w:color w:val="000000" w:themeColor="text1"/>
        </w:rPr>
        <w:t>. London, UNITED KINGDOM: Jessica Kingsley Publishers.</w:t>
      </w:r>
    </w:p>
    <w:p w14:paraId="3FAA3705"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Billups, F., 2019. </w:t>
      </w:r>
      <w:r w:rsidRPr="00C377C8">
        <w:rPr>
          <w:rStyle w:val="selectable"/>
          <w:i/>
          <w:iCs/>
          <w:color w:val="000000" w:themeColor="text1"/>
        </w:rPr>
        <w:t>Qualitative Data Collection Tools</w:t>
      </w:r>
      <w:r w:rsidRPr="00C377C8">
        <w:rPr>
          <w:rStyle w:val="selectable"/>
          <w:color w:val="000000" w:themeColor="text1"/>
        </w:rPr>
        <w:t>. london: Sage Publications.</w:t>
      </w:r>
    </w:p>
    <w:p w14:paraId="000D88E5" w14:textId="77777777" w:rsidR="00FB6B91" w:rsidRPr="00C377C8" w:rsidRDefault="00FB6B91" w:rsidP="00461178">
      <w:pPr>
        <w:spacing w:line="360" w:lineRule="auto"/>
        <w:ind w:left="2268"/>
        <w:rPr>
          <w:color w:val="000000" w:themeColor="text1"/>
        </w:rPr>
      </w:pPr>
      <w:r w:rsidRPr="00C377C8">
        <w:rPr>
          <w:color w:val="000000" w:themeColor="text1"/>
        </w:rPr>
        <w:t>Birch, D., 1989. </w:t>
      </w:r>
      <w:r w:rsidRPr="00C377C8">
        <w:rPr>
          <w:i/>
          <w:iCs/>
          <w:color w:val="000000" w:themeColor="text1"/>
        </w:rPr>
        <w:t>Language, Literature And Critical Practice</w:t>
      </w:r>
      <w:r w:rsidRPr="00C377C8">
        <w:rPr>
          <w:color w:val="000000" w:themeColor="text1"/>
        </w:rPr>
        <w:t>. London and New York: Routledge.</w:t>
      </w:r>
    </w:p>
    <w:p w14:paraId="22497702" w14:textId="77777777" w:rsidR="00FB6B91" w:rsidRPr="00C377C8" w:rsidRDefault="00FB6B91" w:rsidP="00461178">
      <w:pPr>
        <w:spacing w:line="360" w:lineRule="auto"/>
        <w:ind w:left="2268"/>
        <w:rPr>
          <w:color w:val="000000" w:themeColor="text1"/>
        </w:rPr>
      </w:pPr>
      <w:r w:rsidRPr="00C377C8">
        <w:rPr>
          <w:color w:val="000000" w:themeColor="text1"/>
        </w:rPr>
        <w:t>Birt, Jonathan. 2005. Locating the British Imam: The Deobandi Ulama between contested authority and public policy post-9/11. In European Muslims and the Secular State. Abingdon-on-Thames: Routledge, pp. 183–96</w:t>
      </w:r>
    </w:p>
    <w:p w14:paraId="77675BF2"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Bishop, P. and Hines, A., 2012. </w:t>
      </w:r>
      <w:r w:rsidRPr="00C377C8">
        <w:rPr>
          <w:rStyle w:val="selectable"/>
          <w:i/>
          <w:iCs/>
          <w:color w:val="000000" w:themeColor="text1"/>
        </w:rPr>
        <w:t>Teaching About the Future</w:t>
      </w:r>
      <w:r w:rsidRPr="00C377C8">
        <w:rPr>
          <w:rStyle w:val="selectable"/>
          <w:color w:val="000000" w:themeColor="text1"/>
        </w:rPr>
        <w:t>. Basingstoke, Hampshire: Palgrave Macmillan.</w:t>
      </w:r>
    </w:p>
    <w:p w14:paraId="533F40AF"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Blackburn, B., 2014. </w:t>
      </w:r>
      <w:r w:rsidRPr="00C377C8">
        <w:rPr>
          <w:rStyle w:val="selectable"/>
          <w:i/>
          <w:iCs/>
          <w:color w:val="000000" w:themeColor="text1"/>
        </w:rPr>
        <w:t>Classroom Motivation From A To Z</w:t>
      </w:r>
      <w:r w:rsidRPr="00C377C8">
        <w:rPr>
          <w:rStyle w:val="selectable"/>
          <w:color w:val="000000" w:themeColor="text1"/>
        </w:rPr>
        <w:t>. Hoboken: Taylor and Francis.</w:t>
      </w:r>
    </w:p>
    <w:p w14:paraId="3CA15776"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Blaikie, N. 2000. Designing Social Research. Cambridge: Polity.</w:t>
      </w:r>
    </w:p>
    <w:p w14:paraId="14A51433"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Blaikie, N., 2017. </w:t>
      </w:r>
      <w:r w:rsidRPr="00C377C8">
        <w:rPr>
          <w:i/>
          <w:iCs/>
          <w:color w:val="000000" w:themeColor="text1"/>
          <w:shd w:val="clear" w:color="auto" w:fill="FFFFFF"/>
        </w:rPr>
        <w:t>Approaches to social enquiry</w:t>
      </w:r>
      <w:r w:rsidRPr="00C377C8">
        <w:rPr>
          <w:color w:val="000000" w:themeColor="text1"/>
          <w:shd w:val="clear" w:color="auto" w:fill="FFFFFF"/>
        </w:rPr>
        <w:t>. Cambridge [etc.]: Polity.</w:t>
      </w:r>
    </w:p>
    <w:p w14:paraId="1C04A333"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Blake, R., Guillén, G. and Thorne, S., 2013. </w:t>
      </w:r>
      <w:r w:rsidRPr="00C377C8">
        <w:rPr>
          <w:rStyle w:val="selectable"/>
          <w:i/>
          <w:iCs/>
          <w:color w:val="000000" w:themeColor="text1"/>
        </w:rPr>
        <w:t>Brave new digital classroom</w:t>
      </w:r>
      <w:r w:rsidRPr="00C377C8">
        <w:rPr>
          <w:rStyle w:val="selectable"/>
          <w:color w:val="000000" w:themeColor="text1"/>
        </w:rPr>
        <w:t>. Georgetown: Georgetown University Press.</w:t>
      </w:r>
    </w:p>
    <w:p w14:paraId="78F5979E"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Bleakley, A. and Carrigan, J. ,1994. </w:t>
      </w:r>
      <w:r w:rsidRPr="00C377C8">
        <w:rPr>
          <w:rStyle w:val="selectable"/>
          <w:i/>
          <w:iCs/>
          <w:color w:val="000000" w:themeColor="text1"/>
        </w:rPr>
        <w:t>Resource-based learning activities</w:t>
      </w:r>
      <w:r w:rsidRPr="00C377C8">
        <w:rPr>
          <w:rStyle w:val="selectable"/>
          <w:color w:val="000000" w:themeColor="text1"/>
        </w:rPr>
        <w:t>. Chicago, Ill.: American Library Association.</w:t>
      </w:r>
    </w:p>
    <w:p w14:paraId="00C67C2B"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Bluestein, J., 2011. </w:t>
      </w:r>
      <w:r w:rsidRPr="00C377C8">
        <w:rPr>
          <w:rStyle w:val="selectable"/>
          <w:i/>
          <w:iCs/>
          <w:color w:val="000000" w:themeColor="text1"/>
        </w:rPr>
        <w:t>Classroom management</w:t>
      </w:r>
      <w:r w:rsidRPr="00C377C8">
        <w:rPr>
          <w:rStyle w:val="selectable"/>
          <w:color w:val="000000" w:themeColor="text1"/>
        </w:rPr>
        <w:t>. Thousand Oaks, Calif.: Corwin Press</w:t>
      </w:r>
    </w:p>
    <w:p w14:paraId="59962329" w14:textId="77777777" w:rsidR="00FB6B91" w:rsidRPr="00C377C8" w:rsidRDefault="00FB6B91" w:rsidP="00461178">
      <w:pPr>
        <w:spacing w:line="360" w:lineRule="auto"/>
        <w:ind w:left="2268"/>
        <w:rPr>
          <w:color w:val="000000" w:themeColor="text1"/>
        </w:rPr>
      </w:pPr>
      <w:r w:rsidRPr="00C377C8">
        <w:rPr>
          <w:color w:val="000000" w:themeColor="text1"/>
        </w:rPr>
        <w:t>Bogdan, R. C. and  Biklen, S. K., 1998. Qualitative research for education: An introduction to theory and methods (3rd ed.). Boston: Allyn and Bacon.</w:t>
      </w:r>
    </w:p>
    <w:p w14:paraId="6FCFB5CF"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Bonnet, A. and Siemund, P., 2016. </w:t>
      </w:r>
      <w:r w:rsidRPr="00C377C8">
        <w:rPr>
          <w:rStyle w:val="selectable"/>
          <w:i/>
          <w:iCs/>
          <w:color w:val="000000" w:themeColor="text1"/>
        </w:rPr>
        <w:t>Foreign language education in multilingual classrooms</w:t>
      </w:r>
      <w:r w:rsidRPr="00C377C8">
        <w:rPr>
          <w:rStyle w:val="selectable"/>
          <w:color w:val="000000" w:themeColor="text1"/>
        </w:rPr>
        <w:t>. London: Sage publications.</w:t>
      </w:r>
    </w:p>
    <w:p w14:paraId="0E7EAA4F"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Booth, S., 1997. On Phenomenography, Learning and Teaching. </w:t>
      </w:r>
      <w:r w:rsidRPr="00C377C8">
        <w:rPr>
          <w:i/>
          <w:iCs/>
          <w:color w:val="000000" w:themeColor="text1"/>
          <w:shd w:val="clear" w:color="auto" w:fill="FFFFFF"/>
        </w:rPr>
        <w:t>Higher Education Research and  Development</w:t>
      </w:r>
      <w:r w:rsidRPr="00C377C8">
        <w:rPr>
          <w:color w:val="000000" w:themeColor="text1"/>
          <w:shd w:val="clear" w:color="auto" w:fill="FFFFFF"/>
        </w:rPr>
        <w:t>, 16(2), pp.135-158.</w:t>
      </w:r>
    </w:p>
    <w:p w14:paraId="2C583F97" w14:textId="77777777" w:rsidR="00FB6B91" w:rsidRPr="00C377C8" w:rsidRDefault="00FB6B91" w:rsidP="00461178">
      <w:pPr>
        <w:spacing w:line="360" w:lineRule="auto"/>
        <w:ind w:left="2268"/>
        <w:rPr>
          <w:color w:val="000000" w:themeColor="text1"/>
        </w:rPr>
      </w:pPr>
      <w:r w:rsidRPr="00C377C8">
        <w:rPr>
          <w:color w:val="000000" w:themeColor="text1"/>
        </w:rPr>
        <w:t>Borich, G., 2007. </w:t>
      </w:r>
      <w:r w:rsidRPr="00C377C8">
        <w:rPr>
          <w:i/>
          <w:iCs/>
          <w:color w:val="000000" w:themeColor="text1"/>
        </w:rPr>
        <w:t>Effective Teaching Methods</w:t>
      </w:r>
      <w:r w:rsidRPr="00C377C8">
        <w:rPr>
          <w:color w:val="000000" w:themeColor="text1"/>
        </w:rPr>
        <w:t>. Upper Saddle River, N.J.: Pearson Merrill Prentice Hall</w:t>
      </w:r>
    </w:p>
    <w:p w14:paraId="508C41BF"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Borthwick, A. and Pierson, M., 2008. </w:t>
      </w:r>
      <w:r w:rsidRPr="00C377C8">
        <w:rPr>
          <w:rStyle w:val="selectable"/>
          <w:i/>
          <w:iCs/>
          <w:color w:val="000000" w:themeColor="text1"/>
        </w:rPr>
        <w:t>Transforming classroom practice</w:t>
      </w:r>
      <w:r w:rsidRPr="00C377C8">
        <w:rPr>
          <w:rStyle w:val="selectable"/>
          <w:color w:val="000000" w:themeColor="text1"/>
        </w:rPr>
        <w:t>. Eugene, Or.: International Society for Technology in Education.</w:t>
      </w:r>
    </w:p>
    <w:p w14:paraId="2FC31793"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Bourdieu, P., 1977. </w:t>
      </w:r>
      <w:r w:rsidRPr="00C377C8">
        <w:rPr>
          <w:rStyle w:val="selectable"/>
          <w:i/>
          <w:iCs/>
          <w:color w:val="000000" w:themeColor="text1"/>
        </w:rPr>
        <w:t>Outline of a theory of practice</w:t>
      </w:r>
      <w:r w:rsidRPr="00C377C8">
        <w:rPr>
          <w:rStyle w:val="selectable"/>
          <w:color w:val="000000" w:themeColor="text1"/>
        </w:rPr>
        <w:t>. New York: Cambridge University Press.</w:t>
      </w:r>
    </w:p>
    <w:p w14:paraId="6A6C3E69"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Bowden, J., 2005. Reflections on the phenomenographic research process. In </w:t>
      </w:r>
      <w:r w:rsidRPr="00C377C8">
        <w:rPr>
          <w:i/>
          <w:iCs/>
          <w:color w:val="000000" w:themeColor="text1"/>
          <w:shd w:val="clear" w:color="auto" w:fill="FFFFFF"/>
        </w:rPr>
        <w:t>Doing Developmental Phenomenography</w:t>
      </w:r>
      <w:r w:rsidRPr="00C377C8">
        <w:rPr>
          <w:color w:val="000000" w:themeColor="text1"/>
          <w:shd w:val="clear" w:color="auto" w:fill="FFFFFF"/>
        </w:rPr>
        <w:t>, J. Bowden &amp; P. Green (Eds). Qualitative Research Methods Series. Melbourne, Victoria: RMIT University Press.</w:t>
      </w:r>
    </w:p>
    <w:p w14:paraId="55A34472"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 xml:space="preserve">Brahimi, T., 2018. Context Of Situation And The Specificity Of The Quranic At-ASR publications. </w:t>
      </w:r>
    </w:p>
    <w:p w14:paraId="73859E61" w14:textId="77777777" w:rsidR="00FB6B91" w:rsidRPr="00C377C8" w:rsidRDefault="00FB6B91" w:rsidP="00F1408E">
      <w:pPr>
        <w:ind w:left="2268"/>
        <w:rPr>
          <w:rFonts w:ascii="Calibri" w:eastAsia="Calibri" w:hAnsi="Calibri" w:cs="Times New Roman"/>
          <w:color w:val="000000" w:themeColor="text1"/>
        </w:rPr>
      </w:pPr>
      <w:r w:rsidRPr="00C377C8">
        <w:rPr>
          <w:rFonts w:ascii="Open Sans" w:eastAsia="Calibri" w:hAnsi="Open Sans" w:cs="Open Sans"/>
          <w:color w:val="000000" w:themeColor="text1"/>
          <w:sz w:val="20"/>
          <w:szCs w:val="20"/>
          <w:shd w:val="clear" w:color="auto" w:fill="FFFFFF"/>
        </w:rPr>
        <w:t>Brannick, T. and Coghlan, D., 2007. In Defense of Being “Native”: The Case for Insider Academic Research. </w:t>
      </w:r>
      <w:r w:rsidRPr="00C377C8">
        <w:rPr>
          <w:rFonts w:ascii="Open Sans" w:eastAsia="Calibri" w:hAnsi="Open Sans" w:cs="Open Sans"/>
          <w:i/>
          <w:iCs/>
          <w:color w:val="000000" w:themeColor="text1"/>
          <w:sz w:val="20"/>
          <w:szCs w:val="20"/>
          <w:shd w:val="clear" w:color="auto" w:fill="FFFFFF"/>
        </w:rPr>
        <w:t>Organizational Research Methods</w:t>
      </w:r>
      <w:r w:rsidRPr="00C377C8">
        <w:rPr>
          <w:rFonts w:ascii="Open Sans" w:eastAsia="Calibri" w:hAnsi="Open Sans" w:cs="Open Sans"/>
          <w:color w:val="000000" w:themeColor="text1"/>
          <w:sz w:val="20"/>
          <w:szCs w:val="20"/>
          <w:shd w:val="clear" w:color="auto" w:fill="FFFFFF"/>
        </w:rPr>
        <w:t>, 10(1), pp.59-74.</w:t>
      </w:r>
    </w:p>
    <w:p w14:paraId="6819EEB0"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Braunmüller, K. and Gabriel, C., 2012. </w:t>
      </w:r>
      <w:r w:rsidRPr="00C377C8">
        <w:rPr>
          <w:rStyle w:val="selectable"/>
          <w:i/>
          <w:iCs/>
          <w:color w:val="000000" w:themeColor="text1"/>
        </w:rPr>
        <w:t>Multilingual Individuals and Multilingual Societies</w:t>
      </w:r>
      <w:r w:rsidRPr="00C377C8">
        <w:rPr>
          <w:rStyle w:val="selectable"/>
          <w:color w:val="000000" w:themeColor="text1"/>
        </w:rPr>
        <w:t>. London: John Benjamins Publishing Company.</w:t>
      </w:r>
    </w:p>
    <w:p w14:paraId="45E6D517"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Breda, O., 2019. </w:t>
      </w:r>
      <w:r w:rsidRPr="00C377C8">
        <w:rPr>
          <w:rStyle w:val="selectable"/>
          <w:i/>
          <w:iCs/>
          <w:color w:val="000000" w:themeColor="text1"/>
        </w:rPr>
        <w:t>An exploration of student perspectives of quality teaching at multi-level education environments</w:t>
      </w:r>
      <w:r w:rsidRPr="00C377C8">
        <w:rPr>
          <w:rStyle w:val="selectable"/>
          <w:color w:val="000000" w:themeColor="text1"/>
        </w:rPr>
        <w:t>. [online] Available at: https://ueaeprints.uea.ac.uk/53386/1/Thesis_Breda_O_Brien.pdf [Accessed 16 Sep. 2019].</w:t>
      </w:r>
    </w:p>
    <w:p w14:paraId="4389B690" w14:textId="77777777" w:rsidR="00FB6B91" w:rsidRPr="00C377C8" w:rsidRDefault="00FB6B91" w:rsidP="00461178">
      <w:pPr>
        <w:spacing w:line="360" w:lineRule="auto"/>
        <w:ind w:left="2268"/>
        <w:rPr>
          <w:color w:val="000000" w:themeColor="text1"/>
        </w:rPr>
      </w:pPr>
      <w:r w:rsidRPr="00C377C8">
        <w:rPr>
          <w:color w:val="000000" w:themeColor="text1"/>
        </w:rPr>
        <w:t>Bretano, F., 1973. Psychology from an Empirical standpoint, London, Routledge</w:t>
      </w:r>
    </w:p>
    <w:p w14:paraId="152D78AC"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Bridges, D. and Smith, R., 2007. </w:t>
      </w:r>
      <w:r w:rsidRPr="00C377C8">
        <w:rPr>
          <w:rStyle w:val="selectable"/>
          <w:i/>
          <w:iCs/>
          <w:color w:val="000000" w:themeColor="text1"/>
        </w:rPr>
        <w:t>Philosophy, methodology and educational research</w:t>
      </w:r>
      <w:r w:rsidRPr="00C377C8">
        <w:rPr>
          <w:rStyle w:val="selectable"/>
          <w:color w:val="000000" w:themeColor="text1"/>
        </w:rPr>
        <w:t>. Malden (Mass.): Blackwell.</w:t>
      </w:r>
    </w:p>
    <w:p w14:paraId="0C7B2778"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Brink, H., 1993. Validity and reliability in qualitative research. </w:t>
      </w:r>
      <w:r w:rsidRPr="00C377C8">
        <w:rPr>
          <w:rFonts w:eastAsia="Times New Roman"/>
          <w:i/>
          <w:iCs/>
          <w:color w:val="000000" w:themeColor="text1"/>
          <w:lang w:eastAsia="en-GB"/>
        </w:rPr>
        <w:t>Curationis</w:t>
      </w:r>
      <w:r w:rsidRPr="00C377C8">
        <w:rPr>
          <w:rFonts w:eastAsia="Times New Roman"/>
          <w:color w:val="000000" w:themeColor="text1"/>
          <w:lang w:eastAsia="en-GB"/>
        </w:rPr>
        <w:t>, 16(2).</w:t>
      </w:r>
    </w:p>
    <w:p w14:paraId="6BA5D6EC"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Brinkmann, S., 2019. </w:t>
      </w:r>
      <w:r w:rsidRPr="00C377C8">
        <w:rPr>
          <w:rStyle w:val="selectable"/>
          <w:i/>
          <w:iCs/>
          <w:color w:val="000000" w:themeColor="text1"/>
        </w:rPr>
        <w:t>Philosophies of qualitative research</w:t>
      </w:r>
      <w:r w:rsidRPr="00C377C8">
        <w:rPr>
          <w:rStyle w:val="selectable"/>
          <w:color w:val="000000" w:themeColor="text1"/>
        </w:rPr>
        <w:t>. Oxford University Press: New York.</w:t>
      </w:r>
    </w:p>
    <w:p w14:paraId="5432FBA4"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Brooke, H., 1919. </w:t>
      </w:r>
      <w:r w:rsidRPr="00C377C8">
        <w:rPr>
          <w:rStyle w:val="selectable"/>
          <w:i/>
          <w:iCs/>
          <w:color w:val="000000" w:themeColor="text1"/>
        </w:rPr>
        <w:t>Bible Studies</w:t>
      </w:r>
      <w:r w:rsidRPr="00C377C8">
        <w:rPr>
          <w:rStyle w:val="selectable"/>
          <w:color w:val="000000" w:themeColor="text1"/>
        </w:rPr>
        <w:t>. Oxford: Oxford University Press.</w:t>
      </w:r>
    </w:p>
    <w:p w14:paraId="42ECAF99"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Brookfield, S., 2012. </w:t>
      </w:r>
      <w:r w:rsidRPr="00C377C8">
        <w:rPr>
          <w:rStyle w:val="selectable"/>
          <w:i/>
          <w:iCs/>
          <w:color w:val="000000" w:themeColor="text1"/>
        </w:rPr>
        <w:t>Teaching for critical thinking</w:t>
      </w:r>
      <w:r w:rsidRPr="00C377C8">
        <w:rPr>
          <w:rStyle w:val="selectable"/>
          <w:color w:val="000000" w:themeColor="text1"/>
        </w:rPr>
        <w:t>. San Francisco, Calif.: John Wiley.</w:t>
      </w:r>
    </w:p>
    <w:p w14:paraId="0D196570"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Brookhart, S., 2008. </w:t>
      </w:r>
      <w:r w:rsidRPr="00C377C8">
        <w:rPr>
          <w:rStyle w:val="selectable"/>
          <w:i/>
          <w:iCs/>
          <w:color w:val="000000" w:themeColor="text1"/>
        </w:rPr>
        <w:t>How to Give Effective Feedback To Your Students</w:t>
      </w:r>
      <w:r w:rsidRPr="00C377C8">
        <w:rPr>
          <w:rStyle w:val="selectable"/>
          <w:color w:val="000000" w:themeColor="text1"/>
        </w:rPr>
        <w:t>. Alexandria, Va.: Association for Supervision and Curriculum Development.</w:t>
      </w:r>
    </w:p>
    <w:p w14:paraId="22553FE6"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Brophy, J., 2010. </w:t>
      </w:r>
      <w:r w:rsidRPr="00C377C8">
        <w:rPr>
          <w:rStyle w:val="selectable"/>
          <w:i/>
          <w:iCs/>
          <w:color w:val="000000" w:themeColor="text1"/>
        </w:rPr>
        <w:t>Motivating Students To Learn</w:t>
      </w:r>
      <w:r w:rsidRPr="00C377C8">
        <w:rPr>
          <w:rStyle w:val="selectable"/>
          <w:color w:val="000000" w:themeColor="text1"/>
        </w:rPr>
        <w:t>. New York: Routledge.</w:t>
      </w:r>
    </w:p>
    <w:p w14:paraId="3B811599"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Brown, L., 2009. </w:t>
      </w:r>
      <w:r w:rsidRPr="00C377C8">
        <w:rPr>
          <w:rStyle w:val="selectable"/>
          <w:i/>
          <w:iCs/>
          <w:color w:val="000000" w:themeColor="text1"/>
        </w:rPr>
        <w:t>Critical thinking</w:t>
      </w:r>
      <w:r w:rsidRPr="00C377C8">
        <w:rPr>
          <w:rStyle w:val="selectable"/>
          <w:color w:val="000000" w:themeColor="text1"/>
        </w:rPr>
        <w:t>. Calgary: Weigl.</w:t>
      </w:r>
    </w:p>
    <w:p w14:paraId="62266D84"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Brown, N. and Szeman, I., 2000. </w:t>
      </w:r>
      <w:r w:rsidRPr="00C377C8">
        <w:rPr>
          <w:rStyle w:val="selectable"/>
          <w:i/>
          <w:iCs/>
          <w:color w:val="000000" w:themeColor="text1"/>
        </w:rPr>
        <w:t>Pierre Bourdieu</w:t>
      </w:r>
      <w:r w:rsidRPr="00C377C8">
        <w:rPr>
          <w:rStyle w:val="selectable"/>
          <w:color w:val="000000" w:themeColor="text1"/>
        </w:rPr>
        <w:t>. Lanham, MD.: Rowman &amp; Littlefield Publishers.</w:t>
      </w:r>
    </w:p>
    <w:p w14:paraId="7744401C" w14:textId="77777777" w:rsidR="00FB6B91" w:rsidRPr="00C377C8" w:rsidRDefault="00FB6B91" w:rsidP="00461178">
      <w:pPr>
        <w:spacing w:line="360" w:lineRule="auto"/>
        <w:ind w:left="2268"/>
        <w:rPr>
          <w:color w:val="000000" w:themeColor="text1"/>
        </w:rPr>
      </w:pPr>
      <w:r w:rsidRPr="00C377C8">
        <w:rPr>
          <w:rStyle w:val="Strong"/>
          <w:b w:val="0"/>
          <w:color w:val="000000" w:themeColor="text1"/>
        </w:rPr>
        <w:t> </w:t>
      </w:r>
      <w:r w:rsidRPr="00C377C8">
        <w:rPr>
          <w:rStyle w:val="selectable"/>
          <w:color w:val="000000" w:themeColor="text1"/>
        </w:rPr>
        <w:t>Bryman, A. and Bell, E., 2009. </w:t>
      </w:r>
      <w:r w:rsidRPr="00C377C8">
        <w:rPr>
          <w:rStyle w:val="selectable"/>
          <w:i/>
          <w:iCs/>
          <w:color w:val="000000" w:themeColor="text1"/>
        </w:rPr>
        <w:t>Social research methods</w:t>
      </w:r>
      <w:r w:rsidRPr="00C377C8">
        <w:rPr>
          <w:rStyle w:val="selectable"/>
          <w:color w:val="000000" w:themeColor="text1"/>
        </w:rPr>
        <w:t>. oxford University Press.</w:t>
      </w:r>
    </w:p>
    <w:p w14:paraId="105C663D"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Buang., S. and Chew, P., 2014. </w:t>
      </w:r>
      <w:r w:rsidRPr="00C377C8">
        <w:rPr>
          <w:rStyle w:val="selectable"/>
          <w:i/>
          <w:iCs/>
          <w:color w:val="000000" w:themeColor="text1"/>
        </w:rPr>
        <w:t>Muslim education in the 21st century</w:t>
      </w:r>
      <w:r w:rsidRPr="00C377C8">
        <w:rPr>
          <w:rStyle w:val="selectable"/>
          <w:color w:val="000000" w:themeColor="text1"/>
        </w:rPr>
        <w:t>. 1st ed. London: Taylor &amp; Francis Ltd.</w:t>
      </w:r>
    </w:p>
    <w:p w14:paraId="43CAF393"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Bubb, S. and Earley, P., 2004. </w:t>
      </w:r>
      <w:r w:rsidRPr="00C377C8">
        <w:rPr>
          <w:rStyle w:val="selectable"/>
          <w:i/>
          <w:iCs/>
          <w:color w:val="000000" w:themeColor="text1"/>
        </w:rPr>
        <w:t>Managing Teacher Workload</w:t>
      </w:r>
      <w:r w:rsidRPr="00C377C8">
        <w:rPr>
          <w:rStyle w:val="selectable"/>
          <w:color w:val="000000" w:themeColor="text1"/>
        </w:rPr>
        <w:t>. London: Paul Chapman Pub.</w:t>
      </w:r>
    </w:p>
    <w:p w14:paraId="5BEF17D5"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Buchert, M., 2021. Reflexive, Reflexivity, and the Concept of Reflexive Design. </w:t>
      </w:r>
      <w:r w:rsidRPr="00C377C8">
        <w:rPr>
          <w:rStyle w:val="selectable"/>
          <w:i/>
          <w:iCs/>
          <w:color w:val="000000" w:themeColor="text1"/>
        </w:rPr>
        <w:t>Dimensions</w:t>
      </w:r>
      <w:r w:rsidRPr="00C377C8">
        <w:rPr>
          <w:rStyle w:val="selectable"/>
          <w:color w:val="000000" w:themeColor="text1"/>
        </w:rPr>
        <w:t>, 1(1), pp.67-76.</w:t>
      </w:r>
    </w:p>
    <w:p w14:paraId="7E722084"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Bühler, K., Goodwin, D. and Eschbach, A., 2011. </w:t>
      </w:r>
      <w:r w:rsidRPr="00C377C8">
        <w:rPr>
          <w:rStyle w:val="selectable"/>
          <w:i/>
          <w:iCs/>
          <w:color w:val="000000" w:themeColor="text1"/>
        </w:rPr>
        <w:t>Theory of language</w:t>
      </w:r>
      <w:r w:rsidRPr="00C377C8">
        <w:rPr>
          <w:rStyle w:val="selectable"/>
          <w:color w:val="000000" w:themeColor="text1"/>
        </w:rPr>
        <w:t>. Amsterdam: John Benjamins Pub. Co.</w:t>
      </w:r>
    </w:p>
    <w:p w14:paraId="7B56557F"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Bukhārī, M., 2007. </w:t>
      </w:r>
      <w:r w:rsidRPr="00C377C8">
        <w:rPr>
          <w:rFonts w:eastAsia="Times New Roman"/>
          <w:i/>
          <w:iCs/>
          <w:color w:val="000000" w:themeColor="text1"/>
          <w:lang w:eastAsia="en-GB"/>
        </w:rPr>
        <w:t>Ṣaḥīḥ al-Bukhārī</w:t>
      </w:r>
      <w:r w:rsidRPr="00C377C8">
        <w:rPr>
          <w:rFonts w:eastAsia="Times New Roman"/>
          <w:color w:val="000000" w:themeColor="text1"/>
          <w:lang w:eastAsia="en-GB"/>
        </w:rPr>
        <w:t>. Al Nabawiʹya [Saudi Arabia]: Dar Ahya Us-Sunnah.</w:t>
      </w:r>
    </w:p>
    <w:p w14:paraId="3A1AD88E"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Burns, T. and Sinfield, S., 2004 . </w:t>
      </w:r>
      <w:r w:rsidRPr="00C377C8">
        <w:rPr>
          <w:rStyle w:val="selectable"/>
          <w:i/>
          <w:iCs/>
          <w:color w:val="000000" w:themeColor="text1"/>
        </w:rPr>
        <w:t>Teaching, learning and study skills</w:t>
      </w:r>
      <w:r w:rsidRPr="00C377C8">
        <w:rPr>
          <w:rStyle w:val="selectable"/>
          <w:color w:val="000000" w:themeColor="text1"/>
        </w:rPr>
        <w:t>. London: SAGE Publications.</w:t>
      </w:r>
    </w:p>
    <w:p w14:paraId="32F29D53"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Burr, V., 2015. </w:t>
      </w:r>
      <w:r w:rsidRPr="00C377C8">
        <w:rPr>
          <w:i/>
          <w:iCs/>
          <w:color w:val="000000" w:themeColor="text1"/>
          <w:shd w:val="clear" w:color="auto" w:fill="FFFFFF"/>
        </w:rPr>
        <w:t>Social constructionism</w:t>
      </w:r>
      <w:r w:rsidRPr="00C377C8">
        <w:rPr>
          <w:color w:val="000000" w:themeColor="text1"/>
          <w:shd w:val="clear" w:color="auto" w:fill="FFFFFF"/>
        </w:rPr>
        <w:t>. London: Routledge.</w:t>
      </w:r>
    </w:p>
    <w:p w14:paraId="208A358C"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Butt, G., 2008. </w:t>
      </w:r>
      <w:r w:rsidRPr="00C377C8">
        <w:rPr>
          <w:rStyle w:val="selectable"/>
          <w:i/>
          <w:iCs/>
          <w:color w:val="000000" w:themeColor="text1"/>
        </w:rPr>
        <w:t>Lesson Planning 3rd Edition</w:t>
      </w:r>
      <w:r w:rsidRPr="00C377C8">
        <w:rPr>
          <w:rStyle w:val="selectable"/>
          <w:color w:val="000000" w:themeColor="text1"/>
        </w:rPr>
        <w:t>. London: Bloomsbury Publishing.</w:t>
      </w:r>
    </w:p>
    <w:p w14:paraId="7134FEC5"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Callender, A., Franco-Watkins, A. and Roberts, A., 2015. Improving metacognition in the classroom through instruction, training, and feedback. </w:t>
      </w:r>
      <w:r w:rsidRPr="00C377C8">
        <w:rPr>
          <w:rStyle w:val="selectable"/>
          <w:i/>
          <w:iCs/>
          <w:color w:val="000000" w:themeColor="text1"/>
        </w:rPr>
        <w:t>Metacognition and Learning</w:t>
      </w:r>
      <w:r w:rsidRPr="00C377C8">
        <w:rPr>
          <w:rStyle w:val="selectable"/>
          <w:color w:val="000000" w:themeColor="text1"/>
        </w:rPr>
        <w:t>, 11(2), pp.215-235.</w:t>
      </w:r>
    </w:p>
    <w:p w14:paraId="191EAD47"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Campanini, M. and Higgitt, C., 2011. </w:t>
      </w:r>
      <w:r w:rsidRPr="00C377C8">
        <w:rPr>
          <w:rStyle w:val="selectable"/>
          <w:i/>
          <w:iCs/>
          <w:color w:val="000000" w:themeColor="text1"/>
        </w:rPr>
        <w:t>The Qur'an</w:t>
      </w:r>
      <w:r w:rsidRPr="00C377C8">
        <w:rPr>
          <w:rStyle w:val="selectable"/>
          <w:color w:val="000000" w:themeColor="text1"/>
        </w:rPr>
        <w:t>. London: Routledge.</w:t>
      </w:r>
    </w:p>
    <w:p w14:paraId="48EA2AE0" w14:textId="77777777" w:rsidR="00FB6B91" w:rsidRPr="00C377C8" w:rsidRDefault="00FB6B91" w:rsidP="00461178">
      <w:pPr>
        <w:spacing w:line="360" w:lineRule="auto"/>
        <w:ind w:left="2268"/>
        <w:rPr>
          <w:color w:val="000000" w:themeColor="text1"/>
        </w:rPr>
      </w:pPr>
      <w:r w:rsidRPr="00C377C8">
        <w:rPr>
          <w:color w:val="000000" w:themeColor="text1"/>
        </w:rPr>
        <w:t>Cangelosi, J., 1990. </w:t>
      </w:r>
      <w:r w:rsidRPr="00C377C8">
        <w:rPr>
          <w:i/>
          <w:iCs/>
          <w:color w:val="000000" w:themeColor="text1"/>
        </w:rPr>
        <w:t>Cooperation In The Classroom</w:t>
      </w:r>
      <w:r w:rsidRPr="00C377C8">
        <w:rPr>
          <w:color w:val="000000" w:themeColor="text1"/>
        </w:rPr>
        <w:t>. Washington, D.C.: NEA Professional Library, National Education Association.</w:t>
      </w:r>
    </w:p>
    <w:p w14:paraId="5A7BA20C"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Cangelosi, J., 1992. </w:t>
      </w:r>
      <w:r w:rsidRPr="00C377C8">
        <w:rPr>
          <w:rStyle w:val="selectable"/>
          <w:i/>
          <w:iCs/>
          <w:color w:val="000000" w:themeColor="text1"/>
        </w:rPr>
        <w:t>Systematic Teaching Strategies</w:t>
      </w:r>
      <w:r w:rsidRPr="00C377C8">
        <w:rPr>
          <w:rStyle w:val="selectable"/>
          <w:color w:val="000000" w:themeColor="text1"/>
        </w:rPr>
        <w:t>. New York: Longman.</w:t>
      </w:r>
    </w:p>
    <w:p w14:paraId="54049BEC" w14:textId="77777777" w:rsidR="00FB6B91" w:rsidRPr="00C377C8" w:rsidRDefault="00FB6B91" w:rsidP="00461178">
      <w:pPr>
        <w:spacing w:line="360" w:lineRule="auto"/>
        <w:ind w:left="2268"/>
        <w:rPr>
          <w:rFonts w:eastAsia="Times New Roman"/>
          <w:color w:val="000000" w:themeColor="text1"/>
        </w:rPr>
      </w:pPr>
      <w:r w:rsidRPr="00C377C8">
        <w:rPr>
          <w:rFonts w:eastAsia="Times New Roman"/>
          <w:color w:val="000000" w:themeColor="text1"/>
          <w:shd w:val="clear" w:color="auto" w:fill="FFFFFF"/>
        </w:rPr>
        <w:t>Cantrell, P., 2005. [online] Camphillchurch.org. Available at: &lt;http://camphillchurch.org/study_books/TEACHER,%20An%20Effective.pdf&gt; [Accessed 15 April 2019].</w:t>
      </w:r>
    </w:p>
    <w:p w14:paraId="4FDE8659"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Carr, R., Palmer, S. and Hagel, P., 2015. Active learning: The importance of developing a comprehensive measure. </w:t>
      </w:r>
      <w:r w:rsidRPr="00C377C8">
        <w:rPr>
          <w:rFonts w:eastAsia="Times New Roman"/>
          <w:i/>
          <w:iCs/>
          <w:color w:val="000000" w:themeColor="text1"/>
          <w:lang w:eastAsia="en-GB"/>
        </w:rPr>
        <w:t>Active Learning in Higher Education</w:t>
      </w:r>
      <w:r w:rsidRPr="00C377C8">
        <w:rPr>
          <w:rFonts w:eastAsia="Times New Roman"/>
          <w:color w:val="000000" w:themeColor="text1"/>
          <w:lang w:eastAsia="en-GB"/>
        </w:rPr>
        <w:t>, 16(3), pp.173-186.</w:t>
      </w:r>
    </w:p>
    <w:p w14:paraId="26D4E777" w14:textId="77777777" w:rsidR="00FB6B91" w:rsidRPr="00C377C8" w:rsidRDefault="00FB6B91" w:rsidP="00461178">
      <w:pPr>
        <w:spacing w:line="360" w:lineRule="auto"/>
        <w:ind w:left="2268"/>
        <w:rPr>
          <w:color w:val="000000" w:themeColor="text1"/>
        </w:rPr>
      </w:pPr>
      <w:r w:rsidRPr="00C377C8">
        <w:rPr>
          <w:color w:val="000000" w:themeColor="text1"/>
        </w:rPr>
        <w:t>Carroll, B., Swenson, A. and Hogg, G., 1988. </w:t>
      </w:r>
      <w:r w:rsidRPr="00C377C8">
        <w:rPr>
          <w:i/>
          <w:iCs/>
          <w:color w:val="000000" w:themeColor="text1"/>
        </w:rPr>
        <w:t>Effective Bible Teaching</w:t>
      </w:r>
      <w:r w:rsidRPr="00C377C8">
        <w:rPr>
          <w:color w:val="000000" w:themeColor="text1"/>
        </w:rPr>
        <w:t>. El Paso, Tex.: Carib Baptist Publications.</w:t>
      </w:r>
    </w:p>
    <w:p w14:paraId="50C07F9E"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Carson, D., Gilmore, A., Perry, C., and Gronhaug, K. (2001). </w:t>
      </w:r>
      <w:r w:rsidRPr="00C377C8">
        <w:rPr>
          <w:rStyle w:val="Emphasis"/>
          <w:color w:val="000000" w:themeColor="text1"/>
          <w:bdr w:val="none" w:sz="0" w:space="0" w:color="auto" w:frame="1"/>
          <w:shd w:val="clear" w:color="auto" w:fill="FFFFFF"/>
        </w:rPr>
        <w:t>Qualitative Marketing Research</w:t>
      </w:r>
      <w:r w:rsidRPr="00C377C8">
        <w:rPr>
          <w:color w:val="000000" w:themeColor="text1"/>
          <w:shd w:val="clear" w:color="auto" w:fill="FFFFFF"/>
        </w:rPr>
        <w:t>. London: Sage</w:t>
      </w:r>
    </w:p>
    <w:p w14:paraId="03ECC3DE"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Cenoz, J. and Gorter, D., 2015. </w:t>
      </w:r>
      <w:r w:rsidRPr="00C377C8">
        <w:rPr>
          <w:rStyle w:val="selectable"/>
          <w:i/>
          <w:iCs/>
          <w:color w:val="000000" w:themeColor="text1"/>
        </w:rPr>
        <w:t>Multilingual education</w:t>
      </w:r>
      <w:r w:rsidRPr="00C377C8">
        <w:rPr>
          <w:rStyle w:val="selectable"/>
          <w:color w:val="000000" w:themeColor="text1"/>
        </w:rPr>
        <w:t>. United Kingdom: Cambridge University press.</w:t>
      </w:r>
    </w:p>
    <w:p w14:paraId="2D22CB9B" w14:textId="77777777" w:rsidR="00FB6B91" w:rsidRPr="00C377C8" w:rsidRDefault="00FB6B91" w:rsidP="00461178">
      <w:pPr>
        <w:spacing w:line="360" w:lineRule="auto"/>
        <w:ind w:left="2268"/>
        <w:rPr>
          <w:rFonts w:eastAsia="Times New Roman"/>
          <w:color w:val="000000" w:themeColor="text1"/>
          <w:lang w:eastAsia="en-GB"/>
        </w:rPr>
      </w:pPr>
      <w:r w:rsidRPr="00C377C8">
        <w:rPr>
          <w:color w:val="000000" w:themeColor="text1"/>
        </w:rPr>
        <w:t xml:space="preserve">Chalmers, D., 2002. </w:t>
      </w:r>
      <w:r w:rsidRPr="00C377C8">
        <w:rPr>
          <w:i/>
          <w:color w:val="000000" w:themeColor="text1"/>
        </w:rPr>
        <w:t>Philosophy of Mind: Classical and Contemporary Readings</w:t>
      </w:r>
      <w:r w:rsidRPr="00C377C8">
        <w:rPr>
          <w:color w:val="000000" w:themeColor="text1"/>
        </w:rPr>
        <w:t>. Oxford: Oxford University Press.</w:t>
      </w:r>
    </w:p>
    <w:p w14:paraId="2AE9B660"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Chapman, C., 2008. Towards a framework for school-to-school networking in challenging circumstances. </w:t>
      </w:r>
      <w:r w:rsidRPr="00C377C8">
        <w:rPr>
          <w:i/>
          <w:iCs/>
          <w:color w:val="000000" w:themeColor="text1"/>
          <w:shd w:val="clear" w:color="auto" w:fill="FFFFFF"/>
        </w:rPr>
        <w:t>Educational Research</w:t>
      </w:r>
      <w:r w:rsidRPr="00C377C8">
        <w:rPr>
          <w:color w:val="000000" w:themeColor="text1"/>
          <w:shd w:val="clear" w:color="auto" w:fill="FFFFFF"/>
        </w:rPr>
        <w:t>, 50(4), pp.403-420.</w:t>
      </w:r>
    </w:p>
    <w:p w14:paraId="63065C23" w14:textId="77777777" w:rsidR="00FB6B91" w:rsidRPr="00C377C8" w:rsidRDefault="00FB6B91" w:rsidP="00461178">
      <w:pPr>
        <w:spacing w:line="360" w:lineRule="auto"/>
        <w:ind w:left="2268"/>
        <w:rPr>
          <w:color w:val="000000" w:themeColor="text1"/>
        </w:rPr>
      </w:pPr>
      <w:r w:rsidRPr="00C377C8">
        <w:rPr>
          <w:color w:val="000000" w:themeColor="text1"/>
          <w:shd w:val="clear" w:color="auto" w:fill="FFFFFF"/>
        </w:rPr>
        <w:t>Chapman, J., 2016. </w:t>
      </w:r>
      <w:r w:rsidRPr="00C377C8">
        <w:rPr>
          <w:i/>
          <w:iCs/>
          <w:color w:val="000000" w:themeColor="text1"/>
          <w:shd w:val="clear" w:color="auto" w:fill="FFFFFF"/>
        </w:rPr>
        <w:t>International handbook of learning, teaching and leading in faith-based schools</w:t>
      </w:r>
      <w:r w:rsidRPr="00C377C8">
        <w:rPr>
          <w:color w:val="000000" w:themeColor="text1"/>
          <w:shd w:val="clear" w:color="auto" w:fill="FFFFFF"/>
        </w:rPr>
        <w:t>. New York: springer.</w:t>
      </w:r>
    </w:p>
    <w:p w14:paraId="06098DB3"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Cherney, I., 2008. The effects of active learning on students' memories for course content. </w:t>
      </w:r>
      <w:r w:rsidRPr="00C377C8">
        <w:rPr>
          <w:rStyle w:val="selectable"/>
          <w:i/>
          <w:iCs/>
          <w:color w:val="000000" w:themeColor="text1"/>
        </w:rPr>
        <w:t>Active Learning in Higher Education</w:t>
      </w:r>
      <w:r w:rsidRPr="00C377C8">
        <w:rPr>
          <w:rStyle w:val="selectable"/>
          <w:color w:val="000000" w:themeColor="text1"/>
        </w:rPr>
        <w:t>, 9(2), pp.152-171.</w:t>
      </w:r>
    </w:p>
    <w:p w14:paraId="378DBD7B"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Cherry-Paul, S. and Johansen, D., 2014. </w:t>
      </w:r>
      <w:r w:rsidRPr="00C377C8">
        <w:rPr>
          <w:rFonts w:eastAsia="Times New Roman"/>
          <w:i/>
          <w:iCs/>
          <w:color w:val="000000" w:themeColor="text1"/>
          <w:lang w:eastAsia="en-GB"/>
        </w:rPr>
        <w:t>Teaching interpretation</w:t>
      </w:r>
      <w:r w:rsidRPr="00C377C8">
        <w:rPr>
          <w:rFonts w:eastAsia="Times New Roman"/>
          <w:color w:val="000000" w:themeColor="text1"/>
          <w:lang w:eastAsia="en-GB"/>
        </w:rPr>
        <w:t>. Portsmouth, NH: Heinemann.</w:t>
      </w:r>
    </w:p>
    <w:p w14:paraId="53AAED07"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Christenson, S., Reschly, A. and Wylie, C., 2013. </w:t>
      </w:r>
      <w:r w:rsidRPr="00C377C8">
        <w:rPr>
          <w:rStyle w:val="selectable"/>
          <w:i/>
          <w:iCs/>
          <w:color w:val="000000" w:themeColor="text1"/>
        </w:rPr>
        <w:t>Handbook of research on student engagement</w:t>
      </w:r>
      <w:r w:rsidRPr="00C377C8">
        <w:rPr>
          <w:rStyle w:val="selectable"/>
          <w:color w:val="000000" w:themeColor="text1"/>
        </w:rPr>
        <w:t>. New York: Springer.</w:t>
      </w:r>
    </w:p>
    <w:p w14:paraId="5F53FB1C"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Ciaccio, J., 2004. </w:t>
      </w:r>
      <w:r w:rsidRPr="00C377C8">
        <w:rPr>
          <w:rStyle w:val="selectable"/>
          <w:i/>
          <w:iCs/>
          <w:color w:val="000000" w:themeColor="text1"/>
        </w:rPr>
        <w:t>Totally Positive Teaching</w:t>
      </w:r>
      <w:r w:rsidRPr="00C377C8">
        <w:rPr>
          <w:rStyle w:val="selectable"/>
          <w:color w:val="000000" w:themeColor="text1"/>
        </w:rPr>
        <w:t>. Alexandria, VA: Association for Supervision and Curriculum Development.</w:t>
      </w:r>
    </w:p>
    <w:p w14:paraId="33D54BA5" w14:textId="77777777" w:rsidR="00FB6B91" w:rsidRPr="00C377C8" w:rsidRDefault="00FB6B91" w:rsidP="00461178">
      <w:pPr>
        <w:spacing w:line="360" w:lineRule="auto"/>
        <w:ind w:left="2268"/>
        <w:rPr>
          <w:color w:val="000000" w:themeColor="text1"/>
        </w:rPr>
      </w:pPr>
      <w:r w:rsidRPr="00C377C8">
        <w:rPr>
          <w:color w:val="000000" w:themeColor="text1"/>
        </w:rPr>
        <w:t>Ciaccio, J., 2004. </w:t>
      </w:r>
      <w:r w:rsidRPr="00C377C8">
        <w:rPr>
          <w:i/>
          <w:iCs/>
          <w:color w:val="000000" w:themeColor="text1"/>
        </w:rPr>
        <w:t>Totally Positive Teaching</w:t>
      </w:r>
      <w:r w:rsidRPr="00C377C8">
        <w:rPr>
          <w:color w:val="000000" w:themeColor="text1"/>
        </w:rPr>
        <w:t>. Alexandria, VA: Association for Supervision and Curriculum Development.</w:t>
      </w:r>
    </w:p>
    <w:p w14:paraId="18C3D70E"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Citro, C., Ilgen, D. and Marrett, C., 2003. </w:t>
      </w:r>
      <w:r w:rsidRPr="00C377C8">
        <w:rPr>
          <w:rFonts w:eastAsia="Times New Roman"/>
          <w:i/>
          <w:iCs/>
          <w:color w:val="000000" w:themeColor="text1"/>
          <w:lang w:eastAsia="en-GB"/>
        </w:rPr>
        <w:t>Protecting participants and facilitating social and behavioral sciences research</w:t>
      </w:r>
      <w:r w:rsidRPr="00C377C8">
        <w:rPr>
          <w:rFonts w:eastAsia="Times New Roman"/>
          <w:color w:val="000000" w:themeColor="text1"/>
          <w:lang w:eastAsia="en-GB"/>
        </w:rPr>
        <w:t>. Washington, D.C.: National Academies Press.</w:t>
      </w:r>
    </w:p>
    <w:p w14:paraId="2C1DECF5"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Clandinin, D. and Connelly, M., 2004. </w:t>
      </w:r>
      <w:r w:rsidRPr="00C377C8">
        <w:rPr>
          <w:rStyle w:val="selectable"/>
          <w:i/>
          <w:iCs/>
          <w:color w:val="000000" w:themeColor="text1"/>
        </w:rPr>
        <w:t>Narrative inquiry</w:t>
      </w:r>
      <w:r w:rsidRPr="00C377C8">
        <w:rPr>
          <w:rStyle w:val="selectable"/>
          <w:color w:val="000000" w:themeColor="text1"/>
        </w:rPr>
        <w:t>. San Francisco, Calif.: Jossey-Bass.</w:t>
      </w:r>
    </w:p>
    <w:p w14:paraId="131847AD"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Clarke, V. (2003). </w:t>
      </w:r>
      <w:r w:rsidRPr="00C377C8">
        <w:rPr>
          <w:rStyle w:val="selectable"/>
          <w:i/>
          <w:iCs/>
          <w:color w:val="000000" w:themeColor="text1"/>
        </w:rPr>
        <w:t>Effective strategies in the teaching of mathematics</w:t>
      </w:r>
      <w:r w:rsidRPr="00C377C8">
        <w:rPr>
          <w:rStyle w:val="selectable"/>
          <w:color w:val="000000" w:themeColor="text1"/>
        </w:rPr>
        <w:t>. Lanham, Md.: University Press of America.</w:t>
      </w:r>
    </w:p>
    <w:p w14:paraId="25827511"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Clarkeburn, H. and Mustajoki, A., 2019. </w:t>
      </w:r>
      <w:r w:rsidRPr="00C377C8">
        <w:rPr>
          <w:rStyle w:val="selectable"/>
          <w:i/>
          <w:iCs/>
          <w:color w:val="000000" w:themeColor="text1"/>
        </w:rPr>
        <w:t>A new approach to research ethics</w:t>
      </w:r>
      <w:r w:rsidRPr="00C377C8">
        <w:rPr>
          <w:rStyle w:val="selectable"/>
          <w:color w:val="000000" w:themeColor="text1"/>
        </w:rPr>
        <w:t>. London: Routledge Taylors and Francis Group.</w:t>
      </w:r>
    </w:p>
    <w:p w14:paraId="18D1D004"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Clegg, D., 2018. The Educator's World-view, the Problem of Meta-Ontology, and a Covenant Ontology. </w:t>
      </w:r>
      <w:r w:rsidRPr="00C377C8">
        <w:rPr>
          <w:rStyle w:val="selectable"/>
          <w:i/>
          <w:iCs/>
          <w:color w:val="000000" w:themeColor="text1"/>
        </w:rPr>
        <w:t>Asia Pacific Journal of Educational Research</w:t>
      </w:r>
      <w:r w:rsidRPr="00C377C8">
        <w:rPr>
          <w:rStyle w:val="selectable"/>
          <w:color w:val="000000" w:themeColor="text1"/>
        </w:rPr>
        <w:t>, 1(2), pp.1-14.</w:t>
      </w:r>
    </w:p>
    <w:p w14:paraId="4425DDD4" w14:textId="77777777" w:rsidR="00FB6B91" w:rsidRPr="00C377C8" w:rsidRDefault="00FB6B91" w:rsidP="00F1408E">
      <w:pPr>
        <w:shd w:val="clear" w:color="auto" w:fill="FFFFFF"/>
        <w:spacing w:after="0" w:line="360" w:lineRule="atLeast"/>
        <w:ind w:left="2268" w:hanging="120"/>
        <w:rPr>
          <w:rFonts w:ascii="Open Sans" w:eastAsia="Times New Roman" w:hAnsi="Open Sans" w:cs="Open Sans"/>
          <w:color w:val="000000" w:themeColor="text1"/>
          <w:sz w:val="20"/>
          <w:szCs w:val="20"/>
          <w:lang w:eastAsia="en-GB"/>
        </w:rPr>
      </w:pPr>
      <w:r w:rsidRPr="00C377C8">
        <w:rPr>
          <w:rFonts w:ascii="Open Sans" w:eastAsia="Times New Roman" w:hAnsi="Open Sans" w:cs="Open Sans"/>
          <w:color w:val="000000" w:themeColor="text1"/>
          <w:sz w:val="20"/>
          <w:szCs w:val="20"/>
          <w:lang w:eastAsia="en-GB"/>
        </w:rPr>
        <w:t>Coe, R., Aloisi, C., Higgins, S. and Elliot Major, L., 2014. </w:t>
      </w:r>
      <w:r w:rsidRPr="00C377C8">
        <w:rPr>
          <w:rFonts w:ascii="Open Sans" w:eastAsia="Times New Roman" w:hAnsi="Open Sans" w:cs="Open Sans"/>
          <w:i/>
          <w:iCs/>
          <w:color w:val="000000" w:themeColor="text1"/>
          <w:sz w:val="20"/>
          <w:szCs w:val="20"/>
          <w:lang w:eastAsia="en-GB"/>
        </w:rPr>
        <w:t>What makes great teaching? Review of the underpinning research</w:t>
      </w:r>
      <w:r w:rsidRPr="00C377C8">
        <w:rPr>
          <w:rFonts w:ascii="Open Sans" w:eastAsia="Times New Roman" w:hAnsi="Open Sans" w:cs="Open Sans"/>
          <w:color w:val="000000" w:themeColor="text1"/>
          <w:sz w:val="20"/>
          <w:szCs w:val="20"/>
          <w:lang w:eastAsia="en-GB"/>
        </w:rPr>
        <w:t>. [online] Suttontrust.com. Available at: &lt;https://www.suttontrust.com/wp-content/uploads/2014/10/What-Makes-Great-Teaching-REPORT.pdf&gt; [Accessed 7 January 2022].</w:t>
      </w:r>
    </w:p>
    <w:p w14:paraId="7BBBE694"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Coffey, P., 2013. </w:t>
      </w:r>
      <w:r w:rsidRPr="00C377C8">
        <w:rPr>
          <w:rStyle w:val="selectable"/>
          <w:i/>
          <w:iCs/>
          <w:color w:val="000000" w:themeColor="text1"/>
        </w:rPr>
        <w:t>Epistemology</w:t>
      </w:r>
      <w:r w:rsidRPr="00C377C8">
        <w:rPr>
          <w:rStyle w:val="selectable"/>
          <w:color w:val="000000" w:themeColor="text1"/>
        </w:rPr>
        <w:t>. New York: Theclassics Us.</w:t>
      </w:r>
    </w:p>
    <w:p w14:paraId="7289B06D" w14:textId="77777777" w:rsidR="00FB6B91" w:rsidRPr="00C377C8" w:rsidRDefault="00FB6B91" w:rsidP="00461178">
      <w:pPr>
        <w:spacing w:line="360" w:lineRule="auto"/>
        <w:ind w:left="2268"/>
        <w:rPr>
          <w:rStyle w:val="selectable"/>
          <w:color w:val="000000" w:themeColor="text1"/>
          <w:shd w:val="clear" w:color="auto" w:fill="FFFFFF"/>
        </w:rPr>
      </w:pPr>
      <w:r w:rsidRPr="00C377C8">
        <w:rPr>
          <w:rStyle w:val="Strong"/>
          <w:b w:val="0"/>
          <w:color w:val="000000" w:themeColor="text1"/>
          <w:shd w:val="clear" w:color="auto" w:fill="FFFFFF"/>
        </w:rPr>
        <w:t> </w:t>
      </w:r>
      <w:r w:rsidRPr="00C377C8">
        <w:rPr>
          <w:rStyle w:val="selectable"/>
          <w:color w:val="000000" w:themeColor="text1"/>
          <w:shd w:val="clear" w:color="auto" w:fill="FFFFFF"/>
        </w:rPr>
        <w:t>Coffield, F. and Edward, S., 2009. Rolling out ‘good’, ‘best’ and ‘excellent’ practice. What next? Perfect practice?. </w:t>
      </w:r>
      <w:r w:rsidRPr="00C377C8">
        <w:rPr>
          <w:rStyle w:val="selectable"/>
          <w:i/>
          <w:iCs/>
          <w:color w:val="000000" w:themeColor="text1"/>
          <w:shd w:val="clear" w:color="auto" w:fill="FFFFFF"/>
        </w:rPr>
        <w:t>British Educational Research Journal</w:t>
      </w:r>
      <w:r w:rsidRPr="00C377C8">
        <w:rPr>
          <w:rStyle w:val="selectable"/>
          <w:color w:val="000000" w:themeColor="text1"/>
          <w:shd w:val="clear" w:color="auto" w:fill="FFFFFF"/>
        </w:rPr>
        <w:t>, 35(3), pp.371-390.</w:t>
      </w:r>
    </w:p>
    <w:p w14:paraId="27423EC2" w14:textId="77777777" w:rsidR="00FB6B91" w:rsidRPr="00C377C8" w:rsidRDefault="00FB6B91" w:rsidP="00F1408E">
      <w:pPr>
        <w:shd w:val="clear" w:color="auto" w:fill="FFFFFF"/>
        <w:spacing w:after="0" w:line="360" w:lineRule="atLeast"/>
        <w:ind w:left="2268" w:hanging="120"/>
        <w:rPr>
          <w:rFonts w:ascii="Open Sans" w:eastAsia="Times New Roman" w:hAnsi="Open Sans" w:cs="Open Sans"/>
          <w:color w:val="000000" w:themeColor="text1"/>
          <w:sz w:val="20"/>
          <w:szCs w:val="20"/>
          <w:lang w:eastAsia="en-GB"/>
        </w:rPr>
      </w:pPr>
      <w:r w:rsidRPr="00C377C8">
        <w:rPr>
          <w:rFonts w:ascii="Open Sans" w:eastAsia="Times New Roman" w:hAnsi="Open Sans" w:cs="Open Sans"/>
          <w:b/>
          <w:bCs/>
          <w:color w:val="000000" w:themeColor="text1"/>
          <w:sz w:val="20"/>
          <w:szCs w:val="20"/>
          <w:lang w:eastAsia="en-GB"/>
        </w:rPr>
        <w:t> </w:t>
      </w:r>
      <w:r w:rsidRPr="00C377C8">
        <w:rPr>
          <w:rFonts w:ascii="Open Sans" w:eastAsia="Times New Roman" w:hAnsi="Open Sans" w:cs="Open Sans"/>
          <w:color w:val="000000" w:themeColor="text1"/>
          <w:sz w:val="20"/>
          <w:szCs w:val="20"/>
          <w:lang w:eastAsia="en-GB"/>
        </w:rPr>
        <w:t>Coghlan, D., 2007. Insider action research: opportunities and challenges. </w:t>
      </w:r>
      <w:r w:rsidRPr="00C377C8">
        <w:rPr>
          <w:rFonts w:ascii="Open Sans" w:eastAsia="Times New Roman" w:hAnsi="Open Sans" w:cs="Open Sans"/>
          <w:i/>
          <w:iCs/>
          <w:color w:val="000000" w:themeColor="text1"/>
          <w:sz w:val="20"/>
          <w:szCs w:val="20"/>
          <w:lang w:eastAsia="en-GB"/>
        </w:rPr>
        <w:t>Management Research News</w:t>
      </w:r>
      <w:r w:rsidRPr="00C377C8">
        <w:rPr>
          <w:rFonts w:ascii="Open Sans" w:eastAsia="Times New Roman" w:hAnsi="Open Sans" w:cs="Open Sans"/>
          <w:color w:val="000000" w:themeColor="text1"/>
          <w:sz w:val="20"/>
          <w:szCs w:val="20"/>
          <w:lang w:eastAsia="en-GB"/>
        </w:rPr>
        <w:t>, 30(5), pp.335-343.</w:t>
      </w:r>
    </w:p>
    <w:p w14:paraId="336E6761"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Cohen, E., Brody, C. and Sapon-Shevin, M., 2004. </w:t>
      </w:r>
      <w:r w:rsidRPr="00C377C8">
        <w:rPr>
          <w:rStyle w:val="selectable"/>
          <w:i/>
          <w:iCs/>
          <w:color w:val="000000" w:themeColor="text1"/>
        </w:rPr>
        <w:t>Teaching Cooperative Learning</w:t>
      </w:r>
      <w:r w:rsidRPr="00C377C8">
        <w:rPr>
          <w:rStyle w:val="selectable"/>
          <w:color w:val="000000" w:themeColor="text1"/>
        </w:rPr>
        <w:t>. Albany: State University of New York Press.</w:t>
      </w:r>
    </w:p>
    <w:p w14:paraId="2D80B1FB"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Cohen, L., Manion, L. and Morrison, K., 2012. </w:t>
      </w:r>
      <w:r w:rsidRPr="00C377C8">
        <w:rPr>
          <w:rStyle w:val="selectable"/>
          <w:i/>
          <w:iCs/>
          <w:color w:val="000000" w:themeColor="text1"/>
        </w:rPr>
        <w:t>A Guide to Teaching Practice</w:t>
      </w:r>
      <w:r w:rsidRPr="00C377C8">
        <w:rPr>
          <w:rStyle w:val="selectable"/>
          <w:color w:val="000000" w:themeColor="text1"/>
        </w:rPr>
        <w:t>. Hoboken: Routledge Falmer.</w:t>
      </w:r>
    </w:p>
    <w:p w14:paraId="3D38B76F"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Cohen, L., Manion, L. and Morrison, K., 2017. </w:t>
      </w:r>
      <w:r w:rsidRPr="00C377C8">
        <w:rPr>
          <w:rStyle w:val="selectable"/>
          <w:i/>
          <w:iCs/>
          <w:color w:val="000000" w:themeColor="text1"/>
        </w:rPr>
        <w:t>Research methods in education</w:t>
      </w:r>
      <w:r w:rsidRPr="00C377C8">
        <w:rPr>
          <w:rStyle w:val="selectable"/>
          <w:color w:val="000000" w:themeColor="text1"/>
        </w:rPr>
        <w:t>. London: Taylors and Francis.</w:t>
      </w:r>
    </w:p>
    <w:p w14:paraId="43E20194"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rPr>
        <w:t>Cohen, P. A., 1981. Student ratings of instruction and student achievement: A meta-analysis of multi-section validity studies, Review of Educational Research, 51: 281-309.</w:t>
      </w:r>
    </w:p>
    <w:p w14:paraId="506365F4"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Cohen, P., Kulik, J. and Kulik, C., 1982. Educational Outcomes of Tutoring: A Meta-Analysis of Findings. </w:t>
      </w:r>
      <w:r w:rsidRPr="00C377C8">
        <w:rPr>
          <w:rFonts w:eastAsia="Times New Roman"/>
          <w:i/>
          <w:iCs/>
          <w:color w:val="000000" w:themeColor="text1"/>
          <w:lang w:eastAsia="en-GB"/>
        </w:rPr>
        <w:t>American Educational Research Journal</w:t>
      </w:r>
      <w:r w:rsidRPr="00C377C8">
        <w:rPr>
          <w:rFonts w:eastAsia="Times New Roman"/>
          <w:color w:val="000000" w:themeColor="text1"/>
          <w:lang w:eastAsia="en-GB"/>
        </w:rPr>
        <w:t>, 19(2), p.237.</w:t>
      </w:r>
    </w:p>
    <w:p w14:paraId="104B1DA8"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Cohn, M. and Kottkamp, R., 1993. </w:t>
      </w:r>
      <w:r w:rsidRPr="00C377C8">
        <w:rPr>
          <w:rStyle w:val="selectable"/>
          <w:i/>
          <w:iCs/>
          <w:color w:val="000000" w:themeColor="text1"/>
        </w:rPr>
        <w:t>Teachers</w:t>
      </w:r>
      <w:r w:rsidRPr="00C377C8">
        <w:rPr>
          <w:rStyle w:val="selectable"/>
          <w:color w:val="000000" w:themeColor="text1"/>
        </w:rPr>
        <w:t>. Albany: State University of New York Press.</w:t>
      </w:r>
    </w:p>
    <w:p w14:paraId="2CBD6B9B"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Collins, S., 2009. </w:t>
      </w:r>
      <w:r w:rsidRPr="00C377C8">
        <w:rPr>
          <w:rStyle w:val="selectable"/>
          <w:i/>
          <w:iCs/>
          <w:color w:val="000000" w:themeColor="text1"/>
        </w:rPr>
        <w:t>Effective Communication</w:t>
      </w:r>
      <w:r w:rsidRPr="00C377C8">
        <w:rPr>
          <w:rStyle w:val="selectable"/>
          <w:color w:val="000000" w:themeColor="text1"/>
        </w:rPr>
        <w:t>. London: Jessica Kingsley.</w:t>
      </w:r>
    </w:p>
    <w:p w14:paraId="79D5EE46" w14:textId="77777777" w:rsidR="00FB6B91" w:rsidRPr="00C377C8" w:rsidRDefault="00FB6B91" w:rsidP="00461178">
      <w:pPr>
        <w:spacing w:line="360" w:lineRule="auto"/>
        <w:ind w:left="2268"/>
        <w:rPr>
          <w:color w:val="000000" w:themeColor="text1"/>
          <w:lang w:val="en-US"/>
        </w:rPr>
      </w:pPr>
      <w:r w:rsidRPr="00C377C8">
        <w:rPr>
          <w:color w:val="000000" w:themeColor="text1"/>
          <w:lang w:val="en-US"/>
        </w:rPr>
        <w:t>Comstock, G., 2013. </w:t>
      </w:r>
      <w:r w:rsidRPr="00C377C8">
        <w:rPr>
          <w:i/>
          <w:iCs/>
          <w:color w:val="000000" w:themeColor="text1"/>
          <w:lang w:val="en-US"/>
        </w:rPr>
        <w:t>Research Ethics: a philosophical guide to the responsible conduct of the research</w:t>
      </w:r>
      <w:r w:rsidRPr="00C377C8">
        <w:rPr>
          <w:color w:val="000000" w:themeColor="text1"/>
          <w:lang w:val="en-US"/>
        </w:rPr>
        <w:t>. New York: Cambridge University Press.</w:t>
      </w:r>
    </w:p>
    <w:p w14:paraId="1F22F2E3"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Connelly, F., Craig, C. and Clandinin, D., 1995. </w:t>
      </w:r>
      <w:r w:rsidRPr="00C377C8">
        <w:rPr>
          <w:rStyle w:val="selectable"/>
          <w:i/>
          <w:iCs/>
          <w:color w:val="000000" w:themeColor="text1"/>
        </w:rPr>
        <w:t>Teachers' Professional Knowledge Landscapes</w:t>
      </w:r>
      <w:r w:rsidRPr="00C377C8">
        <w:rPr>
          <w:rStyle w:val="selectable"/>
          <w:color w:val="000000" w:themeColor="text1"/>
        </w:rPr>
        <w:t>. New York: Teachers College Press.</w:t>
      </w:r>
    </w:p>
    <w:p w14:paraId="1ACCA0E5"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Cook, M., 1999. </w:t>
      </w:r>
      <w:r w:rsidRPr="00C377C8">
        <w:rPr>
          <w:rStyle w:val="selectable"/>
          <w:i/>
          <w:iCs/>
          <w:color w:val="000000" w:themeColor="text1"/>
        </w:rPr>
        <w:t>Effective Coaching</w:t>
      </w:r>
      <w:r w:rsidRPr="00C377C8">
        <w:rPr>
          <w:rStyle w:val="selectable"/>
          <w:color w:val="000000" w:themeColor="text1"/>
        </w:rPr>
        <w:t>. New York: McGraw Hill.</w:t>
      </w:r>
    </w:p>
    <w:p w14:paraId="37452E09" w14:textId="77777777" w:rsidR="00FB6B91" w:rsidRPr="00C377C8" w:rsidRDefault="00FB6B91" w:rsidP="00461178">
      <w:pPr>
        <w:spacing w:line="360" w:lineRule="auto"/>
        <w:ind w:left="2268"/>
        <w:rPr>
          <w:rStyle w:val="selectable"/>
          <w:bCs/>
          <w:color w:val="000000" w:themeColor="text1"/>
        </w:rPr>
      </w:pPr>
      <w:r w:rsidRPr="00C377C8">
        <w:rPr>
          <w:color w:val="000000" w:themeColor="text1"/>
        </w:rPr>
        <w:t>Cooling, T., 1994. </w:t>
      </w:r>
      <w:r w:rsidRPr="00C377C8">
        <w:rPr>
          <w:i/>
          <w:iCs/>
          <w:color w:val="000000" w:themeColor="text1"/>
        </w:rPr>
        <w:t>Concept Cracking</w:t>
      </w:r>
      <w:r w:rsidRPr="00C377C8">
        <w:rPr>
          <w:color w:val="000000" w:themeColor="text1"/>
        </w:rPr>
        <w:t>. Stapleford: Stapleford Project.</w:t>
      </w:r>
    </w:p>
    <w:p w14:paraId="7403D5A0"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Corbally, M. and O’Neill, C., 2014. An introduction to the biographical narrative interpretive method. </w:t>
      </w:r>
      <w:r w:rsidRPr="00C377C8">
        <w:rPr>
          <w:rStyle w:val="selectable"/>
          <w:i/>
          <w:iCs/>
          <w:color w:val="000000" w:themeColor="text1"/>
        </w:rPr>
        <w:t>Nurse Researcher</w:t>
      </w:r>
      <w:r w:rsidRPr="00C377C8">
        <w:rPr>
          <w:rStyle w:val="selectable"/>
          <w:color w:val="000000" w:themeColor="text1"/>
        </w:rPr>
        <w:t>, 21(5), pp.34-39.</w:t>
      </w:r>
    </w:p>
    <w:p w14:paraId="52274A78"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Corbin, J. and Strauss, A., 2015. </w:t>
      </w:r>
      <w:r w:rsidRPr="00C377C8">
        <w:rPr>
          <w:rStyle w:val="selectable"/>
          <w:i/>
          <w:iCs/>
          <w:color w:val="000000" w:themeColor="text1"/>
        </w:rPr>
        <w:t>Basics of qualitative research</w:t>
      </w:r>
      <w:r w:rsidRPr="00C377C8">
        <w:rPr>
          <w:rStyle w:val="selectable"/>
          <w:color w:val="000000" w:themeColor="text1"/>
        </w:rPr>
        <w:t>. Los Angeles: Sage.</w:t>
      </w:r>
    </w:p>
    <w:p w14:paraId="4860B46F"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rPr>
        <w:t>Costa, A. L., 2001 Developing minds. A resource book for teaching thinking (3rd edn) (Alexandria, VA, Association for Supervision and Curriculum Development).</w:t>
      </w:r>
    </w:p>
    <w:p w14:paraId="40F6F42B"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Cotterill, P. and Letherby, G., 1993. Weaving Stories: Personal Auto/Biographies in Feminist Research. </w:t>
      </w:r>
      <w:r w:rsidRPr="00C377C8">
        <w:rPr>
          <w:i/>
          <w:iCs/>
          <w:color w:val="000000" w:themeColor="text1"/>
          <w:shd w:val="clear" w:color="auto" w:fill="FFFFFF"/>
        </w:rPr>
        <w:t>Sociology</w:t>
      </w:r>
      <w:r w:rsidRPr="00C377C8">
        <w:rPr>
          <w:color w:val="000000" w:themeColor="text1"/>
          <w:shd w:val="clear" w:color="auto" w:fill="FFFFFF"/>
        </w:rPr>
        <w:t>, 27(1), pp.67-79.</w:t>
      </w:r>
    </w:p>
    <w:p w14:paraId="5D01FA66"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Cottrell, S., 2017. </w:t>
      </w:r>
      <w:r w:rsidRPr="00C377C8">
        <w:rPr>
          <w:rStyle w:val="selectable"/>
          <w:i/>
          <w:iCs/>
          <w:color w:val="000000" w:themeColor="text1"/>
        </w:rPr>
        <w:t>Critical Thinking Skills</w:t>
      </w:r>
      <w:r w:rsidRPr="00C377C8">
        <w:rPr>
          <w:rStyle w:val="selectable"/>
          <w:color w:val="000000" w:themeColor="text1"/>
        </w:rPr>
        <w:t>. London: Red Globe Press.</w:t>
      </w:r>
    </w:p>
    <w:p w14:paraId="2FF000A9" w14:textId="77777777" w:rsidR="00FB6B91" w:rsidRPr="00C377C8" w:rsidRDefault="00FB6B91" w:rsidP="00461178">
      <w:pPr>
        <w:spacing w:line="360" w:lineRule="auto"/>
        <w:ind w:left="2268"/>
        <w:rPr>
          <w:color w:val="000000" w:themeColor="text1"/>
        </w:rPr>
      </w:pPr>
      <w:r w:rsidRPr="00C377C8">
        <w:rPr>
          <w:color w:val="000000" w:themeColor="text1"/>
          <w:shd w:val="clear" w:color="auto" w:fill="FFFFFF"/>
        </w:rPr>
        <w:t>Coyle, A. and Rafalin, D., 2001. Jewish Gay Men's Accounts of Negotiating Cultural, Religious, and Sexual Identity. </w:t>
      </w:r>
      <w:r w:rsidRPr="00C377C8">
        <w:rPr>
          <w:i/>
          <w:iCs/>
          <w:color w:val="000000" w:themeColor="text1"/>
          <w:shd w:val="clear" w:color="auto" w:fill="FFFFFF"/>
        </w:rPr>
        <w:t>Journal of Psychology &amp; Human Sexuality</w:t>
      </w:r>
      <w:r w:rsidRPr="00C377C8">
        <w:rPr>
          <w:color w:val="000000" w:themeColor="text1"/>
          <w:shd w:val="clear" w:color="auto" w:fill="FFFFFF"/>
        </w:rPr>
        <w:t>, 12(4), pp.21-48.</w:t>
      </w:r>
    </w:p>
    <w:p w14:paraId="25561290"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Crabtree, B. and Miller, W., 2000. </w:t>
      </w:r>
      <w:r w:rsidRPr="00C377C8">
        <w:rPr>
          <w:i/>
          <w:iCs/>
          <w:color w:val="000000" w:themeColor="text1"/>
          <w:shd w:val="clear" w:color="auto" w:fill="FFFFFF"/>
        </w:rPr>
        <w:t>Doing qualitative research</w:t>
      </w:r>
      <w:r w:rsidRPr="00C377C8">
        <w:rPr>
          <w:color w:val="000000" w:themeColor="text1"/>
          <w:shd w:val="clear" w:color="auto" w:fill="FFFFFF"/>
        </w:rPr>
        <w:t>. Thousand Oaks, Calif.: Sage Publications.</w:t>
      </w:r>
    </w:p>
    <w:p w14:paraId="7212D682"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Creese, A., 2005. </w:t>
      </w:r>
      <w:r w:rsidRPr="00C377C8">
        <w:rPr>
          <w:rStyle w:val="selectable"/>
          <w:i/>
          <w:iCs/>
          <w:color w:val="000000" w:themeColor="text1"/>
        </w:rPr>
        <w:t>Teacher collaboration and talk in multilingual classrooms</w:t>
      </w:r>
      <w:r w:rsidRPr="00C377C8">
        <w:rPr>
          <w:rStyle w:val="selectable"/>
          <w:color w:val="000000" w:themeColor="text1"/>
        </w:rPr>
        <w:t>. Clevedon [England]: Multilingual Matters.</w:t>
      </w:r>
    </w:p>
    <w:p w14:paraId="57BC1BE8"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Creswell, J. and Poth, C., 2018. </w:t>
      </w:r>
      <w:r w:rsidRPr="00C377C8">
        <w:rPr>
          <w:rStyle w:val="selectable"/>
          <w:i/>
          <w:iCs/>
          <w:color w:val="000000" w:themeColor="text1"/>
        </w:rPr>
        <w:t>Qualitative Inquiry and Research Design Choosing Among Five Approaches</w:t>
      </w:r>
      <w:r w:rsidRPr="00C377C8">
        <w:rPr>
          <w:rStyle w:val="selectable"/>
          <w:color w:val="000000" w:themeColor="text1"/>
        </w:rPr>
        <w:t>. 4th ed. London: SAGE.</w:t>
      </w:r>
    </w:p>
    <w:p w14:paraId="668775A9"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Creswell, J., 2013. </w:t>
      </w:r>
      <w:r w:rsidRPr="00C377C8">
        <w:rPr>
          <w:rStyle w:val="selectable"/>
          <w:i/>
          <w:iCs/>
          <w:color w:val="000000" w:themeColor="text1"/>
        </w:rPr>
        <w:t>Research design</w:t>
      </w:r>
      <w:r w:rsidRPr="00C377C8">
        <w:rPr>
          <w:rStyle w:val="selectable"/>
          <w:color w:val="000000" w:themeColor="text1"/>
        </w:rPr>
        <w:t>. Los Angeles, Calif.: SAGE.</w:t>
      </w:r>
    </w:p>
    <w:p w14:paraId="75B9C130"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Crosling, G., Thomas, L. and Heagney, M., 2008. </w:t>
      </w:r>
      <w:r w:rsidRPr="00C377C8">
        <w:rPr>
          <w:rStyle w:val="selectable"/>
          <w:i/>
          <w:iCs/>
          <w:color w:val="000000" w:themeColor="text1"/>
        </w:rPr>
        <w:t>Improving student retention in higher education</w:t>
      </w:r>
      <w:r w:rsidRPr="00C377C8">
        <w:rPr>
          <w:rStyle w:val="selectable"/>
          <w:color w:val="000000" w:themeColor="text1"/>
        </w:rPr>
        <w:t>. London: Routledge.</w:t>
      </w:r>
    </w:p>
    <w:p w14:paraId="723544BF"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Crotty, M., 1998. </w:t>
      </w:r>
      <w:r w:rsidRPr="00C377C8">
        <w:rPr>
          <w:i/>
          <w:iCs/>
          <w:color w:val="000000" w:themeColor="text1"/>
          <w:shd w:val="clear" w:color="auto" w:fill="FFFFFF"/>
        </w:rPr>
        <w:t>The Foundations of Social Research: Meaning and Perspective in the Research Process</w:t>
      </w:r>
      <w:r w:rsidRPr="00C377C8">
        <w:rPr>
          <w:color w:val="000000" w:themeColor="text1"/>
          <w:shd w:val="clear" w:color="auto" w:fill="FFFFFF"/>
        </w:rPr>
        <w:t>. London: Sage publications.</w:t>
      </w:r>
    </w:p>
    <w:p w14:paraId="009B4C66"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Crow, G. and Edwards, R., 2013. </w:t>
      </w:r>
      <w:r w:rsidRPr="00C377C8">
        <w:rPr>
          <w:rStyle w:val="selectable"/>
          <w:i/>
          <w:iCs/>
          <w:color w:val="000000" w:themeColor="text1"/>
        </w:rPr>
        <w:t>What is Qualitative Interviewing?</w:t>
      </w:r>
      <w:r w:rsidRPr="00C377C8">
        <w:rPr>
          <w:rStyle w:val="selectable"/>
          <w:color w:val="000000" w:themeColor="text1"/>
        </w:rPr>
        <w:t xml:space="preserve"> London: Bloomsbury Publishing.</w:t>
      </w:r>
    </w:p>
    <w:p w14:paraId="60CEA604"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Cruickshank, D. and Troyer, M., 1991. </w:t>
      </w:r>
      <w:r w:rsidRPr="00C377C8">
        <w:rPr>
          <w:rStyle w:val="selectable"/>
          <w:i/>
          <w:iCs/>
          <w:color w:val="000000" w:themeColor="text1"/>
        </w:rPr>
        <w:t>Reflective Teaching</w:t>
      </w:r>
      <w:r w:rsidRPr="00C377C8">
        <w:rPr>
          <w:rStyle w:val="selectable"/>
          <w:color w:val="000000" w:themeColor="text1"/>
        </w:rPr>
        <w:t>. Bloomington, In.: Distributed by Phi Delta Kappa.</w:t>
      </w:r>
    </w:p>
    <w:p w14:paraId="72C3D3CC"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Cullen, R., Harris, M., Hill, R. and Weimer, M., 2012. </w:t>
      </w:r>
      <w:r w:rsidRPr="00C377C8">
        <w:rPr>
          <w:rStyle w:val="selectable"/>
          <w:i/>
          <w:iCs/>
          <w:color w:val="000000" w:themeColor="text1"/>
        </w:rPr>
        <w:t>The Learner-Centered Curriculum</w:t>
      </w:r>
      <w:r w:rsidRPr="00C377C8">
        <w:rPr>
          <w:rStyle w:val="selectable"/>
          <w:color w:val="000000" w:themeColor="text1"/>
        </w:rPr>
        <w:t>. New York, NY: John Wiley &amp; Sons.</w:t>
      </w:r>
    </w:p>
    <w:p w14:paraId="5DA13770" w14:textId="77777777" w:rsidR="00FB6B91" w:rsidRPr="00C377C8" w:rsidRDefault="00FB6B91" w:rsidP="00461178">
      <w:pPr>
        <w:spacing w:line="360" w:lineRule="auto"/>
        <w:ind w:left="2268"/>
        <w:rPr>
          <w:color w:val="000000" w:themeColor="text1"/>
        </w:rPr>
      </w:pPr>
      <w:r w:rsidRPr="00C377C8">
        <w:rPr>
          <w:color w:val="000000" w:themeColor="text1"/>
        </w:rPr>
        <w:t>Cullingford, C., 2010. </w:t>
      </w:r>
      <w:r w:rsidRPr="00C377C8">
        <w:rPr>
          <w:i/>
          <w:iCs/>
          <w:color w:val="000000" w:themeColor="text1"/>
        </w:rPr>
        <w:t>Effective Teacher</w:t>
      </w:r>
      <w:r w:rsidRPr="00C377C8">
        <w:rPr>
          <w:color w:val="000000" w:themeColor="text1"/>
        </w:rPr>
        <w:t>. London: Continuum International Publishing.</w:t>
      </w:r>
    </w:p>
    <w:p w14:paraId="0CD8A71F" w14:textId="77777777" w:rsidR="00FB6B91" w:rsidRPr="00C377C8" w:rsidRDefault="00FB6B91" w:rsidP="00461178">
      <w:pPr>
        <w:spacing w:line="360" w:lineRule="auto"/>
        <w:ind w:left="2268"/>
        <w:rPr>
          <w:rStyle w:val="selectable"/>
          <w:color w:val="000000" w:themeColor="text1"/>
        </w:rPr>
      </w:pPr>
      <w:r w:rsidRPr="00C377C8">
        <w:rPr>
          <w:rFonts w:ascii="Open Sans" w:hAnsi="Open Sans" w:cs="Open Sans"/>
          <w:color w:val="000000" w:themeColor="text1"/>
          <w:sz w:val="20"/>
          <w:szCs w:val="20"/>
          <w:shd w:val="clear" w:color="auto" w:fill="FFFFFF"/>
        </w:rPr>
        <w:t>Dabashi, H., 2010. </w:t>
      </w:r>
      <w:r w:rsidRPr="00C377C8">
        <w:rPr>
          <w:rFonts w:ascii="Open Sans" w:hAnsi="Open Sans" w:cs="Open Sans"/>
          <w:i/>
          <w:iCs/>
          <w:color w:val="000000" w:themeColor="text1"/>
          <w:sz w:val="20"/>
          <w:szCs w:val="20"/>
          <w:shd w:val="clear" w:color="auto" w:fill="FFFFFF"/>
        </w:rPr>
        <w:t>Islamic liberation theology</w:t>
      </w:r>
      <w:r w:rsidRPr="00C377C8">
        <w:rPr>
          <w:rFonts w:ascii="Open Sans" w:hAnsi="Open Sans" w:cs="Open Sans"/>
          <w:color w:val="000000" w:themeColor="text1"/>
          <w:sz w:val="20"/>
          <w:szCs w:val="20"/>
          <w:shd w:val="clear" w:color="auto" w:fill="FFFFFF"/>
        </w:rPr>
        <w:t>. London: Routledge.</w:t>
      </w:r>
    </w:p>
    <w:p w14:paraId="6E900529"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Dabell, J., 2019. The traits of super teachers. </w:t>
      </w:r>
      <w:r w:rsidRPr="00C377C8">
        <w:rPr>
          <w:rStyle w:val="selectable"/>
          <w:i/>
          <w:iCs/>
          <w:color w:val="000000" w:themeColor="text1"/>
        </w:rPr>
        <w:t>SecEd</w:t>
      </w:r>
      <w:r w:rsidRPr="00C377C8">
        <w:rPr>
          <w:rStyle w:val="selectable"/>
          <w:color w:val="000000" w:themeColor="text1"/>
        </w:rPr>
        <w:t>, 2019(8), pp.6-6.</w:t>
      </w:r>
    </w:p>
    <w:p w14:paraId="2622D8E0"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Dainton, S., 2004. Personalised Learning. </w:t>
      </w:r>
      <w:r w:rsidRPr="00C377C8">
        <w:rPr>
          <w:rStyle w:val="selectable"/>
          <w:i/>
          <w:iCs/>
          <w:color w:val="000000" w:themeColor="text1"/>
        </w:rPr>
        <w:t>FORUM</w:t>
      </w:r>
      <w:r w:rsidRPr="00C377C8">
        <w:rPr>
          <w:rStyle w:val="selectable"/>
          <w:color w:val="000000" w:themeColor="text1"/>
        </w:rPr>
        <w:t>, 46(2), p.56.</w:t>
      </w:r>
    </w:p>
    <w:p w14:paraId="21E6E145"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Daloz, L., 1986. </w:t>
      </w:r>
      <w:r w:rsidRPr="00C377C8">
        <w:rPr>
          <w:rStyle w:val="selectable"/>
          <w:i/>
          <w:iCs/>
          <w:color w:val="000000" w:themeColor="text1"/>
        </w:rPr>
        <w:t>Effective teaching and mentoring</w:t>
      </w:r>
      <w:r w:rsidRPr="00C377C8">
        <w:rPr>
          <w:rStyle w:val="selectable"/>
          <w:color w:val="000000" w:themeColor="text1"/>
        </w:rPr>
        <w:t>. San Francisco, Calif.: Jossey-Bass.</w:t>
      </w:r>
    </w:p>
    <w:p w14:paraId="315CCA04"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D'Angelo, E., 1971. </w:t>
      </w:r>
      <w:r w:rsidRPr="00C377C8">
        <w:rPr>
          <w:rStyle w:val="selectable"/>
          <w:i/>
          <w:iCs/>
          <w:color w:val="000000" w:themeColor="text1"/>
        </w:rPr>
        <w:t>The Teaching of Critical Thinking</w:t>
      </w:r>
      <w:r w:rsidRPr="00C377C8">
        <w:rPr>
          <w:rStyle w:val="selectable"/>
          <w:color w:val="000000" w:themeColor="text1"/>
        </w:rPr>
        <w:t>. Amsterdam: Grüner.</w:t>
      </w:r>
    </w:p>
    <w:p w14:paraId="4FBECCE6"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Danielson, C., 2007. </w:t>
      </w:r>
      <w:r w:rsidRPr="00C377C8">
        <w:rPr>
          <w:rStyle w:val="selectable"/>
          <w:i/>
          <w:iCs/>
          <w:color w:val="000000" w:themeColor="text1"/>
        </w:rPr>
        <w:t>Enhancing professional practice</w:t>
      </w:r>
      <w:r w:rsidRPr="00C377C8">
        <w:rPr>
          <w:rStyle w:val="selectable"/>
          <w:color w:val="000000" w:themeColor="text1"/>
        </w:rPr>
        <w:t>. Alexandria, Va.: Association for Supervision and Curriculum Development.</w:t>
      </w:r>
    </w:p>
    <w:p w14:paraId="65C77E67" w14:textId="77777777" w:rsidR="00FB6B91" w:rsidRPr="00C377C8" w:rsidRDefault="00FB6B91" w:rsidP="00461178">
      <w:pPr>
        <w:spacing w:line="360" w:lineRule="auto"/>
        <w:ind w:left="2268"/>
        <w:rPr>
          <w:color w:val="000000" w:themeColor="text1"/>
        </w:rPr>
      </w:pPr>
      <w:r w:rsidRPr="00C377C8">
        <w:rPr>
          <w:color w:val="000000" w:themeColor="text1"/>
        </w:rPr>
        <w:t>Danielson, C., 2010. </w:t>
      </w:r>
      <w:r w:rsidRPr="00C377C8">
        <w:rPr>
          <w:i/>
          <w:iCs/>
          <w:color w:val="000000" w:themeColor="text1"/>
        </w:rPr>
        <w:t>Teaching Methods</w:t>
      </w:r>
      <w:r w:rsidRPr="00C377C8">
        <w:rPr>
          <w:color w:val="000000" w:themeColor="text1"/>
        </w:rPr>
        <w:t>. Upper Saddle River, N.J.: Pearson.</w:t>
      </w:r>
    </w:p>
    <w:p w14:paraId="31491002"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Danvers, E., 2021. Prevent/Ing critical thinking? The pedagogical impacts of Prevent in UK higher education. </w:t>
      </w:r>
      <w:r w:rsidRPr="00C377C8">
        <w:rPr>
          <w:rStyle w:val="selectable"/>
          <w:i/>
          <w:iCs/>
          <w:color w:val="000000" w:themeColor="text1"/>
        </w:rPr>
        <w:t>Teaching in Higher Education</w:t>
      </w:r>
      <w:r w:rsidRPr="00C377C8">
        <w:rPr>
          <w:rStyle w:val="selectable"/>
          <w:color w:val="000000" w:themeColor="text1"/>
        </w:rPr>
        <w:t>, pp.1-16.</w:t>
      </w:r>
    </w:p>
    <w:p w14:paraId="5AF7E75B" w14:textId="77777777" w:rsidR="00FB6B91" w:rsidRPr="00C377C8" w:rsidRDefault="00FB6B91" w:rsidP="00461178">
      <w:pPr>
        <w:spacing w:line="360" w:lineRule="auto"/>
        <w:ind w:left="2268"/>
        <w:rPr>
          <w:color w:val="000000" w:themeColor="text1"/>
          <w:lang w:val="en-US"/>
        </w:rPr>
      </w:pPr>
      <w:r w:rsidRPr="00C377C8">
        <w:rPr>
          <w:color w:val="000000" w:themeColor="text1"/>
          <w:lang w:val="en-US"/>
        </w:rPr>
        <w:t>Darder, A., 2017. </w:t>
      </w:r>
      <w:r w:rsidRPr="00C377C8">
        <w:rPr>
          <w:i/>
          <w:iCs/>
          <w:color w:val="000000" w:themeColor="text1"/>
          <w:lang w:val="en-US"/>
        </w:rPr>
        <w:t>Decolonizing Interpretive Research: A Subaltern Methodology for Social Change</w:t>
      </w:r>
      <w:r w:rsidRPr="00C377C8">
        <w:rPr>
          <w:color w:val="000000" w:themeColor="text1"/>
          <w:lang w:val="en-US"/>
        </w:rPr>
        <w:t>. London: Taylors and Francis.h</w:t>
      </w:r>
    </w:p>
    <w:p w14:paraId="73736499" w14:textId="77777777" w:rsidR="00FB6B91" w:rsidRPr="00C377C8" w:rsidRDefault="00FB6B91" w:rsidP="00461178">
      <w:pPr>
        <w:spacing w:line="360" w:lineRule="auto"/>
        <w:ind w:left="2268"/>
        <w:rPr>
          <w:color w:val="000000" w:themeColor="text1"/>
        </w:rPr>
      </w:pPr>
      <w:r w:rsidRPr="00C377C8">
        <w:rPr>
          <w:color w:val="000000" w:themeColor="text1"/>
        </w:rPr>
        <w:t>Darling, D. ,2005. Improving minority student achievement by making cultural connections. Middle Ground, 36(5), 46–50.</w:t>
      </w:r>
    </w:p>
    <w:p w14:paraId="2CE739EB"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Dart, B., Boulton-Lewis, G. and Biggs, J., 1997. </w:t>
      </w:r>
      <w:r w:rsidRPr="00C377C8">
        <w:rPr>
          <w:rStyle w:val="selectable"/>
          <w:i/>
          <w:iCs/>
          <w:color w:val="000000" w:themeColor="text1"/>
        </w:rPr>
        <w:t>Teaching and Learning In Higher Education</w:t>
      </w:r>
      <w:r w:rsidRPr="00C377C8">
        <w:rPr>
          <w:rStyle w:val="selectable"/>
          <w:color w:val="000000" w:themeColor="text1"/>
        </w:rPr>
        <w:t>. Camberwell, Vic.: Australian Council for Educational Research.</w:t>
      </w:r>
    </w:p>
    <w:p w14:paraId="3DA5BB6C"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Dascal, M., 2003. </w:t>
      </w:r>
      <w:r w:rsidRPr="00C377C8">
        <w:rPr>
          <w:rFonts w:eastAsia="Times New Roman"/>
          <w:i/>
          <w:iCs/>
          <w:color w:val="000000" w:themeColor="text1"/>
          <w:lang w:eastAsia="en-GB"/>
        </w:rPr>
        <w:t>Interpretation and understanding</w:t>
      </w:r>
      <w:r w:rsidRPr="00C377C8">
        <w:rPr>
          <w:rFonts w:eastAsia="Times New Roman"/>
          <w:color w:val="000000" w:themeColor="text1"/>
          <w:lang w:eastAsia="en-GB"/>
        </w:rPr>
        <w:t>. Amsterdam: John Benjamins Pub.</w:t>
      </w:r>
    </w:p>
    <w:p w14:paraId="1A13E9EA"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Davary, B., 2016. The Study Quran: A New Translation and Commentary. </w:t>
      </w:r>
      <w:r w:rsidRPr="00C377C8">
        <w:rPr>
          <w:rFonts w:eastAsia="Times New Roman"/>
          <w:i/>
          <w:iCs/>
          <w:color w:val="000000" w:themeColor="text1"/>
          <w:lang w:eastAsia="en-GB"/>
        </w:rPr>
        <w:t>Horizons</w:t>
      </w:r>
      <w:r w:rsidRPr="00C377C8">
        <w:rPr>
          <w:rFonts w:eastAsia="Times New Roman"/>
          <w:color w:val="000000" w:themeColor="text1"/>
          <w:lang w:eastAsia="en-GB"/>
        </w:rPr>
        <w:t>, 43(2), pp.397-401.</w:t>
      </w:r>
    </w:p>
    <w:p w14:paraId="09017B05" w14:textId="77777777" w:rsidR="00FB6B91" w:rsidRPr="00C377C8" w:rsidRDefault="00FB6B91" w:rsidP="00F1408E">
      <w:pPr>
        <w:ind w:left="2268"/>
        <w:rPr>
          <w:rFonts w:ascii="Calibri" w:eastAsia="Calibri" w:hAnsi="Calibri" w:cs="Times New Roman"/>
          <w:color w:val="000000" w:themeColor="text1"/>
        </w:rPr>
      </w:pPr>
      <w:r w:rsidRPr="00C377C8">
        <w:rPr>
          <w:rFonts w:ascii="Calibri" w:eastAsia="Calibri" w:hAnsi="Calibri" w:cs="Times New Roman"/>
          <w:color w:val="000000" w:themeColor="text1"/>
        </w:rPr>
        <w:t>Davies, Margaret, 1990. Literary Criticismî, A Dictionary of Biblical Interpretation ed. by R. J. Coggins, London, p. 404.</w:t>
      </w:r>
    </w:p>
    <w:p w14:paraId="18D92D76"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Davis, K., 1999. </w:t>
      </w:r>
      <w:r w:rsidRPr="00C377C8">
        <w:rPr>
          <w:rStyle w:val="selectable"/>
          <w:i/>
          <w:iCs/>
          <w:color w:val="000000" w:themeColor="text1"/>
        </w:rPr>
        <w:t>Foreign language teaching &amp; language minority education</w:t>
      </w:r>
      <w:r w:rsidRPr="00C377C8">
        <w:rPr>
          <w:rStyle w:val="selectable"/>
          <w:color w:val="000000" w:themeColor="text1"/>
        </w:rPr>
        <w:t>. Honolulu, HI: Second Language Teaching &amp; Curriculum Center, University of Hawai'i at Manoa.</w:t>
      </w:r>
    </w:p>
    <w:p w14:paraId="5EB1B5A6" w14:textId="77777777" w:rsidR="00FB6B91" w:rsidRPr="00C377C8" w:rsidRDefault="00FB6B91" w:rsidP="00461178">
      <w:pPr>
        <w:spacing w:line="360" w:lineRule="auto"/>
        <w:ind w:left="2268"/>
        <w:rPr>
          <w:color w:val="000000" w:themeColor="text1"/>
        </w:rPr>
      </w:pPr>
      <w:r w:rsidRPr="00C377C8">
        <w:rPr>
          <w:color w:val="000000" w:themeColor="text1"/>
        </w:rPr>
        <w:t xml:space="preserve">De Sanchez, M., 1995. Using critical-thinking principles as a guide to college-level instruction. MA: Teach Psychol 22: 72-74. </w:t>
      </w:r>
    </w:p>
    <w:p w14:paraId="62927A78"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De Vries, B., 2018. Resonating with reflexive design: On participatory design, narrative research and crystallization. </w:t>
      </w:r>
      <w:r w:rsidRPr="00C377C8">
        <w:rPr>
          <w:rStyle w:val="selectable"/>
          <w:i/>
          <w:iCs/>
          <w:color w:val="000000" w:themeColor="text1"/>
        </w:rPr>
        <w:t>EDeR. Educational Design Research</w:t>
      </w:r>
      <w:r w:rsidRPr="00C377C8">
        <w:rPr>
          <w:rStyle w:val="selectable"/>
          <w:color w:val="000000" w:themeColor="text1"/>
        </w:rPr>
        <w:t>, 2(1).</w:t>
      </w:r>
    </w:p>
    <w:p w14:paraId="28712D47"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Denos, C., 2009. </w:t>
      </w:r>
      <w:r w:rsidRPr="00C377C8">
        <w:rPr>
          <w:rStyle w:val="selectable"/>
          <w:i/>
          <w:iCs/>
          <w:color w:val="000000" w:themeColor="text1"/>
        </w:rPr>
        <w:t>Collaborative research in multilingual classrooms</w:t>
      </w:r>
      <w:r w:rsidRPr="00C377C8">
        <w:rPr>
          <w:rStyle w:val="selectable"/>
          <w:color w:val="000000" w:themeColor="text1"/>
        </w:rPr>
        <w:t>. Bristol: Multilingual Matters.</w:t>
      </w:r>
    </w:p>
    <w:p w14:paraId="18E2D4E9"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Denzin, N. and Lincoln, Y., 2005. </w:t>
      </w:r>
      <w:r w:rsidRPr="00C377C8">
        <w:rPr>
          <w:i/>
          <w:iCs/>
          <w:color w:val="000000" w:themeColor="text1"/>
          <w:shd w:val="clear" w:color="auto" w:fill="FFFFFF"/>
        </w:rPr>
        <w:t>The SAGE handbook of qualitative research</w:t>
      </w:r>
      <w:r w:rsidRPr="00C377C8">
        <w:rPr>
          <w:color w:val="000000" w:themeColor="text1"/>
          <w:shd w:val="clear" w:color="auto" w:fill="FFFFFF"/>
        </w:rPr>
        <w:t>. Thousand Oaks: Sage Publications.</w:t>
      </w:r>
    </w:p>
    <w:p w14:paraId="510EB97F"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 xml:space="preserve">Denzin, Norman, k and Lincoln, Yvonna. S., 1994. Handbook of qualitative research. London: Sage Publications. </w:t>
      </w:r>
    </w:p>
    <w:p w14:paraId="3CEF2896"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rPr>
        <w:t>Department for Education and Skills (then DCSF). 2009. Schools, Pupils andTheir Characteristics. SFR08/2009</w:t>
      </w:r>
    </w:p>
    <w:p w14:paraId="3DF4C81A"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Derrida, J., Cherif, M., Fagan, T. and Borradori, G., 2008. </w:t>
      </w:r>
      <w:r w:rsidRPr="00C377C8">
        <w:rPr>
          <w:rStyle w:val="selectable"/>
          <w:i/>
          <w:iCs/>
          <w:color w:val="000000" w:themeColor="text1"/>
        </w:rPr>
        <w:t>Islam And The West</w:t>
      </w:r>
      <w:r w:rsidRPr="00C377C8">
        <w:rPr>
          <w:rStyle w:val="selectable"/>
          <w:color w:val="000000" w:themeColor="text1"/>
        </w:rPr>
        <w:t>. Chicago: University of Chicago Press.</w:t>
      </w:r>
    </w:p>
    <w:p w14:paraId="72AD5D77"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Detmer, D., 2013. </w:t>
      </w:r>
      <w:r w:rsidRPr="00C377C8">
        <w:rPr>
          <w:rStyle w:val="selectable"/>
          <w:i/>
          <w:iCs/>
          <w:color w:val="000000" w:themeColor="text1"/>
        </w:rPr>
        <w:t>Phenomenology explained</w:t>
      </w:r>
      <w:r w:rsidRPr="00C377C8">
        <w:rPr>
          <w:rStyle w:val="selectable"/>
          <w:color w:val="000000" w:themeColor="text1"/>
        </w:rPr>
        <w:t>. Chicago, IL: Open Court Publishing Company.</w:t>
      </w:r>
    </w:p>
    <w:p w14:paraId="7FE79E21" w14:textId="77777777" w:rsidR="00FB6B91" w:rsidRPr="00C377C8" w:rsidRDefault="00FB6B91" w:rsidP="00461178">
      <w:pPr>
        <w:spacing w:line="360" w:lineRule="auto"/>
        <w:ind w:left="2268"/>
        <w:rPr>
          <w:color w:val="000000" w:themeColor="text1"/>
        </w:rPr>
      </w:pPr>
      <w:r w:rsidRPr="00C377C8">
        <w:rPr>
          <w:color w:val="000000" w:themeColor="text1"/>
          <w:shd w:val="clear" w:color="auto" w:fill="FFFFFF"/>
        </w:rPr>
        <w:t>Devito., 1997. </w:t>
      </w:r>
      <w:r w:rsidRPr="00C377C8">
        <w:rPr>
          <w:i/>
          <w:iCs/>
          <w:color w:val="000000" w:themeColor="text1"/>
          <w:shd w:val="clear" w:color="auto" w:fill="FFFFFF"/>
        </w:rPr>
        <w:t>Interpersonal communication</w:t>
      </w:r>
      <w:r w:rsidRPr="00C377C8">
        <w:rPr>
          <w:color w:val="000000" w:themeColor="text1"/>
          <w:shd w:val="clear" w:color="auto" w:fill="FFFFFF"/>
        </w:rPr>
        <w:t>. Canada: Addison-Wesley.</w:t>
      </w:r>
    </w:p>
    <w:p w14:paraId="73AA5A96"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Dewey, O., 2013. </w:t>
      </w:r>
      <w:r w:rsidRPr="00C377C8">
        <w:rPr>
          <w:rStyle w:val="selectable"/>
          <w:i/>
          <w:iCs/>
          <w:color w:val="000000" w:themeColor="text1"/>
        </w:rPr>
        <w:t>Discourses on human nature, human life, and the nature of religion</w:t>
      </w:r>
      <w:r w:rsidRPr="00C377C8">
        <w:rPr>
          <w:rStyle w:val="selectable"/>
          <w:color w:val="000000" w:themeColor="text1"/>
        </w:rPr>
        <w:t>. [Place of publication not identified]: Theclassics Us, p.London.</w:t>
      </w:r>
    </w:p>
    <w:p w14:paraId="69621D68" w14:textId="77777777" w:rsidR="00FB6B91" w:rsidRPr="00C377C8" w:rsidRDefault="00FB6B91" w:rsidP="00461178">
      <w:pPr>
        <w:spacing w:line="360" w:lineRule="auto"/>
        <w:ind w:left="2268"/>
        <w:rPr>
          <w:color w:val="000000" w:themeColor="text1"/>
        </w:rPr>
      </w:pPr>
      <w:r w:rsidRPr="00C377C8">
        <w:rPr>
          <w:color w:val="000000" w:themeColor="text1"/>
        </w:rPr>
        <w:t>Dhillon, J. and Wanjiru, J., 2013. Challenges and Strategies for Teachers and Learners of English as a Second Language: The Case of an Urban Primary School in Kenya. </w:t>
      </w:r>
      <w:r w:rsidRPr="00C377C8">
        <w:rPr>
          <w:i/>
          <w:iCs/>
          <w:color w:val="000000" w:themeColor="text1"/>
        </w:rPr>
        <w:t>International Journal of English Linguistics</w:t>
      </w:r>
      <w:r w:rsidRPr="00C377C8">
        <w:rPr>
          <w:color w:val="000000" w:themeColor="text1"/>
        </w:rPr>
        <w:t>, 3(2).</w:t>
      </w:r>
    </w:p>
    <w:p w14:paraId="740F14CA"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Diamond, R., 2013. </w:t>
      </w:r>
      <w:r w:rsidRPr="00C377C8">
        <w:rPr>
          <w:rStyle w:val="selectable"/>
          <w:i/>
          <w:iCs/>
          <w:color w:val="000000" w:themeColor="text1"/>
        </w:rPr>
        <w:t>Designing and assessing courses and curricula</w:t>
      </w:r>
      <w:r w:rsidRPr="00C377C8">
        <w:rPr>
          <w:rStyle w:val="selectable"/>
          <w:color w:val="000000" w:themeColor="text1"/>
        </w:rPr>
        <w:t>. San Francisco, Calif.: Jossey-Bass.</w:t>
      </w:r>
    </w:p>
    <w:p w14:paraId="019D8CD0"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Dillon, M., 2004. </w:t>
      </w:r>
      <w:r w:rsidRPr="00C377C8">
        <w:rPr>
          <w:i/>
          <w:iCs/>
          <w:color w:val="000000" w:themeColor="text1"/>
          <w:shd w:val="clear" w:color="auto" w:fill="FFFFFF"/>
        </w:rPr>
        <w:t>Handbook of the sociology of religion</w:t>
      </w:r>
      <w:r w:rsidRPr="00C377C8">
        <w:rPr>
          <w:color w:val="000000" w:themeColor="text1"/>
          <w:shd w:val="clear" w:color="auto" w:fill="FFFFFF"/>
        </w:rPr>
        <w:t>. Cambridge (GB): Cambridge University Press.</w:t>
      </w:r>
    </w:p>
    <w:p w14:paraId="142FABC2" w14:textId="77777777" w:rsidR="00FB6B91" w:rsidRPr="00C377C8" w:rsidRDefault="00FB6B91" w:rsidP="00461178">
      <w:pPr>
        <w:spacing w:line="360" w:lineRule="auto"/>
        <w:ind w:left="2268"/>
        <w:rPr>
          <w:color w:val="000000" w:themeColor="text1"/>
        </w:rPr>
      </w:pPr>
      <w:r w:rsidRPr="00C377C8">
        <w:rPr>
          <w:color w:val="000000" w:themeColor="text1"/>
        </w:rPr>
        <w:t>Domegan, C. &amp; Fleming, D. ,2003,  Marketing Research in Ireland: Theory and Practice, (2nd Ed.), Gill and MacMillan: Dublin</w:t>
      </w:r>
    </w:p>
    <w:p w14:paraId="03DCDAB1"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Door, V. ,2014. </w:t>
      </w:r>
      <w:r w:rsidRPr="00C377C8">
        <w:rPr>
          <w:i/>
          <w:iCs/>
          <w:color w:val="000000" w:themeColor="text1"/>
          <w:shd w:val="clear" w:color="auto" w:fill="FFFFFF"/>
        </w:rPr>
        <w:t>Developing creative and critical educational practitioners</w:t>
      </w:r>
      <w:r w:rsidRPr="00C377C8">
        <w:rPr>
          <w:color w:val="000000" w:themeColor="text1"/>
          <w:shd w:val="clear" w:color="auto" w:fill="FFFFFF"/>
        </w:rPr>
        <w:t>. Northwich: critical publishing limited.</w:t>
      </w:r>
    </w:p>
    <w:p w14:paraId="4ABE7388" w14:textId="77777777" w:rsidR="00FB6B91" w:rsidRPr="00C377C8" w:rsidRDefault="00FB6B91" w:rsidP="00461178">
      <w:pPr>
        <w:spacing w:line="360" w:lineRule="auto"/>
        <w:ind w:left="2268"/>
        <w:rPr>
          <w:color w:val="000000" w:themeColor="text1"/>
        </w:rPr>
      </w:pPr>
      <w:r w:rsidRPr="00C377C8">
        <w:rPr>
          <w:color w:val="000000" w:themeColor="text1"/>
        </w:rPr>
        <w:t>Dorchester Curriculum Group., 2013. </w:t>
      </w:r>
      <w:r w:rsidRPr="00C377C8">
        <w:rPr>
          <w:i/>
          <w:iCs/>
          <w:color w:val="000000" w:themeColor="text1"/>
        </w:rPr>
        <w:t>Towards A Curriculum For All</w:t>
      </w:r>
      <w:r w:rsidRPr="00C377C8">
        <w:rPr>
          <w:color w:val="000000" w:themeColor="text1"/>
        </w:rPr>
        <w:t>. Hoboken: Taylor and Francis.</w:t>
      </w:r>
    </w:p>
    <w:p w14:paraId="07630595"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Duncan, M., 1918. </w:t>
      </w:r>
      <w:r w:rsidRPr="00C377C8">
        <w:rPr>
          <w:rStyle w:val="selectable"/>
          <w:i/>
          <w:iCs/>
          <w:color w:val="000000" w:themeColor="text1"/>
        </w:rPr>
        <w:t>Effective teaching</w:t>
      </w:r>
      <w:r w:rsidRPr="00C377C8">
        <w:rPr>
          <w:rStyle w:val="selectable"/>
          <w:color w:val="000000" w:themeColor="text1"/>
        </w:rPr>
        <w:t>. Amarillo, Tex.: Russell &amp; Cockrell.</w:t>
      </w:r>
    </w:p>
    <w:p w14:paraId="7CD9E6C3"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Dunn, D., Halonen, J. and Smith, R., 2009. </w:t>
      </w:r>
      <w:r w:rsidRPr="00C377C8">
        <w:rPr>
          <w:rStyle w:val="selectable"/>
          <w:i/>
          <w:iCs/>
          <w:color w:val="000000" w:themeColor="text1"/>
        </w:rPr>
        <w:t>Teaching critical thinking in psychology</w:t>
      </w:r>
      <w:r w:rsidRPr="00C377C8">
        <w:rPr>
          <w:rStyle w:val="selectable"/>
          <w:color w:val="000000" w:themeColor="text1"/>
        </w:rPr>
        <w:t>. Malden, MA: Wiley-Blackwell.</w:t>
      </w:r>
    </w:p>
    <w:p w14:paraId="4E76CB8A"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Dunne, R. and Wragg, E. (1994). </w:t>
      </w:r>
      <w:r w:rsidRPr="00C377C8">
        <w:rPr>
          <w:rStyle w:val="selectable"/>
          <w:i/>
          <w:iCs/>
          <w:color w:val="000000" w:themeColor="text1"/>
        </w:rPr>
        <w:t>Effective teaching</w:t>
      </w:r>
      <w:r w:rsidRPr="00C377C8">
        <w:rPr>
          <w:rStyle w:val="selectable"/>
          <w:color w:val="000000" w:themeColor="text1"/>
        </w:rPr>
        <w:t>. London: Routledge</w:t>
      </w:r>
    </w:p>
    <w:p w14:paraId="3E6B3AFC" w14:textId="77777777" w:rsidR="00FB6B91" w:rsidRPr="00C377C8" w:rsidRDefault="00FB6B91" w:rsidP="00F1408E">
      <w:pPr>
        <w:ind w:left="2268"/>
        <w:jc w:val="both"/>
        <w:rPr>
          <w:rFonts w:ascii="Open Sans" w:eastAsia="Calibri" w:hAnsi="Open Sans" w:cs="Open Sans"/>
          <w:color w:val="000000" w:themeColor="text1"/>
          <w:sz w:val="20"/>
          <w:szCs w:val="20"/>
          <w:shd w:val="clear" w:color="auto" w:fill="FFFFFF"/>
        </w:rPr>
      </w:pPr>
      <w:r w:rsidRPr="00C377C8">
        <w:rPr>
          <w:rFonts w:ascii="Open Sans" w:eastAsia="Calibri" w:hAnsi="Open Sans" w:cs="Open Sans"/>
          <w:color w:val="000000" w:themeColor="text1"/>
          <w:sz w:val="20"/>
          <w:szCs w:val="20"/>
          <w:shd w:val="clear" w:color="auto" w:fill="FFFFFF"/>
        </w:rPr>
        <w:t>Dwyer, S. and Buckle, J., 2009. The Space Between: On Being an Insider-Outsider in Qualitative Research. </w:t>
      </w:r>
      <w:r w:rsidRPr="00C377C8">
        <w:rPr>
          <w:rFonts w:ascii="Open Sans" w:eastAsia="Calibri" w:hAnsi="Open Sans" w:cs="Open Sans"/>
          <w:i/>
          <w:iCs/>
          <w:color w:val="000000" w:themeColor="text1"/>
          <w:sz w:val="20"/>
          <w:szCs w:val="20"/>
          <w:shd w:val="clear" w:color="auto" w:fill="FFFFFF"/>
        </w:rPr>
        <w:t>International Journal of Qualitative Methods</w:t>
      </w:r>
      <w:r w:rsidRPr="00C377C8">
        <w:rPr>
          <w:rFonts w:ascii="Open Sans" w:eastAsia="Calibri" w:hAnsi="Open Sans" w:cs="Open Sans"/>
          <w:color w:val="000000" w:themeColor="text1"/>
          <w:sz w:val="20"/>
          <w:szCs w:val="20"/>
          <w:shd w:val="clear" w:color="auto" w:fill="FFFFFF"/>
        </w:rPr>
        <w:t>, 8(1), pp.54-63.</w:t>
      </w:r>
    </w:p>
    <w:p w14:paraId="32C2A4D2"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Dymoke, S. and Harrison, J., 2008. </w:t>
      </w:r>
      <w:r w:rsidRPr="00C377C8">
        <w:rPr>
          <w:rStyle w:val="selectable"/>
          <w:i/>
          <w:iCs/>
          <w:color w:val="000000" w:themeColor="text1"/>
        </w:rPr>
        <w:t>Reflective Teaching And Learning</w:t>
      </w:r>
      <w:r w:rsidRPr="00C377C8">
        <w:rPr>
          <w:rStyle w:val="selectable"/>
          <w:color w:val="000000" w:themeColor="text1"/>
        </w:rPr>
        <w:t>. Los Angeles: SAGE.</w:t>
      </w:r>
    </w:p>
    <w:p w14:paraId="7039ECDE"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Eales, L. (2017). </w:t>
      </w:r>
      <w:r w:rsidRPr="00C377C8">
        <w:rPr>
          <w:rStyle w:val="selectable"/>
          <w:i/>
          <w:iCs/>
          <w:color w:val="000000" w:themeColor="text1"/>
        </w:rPr>
        <w:t>Critical Thinking Skills For Education Students</w:t>
      </w:r>
      <w:r w:rsidRPr="00C377C8">
        <w:rPr>
          <w:rStyle w:val="selectable"/>
          <w:color w:val="000000" w:themeColor="text1"/>
        </w:rPr>
        <w:t>. Los Angels : Sage Publications</w:t>
      </w:r>
    </w:p>
    <w:p w14:paraId="79410605" w14:textId="77777777" w:rsidR="00FB6B91" w:rsidRPr="00C377C8" w:rsidRDefault="00FB6B91" w:rsidP="00461178">
      <w:pPr>
        <w:spacing w:line="360" w:lineRule="auto"/>
        <w:ind w:left="2268"/>
        <w:rPr>
          <w:rStyle w:val="selectable"/>
          <w:color w:val="000000" w:themeColor="text1"/>
        </w:rPr>
      </w:pPr>
      <w:r w:rsidRPr="00C377C8">
        <w:rPr>
          <w:color w:val="000000" w:themeColor="text1"/>
        </w:rPr>
        <w:t>Eales-Reynolds</w:t>
      </w:r>
      <w:r w:rsidRPr="00C377C8">
        <w:rPr>
          <w:bCs/>
          <w:color w:val="000000" w:themeColor="text1"/>
        </w:rPr>
        <w:t>,</w:t>
      </w:r>
      <w:r w:rsidRPr="00C377C8">
        <w:rPr>
          <w:color w:val="000000" w:themeColor="text1"/>
        </w:rPr>
        <w:t xml:space="preserve"> L., 2017. </w:t>
      </w:r>
      <w:r w:rsidRPr="00C377C8">
        <w:rPr>
          <w:i/>
          <w:iCs/>
          <w:color w:val="000000" w:themeColor="text1"/>
        </w:rPr>
        <w:t>Critical Thinking Skills for Education Students</w:t>
      </w:r>
      <w:r w:rsidRPr="00C377C8">
        <w:rPr>
          <w:color w:val="000000" w:themeColor="text1"/>
        </w:rPr>
        <w:t>. Los Angeles: sage Publications.</w:t>
      </w:r>
    </w:p>
    <w:p w14:paraId="4E90D3F1"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Easton, C., 2019. </w:t>
      </w:r>
      <w:r w:rsidRPr="00C377C8">
        <w:rPr>
          <w:rStyle w:val="selectable"/>
          <w:i/>
          <w:iCs/>
          <w:color w:val="000000" w:themeColor="text1"/>
        </w:rPr>
        <w:t>Critical religious education in practice</w:t>
      </w:r>
      <w:r w:rsidRPr="00C377C8">
        <w:rPr>
          <w:rStyle w:val="selectable"/>
          <w:color w:val="000000" w:themeColor="text1"/>
        </w:rPr>
        <w:t>. New York: Taylors and Francis.</w:t>
      </w:r>
    </w:p>
    <w:p w14:paraId="251FB492" w14:textId="77777777" w:rsidR="00FB6B91" w:rsidRPr="00C377C8" w:rsidRDefault="00FB6B91" w:rsidP="00461178">
      <w:pPr>
        <w:spacing w:line="360" w:lineRule="auto"/>
        <w:ind w:left="2268"/>
        <w:rPr>
          <w:rFonts w:eastAsia="Times New Roman"/>
          <w:color w:val="000000" w:themeColor="text1"/>
          <w:shd w:val="clear" w:color="auto" w:fill="FFFFFF"/>
        </w:rPr>
      </w:pPr>
      <w:r w:rsidRPr="00C377C8">
        <w:rPr>
          <w:rFonts w:eastAsia="Times New Roman"/>
          <w:color w:val="000000" w:themeColor="text1"/>
          <w:shd w:val="clear" w:color="auto" w:fill="FFFFFF"/>
        </w:rPr>
        <w:t>Ebbiary, A., 2017. A Tale of Two Colleges: ‘Rehab’ and Rewriting the Islamic Curriculum. </w:t>
      </w:r>
      <w:r w:rsidRPr="00C377C8">
        <w:rPr>
          <w:rFonts w:eastAsia="Times New Roman"/>
          <w:i/>
          <w:iCs/>
          <w:color w:val="000000" w:themeColor="text1"/>
          <w:shd w:val="clear" w:color="auto" w:fill="FFFFFF"/>
        </w:rPr>
        <w:t>University of Leiden</w:t>
      </w:r>
      <w:r w:rsidRPr="00C377C8">
        <w:rPr>
          <w:rFonts w:eastAsia="Times New Roman"/>
          <w:color w:val="000000" w:themeColor="text1"/>
          <w:shd w:val="clear" w:color="auto" w:fill="FFFFFF"/>
        </w:rPr>
        <w:t>,</w:t>
      </w:r>
    </w:p>
    <w:p w14:paraId="4C5F0DB8" w14:textId="77777777" w:rsidR="00FB6B91" w:rsidRPr="00C377C8" w:rsidRDefault="00FB6B91" w:rsidP="00461178">
      <w:pPr>
        <w:spacing w:line="360" w:lineRule="auto"/>
        <w:ind w:left="2268"/>
        <w:rPr>
          <w:rStyle w:val="selectable"/>
          <w:color w:val="000000" w:themeColor="text1"/>
          <w:lang w:val="en-US"/>
        </w:rPr>
      </w:pPr>
      <w:r w:rsidRPr="00C377C8">
        <w:rPr>
          <w:color w:val="000000" w:themeColor="text1"/>
          <w:lang w:val="en-US"/>
        </w:rPr>
        <w:t>Edwards, H., Smith, B. and Webb, G., 2012. </w:t>
      </w:r>
      <w:r w:rsidRPr="00C377C8">
        <w:rPr>
          <w:i/>
          <w:iCs/>
          <w:color w:val="000000" w:themeColor="text1"/>
          <w:lang w:val="en-US"/>
        </w:rPr>
        <w:t>Lecturing</w:t>
      </w:r>
      <w:r w:rsidRPr="00C377C8">
        <w:rPr>
          <w:color w:val="000000" w:themeColor="text1"/>
          <w:lang w:val="en-US"/>
        </w:rPr>
        <w:t>. london: Routledge.</w:t>
      </w:r>
    </w:p>
    <w:p w14:paraId="759E2D06"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Edwards-Groves, C., Bull, G. and Anstey, M., 2014. </w:t>
      </w:r>
      <w:r w:rsidRPr="00C377C8">
        <w:rPr>
          <w:rFonts w:eastAsia="Times New Roman"/>
          <w:i/>
          <w:iCs/>
          <w:color w:val="000000" w:themeColor="text1"/>
          <w:lang w:eastAsia="en-GB"/>
        </w:rPr>
        <w:t>Classroom Talk</w:t>
      </w:r>
      <w:r w:rsidRPr="00C377C8">
        <w:rPr>
          <w:rFonts w:eastAsia="Times New Roman"/>
          <w:color w:val="000000" w:themeColor="text1"/>
          <w:lang w:eastAsia="en-GB"/>
        </w:rPr>
        <w:t>. Newtown, NSW: PETAA.</w:t>
      </w:r>
    </w:p>
    <w:p w14:paraId="50322F92"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Effingham, N., 2013. </w:t>
      </w:r>
      <w:r w:rsidRPr="00C377C8">
        <w:rPr>
          <w:rStyle w:val="selectable"/>
          <w:i/>
          <w:iCs/>
          <w:color w:val="000000" w:themeColor="text1"/>
        </w:rPr>
        <w:t>An introduction to ontology</w:t>
      </w:r>
      <w:r w:rsidRPr="00C377C8">
        <w:rPr>
          <w:rStyle w:val="selectable"/>
          <w:color w:val="000000" w:themeColor="text1"/>
        </w:rPr>
        <w:t>. Cambridge: Polity Press.</w:t>
      </w:r>
    </w:p>
    <w:p w14:paraId="3057DF90" w14:textId="77777777" w:rsidR="00FB6B91" w:rsidRPr="00C377C8" w:rsidRDefault="00FB6B91" w:rsidP="00461178">
      <w:pPr>
        <w:spacing w:line="360" w:lineRule="auto"/>
        <w:ind w:left="2268"/>
        <w:rPr>
          <w:rStyle w:val="selectable"/>
          <w:rFonts w:eastAsia="Times New Roman"/>
          <w:color w:val="000000" w:themeColor="text1"/>
          <w:lang w:eastAsia="en-GB"/>
        </w:rPr>
      </w:pPr>
      <w:r w:rsidRPr="00C377C8">
        <w:rPr>
          <w:rFonts w:eastAsia="Times New Roman"/>
          <w:color w:val="000000" w:themeColor="text1"/>
          <w:lang w:eastAsia="en-GB"/>
        </w:rPr>
        <w:t>Efron, S. and Ravid, R. (2019). </w:t>
      </w:r>
      <w:r w:rsidRPr="00C377C8">
        <w:rPr>
          <w:rFonts w:eastAsia="Times New Roman"/>
          <w:i/>
          <w:iCs/>
          <w:color w:val="000000" w:themeColor="text1"/>
          <w:lang w:eastAsia="en-GB"/>
        </w:rPr>
        <w:t>Writing the literature review</w:t>
      </w:r>
      <w:r w:rsidRPr="00C377C8">
        <w:rPr>
          <w:rFonts w:eastAsia="Times New Roman"/>
          <w:color w:val="000000" w:themeColor="text1"/>
          <w:lang w:eastAsia="en-GB"/>
        </w:rPr>
        <w:t>. london: The Guildford Press.</w:t>
      </w:r>
    </w:p>
    <w:p w14:paraId="362863E4" w14:textId="77777777" w:rsidR="00FB6B91" w:rsidRPr="00C377C8" w:rsidRDefault="00FB6B91" w:rsidP="00461178">
      <w:pPr>
        <w:spacing w:line="360" w:lineRule="auto"/>
        <w:ind w:left="2268"/>
        <w:rPr>
          <w:rStyle w:val="Strong"/>
          <w:b w:val="0"/>
          <w:color w:val="000000" w:themeColor="text1"/>
          <w:lang w:val="en-US"/>
        </w:rPr>
      </w:pPr>
      <w:r w:rsidRPr="00C377C8">
        <w:rPr>
          <w:rStyle w:val="selectable"/>
          <w:color w:val="000000" w:themeColor="text1"/>
        </w:rPr>
        <w:t>Ehly, S. and Topping, K., 2009. </w:t>
      </w:r>
      <w:r w:rsidRPr="00C377C8">
        <w:rPr>
          <w:rStyle w:val="selectable"/>
          <w:i/>
          <w:iCs/>
          <w:color w:val="000000" w:themeColor="text1"/>
        </w:rPr>
        <w:t>Peer-assisted learning</w:t>
      </w:r>
      <w:r w:rsidRPr="00C377C8">
        <w:rPr>
          <w:rStyle w:val="selectable"/>
          <w:color w:val="000000" w:themeColor="text1"/>
        </w:rPr>
        <w:t>. New York: Routledge.</w:t>
      </w:r>
    </w:p>
    <w:p w14:paraId="468CEDBB"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Eid, M. and Ratcliffe, R., 1997. </w:t>
      </w:r>
      <w:r w:rsidRPr="00C377C8">
        <w:rPr>
          <w:rFonts w:eastAsia="Times New Roman"/>
          <w:i/>
          <w:iCs/>
          <w:color w:val="000000" w:themeColor="text1"/>
          <w:lang w:eastAsia="en-GB"/>
        </w:rPr>
        <w:t>Perspectives On Arabic Linguistics</w:t>
      </w:r>
      <w:r w:rsidRPr="00C377C8">
        <w:rPr>
          <w:rFonts w:eastAsia="Times New Roman"/>
          <w:color w:val="000000" w:themeColor="text1"/>
          <w:lang w:eastAsia="en-GB"/>
        </w:rPr>
        <w:t>. Amsterdam: J. Benjamins Pub. Co.</w:t>
      </w:r>
    </w:p>
    <w:p w14:paraId="2788F8D9" w14:textId="77777777" w:rsidR="00FB6B91" w:rsidRPr="00C377C8" w:rsidRDefault="00FB6B91" w:rsidP="00F1408E">
      <w:pPr>
        <w:shd w:val="clear" w:color="auto" w:fill="FFFFFF"/>
        <w:spacing w:after="0" w:line="360" w:lineRule="atLeast"/>
        <w:ind w:left="2268" w:hanging="120"/>
        <w:rPr>
          <w:rFonts w:ascii="Open Sans" w:eastAsia="Times New Roman" w:hAnsi="Open Sans" w:cs="Open Sans"/>
          <w:color w:val="000000" w:themeColor="text1"/>
          <w:sz w:val="20"/>
          <w:szCs w:val="20"/>
          <w:lang w:eastAsia="en-GB"/>
        </w:rPr>
      </w:pPr>
      <w:r w:rsidRPr="00C377C8">
        <w:rPr>
          <w:rFonts w:ascii="Open Sans" w:eastAsia="Times New Roman" w:hAnsi="Open Sans" w:cs="Open Sans"/>
          <w:color w:val="000000" w:themeColor="text1"/>
          <w:sz w:val="20"/>
          <w:szCs w:val="20"/>
          <w:lang w:eastAsia="en-GB"/>
        </w:rPr>
        <w:t>Elder-Vass and Morgan, 2022)</w:t>
      </w:r>
    </w:p>
    <w:p w14:paraId="4CBF7579" w14:textId="77777777" w:rsidR="00FB6B91" w:rsidRPr="00C377C8" w:rsidRDefault="00FB6B91" w:rsidP="00F1408E">
      <w:pPr>
        <w:shd w:val="clear" w:color="auto" w:fill="FFFFFF"/>
        <w:spacing w:after="0" w:line="360" w:lineRule="atLeast"/>
        <w:ind w:left="2268" w:hanging="120"/>
        <w:rPr>
          <w:rFonts w:ascii="Open Sans" w:eastAsia="Times New Roman" w:hAnsi="Open Sans" w:cs="Open Sans"/>
          <w:color w:val="000000" w:themeColor="text1"/>
          <w:sz w:val="20"/>
          <w:szCs w:val="20"/>
          <w:lang w:eastAsia="en-GB"/>
        </w:rPr>
      </w:pPr>
      <w:r w:rsidRPr="00C377C8">
        <w:rPr>
          <w:rFonts w:ascii="Open Sans" w:eastAsia="Times New Roman" w:hAnsi="Open Sans" w:cs="Open Sans"/>
          <w:color w:val="000000" w:themeColor="text1"/>
          <w:sz w:val="20"/>
          <w:szCs w:val="20"/>
          <w:lang w:eastAsia="en-GB"/>
        </w:rPr>
        <w:t>Elder-Vass, D. and Morgan, J., 2022. ‘Materially social’ critical realism: an interview with Dave Elder-Vass. </w:t>
      </w:r>
      <w:r w:rsidRPr="00C377C8">
        <w:rPr>
          <w:rFonts w:ascii="Open Sans" w:eastAsia="Times New Roman" w:hAnsi="Open Sans" w:cs="Open Sans"/>
          <w:i/>
          <w:iCs/>
          <w:color w:val="000000" w:themeColor="text1"/>
          <w:sz w:val="20"/>
          <w:szCs w:val="20"/>
          <w:lang w:eastAsia="en-GB"/>
        </w:rPr>
        <w:t>Journal of Critical Realism</w:t>
      </w:r>
      <w:r w:rsidRPr="00C377C8">
        <w:rPr>
          <w:rFonts w:ascii="Open Sans" w:eastAsia="Times New Roman" w:hAnsi="Open Sans" w:cs="Open Sans"/>
          <w:color w:val="000000" w:themeColor="text1"/>
          <w:sz w:val="20"/>
          <w:szCs w:val="20"/>
          <w:lang w:eastAsia="en-GB"/>
        </w:rPr>
        <w:t>, pp.1-36.</w:t>
      </w:r>
    </w:p>
    <w:p w14:paraId="680A7839" w14:textId="77777777" w:rsidR="00FB6B91" w:rsidRPr="00C377C8" w:rsidRDefault="00FB6B91" w:rsidP="00461178">
      <w:pPr>
        <w:spacing w:line="360" w:lineRule="auto"/>
        <w:ind w:left="2268"/>
        <w:rPr>
          <w:color w:val="000000" w:themeColor="text1"/>
        </w:rPr>
      </w:pPr>
      <w:r w:rsidRPr="00C377C8">
        <w:rPr>
          <w:color w:val="000000" w:themeColor="text1"/>
        </w:rPr>
        <w:t>Elgamri, E., 2008. </w:t>
      </w:r>
      <w:r w:rsidRPr="00C377C8">
        <w:rPr>
          <w:i/>
          <w:iCs/>
          <w:color w:val="000000" w:themeColor="text1"/>
        </w:rPr>
        <w:t>Islam In The British Broadsheets</w:t>
      </w:r>
      <w:r w:rsidRPr="00C377C8">
        <w:rPr>
          <w:color w:val="000000" w:themeColor="text1"/>
        </w:rPr>
        <w:t>. Reading, UK: Ithaca Press.</w:t>
      </w:r>
    </w:p>
    <w:p w14:paraId="74B317AB" w14:textId="77777777" w:rsidR="00FB6B91" w:rsidRPr="00C377C8" w:rsidRDefault="00FB6B91" w:rsidP="00461178">
      <w:pPr>
        <w:spacing w:line="360" w:lineRule="auto"/>
        <w:ind w:left="2268"/>
        <w:rPr>
          <w:color w:val="000000" w:themeColor="text1"/>
        </w:rPr>
      </w:pPr>
      <w:r w:rsidRPr="00C377C8">
        <w:rPr>
          <w:color w:val="000000" w:themeColor="text1"/>
        </w:rPr>
        <w:t xml:space="preserve"> Elliott, D. and Stern, J., 1997. </w:t>
      </w:r>
      <w:r w:rsidRPr="00C377C8">
        <w:rPr>
          <w:i/>
          <w:iCs/>
          <w:color w:val="000000" w:themeColor="text1"/>
        </w:rPr>
        <w:t>Research Ethics</w:t>
      </w:r>
      <w:r w:rsidRPr="00C377C8">
        <w:rPr>
          <w:color w:val="000000" w:themeColor="text1"/>
        </w:rPr>
        <w:t>. Hanover, NH: University Press of New England.</w:t>
      </w:r>
    </w:p>
    <w:p w14:paraId="159FE9B8"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Elliott, J., 2005. </w:t>
      </w:r>
      <w:r w:rsidRPr="00C377C8">
        <w:rPr>
          <w:rStyle w:val="selectable"/>
          <w:i/>
          <w:iCs/>
          <w:color w:val="000000" w:themeColor="text1"/>
        </w:rPr>
        <w:t>Using narrative in social research</w:t>
      </w:r>
      <w:r w:rsidRPr="00C377C8">
        <w:rPr>
          <w:rStyle w:val="selectable"/>
          <w:color w:val="000000" w:themeColor="text1"/>
        </w:rPr>
        <w:t>. London: Sage.</w:t>
      </w:r>
    </w:p>
    <w:p w14:paraId="32D5EF38" w14:textId="77777777" w:rsidR="00FB6B91" w:rsidRPr="00C377C8" w:rsidRDefault="00FB6B91" w:rsidP="00461178">
      <w:pPr>
        <w:spacing w:line="360" w:lineRule="auto"/>
        <w:ind w:left="2268"/>
        <w:rPr>
          <w:color w:val="000000" w:themeColor="text1"/>
        </w:rPr>
      </w:pPr>
      <w:r w:rsidRPr="00C377C8">
        <w:rPr>
          <w:color w:val="000000" w:themeColor="text1"/>
        </w:rPr>
        <w:t>Elton-Chalcraft, S., 2015. </w:t>
      </w:r>
      <w:r w:rsidRPr="00C377C8">
        <w:rPr>
          <w:i/>
          <w:iCs/>
          <w:color w:val="000000" w:themeColor="text1"/>
        </w:rPr>
        <w:t>Teaching Religious Education Creatively</w:t>
      </w:r>
      <w:r w:rsidRPr="00C377C8">
        <w:rPr>
          <w:color w:val="000000" w:themeColor="text1"/>
        </w:rPr>
        <w:t>. Milton Park, Abingdon, Oxon: Routledge.</w:t>
      </w:r>
    </w:p>
    <w:p w14:paraId="5446F3BC"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Elton-Chalcraft, S., Hansen, A. and Twiselton, S., 2008. </w:t>
      </w:r>
      <w:r w:rsidRPr="00C377C8">
        <w:rPr>
          <w:rStyle w:val="selectable"/>
          <w:i/>
          <w:iCs/>
          <w:color w:val="000000" w:themeColor="text1"/>
        </w:rPr>
        <w:t>Doing classroom research</w:t>
      </w:r>
      <w:r w:rsidRPr="00C377C8">
        <w:rPr>
          <w:rStyle w:val="selectable"/>
          <w:color w:val="000000" w:themeColor="text1"/>
        </w:rPr>
        <w:t>. Maidenhead: Open University Press.</w:t>
      </w:r>
    </w:p>
    <w:p w14:paraId="41015C92" w14:textId="77777777" w:rsidR="00FB6B91" w:rsidRPr="00C377C8" w:rsidRDefault="00FB6B91" w:rsidP="00461178">
      <w:pPr>
        <w:spacing w:line="360" w:lineRule="auto"/>
        <w:ind w:left="2268"/>
        <w:rPr>
          <w:color w:val="000000" w:themeColor="text1"/>
        </w:rPr>
      </w:pPr>
      <w:r w:rsidRPr="00C377C8">
        <w:rPr>
          <w:color w:val="000000" w:themeColor="text1"/>
        </w:rPr>
        <w:t xml:space="preserve"> Emaad, B., 2008. Believing women in Islam: Reading Patriarchal Interpretation of the Quran, British Journal of Middle Eastern Studies. 35(3):483-484</w:t>
      </w:r>
    </w:p>
    <w:p w14:paraId="6C492EBE"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Engelland, C., 2020. </w:t>
      </w:r>
      <w:r w:rsidRPr="00C377C8">
        <w:rPr>
          <w:rStyle w:val="selectable"/>
          <w:i/>
          <w:iCs/>
          <w:color w:val="000000" w:themeColor="text1"/>
        </w:rPr>
        <w:t>Phenomenology</w:t>
      </w:r>
      <w:r w:rsidRPr="00C377C8">
        <w:rPr>
          <w:rStyle w:val="selectable"/>
          <w:color w:val="000000" w:themeColor="text1"/>
        </w:rPr>
        <w:t>. Cambridge: MIT Press.</w:t>
      </w:r>
    </w:p>
    <w:p w14:paraId="4E9329D5"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Erasmus-Kritzinger, L., 2007. </w:t>
      </w:r>
      <w:r w:rsidRPr="00C377C8">
        <w:rPr>
          <w:rStyle w:val="selectable"/>
          <w:i/>
          <w:iCs/>
          <w:color w:val="000000" w:themeColor="text1"/>
        </w:rPr>
        <w:t>Introductory Communication</w:t>
      </w:r>
      <w:r w:rsidRPr="00C377C8">
        <w:rPr>
          <w:rStyle w:val="selectable"/>
          <w:color w:val="000000" w:themeColor="text1"/>
        </w:rPr>
        <w:t>. Cape Town: Nasou Via Afrika.</w:t>
      </w:r>
    </w:p>
    <w:p w14:paraId="7EB89F20" w14:textId="77777777" w:rsidR="00FB6B91" w:rsidRPr="00C377C8" w:rsidRDefault="00FB6B91" w:rsidP="00461178">
      <w:pPr>
        <w:spacing w:line="360" w:lineRule="auto"/>
        <w:ind w:left="2268"/>
        <w:rPr>
          <w:color w:val="000000" w:themeColor="text1"/>
          <w:shd w:val="clear" w:color="auto" w:fill="FFFFFF"/>
        </w:rPr>
      </w:pPr>
      <w:r w:rsidRPr="00C377C8">
        <w:rPr>
          <w:rStyle w:val="selectable"/>
          <w:color w:val="000000" w:themeColor="text1"/>
        </w:rPr>
        <w:t>Erickson, G., Minnes Brandes, G., Mitchell, I. and Mitchell, J. (2005). Collaborative teacher learning: Findings from two professional development projects. </w:t>
      </w:r>
      <w:r w:rsidRPr="00C377C8">
        <w:rPr>
          <w:rStyle w:val="selectable"/>
          <w:i/>
          <w:iCs/>
          <w:color w:val="000000" w:themeColor="text1"/>
        </w:rPr>
        <w:t>Teaching and Teacher Education</w:t>
      </w:r>
      <w:r w:rsidRPr="00C377C8">
        <w:rPr>
          <w:rStyle w:val="selectable"/>
          <w:color w:val="000000" w:themeColor="text1"/>
        </w:rPr>
        <w:t>, 21(7), pp.787-798.</w:t>
      </w:r>
    </w:p>
    <w:p w14:paraId="0BBD8B29"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Erlandson, D., 1993. </w:t>
      </w:r>
      <w:r w:rsidRPr="00C377C8">
        <w:rPr>
          <w:i/>
          <w:iCs/>
          <w:color w:val="000000" w:themeColor="text1"/>
          <w:shd w:val="clear" w:color="auto" w:fill="FFFFFF"/>
        </w:rPr>
        <w:t>Doing naturalistic inquiry</w:t>
      </w:r>
      <w:r w:rsidRPr="00C377C8">
        <w:rPr>
          <w:color w:val="000000" w:themeColor="text1"/>
          <w:shd w:val="clear" w:color="auto" w:fill="FFFFFF"/>
        </w:rPr>
        <w:t>. Newbury Park, CA: Sage Publications.</w:t>
      </w:r>
    </w:p>
    <w:p w14:paraId="0190532E"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Erwee, R., Harmes, M., Harmes, M. and Danaher, P., 2019. </w:t>
      </w:r>
      <w:r w:rsidRPr="00C377C8">
        <w:rPr>
          <w:rStyle w:val="selectable"/>
          <w:i/>
          <w:iCs/>
          <w:color w:val="000000" w:themeColor="text1"/>
        </w:rPr>
        <w:t>Postgraduate Education In Higher Education</w:t>
      </w:r>
      <w:r w:rsidRPr="00C377C8">
        <w:rPr>
          <w:rStyle w:val="selectable"/>
          <w:color w:val="000000" w:themeColor="text1"/>
        </w:rPr>
        <w:t>. Singapore: Springer Singapore.</w:t>
      </w:r>
    </w:p>
    <w:p w14:paraId="18D3B06E"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Erwee, R., Harmes, M., Harmes, M. and Danaher, P., 2019. </w:t>
      </w:r>
      <w:r w:rsidRPr="00C377C8">
        <w:rPr>
          <w:rStyle w:val="selectable"/>
          <w:i/>
          <w:iCs/>
          <w:color w:val="000000" w:themeColor="text1"/>
        </w:rPr>
        <w:t>Postgraduate Education In Higher Education</w:t>
      </w:r>
      <w:r w:rsidRPr="00C377C8">
        <w:rPr>
          <w:rStyle w:val="selectable"/>
          <w:color w:val="000000" w:themeColor="text1"/>
        </w:rPr>
        <w:t>. Singapore: Springer Singapore.</w:t>
      </w:r>
    </w:p>
    <w:p w14:paraId="0C241F97"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Eryaman, M. and Bruce, B., 2004. </w:t>
      </w:r>
      <w:r w:rsidRPr="00C377C8">
        <w:rPr>
          <w:rStyle w:val="selectable"/>
          <w:i/>
          <w:iCs/>
          <w:color w:val="000000" w:themeColor="text1"/>
        </w:rPr>
        <w:t>International handbook of progressive education</w:t>
      </w:r>
      <w:r w:rsidRPr="00C377C8">
        <w:rPr>
          <w:rStyle w:val="selectable"/>
          <w:color w:val="000000" w:themeColor="text1"/>
        </w:rPr>
        <w:t>. Berkshire: Open University Press.</w:t>
      </w:r>
    </w:p>
    <w:p w14:paraId="60DCA89A" w14:textId="77777777" w:rsidR="00FB6B91" w:rsidRPr="00C377C8" w:rsidRDefault="00FB6B91" w:rsidP="00F1408E">
      <w:pPr>
        <w:ind w:left="2268"/>
        <w:jc w:val="both"/>
        <w:rPr>
          <w:rFonts w:ascii="Calibri" w:eastAsia="Calibri" w:hAnsi="Calibri" w:cs="Times New Roman"/>
          <w:color w:val="000000" w:themeColor="text1"/>
        </w:rPr>
      </w:pPr>
      <w:r w:rsidRPr="00C377C8">
        <w:rPr>
          <w:rFonts w:ascii="Open Sans" w:eastAsia="Calibri" w:hAnsi="Open Sans" w:cs="Open Sans"/>
          <w:color w:val="000000" w:themeColor="text1"/>
          <w:sz w:val="20"/>
          <w:szCs w:val="20"/>
          <w:shd w:val="clear" w:color="auto" w:fill="FFFFFF"/>
        </w:rPr>
        <w:t>Esack, F., 2006. </w:t>
      </w:r>
      <w:r w:rsidRPr="00C377C8">
        <w:rPr>
          <w:rFonts w:ascii="Open Sans" w:eastAsia="Calibri" w:hAnsi="Open Sans" w:cs="Open Sans"/>
          <w:i/>
          <w:iCs/>
          <w:color w:val="000000" w:themeColor="text1"/>
          <w:sz w:val="20"/>
          <w:szCs w:val="20"/>
          <w:shd w:val="clear" w:color="auto" w:fill="FFFFFF"/>
        </w:rPr>
        <w:t>Qur'an, liberation &amp; pluralism</w:t>
      </w:r>
      <w:r w:rsidRPr="00C377C8">
        <w:rPr>
          <w:rFonts w:ascii="Open Sans" w:eastAsia="Calibri" w:hAnsi="Open Sans" w:cs="Open Sans"/>
          <w:color w:val="000000" w:themeColor="text1"/>
          <w:sz w:val="20"/>
          <w:szCs w:val="20"/>
          <w:shd w:val="clear" w:color="auto" w:fill="FFFFFF"/>
        </w:rPr>
        <w:t>. New Delhi: Viva Books.</w:t>
      </w:r>
    </w:p>
    <w:p w14:paraId="0C3CFBBF" w14:textId="77777777" w:rsidR="00FB6B91" w:rsidRPr="00C377C8" w:rsidRDefault="00FB6B91" w:rsidP="00461178">
      <w:pPr>
        <w:spacing w:line="360" w:lineRule="auto"/>
        <w:ind w:left="2268"/>
        <w:rPr>
          <w:color w:val="000000" w:themeColor="text1"/>
        </w:rPr>
      </w:pPr>
      <w:r w:rsidRPr="00C377C8">
        <w:rPr>
          <w:color w:val="000000" w:themeColor="text1"/>
        </w:rPr>
        <w:t>Esposito, J. and Kalın, I., 2011. </w:t>
      </w:r>
      <w:r w:rsidRPr="00C377C8">
        <w:rPr>
          <w:i/>
          <w:iCs/>
          <w:color w:val="000000" w:themeColor="text1"/>
        </w:rPr>
        <w:t>Islamophobia</w:t>
      </w:r>
      <w:r w:rsidRPr="00C377C8">
        <w:rPr>
          <w:color w:val="000000" w:themeColor="text1"/>
        </w:rPr>
        <w:t>. New York: Oxford University Press.</w:t>
      </w:r>
    </w:p>
    <w:p w14:paraId="1A927773"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Evans, C., Talmon, S. and Sanders, J., 1997. </w:t>
      </w:r>
      <w:r w:rsidRPr="00C377C8">
        <w:rPr>
          <w:rFonts w:eastAsia="Times New Roman"/>
          <w:i/>
          <w:iCs/>
          <w:color w:val="000000" w:themeColor="text1"/>
          <w:lang w:eastAsia="en-GB"/>
        </w:rPr>
        <w:t>The quest for context and meaning</w:t>
      </w:r>
      <w:r w:rsidRPr="00C377C8">
        <w:rPr>
          <w:rFonts w:eastAsia="Times New Roman"/>
          <w:color w:val="000000" w:themeColor="text1"/>
          <w:lang w:eastAsia="en-GB"/>
        </w:rPr>
        <w:t>. Leiden: Brill.</w:t>
      </w:r>
    </w:p>
    <w:p w14:paraId="7FFD3EEE"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Eyers, G. and Hill, M., 2016. Improving Student learning? Research evidence about teacher feedback for improvement in New Zealand schools. </w:t>
      </w:r>
      <w:r w:rsidRPr="00C377C8">
        <w:rPr>
          <w:rStyle w:val="selectable"/>
          <w:i/>
          <w:iCs/>
          <w:color w:val="000000" w:themeColor="text1"/>
        </w:rPr>
        <w:t>Waikato Journal of Education</w:t>
      </w:r>
      <w:r w:rsidRPr="00C377C8">
        <w:rPr>
          <w:rStyle w:val="selectable"/>
          <w:color w:val="000000" w:themeColor="text1"/>
        </w:rPr>
        <w:t>, 10(1).</w:t>
      </w:r>
    </w:p>
    <w:p w14:paraId="31642D98" w14:textId="77777777" w:rsidR="00FB6B91" w:rsidRPr="00C377C8" w:rsidRDefault="00FB6B91" w:rsidP="00F1408E">
      <w:pPr>
        <w:shd w:val="clear" w:color="auto" w:fill="FFFFFF"/>
        <w:spacing w:after="0" w:line="360" w:lineRule="atLeast"/>
        <w:ind w:left="2268" w:hanging="120"/>
        <w:rPr>
          <w:rFonts w:ascii="Open Sans" w:eastAsia="Times New Roman" w:hAnsi="Open Sans" w:cs="Open Sans"/>
          <w:color w:val="000000" w:themeColor="text1"/>
          <w:sz w:val="20"/>
          <w:szCs w:val="20"/>
          <w:lang w:eastAsia="en-GB"/>
        </w:rPr>
      </w:pPr>
      <w:r w:rsidRPr="00C377C8">
        <w:rPr>
          <w:rFonts w:ascii="Open Sans" w:eastAsia="Times New Roman" w:hAnsi="Open Sans" w:cs="Open Sans"/>
          <w:color w:val="000000" w:themeColor="text1"/>
          <w:sz w:val="20"/>
          <w:szCs w:val="20"/>
          <w:lang w:eastAsia="en-GB"/>
        </w:rPr>
        <w:t>Faḍl-ar-Raḥma</w:t>
      </w:r>
      <w:r w:rsidRPr="00C377C8">
        <w:rPr>
          <w:rFonts w:ascii="Arial" w:eastAsia="Times New Roman" w:hAnsi="Arial" w:cs="Arial"/>
          <w:color w:val="000000" w:themeColor="text1"/>
          <w:sz w:val="20"/>
          <w:szCs w:val="20"/>
          <w:lang w:eastAsia="en-GB"/>
        </w:rPr>
        <w:t>̄</w:t>
      </w:r>
      <w:r w:rsidRPr="00C377C8">
        <w:rPr>
          <w:rFonts w:ascii="Open Sans" w:eastAsia="Times New Roman" w:hAnsi="Open Sans" w:cs="Open Sans"/>
          <w:color w:val="000000" w:themeColor="text1"/>
          <w:sz w:val="20"/>
          <w:szCs w:val="20"/>
          <w:lang w:eastAsia="en-GB"/>
        </w:rPr>
        <w:t>n., 1980. </w:t>
      </w:r>
      <w:r w:rsidRPr="00C377C8">
        <w:rPr>
          <w:rFonts w:ascii="Open Sans" w:eastAsia="Times New Roman" w:hAnsi="Open Sans" w:cs="Open Sans"/>
          <w:i/>
          <w:iCs/>
          <w:color w:val="000000" w:themeColor="text1"/>
          <w:sz w:val="20"/>
          <w:szCs w:val="20"/>
          <w:lang w:eastAsia="en-GB"/>
        </w:rPr>
        <w:t>Major themes of the Qur'a</w:t>
      </w:r>
      <w:r w:rsidRPr="00C377C8">
        <w:rPr>
          <w:rFonts w:ascii="Arial" w:eastAsia="Times New Roman" w:hAnsi="Arial" w:cs="Arial"/>
          <w:i/>
          <w:iCs/>
          <w:color w:val="000000" w:themeColor="text1"/>
          <w:sz w:val="20"/>
          <w:szCs w:val="20"/>
          <w:lang w:eastAsia="en-GB"/>
        </w:rPr>
        <w:t>̄</w:t>
      </w:r>
      <w:r w:rsidRPr="00C377C8">
        <w:rPr>
          <w:rFonts w:ascii="Open Sans" w:eastAsia="Times New Roman" w:hAnsi="Open Sans" w:cs="Open Sans"/>
          <w:i/>
          <w:iCs/>
          <w:color w:val="000000" w:themeColor="text1"/>
          <w:sz w:val="20"/>
          <w:szCs w:val="20"/>
          <w:lang w:eastAsia="en-GB"/>
        </w:rPr>
        <w:t>n</w:t>
      </w:r>
      <w:r w:rsidRPr="00C377C8">
        <w:rPr>
          <w:rFonts w:ascii="Open Sans" w:eastAsia="Times New Roman" w:hAnsi="Open Sans" w:cs="Open Sans"/>
          <w:color w:val="000000" w:themeColor="text1"/>
          <w:sz w:val="20"/>
          <w:szCs w:val="20"/>
          <w:lang w:eastAsia="en-GB"/>
        </w:rPr>
        <w:t>. Minneapolis, MN: Bibliotheca Islamica.</w:t>
      </w:r>
    </w:p>
    <w:p w14:paraId="6B35E0E1"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Fair, C., 2009. </w:t>
      </w:r>
      <w:r w:rsidRPr="00C377C8">
        <w:rPr>
          <w:rStyle w:val="selectable"/>
          <w:i/>
          <w:iCs/>
          <w:color w:val="000000" w:themeColor="text1"/>
        </w:rPr>
        <w:t>The madrassah challenges</w:t>
      </w:r>
      <w:r w:rsidRPr="00C377C8">
        <w:rPr>
          <w:rStyle w:val="selectable"/>
          <w:color w:val="000000" w:themeColor="text1"/>
        </w:rPr>
        <w:t>. Lahore, Pakistan: Vanguard Books.</w:t>
      </w:r>
    </w:p>
    <w:p w14:paraId="0D010E94"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Fakhry, M., 2015. </w:t>
      </w:r>
      <w:r w:rsidRPr="00C377C8">
        <w:rPr>
          <w:rStyle w:val="selectable"/>
          <w:i/>
          <w:iCs/>
          <w:color w:val="000000" w:themeColor="text1"/>
        </w:rPr>
        <w:t>An Interpretation of the Qur'an</w:t>
      </w:r>
      <w:r w:rsidRPr="00C377C8">
        <w:rPr>
          <w:rStyle w:val="selectable"/>
          <w:color w:val="000000" w:themeColor="text1"/>
        </w:rPr>
        <w:t>. New York: NYU Press.</w:t>
      </w:r>
    </w:p>
    <w:p w14:paraId="7C98FA89"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Falk, B., Blumenreich, M. and Abani, A. (2012). </w:t>
      </w:r>
      <w:r w:rsidRPr="00C377C8">
        <w:rPr>
          <w:rStyle w:val="selectable"/>
          <w:i/>
          <w:iCs/>
          <w:color w:val="000000" w:themeColor="text1"/>
        </w:rPr>
        <w:t>Teaching matters</w:t>
      </w:r>
      <w:r w:rsidRPr="00C377C8">
        <w:rPr>
          <w:rStyle w:val="selectable"/>
          <w:color w:val="000000" w:themeColor="text1"/>
        </w:rPr>
        <w:t>. New York: New Press.</w:t>
      </w:r>
    </w:p>
    <w:p w14:paraId="13D05182" w14:textId="77777777" w:rsidR="00FB6B91" w:rsidRPr="00C377C8" w:rsidRDefault="00FB6B91" w:rsidP="00461178">
      <w:pPr>
        <w:spacing w:line="360" w:lineRule="auto"/>
        <w:ind w:left="2268"/>
        <w:rPr>
          <w:color w:val="000000" w:themeColor="text1"/>
        </w:rPr>
      </w:pPr>
      <w:r w:rsidRPr="00C377C8">
        <w:rPr>
          <w:color w:val="000000" w:themeColor="text1"/>
          <w:shd w:val="clear" w:color="auto" w:fill="FFFFFF"/>
        </w:rPr>
        <w:t xml:space="preserve">Farooq, N., 2007. The meanings of the Quran. Lahore. Al-Hamd publications. </w:t>
      </w:r>
    </w:p>
    <w:p w14:paraId="39D3A5E5"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Farrell, T., 2004. </w:t>
      </w:r>
      <w:r w:rsidRPr="00C377C8">
        <w:rPr>
          <w:rStyle w:val="selectable"/>
          <w:i/>
          <w:iCs/>
          <w:color w:val="000000" w:themeColor="text1"/>
        </w:rPr>
        <w:t>Reflective Practice in Action</w:t>
      </w:r>
      <w:r w:rsidRPr="00C377C8">
        <w:rPr>
          <w:rStyle w:val="selectable"/>
          <w:color w:val="000000" w:themeColor="text1"/>
        </w:rPr>
        <w:t>. Thousand Oaks, Calif.: Corwin Press.</w:t>
      </w:r>
    </w:p>
    <w:p w14:paraId="0790087A" w14:textId="77777777" w:rsidR="00FB6B91" w:rsidRPr="00C377C8" w:rsidRDefault="00FB6B91" w:rsidP="00461178">
      <w:pPr>
        <w:spacing w:line="360" w:lineRule="auto"/>
        <w:ind w:left="2268"/>
        <w:rPr>
          <w:rFonts w:eastAsia="Times New Roman"/>
          <w:color w:val="000000" w:themeColor="text1"/>
          <w:lang w:eastAsia="en-GB"/>
        </w:rPr>
      </w:pPr>
      <w:r w:rsidRPr="00C377C8">
        <w:rPr>
          <w:color w:val="000000" w:themeColor="text1"/>
        </w:rPr>
        <w:t>Feldman, K. A., 1989. Instructional effectiveness of college teachers as judged by teachers themselves, current and former students, colleagues, administrators, and external (neutral) observers, Research in Higher Education, 30: 113-135.</w:t>
      </w:r>
    </w:p>
    <w:p w14:paraId="3BA1F255"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Fenwick, T., 2001. Using Student Outcomes to Evaluate Teaching: A Cautious Exploration. </w:t>
      </w:r>
      <w:r w:rsidRPr="00C377C8">
        <w:rPr>
          <w:rStyle w:val="selectable"/>
          <w:i/>
          <w:iCs/>
          <w:color w:val="000000" w:themeColor="text1"/>
        </w:rPr>
        <w:t>New Directions for Teaching and Learning</w:t>
      </w:r>
      <w:r w:rsidRPr="00C377C8">
        <w:rPr>
          <w:rStyle w:val="selectable"/>
          <w:color w:val="000000" w:themeColor="text1"/>
        </w:rPr>
        <w:t>, 2001(88), pp.63-74.</w:t>
      </w:r>
    </w:p>
    <w:p w14:paraId="4EDA81B1"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Fenwick, T., 2001. Using Student Outcomes to Evaluate Teaching: A Cautious Exploration. </w:t>
      </w:r>
      <w:r w:rsidRPr="00C377C8">
        <w:rPr>
          <w:rStyle w:val="selectable"/>
          <w:i/>
          <w:iCs/>
          <w:color w:val="000000" w:themeColor="text1"/>
        </w:rPr>
        <w:t>New Directions for Teaching and Learning</w:t>
      </w:r>
      <w:r w:rsidRPr="00C377C8">
        <w:rPr>
          <w:rStyle w:val="selectable"/>
          <w:color w:val="000000" w:themeColor="text1"/>
        </w:rPr>
        <w:t>, 2001(88), pp.63-74.</w:t>
      </w:r>
    </w:p>
    <w:p w14:paraId="2FAE42D6" w14:textId="77777777" w:rsidR="00FB6B91" w:rsidRPr="00C377C8" w:rsidRDefault="00FB6B91" w:rsidP="00F1408E">
      <w:pPr>
        <w:ind w:left="2268"/>
        <w:jc w:val="both"/>
        <w:rPr>
          <w:rFonts w:ascii="Calibri" w:eastAsia="Calibri" w:hAnsi="Calibri" w:cs="Times New Roman"/>
          <w:color w:val="000000" w:themeColor="text1"/>
        </w:rPr>
      </w:pPr>
      <w:r w:rsidRPr="00C377C8">
        <w:rPr>
          <w:rFonts w:ascii="Calibri" w:eastAsia="Calibri" w:hAnsi="Calibri" w:cs="Times New Roman"/>
          <w:color w:val="000000" w:themeColor="text1"/>
        </w:rPr>
        <w:t>Ferguson, Duncan S., (1987) Biblical Hermeneutics, London: SCM, p. 4.</w:t>
      </w:r>
    </w:p>
    <w:p w14:paraId="4B46D5EC"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Fillmore, C., Kempler, D. and Wang, W. (2014). </w:t>
      </w:r>
      <w:r w:rsidRPr="00C377C8">
        <w:rPr>
          <w:rFonts w:eastAsia="Times New Roman"/>
          <w:i/>
          <w:iCs/>
          <w:color w:val="000000" w:themeColor="text1"/>
          <w:lang w:eastAsia="en-GB"/>
        </w:rPr>
        <w:t>Individual Differences in Language Ability and Language Behavior</w:t>
      </w:r>
      <w:r w:rsidRPr="00C377C8">
        <w:rPr>
          <w:rFonts w:eastAsia="Times New Roman"/>
          <w:color w:val="000000" w:themeColor="text1"/>
          <w:lang w:eastAsia="en-GB"/>
        </w:rPr>
        <w:t>. Saint Louis: Elsevier Science.</w:t>
      </w:r>
    </w:p>
    <w:p w14:paraId="778991D4"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Finlay, L. (2009). Debating Phenomenological Research Methods. </w:t>
      </w:r>
      <w:r w:rsidRPr="00C377C8">
        <w:rPr>
          <w:rFonts w:eastAsia="Times New Roman"/>
          <w:i/>
          <w:iCs/>
          <w:color w:val="000000" w:themeColor="text1"/>
          <w:lang w:eastAsia="en-GB"/>
        </w:rPr>
        <w:t>Phenomenology &amp; Practice</w:t>
      </w:r>
      <w:r w:rsidRPr="00C377C8">
        <w:rPr>
          <w:rFonts w:eastAsia="Times New Roman"/>
          <w:color w:val="000000" w:themeColor="text1"/>
          <w:lang w:eastAsia="en-GB"/>
        </w:rPr>
        <w:t>, 3(1).</w:t>
      </w:r>
    </w:p>
    <w:p w14:paraId="73AC5CB6"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Flick, U., 2015. </w:t>
      </w:r>
      <w:r w:rsidRPr="00C377C8">
        <w:rPr>
          <w:rStyle w:val="selectable"/>
          <w:i/>
          <w:iCs/>
          <w:color w:val="000000" w:themeColor="text1"/>
        </w:rPr>
        <w:t>Introducing research methodology</w:t>
      </w:r>
      <w:r w:rsidRPr="00C377C8">
        <w:rPr>
          <w:rStyle w:val="selectable"/>
          <w:color w:val="000000" w:themeColor="text1"/>
        </w:rPr>
        <w:t>. New Dehli: Sage.</w:t>
      </w:r>
    </w:p>
    <w:p w14:paraId="366DA522" w14:textId="77777777" w:rsidR="00FB6B91" w:rsidRPr="00C377C8" w:rsidRDefault="00FB6B91" w:rsidP="00461178">
      <w:pPr>
        <w:spacing w:line="360" w:lineRule="auto"/>
        <w:ind w:left="2268"/>
        <w:rPr>
          <w:color w:val="000000" w:themeColor="text1"/>
        </w:rPr>
      </w:pPr>
      <w:r w:rsidRPr="00C377C8">
        <w:rPr>
          <w:color w:val="000000" w:themeColor="text1"/>
        </w:rPr>
        <w:t>Flowers, P. ,2009. ‘Research philosophies – importance and relevance’, European Journal of Information Systems, 3(2), pp. 112−126.</w:t>
      </w:r>
    </w:p>
    <w:p w14:paraId="2764DC4D" w14:textId="77777777" w:rsidR="00FB6B91" w:rsidRPr="00C377C8" w:rsidRDefault="00FB6B91" w:rsidP="00F1408E">
      <w:pPr>
        <w:ind w:left="2268"/>
        <w:rPr>
          <w:rFonts w:ascii="Calibri" w:eastAsia="Calibri" w:hAnsi="Calibri" w:cs="Times New Roman"/>
          <w:color w:val="000000" w:themeColor="text1"/>
        </w:rPr>
      </w:pPr>
      <w:r w:rsidRPr="00C377C8">
        <w:rPr>
          <w:rFonts w:ascii="Open Sans" w:eastAsia="Calibri" w:hAnsi="Open Sans" w:cs="Open Sans"/>
          <w:color w:val="000000" w:themeColor="text1"/>
          <w:sz w:val="20"/>
          <w:szCs w:val="20"/>
          <w:shd w:val="clear" w:color="auto" w:fill="FFFFFF"/>
        </w:rPr>
        <w:t>Floyd, A. and Arthur, L., 2012. Researching from within: external and internal ethical engagement. </w:t>
      </w:r>
      <w:r w:rsidRPr="00C377C8">
        <w:rPr>
          <w:rFonts w:ascii="Open Sans" w:eastAsia="Calibri" w:hAnsi="Open Sans" w:cs="Open Sans"/>
          <w:i/>
          <w:iCs/>
          <w:color w:val="000000" w:themeColor="text1"/>
          <w:sz w:val="20"/>
          <w:szCs w:val="20"/>
          <w:shd w:val="clear" w:color="auto" w:fill="FFFFFF"/>
        </w:rPr>
        <w:t>International Journal of Research &amp; Method in Education</w:t>
      </w:r>
      <w:r w:rsidRPr="00C377C8">
        <w:rPr>
          <w:rFonts w:ascii="Open Sans" w:eastAsia="Calibri" w:hAnsi="Open Sans" w:cs="Open Sans"/>
          <w:color w:val="000000" w:themeColor="text1"/>
          <w:sz w:val="20"/>
          <w:szCs w:val="20"/>
          <w:shd w:val="clear" w:color="auto" w:fill="FFFFFF"/>
        </w:rPr>
        <w:t>, 35(2), pp.171-180.</w:t>
      </w:r>
    </w:p>
    <w:p w14:paraId="63642C5E"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Fook, C., Sidhu, G., Narasuman, S., Fong, L. and Abdul Rahman, S., 2016. </w:t>
      </w:r>
      <w:r w:rsidRPr="00C377C8">
        <w:rPr>
          <w:rStyle w:val="selectable"/>
          <w:i/>
          <w:iCs/>
          <w:color w:val="000000" w:themeColor="text1"/>
        </w:rPr>
        <w:t>7Th International Conference On University Learning and Teaching (Incult 2014) Proceedings</w:t>
      </w:r>
      <w:r w:rsidRPr="00C377C8">
        <w:rPr>
          <w:rStyle w:val="selectable"/>
          <w:color w:val="000000" w:themeColor="text1"/>
        </w:rPr>
        <w:t>. Singapore: Springer Singapore.</w:t>
      </w:r>
    </w:p>
    <w:p w14:paraId="15070D69"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Fook, C., Sidhu, G., Narasuman, S., Fong, L. and Abdul Rahman, S., 2016. </w:t>
      </w:r>
      <w:r w:rsidRPr="00C377C8">
        <w:rPr>
          <w:rStyle w:val="selectable"/>
          <w:i/>
          <w:iCs/>
          <w:color w:val="000000" w:themeColor="text1"/>
        </w:rPr>
        <w:t>7Th International Conference On University Learning And Teaching (Incult 2014) Proceedings</w:t>
      </w:r>
      <w:r w:rsidRPr="00C377C8">
        <w:rPr>
          <w:rStyle w:val="selectable"/>
          <w:color w:val="000000" w:themeColor="text1"/>
        </w:rPr>
        <w:t>. Singapore: Springer Singapore.</w:t>
      </w:r>
    </w:p>
    <w:p w14:paraId="4A9A20E7"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Francis, I., 1909. </w:t>
      </w:r>
      <w:r w:rsidRPr="00C377C8">
        <w:rPr>
          <w:rStyle w:val="selectable"/>
          <w:i/>
          <w:iCs/>
          <w:color w:val="000000" w:themeColor="text1"/>
        </w:rPr>
        <w:t>Church teaching is Bible teaching</w:t>
      </w:r>
      <w:r w:rsidRPr="00C377C8">
        <w:rPr>
          <w:rStyle w:val="selectable"/>
          <w:color w:val="000000" w:themeColor="text1"/>
        </w:rPr>
        <w:t>. London: Society for Promoting Christian Knowledge.</w:t>
      </w:r>
    </w:p>
    <w:p w14:paraId="15ED1AC2"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Francis, L., Kay, W., Campbell, W. and Greer, J., 1996. </w:t>
      </w:r>
      <w:r w:rsidRPr="00C377C8">
        <w:rPr>
          <w:rStyle w:val="selectable"/>
          <w:i/>
          <w:iCs/>
          <w:color w:val="000000" w:themeColor="text1"/>
        </w:rPr>
        <w:t>Research in Religious Education</w:t>
      </w:r>
      <w:r w:rsidRPr="00C377C8">
        <w:rPr>
          <w:rStyle w:val="selectable"/>
          <w:color w:val="000000" w:themeColor="text1"/>
        </w:rPr>
        <w:t>. Leominster, Herdfordshire: Gracewing.</w:t>
      </w:r>
    </w:p>
    <w:p w14:paraId="442839FA" w14:textId="77777777" w:rsidR="00FB6B91" w:rsidRPr="00C377C8" w:rsidRDefault="00FB6B91" w:rsidP="00461178">
      <w:pPr>
        <w:spacing w:line="360" w:lineRule="auto"/>
        <w:ind w:left="2268"/>
        <w:rPr>
          <w:color w:val="000000" w:themeColor="text1"/>
        </w:rPr>
      </w:pPr>
      <w:r w:rsidRPr="00C377C8">
        <w:rPr>
          <w:color w:val="000000" w:themeColor="text1"/>
        </w:rPr>
        <w:t>Frankfort-Nachmias, C. and Nachmias, D. (1996) Research methods in the social sciences. 5th edn. New York: St. Martin's</w:t>
      </w:r>
    </w:p>
    <w:p w14:paraId="5644F9D2"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Franz, K., Wiske, M. and Breit, L., 2014. </w:t>
      </w:r>
      <w:r w:rsidRPr="00C377C8">
        <w:rPr>
          <w:rStyle w:val="selectable"/>
          <w:i/>
          <w:iCs/>
          <w:color w:val="000000" w:themeColor="text1"/>
        </w:rPr>
        <w:t>Teaching for understanding with technology</w:t>
      </w:r>
      <w:r w:rsidRPr="00C377C8">
        <w:rPr>
          <w:rStyle w:val="selectable"/>
          <w:color w:val="000000" w:themeColor="text1"/>
        </w:rPr>
        <w:t>. San Francisco, Calif.: Jossey-Bass.</w:t>
      </w:r>
    </w:p>
    <w:p w14:paraId="2F30CA80"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Fraser, B., 2011. </w:t>
      </w:r>
      <w:r w:rsidRPr="00C377C8">
        <w:rPr>
          <w:rStyle w:val="selectable"/>
          <w:i/>
          <w:iCs/>
          <w:color w:val="000000" w:themeColor="text1"/>
        </w:rPr>
        <w:t>Classroom Environment</w:t>
      </w:r>
      <w:r w:rsidRPr="00C377C8">
        <w:rPr>
          <w:rStyle w:val="selectable"/>
          <w:color w:val="000000" w:themeColor="text1"/>
        </w:rPr>
        <w:t>. London: Routledge.</w:t>
      </w:r>
    </w:p>
    <w:p w14:paraId="7DD568D6"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Frenkel, Y., 2008. Popular Culture (Islam, Early and Middle Periods). </w:t>
      </w:r>
      <w:r w:rsidRPr="00C377C8">
        <w:rPr>
          <w:rStyle w:val="selectable"/>
          <w:i/>
          <w:iCs/>
          <w:color w:val="000000" w:themeColor="text1"/>
        </w:rPr>
        <w:t>Religion Compass</w:t>
      </w:r>
      <w:r w:rsidRPr="00C377C8">
        <w:rPr>
          <w:rStyle w:val="selectable"/>
          <w:color w:val="000000" w:themeColor="text1"/>
        </w:rPr>
        <w:t>, 2(2), pp.195-225.</w:t>
      </w:r>
    </w:p>
    <w:p w14:paraId="7F23DFDC"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Frey, N., 2009. </w:t>
      </w:r>
      <w:r w:rsidRPr="00C377C8">
        <w:rPr>
          <w:rFonts w:eastAsia="Times New Roman"/>
          <w:i/>
          <w:iCs/>
          <w:color w:val="000000" w:themeColor="text1"/>
          <w:lang w:eastAsia="en-GB"/>
        </w:rPr>
        <w:t>The Effective Teacher's Guide</w:t>
      </w:r>
      <w:r w:rsidRPr="00C377C8">
        <w:rPr>
          <w:rFonts w:eastAsia="Times New Roman"/>
          <w:color w:val="000000" w:themeColor="text1"/>
          <w:lang w:eastAsia="en-GB"/>
        </w:rPr>
        <w:t>. San Diego, Calif.: Academic Professional Development.</w:t>
      </w:r>
    </w:p>
    <w:p w14:paraId="1E500085" w14:textId="77777777" w:rsidR="00FB6B91" w:rsidRPr="00C377C8" w:rsidRDefault="00FB6B91" w:rsidP="00F1408E">
      <w:pPr>
        <w:shd w:val="clear" w:color="auto" w:fill="FFFFFF"/>
        <w:spacing w:after="0" w:line="360" w:lineRule="atLeast"/>
        <w:ind w:left="2268" w:hanging="120"/>
        <w:rPr>
          <w:rFonts w:ascii="Open Sans" w:eastAsia="Times New Roman" w:hAnsi="Open Sans" w:cs="Open Sans"/>
          <w:color w:val="000000" w:themeColor="text1"/>
          <w:sz w:val="20"/>
          <w:szCs w:val="20"/>
          <w:lang w:eastAsia="en-GB"/>
        </w:rPr>
      </w:pPr>
      <w:r w:rsidRPr="00C377C8">
        <w:rPr>
          <w:rFonts w:ascii="Open Sans" w:eastAsia="Times New Roman" w:hAnsi="Open Sans" w:cs="Open Sans"/>
          <w:color w:val="000000" w:themeColor="text1"/>
          <w:sz w:val="20"/>
          <w:szCs w:val="20"/>
          <w:lang w:eastAsia="en-GB"/>
        </w:rPr>
        <w:t>Frymer-Kensky, T., 2006. </w:t>
      </w:r>
      <w:r w:rsidRPr="00C377C8">
        <w:rPr>
          <w:rFonts w:ascii="Open Sans" w:eastAsia="Times New Roman" w:hAnsi="Open Sans" w:cs="Open Sans"/>
          <w:i/>
          <w:iCs/>
          <w:color w:val="000000" w:themeColor="text1"/>
          <w:sz w:val="20"/>
          <w:szCs w:val="20"/>
          <w:lang w:eastAsia="en-GB"/>
        </w:rPr>
        <w:t>Studies in Bible and feminist criticism</w:t>
      </w:r>
      <w:r w:rsidRPr="00C377C8">
        <w:rPr>
          <w:rFonts w:ascii="Open Sans" w:eastAsia="Times New Roman" w:hAnsi="Open Sans" w:cs="Open Sans"/>
          <w:color w:val="000000" w:themeColor="text1"/>
          <w:sz w:val="20"/>
          <w:szCs w:val="20"/>
          <w:lang w:eastAsia="en-GB"/>
        </w:rPr>
        <w:t>. Philadelphia, PA: Jewish Publ. Soc.</w:t>
      </w:r>
    </w:p>
    <w:p w14:paraId="7E30C30F"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Fulford, A. and Hodgson, N., 2016. </w:t>
      </w:r>
      <w:r w:rsidRPr="00C377C8">
        <w:rPr>
          <w:rStyle w:val="selectable"/>
          <w:i/>
          <w:iCs/>
          <w:color w:val="000000" w:themeColor="text1"/>
        </w:rPr>
        <w:t>Philosophy and theory in educational research</w:t>
      </w:r>
      <w:r w:rsidRPr="00C377C8">
        <w:rPr>
          <w:rStyle w:val="selectable"/>
          <w:color w:val="000000" w:themeColor="text1"/>
        </w:rPr>
        <w:t>. New York, NY: Routledge.</w:t>
      </w:r>
    </w:p>
    <w:p w14:paraId="2FB80100"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Fumerton, R., 2009. </w:t>
      </w:r>
      <w:r w:rsidRPr="00C377C8">
        <w:rPr>
          <w:rStyle w:val="selectable"/>
          <w:i/>
          <w:iCs/>
          <w:color w:val="000000" w:themeColor="text1"/>
        </w:rPr>
        <w:t>Epistemology</w:t>
      </w:r>
      <w:r w:rsidRPr="00C377C8">
        <w:rPr>
          <w:rStyle w:val="selectable"/>
          <w:color w:val="000000" w:themeColor="text1"/>
        </w:rPr>
        <w:t>. Hoboken: John Wiley &amp; Sons, Ltd.</w:t>
      </w:r>
    </w:p>
    <w:p w14:paraId="410B1BDD"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Furoy, M., Wong, R. and Wong, H., 2004. </w:t>
      </w:r>
      <w:r w:rsidRPr="00C377C8">
        <w:rPr>
          <w:rStyle w:val="selectable"/>
          <w:i/>
          <w:iCs/>
          <w:color w:val="000000" w:themeColor="text1"/>
        </w:rPr>
        <w:t>The effective teacher</w:t>
      </w:r>
      <w:r w:rsidRPr="00C377C8">
        <w:rPr>
          <w:rStyle w:val="selectable"/>
          <w:color w:val="000000" w:themeColor="text1"/>
        </w:rPr>
        <w:t>. Mountain View, Calif.: Harry K. Wong Publications.</w:t>
      </w:r>
    </w:p>
    <w:p w14:paraId="6238D655" w14:textId="77777777" w:rsidR="00FB6B91" w:rsidRPr="00C377C8" w:rsidRDefault="00FB6B91" w:rsidP="00461178">
      <w:pPr>
        <w:spacing w:line="360" w:lineRule="auto"/>
        <w:ind w:left="2268"/>
        <w:rPr>
          <w:color w:val="000000" w:themeColor="text1"/>
        </w:rPr>
      </w:pPr>
      <w:r w:rsidRPr="00C377C8">
        <w:rPr>
          <w:color w:val="000000" w:themeColor="text1"/>
        </w:rPr>
        <w:t>Gaitanides, C. and Grözinger, G., 2015. </w:t>
      </w:r>
      <w:r w:rsidRPr="00C377C8">
        <w:rPr>
          <w:i/>
          <w:iCs/>
          <w:color w:val="000000" w:themeColor="text1"/>
        </w:rPr>
        <w:t>Diversity In Europe</w:t>
      </w:r>
      <w:r w:rsidRPr="00C377C8">
        <w:rPr>
          <w:color w:val="000000" w:themeColor="text1"/>
        </w:rPr>
        <w:t>. Baden-Baden: Nomos.</w:t>
      </w:r>
    </w:p>
    <w:p w14:paraId="39836E0B" w14:textId="77777777" w:rsidR="00FB6B91" w:rsidRPr="00C377C8" w:rsidRDefault="00FB6B91" w:rsidP="00461178">
      <w:pPr>
        <w:spacing w:line="360" w:lineRule="auto"/>
        <w:ind w:left="2268"/>
        <w:rPr>
          <w:color w:val="000000" w:themeColor="text1"/>
        </w:rPr>
      </w:pPr>
      <w:r w:rsidRPr="00C377C8">
        <w:rPr>
          <w:color w:val="000000" w:themeColor="text1"/>
        </w:rPr>
        <w:t>Gale, R. and Hopkins, P., 2013. </w:t>
      </w:r>
      <w:r w:rsidRPr="00C377C8">
        <w:rPr>
          <w:i/>
          <w:iCs/>
          <w:color w:val="000000" w:themeColor="text1"/>
        </w:rPr>
        <w:t>Muslims In Britain</w:t>
      </w:r>
      <w:r w:rsidRPr="00C377C8">
        <w:rPr>
          <w:color w:val="000000" w:themeColor="text1"/>
        </w:rPr>
        <w:t>. Cambridge: Cambridge University Press.</w:t>
      </w:r>
    </w:p>
    <w:p w14:paraId="02217CCF"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Gall, M., Gall, J. and Borg, W., 2007. </w:t>
      </w:r>
      <w:r w:rsidRPr="00C377C8">
        <w:rPr>
          <w:rStyle w:val="selectable"/>
          <w:i/>
          <w:iCs/>
          <w:color w:val="000000" w:themeColor="text1"/>
        </w:rPr>
        <w:t>Educational research</w:t>
      </w:r>
      <w:r w:rsidRPr="00C377C8">
        <w:rPr>
          <w:rStyle w:val="selectable"/>
          <w:color w:val="000000" w:themeColor="text1"/>
        </w:rPr>
        <w:t>. Boston: Pearson/Allyn &amp; Bacon.</w:t>
      </w:r>
    </w:p>
    <w:p w14:paraId="59BDB863"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Galliers, R. and Land, F., 1987. Viewpoint: choosing appropriate information systems research methodologies. </w:t>
      </w:r>
      <w:r w:rsidRPr="00C377C8">
        <w:rPr>
          <w:i/>
          <w:iCs/>
          <w:color w:val="000000" w:themeColor="text1"/>
          <w:shd w:val="clear" w:color="auto" w:fill="FFFFFF"/>
        </w:rPr>
        <w:t>Communications of the ACM</w:t>
      </w:r>
      <w:r w:rsidRPr="00C377C8">
        <w:rPr>
          <w:color w:val="000000" w:themeColor="text1"/>
          <w:shd w:val="clear" w:color="auto" w:fill="FFFFFF"/>
        </w:rPr>
        <w:t>, 30(11), pp.901-902.</w:t>
      </w:r>
    </w:p>
    <w:p w14:paraId="5E5787BB"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Gan, A. and Lodder, C., 2014. </w:t>
      </w:r>
      <w:r w:rsidRPr="00C377C8">
        <w:rPr>
          <w:rStyle w:val="selectable"/>
          <w:i/>
          <w:iCs/>
          <w:color w:val="000000" w:themeColor="text1"/>
        </w:rPr>
        <w:t>Constructivism.</w:t>
      </w:r>
      <w:r w:rsidRPr="00C377C8">
        <w:rPr>
          <w:rStyle w:val="selectable"/>
          <w:color w:val="000000" w:themeColor="text1"/>
        </w:rPr>
        <w:t xml:space="preserve"> Barcelona: Editorial Tenov.</w:t>
      </w:r>
    </w:p>
    <w:p w14:paraId="5EFEF2A3" w14:textId="77777777" w:rsidR="00FB6B91" w:rsidRPr="00C377C8" w:rsidRDefault="00FB6B91" w:rsidP="00461178">
      <w:pPr>
        <w:spacing w:line="360" w:lineRule="auto"/>
        <w:ind w:left="2268"/>
        <w:rPr>
          <w:color w:val="000000" w:themeColor="text1"/>
          <w:lang w:val="en-US"/>
        </w:rPr>
      </w:pPr>
      <w:r w:rsidRPr="00C377C8">
        <w:rPr>
          <w:color w:val="000000" w:themeColor="text1"/>
          <w:lang w:val="en-US"/>
        </w:rPr>
        <w:t>Garcia, R., 2011. </w:t>
      </w:r>
      <w:r w:rsidRPr="00C377C8">
        <w:rPr>
          <w:i/>
          <w:iCs/>
          <w:color w:val="000000" w:themeColor="text1"/>
          <w:lang w:val="en-US"/>
        </w:rPr>
        <w:t>Teaching for diversity</w:t>
      </w:r>
      <w:r w:rsidRPr="00C377C8">
        <w:rPr>
          <w:color w:val="000000" w:themeColor="text1"/>
          <w:lang w:val="en-US"/>
        </w:rPr>
        <w:t>. Bloomington, Ind.: Solution Tree Press.</w:t>
      </w:r>
    </w:p>
    <w:p w14:paraId="75AF5205"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Garth, T., 2015. </w:t>
      </w:r>
      <w:r w:rsidRPr="00C377C8">
        <w:rPr>
          <w:rStyle w:val="selectable"/>
          <w:i/>
          <w:iCs/>
          <w:color w:val="000000" w:themeColor="text1"/>
        </w:rPr>
        <w:t>Educational Psychology</w:t>
      </w:r>
      <w:r w:rsidRPr="00C377C8">
        <w:rPr>
          <w:rStyle w:val="selectable"/>
          <w:color w:val="000000" w:themeColor="text1"/>
        </w:rPr>
        <w:t>. Englewood Cliffs, NJ: Prentice-Hall.</w:t>
      </w:r>
    </w:p>
    <w:p w14:paraId="61EA7EDA"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Garton, A., 2004. </w:t>
      </w:r>
      <w:r w:rsidRPr="00C377C8">
        <w:rPr>
          <w:rStyle w:val="selectable"/>
          <w:i/>
          <w:iCs/>
          <w:color w:val="000000" w:themeColor="text1"/>
        </w:rPr>
        <w:t>Exploring cognitive development</w:t>
      </w:r>
      <w:r w:rsidRPr="00C377C8">
        <w:rPr>
          <w:rStyle w:val="selectable"/>
          <w:color w:val="000000" w:themeColor="text1"/>
        </w:rPr>
        <w:t>. Malden, MA: Blackwell Pub.</w:t>
      </w:r>
    </w:p>
    <w:p w14:paraId="7C1166E8" w14:textId="77777777" w:rsidR="00FB6B91" w:rsidRPr="00C377C8" w:rsidRDefault="00FB6B91" w:rsidP="00461178">
      <w:pPr>
        <w:spacing w:line="360" w:lineRule="auto"/>
        <w:ind w:left="2268"/>
        <w:rPr>
          <w:color w:val="000000" w:themeColor="text1"/>
        </w:rPr>
      </w:pPr>
      <w:r w:rsidRPr="00C377C8">
        <w:rPr>
          <w:color w:val="000000" w:themeColor="text1"/>
        </w:rPr>
        <w:t>Gavey, N., 1989. Feminist poststructuralism and discourse analysis. Contributions tot feminist psychology. London: Sage publications.</w:t>
      </w:r>
    </w:p>
    <w:p w14:paraId="42A5B9D5"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Gayle, B., 2006. </w:t>
      </w:r>
      <w:r w:rsidRPr="00C377C8">
        <w:rPr>
          <w:rStyle w:val="selectable"/>
          <w:i/>
          <w:iCs/>
          <w:color w:val="000000" w:themeColor="text1"/>
        </w:rPr>
        <w:t>Classroom communication and instructional processes</w:t>
      </w:r>
      <w:r w:rsidRPr="00C377C8">
        <w:rPr>
          <w:rStyle w:val="selectable"/>
          <w:color w:val="000000" w:themeColor="text1"/>
        </w:rPr>
        <w:t>. Mahwah, N.J.: Lawrence Erlbaum Associates.</w:t>
      </w:r>
    </w:p>
    <w:p w14:paraId="6AD6FB6A" w14:textId="77777777" w:rsidR="00FB6B91" w:rsidRPr="00C377C8" w:rsidRDefault="00FB6B91" w:rsidP="00461178">
      <w:pPr>
        <w:spacing w:line="360" w:lineRule="auto"/>
        <w:ind w:left="2268"/>
        <w:rPr>
          <w:color w:val="000000" w:themeColor="text1"/>
          <w:lang w:val="en-US"/>
        </w:rPr>
      </w:pPr>
      <w:r w:rsidRPr="00C377C8">
        <w:rPr>
          <w:color w:val="000000" w:themeColor="text1"/>
          <w:lang w:val="en-US"/>
        </w:rPr>
        <w:t>George, L., Tauri, J. and MacDonald, L., 2020. </w:t>
      </w:r>
      <w:r w:rsidRPr="00C377C8">
        <w:rPr>
          <w:i/>
          <w:iCs/>
          <w:color w:val="000000" w:themeColor="text1"/>
          <w:lang w:val="en-US"/>
        </w:rPr>
        <w:t>Indigenous research ethics</w:t>
      </w:r>
      <w:r w:rsidRPr="00C377C8">
        <w:rPr>
          <w:color w:val="000000" w:themeColor="text1"/>
          <w:lang w:val="en-US"/>
        </w:rPr>
        <w:t>. London: Emrald Publishers.</w:t>
      </w:r>
    </w:p>
    <w:p w14:paraId="547805F2" w14:textId="77777777" w:rsidR="00FB6B91" w:rsidRPr="00C377C8" w:rsidRDefault="00FB6B91" w:rsidP="00461178">
      <w:pPr>
        <w:spacing w:line="360" w:lineRule="auto"/>
        <w:ind w:left="2268"/>
        <w:rPr>
          <w:color w:val="000000" w:themeColor="text1"/>
        </w:rPr>
      </w:pPr>
      <w:r w:rsidRPr="00C377C8">
        <w:rPr>
          <w:color w:val="000000" w:themeColor="text1"/>
        </w:rPr>
        <w:t>Ghamdi,J., 2015. al- Quran il Azeem. Lahore: al-Mawrid Publications</w:t>
      </w:r>
    </w:p>
    <w:p w14:paraId="1B88F93F"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Ghufron, M. and Ermawati, S., 2018. The Strengths and Weaknesses of Cooperative Learning and Problem-based Learning in EFL Writing Class: Teachers and Students’ Perspectives. </w:t>
      </w:r>
      <w:r w:rsidRPr="00C377C8">
        <w:rPr>
          <w:rStyle w:val="selectable"/>
          <w:i/>
          <w:iCs/>
          <w:color w:val="000000" w:themeColor="text1"/>
        </w:rPr>
        <w:t>International Journal of Instruction</w:t>
      </w:r>
      <w:r w:rsidRPr="00C377C8">
        <w:rPr>
          <w:rStyle w:val="selectable"/>
          <w:color w:val="000000" w:themeColor="text1"/>
        </w:rPr>
        <w:t>, 11(4), pp.657-672.</w:t>
      </w:r>
    </w:p>
    <w:p w14:paraId="70CEA1AD"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Gibbs, G. and Coffey, M.,2004. The Impact Of Training Of University Teachers on their Teaching Skills, their Approach to Teaching and the Approach to Learning of their Students. </w:t>
      </w:r>
      <w:r w:rsidRPr="00C377C8">
        <w:rPr>
          <w:rFonts w:eastAsia="Times New Roman"/>
          <w:i/>
          <w:iCs/>
          <w:color w:val="000000" w:themeColor="text1"/>
          <w:lang w:eastAsia="en-GB"/>
        </w:rPr>
        <w:t>Active Learning in Higher Education</w:t>
      </w:r>
      <w:r w:rsidRPr="00C377C8">
        <w:rPr>
          <w:rFonts w:eastAsia="Times New Roman"/>
          <w:color w:val="000000" w:themeColor="text1"/>
          <w:lang w:eastAsia="en-GB"/>
        </w:rPr>
        <w:t>, 5(1), pp.87-100.</w:t>
      </w:r>
    </w:p>
    <w:p w14:paraId="421D681A" w14:textId="77777777" w:rsidR="00FB6B91" w:rsidRPr="00C377C8" w:rsidRDefault="00FB6B91" w:rsidP="00461178">
      <w:pPr>
        <w:spacing w:line="360" w:lineRule="auto"/>
        <w:ind w:left="2268"/>
        <w:rPr>
          <w:color w:val="000000" w:themeColor="text1"/>
        </w:rPr>
      </w:pPr>
      <w:r w:rsidRPr="00C377C8">
        <w:rPr>
          <w:color w:val="000000" w:themeColor="text1"/>
        </w:rPr>
        <w:t xml:space="preserve">Gilliat-Ray, Sophie. 2005. Closed worlds: (Not) accessing Deobandi dar ul-uloom in Britain. Fieldwork in Religion 1: 7–33. </w:t>
      </w:r>
    </w:p>
    <w:p w14:paraId="7D2F89D4" w14:textId="77777777" w:rsidR="00FB6B91" w:rsidRPr="00C377C8" w:rsidRDefault="00FB6B91" w:rsidP="00461178">
      <w:pPr>
        <w:spacing w:line="360" w:lineRule="auto"/>
        <w:ind w:left="2268"/>
        <w:rPr>
          <w:color w:val="000000" w:themeColor="text1"/>
        </w:rPr>
      </w:pPr>
      <w:r w:rsidRPr="00C377C8">
        <w:rPr>
          <w:color w:val="000000" w:themeColor="text1"/>
        </w:rPr>
        <w:t>Giorgi, A. and Giorgi, B., 2003. Phenomenology. In J.A. Smith (ed.), Qualitative psychology: a practical guide to research methods. London: Sage.</w:t>
      </w:r>
    </w:p>
    <w:p w14:paraId="23C788CC" w14:textId="77777777" w:rsidR="00FB6B91" w:rsidRPr="00C377C8" w:rsidRDefault="00FB6B91" w:rsidP="00461178">
      <w:pPr>
        <w:spacing w:line="360" w:lineRule="auto"/>
        <w:ind w:left="2268"/>
        <w:rPr>
          <w:color w:val="000000" w:themeColor="text1"/>
        </w:rPr>
      </w:pPr>
      <w:r w:rsidRPr="00C377C8">
        <w:rPr>
          <w:color w:val="000000" w:themeColor="text1"/>
        </w:rPr>
        <w:t>Gitsaki, C. and Alexiou, T., 2016. </w:t>
      </w:r>
      <w:r w:rsidRPr="00C377C8">
        <w:rPr>
          <w:i/>
          <w:iCs/>
          <w:color w:val="000000" w:themeColor="text1"/>
        </w:rPr>
        <w:t>Current Issues In Second/Foreign Language Teaching And Teacher Development</w:t>
      </w:r>
      <w:r w:rsidRPr="00C377C8">
        <w:rPr>
          <w:color w:val="000000" w:themeColor="text1"/>
        </w:rPr>
        <w:t>. Cambridge Scholars Publishing.</w:t>
      </w:r>
    </w:p>
    <w:p w14:paraId="38D7BA79"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Glatthorn, A., Boschee, F. and Whitehead, B., 2006. </w:t>
      </w:r>
      <w:r w:rsidRPr="00C377C8">
        <w:rPr>
          <w:rStyle w:val="selectable"/>
          <w:i/>
          <w:iCs/>
          <w:color w:val="000000" w:themeColor="text1"/>
        </w:rPr>
        <w:t>Curriculum leadership</w:t>
      </w:r>
      <w:r w:rsidRPr="00C377C8">
        <w:rPr>
          <w:rStyle w:val="selectable"/>
          <w:color w:val="000000" w:themeColor="text1"/>
        </w:rPr>
        <w:t>. Thousand Oaks: SAGE Publications.</w:t>
      </w:r>
    </w:p>
    <w:p w14:paraId="47198EEB" w14:textId="77777777" w:rsidR="00FB6B91" w:rsidRPr="00C377C8" w:rsidRDefault="00FB6B91" w:rsidP="00461178">
      <w:pPr>
        <w:spacing w:line="360" w:lineRule="auto"/>
        <w:ind w:left="2268"/>
        <w:rPr>
          <w:color w:val="000000" w:themeColor="text1"/>
        </w:rPr>
      </w:pPr>
      <w:r w:rsidRPr="00C377C8">
        <w:rPr>
          <w:color w:val="000000" w:themeColor="text1"/>
        </w:rPr>
        <w:t>Goddard, J., 2018. </w:t>
      </w:r>
      <w:r w:rsidRPr="00C377C8">
        <w:rPr>
          <w:i/>
          <w:iCs/>
          <w:color w:val="000000" w:themeColor="text1"/>
        </w:rPr>
        <w:t>Islamophobia In The UK</w:t>
      </w:r>
      <w:r w:rsidRPr="00C377C8">
        <w:rPr>
          <w:color w:val="000000" w:themeColor="text1"/>
        </w:rPr>
        <w:t>. [online] House of Lords Library. Available at: &lt;https://lordslibrary.parliament.uk/research-briefings/lln-2018-0142/&gt; [Accessed 14 December 2018].</w:t>
      </w:r>
    </w:p>
    <w:p w14:paraId="3A8CBAD8" w14:textId="77777777" w:rsidR="00FB6B91" w:rsidRPr="00C377C8" w:rsidRDefault="00FB6B91" w:rsidP="00F1408E">
      <w:pPr>
        <w:ind w:left="2268"/>
        <w:jc w:val="both"/>
        <w:rPr>
          <w:rFonts w:ascii="Open Sans" w:eastAsia="Calibri" w:hAnsi="Open Sans" w:cs="Open Sans"/>
          <w:color w:val="000000" w:themeColor="text1"/>
          <w:sz w:val="20"/>
          <w:szCs w:val="20"/>
          <w:shd w:val="clear" w:color="auto" w:fill="FFFFFF"/>
        </w:rPr>
      </w:pPr>
      <w:r w:rsidRPr="00C377C8">
        <w:rPr>
          <w:rFonts w:ascii="Open Sans" w:eastAsia="Calibri" w:hAnsi="Open Sans" w:cs="Open Sans"/>
          <w:color w:val="000000" w:themeColor="text1"/>
          <w:sz w:val="20"/>
          <w:szCs w:val="20"/>
          <w:shd w:val="clear" w:color="auto" w:fill="FFFFFF"/>
        </w:rPr>
        <w:t>GÖKKIR, N., 2005. Critical Interpretation of Religious Texts in the West and the Reflection on the Study of the Qur’an. </w:t>
      </w:r>
      <w:r w:rsidRPr="00C377C8">
        <w:rPr>
          <w:rFonts w:ascii="Open Sans" w:eastAsia="Calibri" w:hAnsi="Open Sans" w:cs="Open Sans"/>
          <w:i/>
          <w:iCs/>
          <w:color w:val="000000" w:themeColor="text1"/>
          <w:sz w:val="20"/>
          <w:szCs w:val="20"/>
          <w:shd w:val="clear" w:color="auto" w:fill="FFFFFF"/>
        </w:rPr>
        <w:t>ResearchGate</w:t>
      </w:r>
      <w:r w:rsidRPr="00C377C8">
        <w:rPr>
          <w:rFonts w:ascii="Open Sans" w:eastAsia="Calibri" w:hAnsi="Open Sans" w:cs="Open Sans"/>
          <w:color w:val="000000" w:themeColor="text1"/>
          <w:sz w:val="20"/>
          <w:szCs w:val="20"/>
          <w:shd w:val="clear" w:color="auto" w:fill="FFFFFF"/>
        </w:rPr>
        <w:t>, 1(1), pp.1-50.</w:t>
      </w:r>
    </w:p>
    <w:p w14:paraId="43E8B268"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Goodenough, W., 1981. </w:t>
      </w:r>
      <w:r w:rsidRPr="00C377C8">
        <w:rPr>
          <w:rStyle w:val="selectable"/>
          <w:i/>
          <w:iCs/>
          <w:color w:val="000000" w:themeColor="text1"/>
        </w:rPr>
        <w:t>Culture, language, and society</w:t>
      </w:r>
      <w:r w:rsidRPr="00C377C8">
        <w:rPr>
          <w:rStyle w:val="selectable"/>
          <w:color w:val="000000" w:themeColor="text1"/>
        </w:rPr>
        <w:t>. Menlo Park, Calif.: Benjamin/Cummings Pub. Co.</w:t>
      </w:r>
    </w:p>
    <w:p w14:paraId="511113A0"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Götz, M. (1965). </w:t>
      </w:r>
      <w:r w:rsidRPr="00C377C8">
        <w:rPr>
          <w:rStyle w:val="selectable"/>
          <w:i/>
          <w:iCs/>
          <w:color w:val="000000" w:themeColor="text1"/>
        </w:rPr>
        <w:t>Māturīdī und sein Kitāb Ta'wīlāt al-Qurān</w:t>
      </w:r>
      <w:r w:rsidRPr="00C377C8">
        <w:rPr>
          <w:rStyle w:val="selectable"/>
          <w:color w:val="000000" w:themeColor="text1"/>
        </w:rPr>
        <w:t>. Berlin: Walter de Gruyter.</w:t>
      </w:r>
    </w:p>
    <w:p w14:paraId="172AC4C8"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Gravani, M., 2008. Academics and practitioners: Partners in generating knowledge or citizens of two different worlds?. </w:t>
      </w:r>
      <w:r w:rsidRPr="00C377C8">
        <w:rPr>
          <w:rStyle w:val="selectable"/>
          <w:i/>
          <w:iCs/>
          <w:color w:val="000000" w:themeColor="text1"/>
        </w:rPr>
        <w:t>Teaching and Teacher Education</w:t>
      </w:r>
      <w:r w:rsidRPr="00C377C8">
        <w:rPr>
          <w:rStyle w:val="selectable"/>
          <w:color w:val="000000" w:themeColor="text1"/>
        </w:rPr>
        <w:t>, 24(3), pp.649-659.</w:t>
      </w:r>
    </w:p>
    <w:p w14:paraId="5ECBF676" w14:textId="77777777" w:rsidR="00FB6B91" w:rsidRPr="00C377C8" w:rsidRDefault="00FB6B91" w:rsidP="00461178">
      <w:pPr>
        <w:spacing w:line="360" w:lineRule="auto"/>
        <w:ind w:left="2268"/>
        <w:rPr>
          <w:color w:val="000000" w:themeColor="text1"/>
          <w:lang w:val="en-US"/>
        </w:rPr>
      </w:pPr>
      <w:r w:rsidRPr="00C377C8">
        <w:rPr>
          <w:color w:val="000000" w:themeColor="text1"/>
          <w:lang w:val="en-US"/>
        </w:rPr>
        <w:t>Grbich, C., 2004. </w:t>
      </w:r>
      <w:r w:rsidRPr="00C377C8">
        <w:rPr>
          <w:i/>
          <w:iCs/>
          <w:color w:val="000000" w:themeColor="text1"/>
          <w:lang w:val="en-US"/>
        </w:rPr>
        <w:t>New approaches in social research</w:t>
      </w:r>
      <w:r w:rsidRPr="00C377C8">
        <w:rPr>
          <w:color w:val="000000" w:themeColor="text1"/>
          <w:lang w:val="en-US"/>
        </w:rPr>
        <w:t>. London: SAGE.</w:t>
      </w:r>
    </w:p>
    <w:p w14:paraId="51BAE37C"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Green, K. and Hutchings, P., 2018. Faculty Engagement with Integrative Assignment Design: Connecting Teaching and Assessment. </w:t>
      </w:r>
      <w:r w:rsidRPr="00C377C8">
        <w:rPr>
          <w:rFonts w:eastAsia="Times New Roman"/>
          <w:i/>
          <w:iCs/>
          <w:color w:val="000000" w:themeColor="text1"/>
          <w:lang w:eastAsia="en-GB"/>
        </w:rPr>
        <w:t>New Directions for Teaching and Learning</w:t>
      </w:r>
      <w:r w:rsidRPr="00C377C8">
        <w:rPr>
          <w:rFonts w:eastAsia="Times New Roman"/>
          <w:color w:val="000000" w:themeColor="text1"/>
          <w:lang w:eastAsia="en-GB"/>
        </w:rPr>
        <w:t>, 2018(155), pp.39-46.</w:t>
      </w:r>
    </w:p>
    <w:p w14:paraId="09B5E4FE"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Grenot-Scheyer, M., 1996. </w:t>
      </w:r>
      <w:r w:rsidRPr="00C377C8">
        <w:rPr>
          <w:rStyle w:val="selectable"/>
          <w:i/>
          <w:iCs/>
          <w:color w:val="000000" w:themeColor="text1"/>
        </w:rPr>
        <w:t>The Inclusive Classroom</w:t>
      </w:r>
      <w:r w:rsidRPr="00C377C8">
        <w:rPr>
          <w:rStyle w:val="selectable"/>
          <w:color w:val="000000" w:themeColor="text1"/>
        </w:rPr>
        <w:t>. Westminster, CA: Teacher Created Materials.</w:t>
      </w:r>
    </w:p>
    <w:p w14:paraId="221E88B1"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Griffin, G., 1984. </w:t>
      </w:r>
      <w:r w:rsidRPr="00C377C8">
        <w:rPr>
          <w:rStyle w:val="selectable"/>
          <w:i/>
          <w:iCs/>
          <w:color w:val="000000" w:themeColor="text1"/>
        </w:rPr>
        <w:t>Changing Teacher Practice</w:t>
      </w:r>
      <w:r w:rsidRPr="00C377C8">
        <w:rPr>
          <w:rStyle w:val="selectable"/>
          <w:color w:val="000000" w:themeColor="text1"/>
        </w:rPr>
        <w:t>. Austin, Tex.: Research and Development Center for Teacher Education, University of Texas at Austin.</w:t>
      </w:r>
    </w:p>
    <w:p w14:paraId="086EAC6C"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Groenewald, T., 2004. A Phenomenological Research Design Illustrated. </w:t>
      </w:r>
      <w:r w:rsidRPr="00C377C8">
        <w:rPr>
          <w:rFonts w:eastAsia="Times New Roman"/>
          <w:i/>
          <w:iCs/>
          <w:color w:val="000000" w:themeColor="text1"/>
          <w:lang w:eastAsia="en-GB"/>
        </w:rPr>
        <w:t>International Journal of Qualitative Methods</w:t>
      </w:r>
      <w:r w:rsidRPr="00C377C8">
        <w:rPr>
          <w:rFonts w:eastAsia="Times New Roman"/>
          <w:color w:val="000000" w:themeColor="text1"/>
          <w:lang w:eastAsia="en-GB"/>
        </w:rPr>
        <w:t>, 3(1), pp.42-55.</w:t>
      </w:r>
    </w:p>
    <w:p w14:paraId="18D94E9A"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Gross, Z., Davies, L. and Diab, A., 2013. </w:t>
      </w:r>
      <w:r w:rsidRPr="00C377C8">
        <w:rPr>
          <w:rStyle w:val="selectable"/>
          <w:i/>
          <w:iCs/>
          <w:color w:val="000000" w:themeColor="text1"/>
        </w:rPr>
        <w:t>Gender, Religion and Education In A Chaotic Postmodern World</w:t>
      </w:r>
      <w:r w:rsidRPr="00C377C8">
        <w:rPr>
          <w:rStyle w:val="selectable"/>
          <w:color w:val="000000" w:themeColor="text1"/>
        </w:rPr>
        <w:t>. Dordrecht: Springer.</w:t>
      </w:r>
    </w:p>
    <w:p w14:paraId="63A93998" w14:textId="77777777" w:rsidR="00FB6B91" w:rsidRPr="00C377C8" w:rsidRDefault="00FB6B91" w:rsidP="00461178">
      <w:pPr>
        <w:spacing w:line="360" w:lineRule="auto"/>
        <w:ind w:left="2268"/>
        <w:rPr>
          <w:color w:val="000000" w:themeColor="text1"/>
        </w:rPr>
      </w:pPr>
      <w:r w:rsidRPr="00C377C8">
        <w:rPr>
          <w:color w:val="000000" w:themeColor="text1"/>
        </w:rPr>
        <w:t>Guest, G., MacQueen, K. and Namey, E., 2012. </w:t>
      </w:r>
      <w:r w:rsidRPr="00C377C8">
        <w:rPr>
          <w:i/>
          <w:iCs/>
          <w:color w:val="000000" w:themeColor="text1"/>
        </w:rPr>
        <w:t>Applied Thematic Analysis</w:t>
      </w:r>
      <w:r w:rsidRPr="00C377C8">
        <w:rPr>
          <w:color w:val="000000" w:themeColor="text1"/>
        </w:rPr>
        <w:t>. Los Angeles: Sage Publications.</w:t>
      </w:r>
    </w:p>
    <w:p w14:paraId="6E135947"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Gülen, F., 2019. </w:t>
      </w:r>
      <w:r w:rsidRPr="00C377C8">
        <w:rPr>
          <w:rStyle w:val="selectable"/>
          <w:i/>
          <w:iCs/>
          <w:color w:val="000000" w:themeColor="text1"/>
        </w:rPr>
        <w:t>Fethullah Gülen's Methodology of Interpreting Quran - Fethullah Gülen's Official Web Site</w:t>
      </w:r>
      <w:r w:rsidRPr="00C377C8">
        <w:rPr>
          <w:rStyle w:val="selectable"/>
          <w:color w:val="000000" w:themeColor="text1"/>
        </w:rPr>
        <w:t>. [online] Fgulen.com. Available at: https://fgulen.com/en/gulen-movement/conference-papers/the-fethullah-gulen-movement-ii/25610-fethullah-gulens-methodology-of-interpreting-quran [Accessed 3 Sep. 2019]</w:t>
      </w:r>
    </w:p>
    <w:p w14:paraId="7754E98F"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Gunzenhauser, M. and Gerstl-Pepin, C., 2006. Engaging Graduate Education: A Pedagogy for Epistemological and Theoretical Diversity. </w:t>
      </w:r>
      <w:r w:rsidRPr="00C377C8">
        <w:rPr>
          <w:i/>
          <w:iCs/>
          <w:color w:val="000000" w:themeColor="text1"/>
          <w:shd w:val="clear" w:color="auto" w:fill="FFFFFF"/>
        </w:rPr>
        <w:t>The Review of Higher Education</w:t>
      </w:r>
      <w:r w:rsidRPr="00C377C8">
        <w:rPr>
          <w:color w:val="000000" w:themeColor="text1"/>
          <w:shd w:val="clear" w:color="auto" w:fill="FFFFFF"/>
        </w:rPr>
        <w:t>, 29(3), pp.319-346.</w:t>
      </w:r>
    </w:p>
    <w:p w14:paraId="0F90FB07"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Haar Romeny, R., Jenner, K. and Peursen, W., 2006. </w:t>
      </w:r>
      <w:r w:rsidRPr="00C377C8">
        <w:rPr>
          <w:rStyle w:val="selectable"/>
          <w:i/>
          <w:iCs/>
          <w:color w:val="000000" w:themeColor="text1"/>
        </w:rPr>
        <w:t>Text, Translation, And Tradition</w:t>
      </w:r>
      <w:r w:rsidRPr="00C377C8">
        <w:rPr>
          <w:rStyle w:val="selectable"/>
          <w:color w:val="000000" w:themeColor="text1"/>
        </w:rPr>
        <w:t>. Leiden: Brill.</w:t>
      </w:r>
    </w:p>
    <w:p w14:paraId="47FAFA8F" w14:textId="77777777" w:rsidR="00FB6B91" w:rsidRPr="00C377C8" w:rsidRDefault="00FB6B91" w:rsidP="00F1408E">
      <w:pPr>
        <w:ind w:left="2268"/>
        <w:rPr>
          <w:rFonts w:ascii="Calibri" w:eastAsia="Calibri" w:hAnsi="Calibri" w:cs="Times New Roman"/>
          <w:color w:val="000000" w:themeColor="text1"/>
        </w:rPr>
      </w:pPr>
      <w:r w:rsidRPr="00C377C8">
        <w:rPr>
          <w:rFonts w:ascii="Open Sans" w:eastAsia="Calibri" w:hAnsi="Open Sans" w:cs="Open Sans"/>
          <w:color w:val="000000" w:themeColor="text1"/>
          <w:sz w:val="20"/>
          <w:szCs w:val="20"/>
          <w:shd w:val="clear" w:color="auto" w:fill="FFFFFF"/>
        </w:rPr>
        <w:t>Habib, M., 2008. </w:t>
      </w:r>
      <w:r w:rsidRPr="00C377C8">
        <w:rPr>
          <w:rFonts w:ascii="Open Sans" w:eastAsia="Calibri" w:hAnsi="Open Sans" w:cs="Open Sans"/>
          <w:i/>
          <w:iCs/>
          <w:color w:val="000000" w:themeColor="text1"/>
          <w:sz w:val="20"/>
          <w:szCs w:val="20"/>
          <w:shd w:val="clear" w:color="auto" w:fill="FFFFFF"/>
        </w:rPr>
        <w:t>Modern literary criticism and theory</w:t>
      </w:r>
      <w:r w:rsidRPr="00C377C8">
        <w:rPr>
          <w:rFonts w:ascii="Open Sans" w:eastAsia="Calibri" w:hAnsi="Open Sans" w:cs="Open Sans"/>
          <w:color w:val="000000" w:themeColor="text1"/>
          <w:sz w:val="20"/>
          <w:szCs w:val="20"/>
          <w:shd w:val="clear" w:color="auto" w:fill="FFFFFF"/>
        </w:rPr>
        <w:t>. Malden, MA: Blackwell Publishing.</w:t>
      </w:r>
    </w:p>
    <w:p w14:paraId="026B1093"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Halling, S., 2008 . Intimacy, transcendence, and psychology: closeness and openness in everyday life. </w:t>
      </w:r>
      <w:r w:rsidRPr="00C377C8">
        <w:rPr>
          <w:i/>
          <w:iCs/>
          <w:color w:val="000000" w:themeColor="text1"/>
          <w:shd w:val="clear" w:color="auto" w:fill="FFFFFF"/>
        </w:rPr>
        <w:t>Choice Reviews Online</w:t>
      </w:r>
      <w:r w:rsidRPr="00C377C8">
        <w:rPr>
          <w:color w:val="000000" w:themeColor="text1"/>
          <w:shd w:val="clear" w:color="auto" w:fill="FFFFFF"/>
        </w:rPr>
        <w:t>, 45(09), pp.45-5268-45-5268.</w:t>
      </w:r>
    </w:p>
    <w:p w14:paraId="60679BF6"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Hammersley, M. and  Atkinson, P., 1995. Ethnography: Principles in practice (2nd ed.). New York: Routledge</w:t>
      </w:r>
    </w:p>
    <w:p w14:paraId="01D70DEE"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Hammersley, M., 2019. From Positivism to Post-Positivism: Progress or Digression?. </w:t>
      </w:r>
      <w:r w:rsidRPr="00C377C8">
        <w:rPr>
          <w:rStyle w:val="selectable"/>
          <w:i/>
          <w:iCs/>
          <w:color w:val="000000" w:themeColor="text1"/>
        </w:rPr>
        <w:t>Teoria Polityki</w:t>
      </w:r>
      <w:r w:rsidRPr="00C377C8">
        <w:rPr>
          <w:rStyle w:val="selectable"/>
          <w:color w:val="000000" w:themeColor="text1"/>
        </w:rPr>
        <w:t>, 3, pp.175-188.</w:t>
      </w:r>
    </w:p>
    <w:p w14:paraId="323E1A9C"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Hamrick, W. , 2001. Introduction to Phenomenology, by Dermot Moran. </w:t>
      </w:r>
      <w:r w:rsidRPr="00C377C8">
        <w:rPr>
          <w:rFonts w:eastAsia="Times New Roman"/>
          <w:i/>
          <w:iCs/>
          <w:color w:val="000000" w:themeColor="text1"/>
          <w:lang w:eastAsia="en-GB"/>
        </w:rPr>
        <w:t>Journal of the British Society for Phenomenology</w:t>
      </w:r>
      <w:r w:rsidRPr="00C377C8">
        <w:rPr>
          <w:rFonts w:eastAsia="Times New Roman"/>
          <w:color w:val="000000" w:themeColor="text1"/>
          <w:lang w:eastAsia="en-GB"/>
        </w:rPr>
        <w:t>, 32(1), pp.106-109.</w:t>
      </w:r>
    </w:p>
    <w:p w14:paraId="138FA087" w14:textId="77777777" w:rsidR="00FB6B91" w:rsidRPr="00C377C8" w:rsidRDefault="00FB6B91" w:rsidP="00461178">
      <w:pPr>
        <w:spacing w:line="360" w:lineRule="auto"/>
        <w:ind w:left="2268"/>
        <w:rPr>
          <w:rStyle w:val="selectable"/>
          <w:color w:val="000000" w:themeColor="text1"/>
        </w:rPr>
      </w:pPr>
      <w:r w:rsidRPr="00C377C8">
        <w:rPr>
          <w:rStyle w:val="Strong"/>
          <w:b w:val="0"/>
          <w:color w:val="000000" w:themeColor="text1"/>
        </w:rPr>
        <w:t> </w:t>
      </w:r>
      <w:r w:rsidRPr="00C377C8">
        <w:rPr>
          <w:rStyle w:val="selectable"/>
          <w:color w:val="000000" w:themeColor="text1"/>
        </w:rPr>
        <w:t>Hansen, K., 2009. Strategies for Developing Effective Teaching Skills in the Affective Domain. </w:t>
      </w:r>
      <w:r w:rsidRPr="00C377C8">
        <w:rPr>
          <w:rStyle w:val="selectable"/>
          <w:i/>
          <w:iCs/>
          <w:color w:val="000000" w:themeColor="text1"/>
        </w:rPr>
        <w:t>Strategies</w:t>
      </w:r>
      <w:r w:rsidRPr="00C377C8">
        <w:rPr>
          <w:rStyle w:val="selectable"/>
          <w:color w:val="000000" w:themeColor="text1"/>
        </w:rPr>
        <w:t>, 23(1), pp.14-19.</w:t>
      </w:r>
    </w:p>
    <w:p w14:paraId="080E1AF6" w14:textId="77777777" w:rsidR="00FB6B91" w:rsidRPr="00C377C8" w:rsidRDefault="00FB6B91" w:rsidP="00461178">
      <w:pPr>
        <w:spacing w:line="360" w:lineRule="auto"/>
        <w:ind w:left="2268"/>
        <w:rPr>
          <w:rFonts w:eastAsia="Times New Roman"/>
          <w:color w:val="000000" w:themeColor="text1"/>
          <w:lang w:val="en-US"/>
        </w:rPr>
      </w:pPr>
      <w:r w:rsidRPr="00C377C8">
        <w:rPr>
          <w:rFonts w:eastAsia="Times New Roman"/>
          <w:color w:val="000000" w:themeColor="text1"/>
          <w:shd w:val="clear" w:color="auto" w:fill="FFFFFF"/>
        </w:rPr>
        <w:t>Haqqani, A., 2017. </w:t>
      </w:r>
      <w:r w:rsidRPr="00C377C8">
        <w:rPr>
          <w:rFonts w:eastAsia="Times New Roman"/>
          <w:i/>
          <w:iCs/>
          <w:color w:val="000000" w:themeColor="text1"/>
          <w:shd w:val="clear" w:color="auto" w:fill="FFFFFF"/>
        </w:rPr>
        <w:t>Thematic Analysis of Sura e Noor</w:t>
      </w:r>
      <w:r w:rsidRPr="00C377C8">
        <w:rPr>
          <w:rFonts w:eastAsia="Times New Roman"/>
          <w:color w:val="000000" w:themeColor="text1"/>
          <w:shd w:val="clear" w:color="auto" w:fill="FFFFFF"/>
        </w:rPr>
        <w:t>. Copenhagen: Springers.</w:t>
      </w:r>
    </w:p>
    <w:p w14:paraId="202D0086"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Harper, H., 2013. </w:t>
      </w:r>
      <w:r w:rsidRPr="00C377C8">
        <w:rPr>
          <w:rFonts w:eastAsia="Times New Roman"/>
          <w:i/>
          <w:iCs/>
          <w:color w:val="000000" w:themeColor="text1"/>
          <w:lang w:eastAsia="en-GB"/>
        </w:rPr>
        <w:t>Outstanding Teaching In Lifelong Learning</w:t>
      </w:r>
      <w:r w:rsidRPr="00C377C8">
        <w:rPr>
          <w:rFonts w:eastAsia="Times New Roman"/>
          <w:color w:val="000000" w:themeColor="text1"/>
          <w:lang w:eastAsia="en-GB"/>
        </w:rPr>
        <w:t>. McGraw-Hill Education.</w:t>
      </w:r>
    </w:p>
    <w:p w14:paraId="7979CE26"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Harris, D., 2016. Doing research drawing on the philosophy of existential hermeneutic phenomenology. </w:t>
      </w:r>
      <w:r w:rsidRPr="00C377C8">
        <w:rPr>
          <w:rFonts w:eastAsia="Times New Roman"/>
          <w:i/>
          <w:iCs/>
          <w:color w:val="000000" w:themeColor="text1"/>
          <w:lang w:eastAsia="en-GB"/>
        </w:rPr>
        <w:t>Palliative and Supportive Care</w:t>
      </w:r>
      <w:r w:rsidRPr="00C377C8">
        <w:rPr>
          <w:rFonts w:eastAsia="Times New Roman"/>
          <w:color w:val="000000" w:themeColor="text1"/>
          <w:lang w:eastAsia="en-GB"/>
        </w:rPr>
        <w:t>, 15(2), pp.267-269.</w:t>
      </w:r>
    </w:p>
    <w:p w14:paraId="50E66DDB"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Harris, J., 1995. </w:t>
      </w:r>
      <w:r w:rsidRPr="00C377C8">
        <w:rPr>
          <w:rStyle w:val="selectable"/>
          <w:i/>
          <w:iCs/>
          <w:color w:val="000000" w:themeColor="text1"/>
        </w:rPr>
        <w:t>Presentation Skills For Teachers</w:t>
      </w:r>
      <w:r w:rsidRPr="00C377C8">
        <w:rPr>
          <w:rStyle w:val="selectable"/>
          <w:color w:val="000000" w:themeColor="text1"/>
        </w:rPr>
        <w:t>. London: Kogan Page.</w:t>
      </w:r>
    </w:p>
    <w:p w14:paraId="331153AF" w14:textId="77777777" w:rsidR="00FB6B91" w:rsidRPr="00C377C8" w:rsidRDefault="00FB6B91" w:rsidP="00461178">
      <w:pPr>
        <w:spacing w:line="360" w:lineRule="auto"/>
        <w:ind w:left="2268"/>
        <w:rPr>
          <w:color w:val="000000" w:themeColor="text1"/>
        </w:rPr>
      </w:pPr>
      <w:r w:rsidRPr="00C377C8">
        <w:rPr>
          <w:color w:val="000000" w:themeColor="text1"/>
        </w:rPr>
        <w:t>Harris, L.R., 2008. A Phenomenographic Investigation of Teacher Conceptions of Student Engagement in Learning, The Australian Educational Researcher, 35(1): 57-79.</w:t>
      </w:r>
    </w:p>
    <w:p w14:paraId="3AC43458"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Harrison, C., 1997. </w:t>
      </w:r>
      <w:r w:rsidRPr="00C377C8">
        <w:rPr>
          <w:rStyle w:val="selectable"/>
          <w:i/>
          <w:iCs/>
          <w:color w:val="000000" w:themeColor="text1"/>
        </w:rPr>
        <w:t>Modernism</w:t>
      </w:r>
      <w:r w:rsidRPr="00C377C8">
        <w:rPr>
          <w:rStyle w:val="selectable"/>
          <w:color w:val="000000" w:themeColor="text1"/>
        </w:rPr>
        <w:t>. Cambridge: Cambridge University Press.</w:t>
      </w:r>
    </w:p>
    <w:p w14:paraId="1418F0A8"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Harvey, N., 2002. </w:t>
      </w:r>
      <w:r w:rsidRPr="00C377C8">
        <w:rPr>
          <w:rStyle w:val="selectable"/>
          <w:i/>
          <w:iCs/>
          <w:color w:val="000000" w:themeColor="text1"/>
        </w:rPr>
        <w:t>Effective Communication</w:t>
      </w:r>
      <w:r w:rsidRPr="00C377C8">
        <w:rPr>
          <w:rStyle w:val="selectable"/>
          <w:color w:val="000000" w:themeColor="text1"/>
        </w:rPr>
        <w:t>. Dublin: Gill &amp; Macmillan Ltd.</w:t>
      </w:r>
    </w:p>
    <w:p w14:paraId="1BD52AF6" w14:textId="77777777" w:rsidR="00FB6B91" w:rsidRPr="00C377C8" w:rsidRDefault="00FB6B91" w:rsidP="00461178">
      <w:pPr>
        <w:spacing w:line="360" w:lineRule="auto"/>
        <w:ind w:left="2268"/>
        <w:rPr>
          <w:rFonts w:eastAsia="Times New Roman"/>
          <w:color w:val="000000" w:themeColor="text1"/>
        </w:rPr>
      </w:pPr>
      <w:r w:rsidRPr="00C377C8">
        <w:rPr>
          <w:rFonts w:eastAsia="Times New Roman"/>
          <w:color w:val="000000" w:themeColor="text1"/>
        </w:rPr>
        <w:t>Hasanuzzaman, H., 2012. Development of Arabic Studies in India. A Journal of Humanities and Social Science.1 (2).</w:t>
      </w:r>
    </w:p>
    <w:p w14:paraId="5BDDCF3F"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Hassan, R., 1996. Feminist theology: The challenges for muslim women. </w:t>
      </w:r>
      <w:r w:rsidRPr="00C377C8">
        <w:rPr>
          <w:rStyle w:val="selectable"/>
          <w:i/>
          <w:iCs/>
          <w:color w:val="000000" w:themeColor="text1"/>
        </w:rPr>
        <w:t>Critique: Critical Middle Eastern Studies</w:t>
      </w:r>
      <w:r w:rsidRPr="00C377C8">
        <w:rPr>
          <w:rStyle w:val="selectable"/>
          <w:color w:val="000000" w:themeColor="text1"/>
        </w:rPr>
        <w:t>, 5(9), pp.53-65.</w:t>
      </w:r>
    </w:p>
    <w:p w14:paraId="67648059"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Hatch, M. and Cunliffe, A., 2006. </w:t>
      </w:r>
      <w:r w:rsidRPr="00C377C8">
        <w:rPr>
          <w:i/>
          <w:iCs/>
          <w:color w:val="000000" w:themeColor="text1"/>
          <w:shd w:val="clear" w:color="auto" w:fill="FFFFFF"/>
        </w:rPr>
        <w:t>Modern, symbolic, and postmodern perspectives</w:t>
      </w:r>
      <w:r w:rsidRPr="00C377C8">
        <w:rPr>
          <w:color w:val="000000" w:themeColor="text1"/>
          <w:shd w:val="clear" w:color="auto" w:fill="FFFFFF"/>
        </w:rPr>
        <w:t>. London: Oxford University Press.</w:t>
      </w:r>
    </w:p>
    <w:p w14:paraId="159CB5B8"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Hawting, G., 2013. </w:t>
      </w:r>
      <w:r w:rsidRPr="00C377C8">
        <w:rPr>
          <w:rStyle w:val="selectable"/>
          <w:i/>
          <w:iCs/>
          <w:color w:val="000000" w:themeColor="text1"/>
        </w:rPr>
        <w:t>Approaches to the Qur'an</w:t>
      </w:r>
      <w:r w:rsidRPr="00C377C8">
        <w:rPr>
          <w:rStyle w:val="selectable"/>
          <w:color w:val="000000" w:themeColor="text1"/>
        </w:rPr>
        <w:t>. Hoboken: Taylor and Francis.</w:t>
      </w:r>
    </w:p>
    <w:p w14:paraId="37F41016" w14:textId="77777777" w:rsidR="00FB6B91" w:rsidRPr="00C377C8" w:rsidRDefault="00FB6B91" w:rsidP="00461178">
      <w:pPr>
        <w:spacing w:line="360" w:lineRule="auto"/>
        <w:ind w:left="2268"/>
        <w:rPr>
          <w:color w:val="000000" w:themeColor="text1"/>
        </w:rPr>
      </w:pPr>
      <w:r w:rsidRPr="00C377C8">
        <w:rPr>
          <w:color w:val="000000" w:themeColor="text1"/>
        </w:rPr>
        <w:t>Hayes, A., 2006. </w:t>
      </w:r>
      <w:r w:rsidRPr="00C377C8">
        <w:rPr>
          <w:i/>
          <w:iCs/>
          <w:color w:val="000000" w:themeColor="text1"/>
        </w:rPr>
        <w:t>Teaching Adults</w:t>
      </w:r>
      <w:r w:rsidRPr="00C377C8">
        <w:rPr>
          <w:color w:val="000000" w:themeColor="text1"/>
        </w:rPr>
        <w:t>. London: Continuum.</w:t>
      </w:r>
    </w:p>
    <w:p w14:paraId="2919F755" w14:textId="77777777" w:rsidR="00FB6B91" w:rsidRPr="00C377C8" w:rsidRDefault="00FB6B91" w:rsidP="00461178">
      <w:pPr>
        <w:spacing w:line="360" w:lineRule="auto"/>
        <w:ind w:left="2268"/>
        <w:rPr>
          <w:color w:val="000000" w:themeColor="text1"/>
        </w:rPr>
      </w:pPr>
      <w:r w:rsidRPr="00C377C8">
        <w:rPr>
          <w:color w:val="000000" w:themeColor="text1"/>
        </w:rPr>
        <w:t>Heidegger, M. and Dahlstrom, D., 2005. </w:t>
      </w:r>
      <w:r w:rsidRPr="00C377C8">
        <w:rPr>
          <w:i/>
          <w:iCs/>
          <w:color w:val="000000" w:themeColor="text1"/>
        </w:rPr>
        <w:t>Introduction To Phenomenological Research</w:t>
      </w:r>
      <w:r w:rsidRPr="00C377C8">
        <w:rPr>
          <w:color w:val="000000" w:themeColor="text1"/>
        </w:rPr>
        <w:t>. Bloomington: Indiana University Press.</w:t>
      </w:r>
    </w:p>
    <w:p w14:paraId="64323B76"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Heinamaa, S., Hartimo, M. and Miettinen, T., 2014. </w:t>
      </w:r>
      <w:r w:rsidRPr="00C377C8">
        <w:rPr>
          <w:rFonts w:eastAsia="Times New Roman"/>
          <w:i/>
          <w:iCs/>
          <w:color w:val="000000" w:themeColor="text1"/>
          <w:lang w:eastAsia="en-GB"/>
        </w:rPr>
        <w:t>Phenomenology and the Transcendental</w:t>
      </w:r>
      <w:r w:rsidRPr="00C377C8">
        <w:rPr>
          <w:rFonts w:eastAsia="Times New Roman"/>
          <w:color w:val="000000" w:themeColor="text1"/>
          <w:lang w:eastAsia="en-GB"/>
        </w:rPr>
        <w:t>. Florence: Taylor and Francis.</w:t>
      </w:r>
    </w:p>
    <w:p w14:paraId="762017EC"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Helder, B., 2015. </w:t>
      </w:r>
      <w:r w:rsidRPr="00C377C8">
        <w:rPr>
          <w:rStyle w:val="selectable"/>
          <w:i/>
          <w:iCs/>
          <w:color w:val="000000" w:themeColor="text1"/>
        </w:rPr>
        <w:t>Textual Analysis</w:t>
      </w:r>
      <w:r w:rsidRPr="00C377C8">
        <w:rPr>
          <w:rStyle w:val="selectable"/>
          <w:color w:val="000000" w:themeColor="text1"/>
        </w:rPr>
        <w:t>. Frederiksberg: Samfundslitteratur.</w:t>
      </w:r>
    </w:p>
    <w:p w14:paraId="4842B4D1"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Hellinger, M. and Pauwels, A., 2009. </w:t>
      </w:r>
      <w:r w:rsidRPr="00C377C8">
        <w:rPr>
          <w:rStyle w:val="selectable"/>
          <w:i/>
          <w:iCs/>
          <w:color w:val="000000" w:themeColor="text1"/>
        </w:rPr>
        <w:t>Handbook of language and communication-- diversity and change</w:t>
      </w:r>
      <w:r w:rsidRPr="00C377C8">
        <w:rPr>
          <w:rStyle w:val="selectable"/>
          <w:color w:val="000000" w:themeColor="text1"/>
        </w:rPr>
        <w:t>. New York: Mouton de Gruyter.</w:t>
      </w:r>
    </w:p>
    <w:p w14:paraId="421F87F9" w14:textId="77777777" w:rsidR="00FB6B91" w:rsidRPr="00C377C8" w:rsidRDefault="00FB6B91" w:rsidP="00461178">
      <w:pPr>
        <w:spacing w:line="360" w:lineRule="auto"/>
        <w:ind w:left="2268"/>
        <w:rPr>
          <w:color w:val="000000" w:themeColor="text1"/>
        </w:rPr>
      </w:pPr>
      <w:r w:rsidRPr="00C377C8">
        <w:rPr>
          <w:color w:val="000000" w:themeColor="text1"/>
        </w:rPr>
        <w:t>Henderson, J. and Lawrence, A., 2011. </w:t>
      </w:r>
      <w:r w:rsidRPr="00C377C8">
        <w:rPr>
          <w:i/>
          <w:iCs/>
          <w:color w:val="000000" w:themeColor="text1"/>
        </w:rPr>
        <w:t>Teaching Strategies</w:t>
      </w:r>
      <w:r w:rsidRPr="00C377C8">
        <w:rPr>
          <w:color w:val="000000" w:themeColor="text1"/>
        </w:rPr>
        <w:t>. New York: Nova Science Publishers.</w:t>
      </w:r>
    </w:p>
    <w:p w14:paraId="4EB03153"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Hennessy, S., 2013. </w:t>
      </w:r>
      <w:r w:rsidRPr="00C377C8">
        <w:rPr>
          <w:rStyle w:val="selectable"/>
          <w:i/>
          <w:iCs/>
          <w:color w:val="000000" w:themeColor="text1"/>
        </w:rPr>
        <w:t>Bridging Between Research and Practice</w:t>
      </w:r>
      <w:r w:rsidRPr="00C377C8">
        <w:rPr>
          <w:rStyle w:val="selectable"/>
          <w:color w:val="000000" w:themeColor="text1"/>
        </w:rPr>
        <w:t>. Oxford publications.</w:t>
      </w:r>
    </w:p>
    <w:p w14:paraId="58611D22"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Hermann, F., 2013. </w:t>
      </w:r>
      <w:r w:rsidRPr="00C377C8">
        <w:rPr>
          <w:rFonts w:eastAsia="Times New Roman"/>
          <w:i/>
          <w:iCs/>
          <w:color w:val="000000" w:themeColor="text1"/>
          <w:lang w:eastAsia="en-GB"/>
        </w:rPr>
        <w:t>Hermeneutics and reflection</w:t>
      </w:r>
      <w:r w:rsidRPr="00C377C8">
        <w:rPr>
          <w:rFonts w:eastAsia="Times New Roman"/>
          <w:color w:val="000000" w:themeColor="text1"/>
          <w:lang w:eastAsia="en-GB"/>
        </w:rPr>
        <w:t>. Toronto: University of Toronto Press.</w:t>
      </w:r>
    </w:p>
    <w:p w14:paraId="20A79558"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Herrera, C., 2001. Research Ethics and the Interpretive Stance in Fieldwork. </w:t>
      </w:r>
      <w:r w:rsidRPr="00C377C8">
        <w:rPr>
          <w:rStyle w:val="selectable"/>
          <w:i/>
          <w:iCs/>
          <w:color w:val="000000" w:themeColor="text1"/>
        </w:rPr>
        <w:t>Philosophy of the Social Sciences</w:t>
      </w:r>
      <w:r w:rsidRPr="00C377C8">
        <w:rPr>
          <w:rStyle w:val="selectable"/>
          <w:color w:val="000000" w:themeColor="text1"/>
        </w:rPr>
        <w:t>, 31(2), pp.239-246.</w:t>
      </w:r>
    </w:p>
    <w:p w14:paraId="58190B56" w14:textId="77777777" w:rsidR="00FB6B91" w:rsidRPr="00C377C8" w:rsidRDefault="00FB6B91" w:rsidP="00461178">
      <w:pPr>
        <w:spacing w:line="360" w:lineRule="auto"/>
        <w:ind w:left="2268"/>
        <w:rPr>
          <w:color w:val="000000" w:themeColor="text1"/>
        </w:rPr>
      </w:pPr>
      <w:r w:rsidRPr="00C377C8">
        <w:rPr>
          <w:color w:val="000000" w:themeColor="text1"/>
          <w:shd w:val="clear" w:color="auto" w:fill="FFFFFF"/>
        </w:rPr>
        <w:t>Herzog, B.,2015. Recognition in multicultural societies. Intergroup relations as second-order recognition. </w:t>
      </w:r>
      <w:r w:rsidRPr="00C377C8">
        <w:rPr>
          <w:i/>
          <w:iCs/>
          <w:color w:val="000000" w:themeColor="text1"/>
          <w:shd w:val="clear" w:color="auto" w:fill="FFFFFF"/>
        </w:rPr>
        <w:t>Revista Internacional de Sociología</w:t>
      </w:r>
      <w:r w:rsidRPr="00C377C8">
        <w:rPr>
          <w:color w:val="000000" w:themeColor="text1"/>
          <w:shd w:val="clear" w:color="auto" w:fill="FFFFFF"/>
        </w:rPr>
        <w:t>, 73(2), p.e008.</w:t>
      </w:r>
    </w:p>
    <w:p w14:paraId="53D4CF30"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Hestenes, R., Hendricks, H. and Palmer, E., 1991. </w:t>
      </w:r>
      <w:r w:rsidRPr="00C377C8">
        <w:rPr>
          <w:rStyle w:val="selectable"/>
          <w:i/>
          <w:iCs/>
          <w:color w:val="000000" w:themeColor="text1"/>
        </w:rPr>
        <w:t>Mastering Teaching</w:t>
      </w:r>
      <w:r w:rsidRPr="00C377C8">
        <w:rPr>
          <w:rStyle w:val="selectable"/>
          <w:color w:val="000000" w:themeColor="text1"/>
        </w:rPr>
        <w:t>. Portland, Or.: Multnomah Press.</w:t>
      </w:r>
    </w:p>
    <w:p w14:paraId="261D4253"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Hidayatullah, A., 2014. Feminist Interpretation of the Qur'an in a Comparative Feminist Setting. </w:t>
      </w:r>
      <w:r w:rsidRPr="00C377C8">
        <w:rPr>
          <w:rStyle w:val="selectable"/>
          <w:i/>
          <w:iCs/>
          <w:color w:val="000000" w:themeColor="text1"/>
        </w:rPr>
        <w:t>Journal of Feminist Studies in Religion</w:t>
      </w:r>
      <w:r w:rsidRPr="00C377C8">
        <w:rPr>
          <w:rStyle w:val="selectable"/>
          <w:color w:val="000000" w:themeColor="text1"/>
        </w:rPr>
        <w:t>, 30(2), p.115.</w:t>
      </w:r>
    </w:p>
    <w:p w14:paraId="4B86347B"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Hidayatullah, A., 2014. </w:t>
      </w:r>
      <w:r w:rsidRPr="00C377C8">
        <w:rPr>
          <w:rStyle w:val="selectable"/>
          <w:i/>
          <w:iCs/>
          <w:color w:val="000000" w:themeColor="text1"/>
        </w:rPr>
        <w:t>Feminist edges of the Qur'an</w:t>
      </w:r>
      <w:r w:rsidRPr="00C377C8">
        <w:rPr>
          <w:rStyle w:val="selectable"/>
          <w:color w:val="000000" w:themeColor="text1"/>
        </w:rPr>
        <w:t>. New York: Oxford University Press.</w:t>
      </w:r>
    </w:p>
    <w:p w14:paraId="769833B6" w14:textId="77777777" w:rsidR="00FB6B91" w:rsidRPr="00C377C8" w:rsidRDefault="00FB6B91" w:rsidP="00461178">
      <w:pPr>
        <w:spacing w:line="360" w:lineRule="auto"/>
        <w:ind w:left="2268"/>
        <w:rPr>
          <w:rFonts w:eastAsia="Times New Roman"/>
          <w:color w:val="000000" w:themeColor="text1"/>
          <w:lang w:eastAsia="en-GB"/>
        </w:rPr>
      </w:pPr>
      <w:r w:rsidRPr="00C377C8">
        <w:rPr>
          <w:color w:val="000000" w:themeColor="text1"/>
          <w:shd w:val="clear" w:color="auto" w:fill="FFFFFF"/>
        </w:rPr>
        <w:t>Hirsch, E., 1967. </w:t>
      </w:r>
      <w:r w:rsidRPr="00C377C8">
        <w:rPr>
          <w:i/>
          <w:iCs/>
          <w:color w:val="000000" w:themeColor="text1"/>
          <w:shd w:val="clear" w:color="auto" w:fill="FFFFFF"/>
        </w:rPr>
        <w:t>Validity in interpretation</w:t>
      </w:r>
      <w:r w:rsidRPr="00C377C8">
        <w:rPr>
          <w:color w:val="000000" w:themeColor="text1"/>
          <w:shd w:val="clear" w:color="auto" w:fill="FFFFFF"/>
        </w:rPr>
        <w:t>. New Haven, Conn.: Yale University Press.</w:t>
      </w:r>
    </w:p>
    <w:p w14:paraId="4804D5F0"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rPr>
        <w:t>Holcombe, G., 2012. </w:t>
      </w:r>
      <w:r w:rsidRPr="00C377C8">
        <w:rPr>
          <w:i/>
          <w:iCs/>
          <w:color w:val="000000" w:themeColor="text1"/>
        </w:rPr>
        <w:t>Interactive</w:t>
      </w:r>
      <w:r w:rsidRPr="00C377C8">
        <w:rPr>
          <w:color w:val="000000" w:themeColor="text1"/>
        </w:rPr>
        <w:t>. Cambridge: Cambridge University Press.</w:t>
      </w:r>
    </w:p>
    <w:p w14:paraId="7C9025BC" w14:textId="77777777" w:rsidR="00FB6B91" w:rsidRPr="00C377C8" w:rsidRDefault="00FB6B91" w:rsidP="00461178">
      <w:pPr>
        <w:spacing w:line="360" w:lineRule="auto"/>
        <w:ind w:left="2268"/>
        <w:rPr>
          <w:color w:val="000000" w:themeColor="text1"/>
        </w:rPr>
      </w:pPr>
      <w:r w:rsidRPr="00C377C8">
        <w:rPr>
          <w:color w:val="000000" w:themeColor="text1"/>
        </w:rPr>
        <w:t>Holden, M.T. &amp; Lynch, P., 2004 Choosing the Appropriate Methodology: Understanding Research Philosophy, the Marketing Review 4: 397-409.</w:t>
      </w:r>
    </w:p>
    <w:p w14:paraId="41049D6D"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Holliday, A., 2007. </w:t>
      </w:r>
      <w:r w:rsidRPr="00C377C8">
        <w:rPr>
          <w:rStyle w:val="selectable"/>
          <w:i/>
          <w:iCs/>
          <w:color w:val="000000" w:themeColor="text1"/>
        </w:rPr>
        <w:t>Doing and writing qualitative research</w:t>
      </w:r>
      <w:r w:rsidRPr="00C377C8">
        <w:rPr>
          <w:rStyle w:val="selectable"/>
          <w:color w:val="000000" w:themeColor="text1"/>
        </w:rPr>
        <w:t>. London: SAGE.</w:t>
      </w:r>
    </w:p>
    <w:p w14:paraId="69182973"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Hooks, B., 2010. </w:t>
      </w:r>
      <w:r w:rsidRPr="00C377C8">
        <w:rPr>
          <w:rStyle w:val="selectable"/>
          <w:i/>
          <w:iCs/>
          <w:color w:val="000000" w:themeColor="text1"/>
        </w:rPr>
        <w:t>Teaching Critical Thinking</w:t>
      </w:r>
      <w:r w:rsidRPr="00C377C8">
        <w:rPr>
          <w:rStyle w:val="selectable"/>
          <w:color w:val="000000" w:themeColor="text1"/>
        </w:rPr>
        <w:t>. London: Routledge.</w:t>
      </w:r>
    </w:p>
    <w:p w14:paraId="5EFB0C39"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Hooks, B., 2010. </w:t>
      </w:r>
      <w:r w:rsidRPr="00C377C8">
        <w:rPr>
          <w:rStyle w:val="selectable"/>
          <w:i/>
          <w:iCs/>
          <w:color w:val="000000" w:themeColor="text1"/>
        </w:rPr>
        <w:t>Teaching Critical Thinking</w:t>
      </w:r>
      <w:r w:rsidRPr="00C377C8">
        <w:rPr>
          <w:rStyle w:val="selectable"/>
          <w:color w:val="000000" w:themeColor="text1"/>
        </w:rPr>
        <w:t>. London: Routledge.</w:t>
      </w:r>
    </w:p>
    <w:p w14:paraId="6010D2AD" w14:textId="77777777" w:rsidR="00FB6B91" w:rsidRPr="00C377C8" w:rsidRDefault="00FB6B91" w:rsidP="00FB6B91">
      <w:pPr>
        <w:shd w:val="clear" w:color="auto" w:fill="FFFFFF"/>
        <w:spacing w:before="100" w:beforeAutospacing="1" w:after="90" w:line="360" w:lineRule="auto"/>
        <w:ind w:left="2268"/>
        <w:jc w:val="both"/>
        <w:rPr>
          <w:rFonts w:ascii="Open Sans" w:hAnsi="Open Sans" w:cs="Open Sans"/>
          <w:color w:val="000000" w:themeColor="text1"/>
          <w:sz w:val="20"/>
          <w:szCs w:val="20"/>
          <w:shd w:val="clear" w:color="auto" w:fill="FFFFFF"/>
        </w:rPr>
      </w:pPr>
      <w:r w:rsidRPr="00C377C8">
        <w:rPr>
          <w:rFonts w:ascii="Open Sans" w:hAnsi="Open Sans" w:cs="Open Sans"/>
          <w:color w:val="000000" w:themeColor="text1"/>
          <w:sz w:val="20"/>
          <w:szCs w:val="20"/>
          <w:shd w:val="clear" w:color="auto" w:fill="FFFFFF"/>
        </w:rPr>
        <w:t>Hooks, B., 2013. </w:t>
      </w:r>
      <w:r w:rsidRPr="00C377C8">
        <w:rPr>
          <w:rFonts w:ascii="Open Sans" w:hAnsi="Open Sans" w:cs="Open Sans"/>
          <w:i/>
          <w:iCs/>
          <w:color w:val="000000" w:themeColor="text1"/>
          <w:sz w:val="20"/>
          <w:szCs w:val="20"/>
          <w:shd w:val="clear" w:color="auto" w:fill="FFFFFF"/>
        </w:rPr>
        <w:t>Teaching Critical Thinking</w:t>
      </w:r>
      <w:r w:rsidRPr="00C377C8">
        <w:rPr>
          <w:rFonts w:ascii="Open Sans" w:hAnsi="Open Sans" w:cs="Open Sans"/>
          <w:color w:val="000000" w:themeColor="text1"/>
          <w:sz w:val="20"/>
          <w:szCs w:val="20"/>
          <w:shd w:val="clear" w:color="auto" w:fill="FFFFFF"/>
        </w:rPr>
        <w:t>. Florence: Taylor and Francis.</w:t>
      </w:r>
    </w:p>
    <w:p w14:paraId="006F2D3D" w14:textId="77777777" w:rsidR="00FB6B91" w:rsidRPr="00C377C8" w:rsidRDefault="00FB6B91" w:rsidP="00FB6B91">
      <w:pPr>
        <w:spacing w:line="360" w:lineRule="auto"/>
        <w:ind w:left="2268"/>
        <w:rPr>
          <w:rFonts w:eastAsia="Times New Roman"/>
          <w:color w:val="000000" w:themeColor="text1"/>
          <w:lang w:eastAsia="en-GB"/>
        </w:rPr>
      </w:pPr>
      <w:r w:rsidRPr="00C377C8">
        <w:rPr>
          <w:rFonts w:ascii="Open Sans" w:hAnsi="Open Sans" w:cs="Open Sans"/>
          <w:color w:val="000000" w:themeColor="text1"/>
          <w:sz w:val="20"/>
          <w:szCs w:val="20"/>
          <w:shd w:val="clear" w:color="auto" w:fill="FFFFFF"/>
        </w:rPr>
        <w:t>Hooks, B., 2013. </w:t>
      </w:r>
      <w:r w:rsidRPr="00C377C8">
        <w:rPr>
          <w:rFonts w:ascii="Open Sans" w:hAnsi="Open Sans" w:cs="Open Sans"/>
          <w:i/>
          <w:iCs/>
          <w:color w:val="000000" w:themeColor="text1"/>
          <w:sz w:val="20"/>
          <w:szCs w:val="20"/>
          <w:shd w:val="clear" w:color="auto" w:fill="FFFFFF"/>
        </w:rPr>
        <w:t>Teaching to transgress</w:t>
      </w:r>
      <w:r w:rsidRPr="00C377C8">
        <w:rPr>
          <w:rFonts w:ascii="Open Sans" w:hAnsi="Open Sans" w:cs="Open Sans"/>
          <w:color w:val="000000" w:themeColor="text1"/>
          <w:sz w:val="20"/>
          <w:szCs w:val="20"/>
          <w:shd w:val="clear" w:color="auto" w:fill="FFFFFF"/>
        </w:rPr>
        <w:t>. Florence: Taylor and Francis</w:t>
      </w:r>
    </w:p>
    <w:p w14:paraId="44273056"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Horvath, C. and Forte, J., 2011. </w:t>
      </w:r>
      <w:r w:rsidRPr="00C377C8">
        <w:rPr>
          <w:rStyle w:val="selectable"/>
          <w:i/>
          <w:iCs/>
          <w:color w:val="000000" w:themeColor="text1"/>
        </w:rPr>
        <w:t>Critical thinking</w:t>
      </w:r>
      <w:r w:rsidRPr="00C377C8">
        <w:rPr>
          <w:rStyle w:val="selectable"/>
          <w:color w:val="000000" w:themeColor="text1"/>
        </w:rPr>
        <w:t>. New York: Nova Science Publishers</w:t>
      </w:r>
    </w:p>
    <w:p w14:paraId="2E762F68" w14:textId="77777777" w:rsidR="00FB6B91" w:rsidRPr="00C377C8" w:rsidRDefault="00FB6B91" w:rsidP="00461178">
      <w:pPr>
        <w:spacing w:line="360" w:lineRule="auto"/>
        <w:ind w:left="2268"/>
        <w:rPr>
          <w:color w:val="000000" w:themeColor="text1"/>
        </w:rPr>
      </w:pPr>
      <w:r w:rsidRPr="00C377C8">
        <w:rPr>
          <w:color w:val="000000" w:themeColor="text1"/>
        </w:rPr>
        <w:t>Hoskins, M., 1987. </w:t>
      </w:r>
      <w:r w:rsidRPr="00C377C8">
        <w:rPr>
          <w:i/>
          <w:iCs/>
          <w:color w:val="000000" w:themeColor="text1"/>
        </w:rPr>
        <w:t>Effective Teacher Traits For Making Discipline An Obsolete Word In Tomorrow's Classroom</w:t>
      </w:r>
      <w:r w:rsidRPr="00C377C8">
        <w:rPr>
          <w:color w:val="000000" w:themeColor="text1"/>
        </w:rPr>
        <w:t>. Dayton, Ohio: [publisher not identified].</w:t>
      </w:r>
    </w:p>
    <w:p w14:paraId="070577C2" w14:textId="77777777" w:rsidR="00FB6B91" w:rsidRPr="00C377C8" w:rsidRDefault="00FB6B91" w:rsidP="00F1408E">
      <w:pPr>
        <w:ind w:left="2268"/>
        <w:rPr>
          <w:rFonts w:ascii="Calibri" w:eastAsia="Calibri" w:hAnsi="Calibri" w:cs="Times New Roman"/>
          <w:color w:val="000000" w:themeColor="text1"/>
        </w:rPr>
      </w:pPr>
      <w:r w:rsidRPr="00C377C8">
        <w:rPr>
          <w:rFonts w:ascii="Calibri" w:eastAsia="Calibri" w:hAnsi="Calibri" w:cs="Times New Roman"/>
          <w:color w:val="000000" w:themeColor="text1"/>
        </w:rPr>
        <w:t>Hourani, (1988) Arabic Thought in the Liberal Age (1798-1939), Cambridge, Cambridge University Press, p. 141.</w:t>
      </w:r>
    </w:p>
    <w:p w14:paraId="77D0122F"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Huband, N. and Tantam, D., 2009. </w:t>
      </w:r>
      <w:r w:rsidRPr="00C377C8">
        <w:rPr>
          <w:rStyle w:val="selectable"/>
          <w:i/>
          <w:iCs/>
          <w:color w:val="000000" w:themeColor="text1"/>
        </w:rPr>
        <w:t>A Multidisciplinary Approach</w:t>
      </w:r>
      <w:r w:rsidRPr="00C377C8">
        <w:rPr>
          <w:rStyle w:val="selectable"/>
          <w:color w:val="000000" w:themeColor="text1"/>
        </w:rPr>
        <w:t>. Gordonsville: Palgrave Macmillan.</w:t>
      </w:r>
    </w:p>
    <w:p w14:paraId="04568492"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Hue, M. and Li, W., 2008. </w:t>
      </w:r>
      <w:r w:rsidRPr="00C377C8">
        <w:rPr>
          <w:rStyle w:val="selectable"/>
          <w:i/>
          <w:iCs/>
          <w:color w:val="000000" w:themeColor="text1"/>
        </w:rPr>
        <w:t>Classroom Management</w:t>
      </w:r>
      <w:r w:rsidRPr="00C377C8">
        <w:rPr>
          <w:rStyle w:val="selectable"/>
          <w:color w:val="000000" w:themeColor="text1"/>
        </w:rPr>
        <w:t>. Hong Kong: Hong Kong University Press.</w:t>
      </w:r>
    </w:p>
    <w:p w14:paraId="0628934F"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Hughes, J. and Sharrock, W., 2016. </w:t>
      </w:r>
      <w:r w:rsidRPr="00C377C8">
        <w:rPr>
          <w:rStyle w:val="selectable"/>
          <w:i/>
          <w:iCs/>
          <w:color w:val="000000" w:themeColor="text1"/>
        </w:rPr>
        <w:t>The Philosophy of Social Research</w:t>
      </w:r>
      <w:r w:rsidRPr="00C377C8">
        <w:rPr>
          <w:rStyle w:val="selectable"/>
          <w:color w:val="000000" w:themeColor="text1"/>
        </w:rPr>
        <w:t>. Florence: Routledge.</w:t>
      </w:r>
    </w:p>
    <w:p w14:paraId="5DA7EF00"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Hughes, J., 2016. </w:t>
      </w:r>
      <w:r w:rsidRPr="00C377C8">
        <w:rPr>
          <w:rStyle w:val="selectable"/>
          <w:i/>
          <w:iCs/>
          <w:color w:val="000000" w:themeColor="text1"/>
        </w:rPr>
        <w:t>Philosophy of Social Research</w:t>
      </w:r>
      <w:r w:rsidRPr="00C377C8">
        <w:rPr>
          <w:rStyle w:val="selectable"/>
          <w:color w:val="000000" w:themeColor="text1"/>
        </w:rPr>
        <w:t>. [Place of publication not identified]: Routledge.</w:t>
      </w:r>
    </w:p>
    <w:p w14:paraId="0E88C0C6"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Hunt, G., 1985. </w:t>
      </w:r>
      <w:r w:rsidRPr="00C377C8">
        <w:rPr>
          <w:rStyle w:val="selectable"/>
          <w:i/>
          <w:iCs/>
          <w:color w:val="000000" w:themeColor="text1"/>
        </w:rPr>
        <w:t>Effective Communication</w:t>
      </w:r>
      <w:r w:rsidRPr="00C377C8">
        <w:rPr>
          <w:rStyle w:val="selectable"/>
          <w:color w:val="000000" w:themeColor="text1"/>
        </w:rPr>
        <w:t>. Englewood Cliffs, N.J.: Prentice-Hall.</w:t>
      </w:r>
    </w:p>
    <w:p w14:paraId="2F582361"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Hunt, G., Wiseman, D. and Touzel, T., 2009. </w:t>
      </w:r>
      <w:r w:rsidRPr="00C377C8">
        <w:rPr>
          <w:rStyle w:val="selectable"/>
          <w:i/>
          <w:iCs/>
          <w:color w:val="000000" w:themeColor="text1"/>
        </w:rPr>
        <w:t>Effective Teaching</w:t>
      </w:r>
      <w:r w:rsidRPr="00C377C8">
        <w:rPr>
          <w:rStyle w:val="selectable"/>
          <w:color w:val="000000" w:themeColor="text1"/>
        </w:rPr>
        <w:t>. Springfield: Charles C Thomas Publisher, LTD.</w:t>
      </w:r>
    </w:p>
    <w:p w14:paraId="63520399"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Hunzer, K., 2012. </w:t>
      </w:r>
      <w:r w:rsidRPr="00C377C8">
        <w:rPr>
          <w:rStyle w:val="selectable"/>
          <w:i/>
          <w:iCs/>
          <w:color w:val="000000" w:themeColor="text1"/>
        </w:rPr>
        <w:t>Collaborative Learning And Writing</w:t>
      </w:r>
      <w:r w:rsidRPr="00C377C8">
        <w:rPr>
          <w:rStyle w:val="selectable"/>
          <w:color w:val="000000" w:themeColor="text1"/>
        </w:rPr>
        <w:t>. Jefferson, N.C.: McFarland &amp; Co.</w:t>
      </w:r>
    </w:p>
    <w:p w14:paraId="5C60E9BC" w14:textId="77777777" w:rsidR="00FB6B91" w:rsidRPr="00C377C8" w:rsidRDefault="00FB6B91" w:rsidP="00461178">
      <w:pPr>
        <w:spacing w:line="360" w:lineRule="auto"/>
        <w:ind w:left="2268"/>
        <w:rPr>
          <w:color w:val="000000" w:themeColor="text1"/>
        </w:rPr>
      </w:pPr>
      <w:r w:rsidRPr="00C377C8">
        <w:rPr>
          <w:color w:val="000000" w:themeColor="text1"/>
        </w:rPr>
        <w:t>Hussain, T., 2020. Attitude towards Teaching Profession in Pakistan: A Case of Public Sector Secondary School Teachers. </w:t>
      </w:r>
      <w:r w:rsidRPr="00C377C8">
        <w:rPr>
          <w:i/>
          <w:iCs/>
          <w:color w:val="000000" w:themeColor="text1"/>
        </w:rPr>
        <w:t>Pakistan Social Sciences Review</w:t>
      </w:r>
      <w:r w:rsidRPr="00C377C8">
        <w:rPr>
          <w:color w:val="000000" w:themeColor="text1"/>
        </w:rPr>
        <w:t>, 4(II).</w:t>
      </w:r>
    </w:p>
    <w:p w14:paraId="0CF3B362"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Hussein, M. and Bond, D., 2013. </w:t>
      </w:r>
      <w:r w:rsidRPr="00C377C8">
        <w:rPr>
          <w:rStyle w:val="selectable"/>
          <w:i/>
          <w:iCs/>
          <w:color w:val="000000" w:themeColor="text1"/>
        </w:rPr>
        <w:t>Understanding the Qur'an today</w:t>
      </w:r>
      <w:r w:rsidRPr="00C377C8">
        <w:rPr>
          <w:rStyle w:val="selectable"/>
          <w:color w:val="000000" w:themeColor="text1"/>
        </w:rPr>
        <w:t>. Saqi.</w:t>
      </w:r>
    </w:p>
    <w:p w14:paraId="7C356128"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Hüttner, J., 2012. </w:t>
      </w:r>
      <w:r w:rsidRPr="00C377C8">
        <w:rPr>
          <w:rStyle w:val="selectable"/>
          <w:i/>
          <w:iCs/>
          <w:color w:val="000000" w:themeColor="text1"/>
        </w:rPr>
        <w:t>Theory And Practice In EFL Teacher Education</w:t>
      </w:r>
      <w:r w:rsidRPr="00C377C8">
        <w:rPr>
          <w:rStyle w:val="selectable"/>
          <w:color w:val="000000" w:themeColor="text1"/>
        </w:rPr>
        <w:t xml:space="preserve">. Bristol, UK: Multilingual </w:t>
      </w:r>
    </w:p>
    <w:p w14:paraId="26DD4254" w14:textId="77777777" w:rsidR="00FB6B91" w:rsidRPr="00C377C8" w:rsidRDefault="00FB6B91" w:rsidP="00461178">
      <w:pPr>
        <w:spacing w:line="360" w:lineRule="auto"/>
        <w:ind w:left="2268"/>
        <w:rPr>
          <w:color w:val="000000" w:themeColor="text1"/>
        </w:rPr>
      </w:pPr>
      <w:r w:rsidRPr="00C377C8">
        <w:rPr>
          <w:color w:val="000000" w:themeColor="text1"/>
        </w:rPr>
        <w:t>Ibn Kathīr, I., Johnson, O., Hilālī, T., Khan, M. and Ibn Kathīr, I., 1997. </w:t>
      </w:r>
      <w:r w:rsidRPr="00C377C8">
        <w:rPr>
          <w:i/>
          <w:iCs/>
          <w:color w:val="000000" w:themeColor="text1"/>
        </w:rPr>
        <w:t>Tafsir Ibn Kathir (Summarized)</w:t>
      </w:r>
      <w:r w:rsidRPr="00C377C8">
        <w:rPr>
          <w:color w:val="000000" w:themeColor="text1"/>
        </w:rPr>
        <w:t>. Riyadh, Saudi Arabia: Darussalam.</w:t>
      </w:r>
    </w:p>
    <w:p w14:paraId="114661AB"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Ibn Kathīr, I., Mubārakfūrī, S. and Ibn Kathīr, I., 2000. </w:t>
      </w:r>
      <w:r w:rsidRPr="00C377C8">
        <w:rPr>
          <w:rStyle w:val="selectable"/>
          <w:i/>
          <w:iCs/>
          <w:color w:val="000000" w:themeColor="text1"/>
        </w:rPr>
        <w:t>Tafsir ibn Kathir</w:t>
      </w:r>
      <w:r w:rsidRPr="00C377C8">
        <w:rPr>
          <w:rStyle w:val="selectable"/>
          <w:color w:val="000000" w:themeColor="text1"/>
        </w:rPr>
        <w:t>. Riyadh: Darussalam.</w:t>
      </w:r>
    </w:p>
    <w:p w14:paraId="541D85BB" w14:textId="77777777" w:rsidR="00FB6B91" w:rsidRPr="00C377C8" w:rsidRDefault="00FB6B91" w:rsidP="00461178">
      <w:pPr>
        <w:spacing w:line="360" w:lineRule="auto"/>
        <w:ind w:left="2268"/>
        <w:rPr>
          <w:color w:val="000000" w:themeColor="text1"/>
        </w:rPr>
      </w:pPr>
      <w:r w:rsidRPr="00C377C8">
        <w:rPr>
          <w:color w:val="000000" w:themeColor="text1"/>
        </w:rPr>
        <w:t>Ibn Taymiyya, A. and Ansari, M., 2011. </w:t>
      </w:r>
      <w:r w:rsidRPr="00C377C8">
        <w:rPr>
          <w:i/>
          <w:iCs/>
          <w:color w:val="000000" w:themeColor="text1"/>
        </w:rPr>
        <w:t>An Introduction To The Principles Of Tafseer</w:t>
      </w:r>
      <w:r w:rsidRPr="00C377C8">
        <w:rPr>
          <w:color w:val="000000" w:themeColor="text1"/>
        </w:rPr>
        <w:t>. Birmingham: Al-Hidaayah Publishing.</w:t>
      </w:r>
    </w:p>
    <w:p w14:paraId="0BA04202"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Inamullah, H., Hifazatullah, H., Sarwar, M., Khan, N. and Sultan, K., 2010. Reforming The Madrassah System Of Education In Pakistan. </w:t>
      </w:r>
      <w:r w:rsidRPr="00C377C8">
        <w:rPr>
          <w:rStyle w:val="selectable"/>
          <w:i/>
          <w:iCs/>
          <w:color w:val="000000" w:themeColor="text1"/>
        </w:rPr>
        <w:t>Contemporary Issues in Education Research (CIER)</w:t>
      </w:r>
      <w:r w:rsidRPr="00C377C8">
        <w:rPr>
          <w:rStyle w:val="selectable"/>
          <w:color w:val="000000" w:themeColor="text1"/>
        </w:rPr>
        <w:t>, 3(4), p.43.</w:t>
      </w:r>
    </w:p>
    <w:p w14:paraId="1E110FDC"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 xml:space="preserve">Iqbal.N., 2015. </w:t>
      </w:r>
      <w:r w:rsidRPr="00C377C8">
        <w:rPr>
          <w:rStyle w:val="selectable"/>
          <w:i/>
          <w:color w:val="000000" w:themeColor="text1"/>
        </w:rPr>
        <w:t>Quran and Muslim life.</w:t>
      </w:r>
      <w:r w:rsidRPr="00C377C8">
        <w:rPr>
          <w:rStyle w:val="selectable"/>
          <w:color w:val="000000" w:themeColor="text1"/>
        </w:rPr>
        <w:t xml:space="preserve"> Lahore. Jinnah Foundation. </w:t>
      </w:r>
    </w:p>
    <w:p w14:paraId="0F9A2931"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Ishida, E., 1994. </w:t>
      </w:r>
      <w:r w:rsidRPr="00C377C8">
        <w:rPr>
          <w:rStyle w:val="selectable"/>
          <w:i/>
          <w:iCs/>
          <w:color w:val="000000" w:themeColor="text1"/>
        </w:rPr>
        <w:t>The Inclusive Classroom</w:t>
      </w:r>
      <w:r w:rsidRPr="00C377C8">
        <w:rPr>
          <w:rStyle w:val="selectable"/>
          <w:color w:val="000000" w:themeColor="text1"/>
        </w:rPr>
        <w:t>. Minneapolis: Augsburg Fortress.</w:t>
      </w:r>
    </w:p>
    <w:p w14:paraId="282AEE1B"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Iṣlāḥī, A. and Rauf, S., 1997. </w:t>
      </w:r>
      <w:r w:rsidRPr="00C377C8">
        <w:rPr>
          <w:rStyle w:val="selectable"/>
          <w:i/>
          <w:iCs/>
          <w:color w:val="000000" w:themeColor="text1"/>
        </w:rPr>
        <w:t>Basic Principles For The Study Of Hadith</w:t>
      </w:r>
      <w:r w:rsidRPr="00C377C8">
        <w:rPr>
          <w:rStyle w:val="selectable"/>
          <w:color w:val="000000" w:themeColor="text1"/>
        </w:rPr>
        <w:t>. Lahore, Pakistan: Islamic Pub.</w:t>
      </w:r>
    </w:p>
    <w:p w14:paraId="11FD4938" w14:textId="77777777" w:rsidR="00FB6B91" w:rsidRPr="00C377C8" w:rsidRDefault="00FB6B91" w:rsidP="00461178">
      <w:pPr>
        <w:spacing w:line="360" w:lineRule="auto"/>
        <w:ind w:left="2268"/>
        <w:rPr>
          <w:color w:val="000000" w:themeColor="text1"/>
        </w:rPr>
      </w:pPr>
      <w:r w:rsidRPr="00C377C8">
        <w:rPr>
          <w:rFonts w:eastAsia="Times New Roman"/>
          <w:color w:val="000000" w:themeColor="text1"/>
          <w:lang w:eastAsia="en-GB"/>
        </w:rPr>
        <w:t>Iṣlāḥī, A., 2019. </w:t>
      </w:r>
      <w:r w:rsidRPr="00C377C8">
        <w:rPr>
          <w:rFonts w:eastAsia="Times New Roman"/>
          <w:i/>
          <w:iCs/>
          <w:color w:val="000000" w:themeColor="text1"/>
          <w:lang w:eastAsia="en-GB"/>
        </w:rPr>
        <w:t>Pondering over the Qur'an</w:t>
      </w:r>
      <w:r w:rsidRPr="00C377C8">
        <w:rPr>
          <w:rFonts w:eastAsia="Times New Roman"/>
          <w:color w:val="000000" w:themeColor="text1"/>
          <w:lang w:eastAsia="en-GB"/>
        </w:rPr>
        <w:t>. New Delhi: Alkitab Publications</w:t>
      </w:r>
    </w:p>
    <w:p w14:paraId="3CEEA0CB"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 xml:space="preserve">Islam, M., 2017 Minhaj un Nahv . Lahore: Minhaj Publications. </w:t>
      </w:r>
    </w:p>
    <w:p w14:paraId="299B4F1C" w14:textId="77777777" w:rsidR="00FB6B91" w:rsidRPr="00C377C8" w:rsidRDefault="00FB6B91" w:rsidP="00461178">
      <w:pPr>
        <w:spacing w:line="360" w:lineRule="auto"/>
        <w:ind w:left="2268"/>
        <w:rPr>
          <w:rFonts w:eastAsia="Times New Roman"/>
          <w:color w:val="000000" w:themeColor="text1"/>
        </w:rPr>
      </w:pPr>
      <w:r w:rsidRPr="00C377C8">
        <w:rPr>
          <w:rFonts w:eastAsia="Times New Roman"/>
          <w:color w:val="000000" w:themeColor="text1"/>
          <w:shd w:val="clear" w:color="auto" w:fill="FFFFFF"/>
        </w:rPr>
        <w:t>Islamawakened.com. 2020. </w:t>
      </w:r>
      <w:r w:rsidRPr="00C377C8">
        <w:rPr>
          <w:rFonts w:eastAsia="Times New Roman"/>
          <w:i/>
          <w:iCs/>
          <w:color w:val="000000" w:themeColor="text1"/>
          <w:shd w:val="clear" w:color="auto" w:fill="FFFFFF"/>
        </w:rPr>
        <w:t>Ayah An-Nisa` (Women) 4:34 Renditions At Islamawakened.Com</w:t>
      </w:r>
      <w:r w:rsidRPr="00C377C8">
        <w:rPr>
          <w:rFonts w:eastAsia="Times New Roman"/>
          <w:color w:val="000000" w:themeColor="text1"/>
          <w:shd w:val="clear" w:color="auto" w:fill="FFFFFF"/>
        </w:rPr>
        <w:t>. [online] Available at: &lt;https://islamawakened.com/quran/4/34/&gt; [Accessed 9 December 2020].</w:t>
      </w:r>
    </w:p>
    <w:p w14:paraId="4636A3F6"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 xml:space="preserve">Israr,A. 2002. The Introduction of the Quran. Lahore: Quran College. </w:t>
      </w:r>
    </w:p>
    <w:p w14:paraId="393CF673" w14:textId="77777777" w:rsidR="00FB6B91" w:rsidRPr="00C377C8" w:rsidRDefault="00FB6B91" w:rsidP="00461178">
      <w:pPr>
        <w:spacing w:line="360" w:lineRule="auto"/>
        <w:ind w:left="2268"/>
        <w:rPr>
          <w:color w:val="000000" w:themeColor="text1"/>
        </w:rPr>
      </w:pPr>
      <w:r w:rsidRPr="00C377C8">
        <w:rPr>
          <w:color w:val="000000" w:themeColor="text1"/>
        </w:rPr>
        <w:t>Iversen, G., 1991. </w:t>
      </w:r>
      <w:r w:rsidRPr="00C377C8">
        <w:rPr>
          <w:i/>
          <w:iCs/>
          <w:color w:val="000000" w:themeColor="text1"/>
        </w:rPr>
        <w:t>Contextual Analysis</w:t>
      </w:r>
      <w:r w:rsidRPr="00C377C8">
        <w:rPr>
          <w:color w:val="000000" w:themeColor="text1"/>
        </w:rPr>
        <w:t>. Newbury Park, Calif.: Sage Publications.</w:t>
      </w:r>
    </w:p>
    <w:p w14:paraId="72C76AB2" w14:textId="77777777" w:rsidR="00FB6B91" w:rsidRPr="00C377C8" w:rsidRDefault="00FB6B91" w:rsidP="00F1408E">
      <w:pPr>
        <w:shd w:val="clear" w:color="auto" w:fill="FFFFFF"/>
        <w:spacing w:after="0" w:line="360" w:lineRule="atLeast"/>
        <w:ind w:left="2268"/>
        <w:rPr>
          <w:rFonts w:ascii="Open Sans" w:eastAsia="Times New Roman" w:hAnsi="Open Sans" w:cs="Open Sans"/>
          <w:color w:val="000000" w:themeColor="text1"/>
          <w:sz w:val="20"/>
          <w:szCs w:val="20"/>
          <w:lang w:eastAsia="en-GB"/>
        </w:rPr>
      </w:pPr>
      <w:r w:rsidRPr="00C377C8">
        <w:rPr>
          <w:rFonts w:ascii="Open Sans" w:eastAsia="Times New Roman" w:hAnsi="Open Sans" w:cs="Open Sans"/>
          <w:b/>
          <w:bCs/>
          <w:color w:val="000000" w:themeColor="text1"/>
          <w:sz w:val="20"/>
          <w:szCs w:val="20"/>
          <w:lang w:eastAsia="en-GB"/>
        </w:rPr>
        <w:t> </w:t>
      </w:r>
      <w:r w:rsidRPr="00C377C8">
        <w:rPr>
          <w:rFonts w:ascii="Open Sans" w:eastAsia="Times New Roman" w:hAnsi="Open Sans" w:cs="Open Sans"/>
          <w:color w:val="000000" w:themeColor="text1"/>
          <w:sz w:val="20"/>
          <w:szCs w:val="20"/>
          <w:lang w:eastAsia="en-GB"/>
        </w:rPr>
        <w:t>Jack, A., Baenen, N. and Regan, R., 2017. </w:t>
      </w:r>
      <w:r w:rsidRPr="00C377C8">
        <w:rPr>
          <w:rFonts w:ascii="Open Sans" w:eastAsia="Times New Roman" w:hAnsi="Open Sans" w:cs="Open Sans"/>
          <w:i/>
          <w:iCs/>
          <w:color w:val="000000" w:themeColor="text1"/>
          <w:sz w:val="20"/>
          <w:szCs w:val="20"/>
          <w:lang w:eastAsia="en-GB"/>
        </w:rPr>
        <w:t>Effective Teaching Framework (ETF): Final Report 2015</w:t>
      </w:r>
      <w:r w:rsidRPr="00C377C8">
        <w:rPr>
          <w:rFonts w:ascii="Cambria Math" w:eastAsia="Times New Roman" w:hAnsi="Cambria Math" w:cs="Cambria Math"/>
          <w:i/>
          <w:iCs/>
          <w:color w:val="000000" w:themeColor="text1"/>
          <w:sz w:val="20"/>
          <w:szCs w:val="20"/>
          <w:lang w:eastAsia="en-GB"/>
        </w:rPr>
        <w:t>‐</w:t>
      </w:r>
      <w:r w:rsidRPr="00C377C8">
        <w:rPr>
          <w:rFonts w:ascii="Open Sans" w:eastAsia="Times New Roman" w:hAnsi="Open Sans" w:cs="Open Sans"/>
          <w:i/>
          <w:iCs/>
          <w:color w:val="000000" w:themeColor="text1"/>
          <w:sz w:val="20"/>
          <w:szCs w:val="20"/>
          <w:lang w:eastAsia="en-GB"/>
        </w:rPr>
        <w:t>16</w:t>
      </w:r>
      <w:r w:rsidRPr="00C377C8">
        <w:rPr>
          <w:rFonts w:ascii="Open Sans" w:eastAsia="Times New Roman" w:hAnsi="Open Sans" w:cs="Open Sans"/>
          <w:color w:val="000000" w:themeColor="text1"/>
          <w:sz w:val="20"/>
          <w:szCs w:val="20"/>
          <w:lang w:eastAsia="en-GB"/>
        </w:rPr>
        <w:t>.</w:t>
      </w:r>
    </w:p>
    <w:p w14:paraId="67553575"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Jacob, B. and Wilder, T., 2010. </w:t>
      </w:r>
      <w:r w:rsidRPr="00C377C8">
        <w:rPr>
          <w:rStyle w:val="selectable"/>
          <w:i/>
          <w:iCs/>
          <w:color w:val="000000" w:themeColor="text1"/>
        </w:rPr>
        <w:t>Educational expectations and attainment</w:t>
      </w:r>
      <w:r w:rsidRPr="00C377C8">
        <w:rPr>
          <w:rStyle w:val="selectable"/>
          <w:color w:val="000000" w:themeColor="text1"/>
        </w:rPr>
        <w:t>. Cambridge, Mass.: National Bureau of Economic Research.</w:t>
      </w:r>
    </w:p>
    <w:p w14:paraId="4AF0C104" w14:textId="77777777" w:rsidR="00FB6B91" w:rsidRPr="00C377C8" w:rsidRDefault="00FB6B91" w:rsidP="00461178">
      <w:pPr>
        <w:spacing w:line="360" w:lineRule="auto"/>
        <w:ind w:left="2268"/>
        <w:rPr>
          <w:color w:val="000000" w:themeColor="text1"/>
        </w:rPr>
      </w:pPr>
      <w:r w:rsidRPr="00C377C8">
        <w:rPr>
          <w:color w:val="000000" w:themeColor="text1"/>
        </w:rPr>
        <w:t>Jakobsen, R., 2004. On Linguistic Aspect of Translation. Available at: https://web.stanford.edu/~eckert/PDF/jakobson.pdf [Accessed 24th Dec, 2018].</w:t>
      </w:r>
    </w:p>
    <w:p w14:paraId="1129856E" w14:textId="77777777" w:rsidR="00FB6B91" w:rsidRPr="00C377C8" w:rsidRDefault="00FB6B91" w:rsidP="00F1408E">
      <w:pPr>
        <w:ind w:left="2268"/>
        <w:rPr>
          <w:rFonts w:ascii="Calibri" w:eastAsia="Calibri" w:hAnsi="Calibri" w:cs="Times New Roman"/>
          <w:color w:val="000000" w:themeColor="text1"/>
        </w:rPr>
      </w:pPr>
      <w:r w:rsidRPr="00C377C8">
        <w:rPr>
          <w:rFonts w:ascii="Calibri" w:eastAsia="Calibri" w:hAnsi="Calibri" w:cs="Times New Roman"/>
          <w:color w:val="000000" w:themeColor="text1"/>
        </w:rPr>
        <w:t>Jefferson, Ann and Robey, David,.1986., Modern Literary Theory, London: Batsford, p. 24.</w:t>
      </w:r>
    </w:p>
    <w:p w14:paraId="00F091AD"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Jensen, J., 2012. </w:t>
      </w:r>
      <w:r w:rsidRPr="00C377C8">
        <w:rPr>
          <w:rStyle w:val="selectable"/>
          <w:i/>
          <w:iCs/>
          <w:color w:val="000000" w:themeColor="text1"/>
        </w:rPr>
        <w:t>Effective Classroom Turnaround</w:t>
      </w:r>
      <w:r w:rsidRPr="00C377C8">
        <w:rPr>
          <w:rStyle w:val="selectable"/>
          <w:color w:val="000000" w:themeColor="text1"/>
        </w:rPr>
        <w:t>. Lanham, Md.: Rowman &amp; Littlefield Education.</w:t>
      </w:r>
    </w:p>
    <w:p w14:paraId="28113C9E"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Jespersen, O., 2007. </w:t>
      </w:r>
      <w:r w:rsidRPr="00C377C8">
        <w:rPr>
          <w:rStyle w:val="selectable"/>
          <w:i/>
          <w:iCs/>
          <w:color w:val="000000" w:themeColor="text1"/>
        </w:rPr>
        <w:t>Syntax</w:t>
      </w:r>
      <w:r w:rsidRPr="00C377C8">
        <w:rPr>
          <w:rStyle w:val="selectable"/>
          <w:color w:val="000000" w:themeColor="text1"/>
        </w:rPr>
        <w:t>. Abingdon [England]: Routledge.</w:t>
      </w:r>
    </w:p>
    <w:p w14:paraId="384F37AA"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Johansson, E. and White, E., 2011. </w:t>
      </w:r>
      <w:r w:rsidRPr="00C377C8">
        <w:rPr>
          <w:rStyle w:val="selectable"/>
          <w:i/>
          <w:iCs/>
          <w:color w:val="000000" w:themeColor="text1"/>
        </w:rPr>
        <w:t>Educational research with our youngest</w:t>
      </w:r>
      <w:r w:rsidRPr="00C377C8">
        <w:rPr>
          <w:rStyle w:val="selectable"/>
          <w:color w:val="000000" w:themeColor="text1"/>
        </w:rPr>
        <w:t>. Dordrecht: Springer Science Business Media B.V.</w:t>
      </w:r>
    </w:p>
    <w:p w14:paraId="521757ED" w14:textId="77777777" w:rsidR="00FB6B91" w:rsidRPr="00C377C8" w:rsidRDefault="00FB6B91" w:rsidP="00461178">
      <w:pPr>
        <w:spacing w:line="360" w:lineRule="auto"/>
        <w:ind w:left="2268"/>
        <w:rPr>
          <w:rStyle w:val="Strong"/>
          <w:b w:val="0"/>
          <w:color w:val="000000" w:themeColor="text1"/>
        </w:rPr>
      </w:pPr>
      <w:r w:rsidRPr="00C377C8">
        <w:rPr>
          <w:rStyle w:val="selectable"/>
          <w:color w:val="000000" w:themeColor="text1"/>
        </w:rPr>
        <w:t>Johnson, A., 2019. </w:t>
      </w:r>
      <w:r w:rsidRPr="00C377C8">
        <w:rPr>
          <w:rStyle w:val="selectable"/>
          <w:i/>
          <w:iCs/>
          <w:color w:val="000000" w:themeColor="text1"/>
        </w:rPr>
        <w:t>Essential learning theories</w:t>
      </w:r>
      <w:r w:rsidRPr="00C377C8">
        <w:rPr>
          <w:rStyle w:val="selectable"/>
          <w:color w:val="000000" w:themeColor="text1"/>
        </w:rPr>
        <w:t>. London: Rowman and Littlefield.</w:t>
      </w:r>
    </w:p>
    <w:p w14:paraId="6494F51D"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Johnson, D., Johnson, R. and Holubec, E., 2008. </w:t>
      </w:r>
      <w:r w:rsidRPr="00C377C8">
        <w:rPr>
          <w:rStyle w:val="selectable"/>
          <w:i/>
          <w:iCs/>
          <w:color w:val="000000" w:themeColor="text1"/>
        </w:rPr>
        <w:t>Cooperation In The Classroom</w:t>
      </w:r>
      <w:r w:rsidRPr="00C377C8">
        <w:rPr>
          <w:rStyle w:val="selectable"/>
          <w:color w:val="000000" w:themeColor="text1"/>
        </w:rPr>
        <w:t>. Edina, Minn: Interaction Book Co</w:t>
      </w:r>
    </w:p>
    <w:p w14:paraId="418C4775"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Johnson, M., 2011. </w:t>
      </w:r>
      <w:r w:rsidRPr="00C377C8">
        <w:rPr>
          <w:rFonts w:eastAsia="Times New Roman"/>
          <w:i/>
          <w:iCs/>
          <w:color w:val="000000" w:themeColor="text1"/>
          <w:lang w:eastAsia="en-GB"/>
        </w:rPr>
        <w:t>Students' attitudes, perceptions, and expectations toward instructional technology in higher education</w:t>
      </w:r>
      <w:r w:rsidRPr="00C377C8">
        <w:rPr>
          <w:rFonts w:eastAsia="Times New Roman"/>
          <w:color w:val="000000" w:themeColor="text1"/>
          <w:lang w:eastAsia="en-GB"/>
        </w:rPr>
        <w:t>. New York: iUniverse, Inc.</w:t>
      </w:r>
    </w:p>
    <w:p w14:paraId="3D9E18E3"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Johnson, R. and Onwuegbuzie, A., 2004. Mixed Methods Research: A Research Paradigm Whose Time Has Come. </w:t>
      </w:r>
      <w:r w:rsidRPr="00C377C8">
        <w:rPr>
          <w:i/>
          <w:iCs/>
          <w:color w:val="000000" w:themeColor="text1"/>
          <w:shd w:val="clear" w:color="auto" w:fill="FFFFFF"/>
        </w:rPr>
        <w:t>Educational Researcher</w:t>
      </w:r>
      <w:r w:rsidRPr="00C377C8">
        <w:rPr>
          <w:color w:val="000000" w:themeColor="text1"/>
          <w:shd w:val="clear" w:color="auto" w:fill="FFFFFF"/>
        </w:rPr>
        <w:t>, 33(7), pp.14-26.</w:t>
      </w:r>
    </w:p>
    <w:p w14:paraId="752D9DF2"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Johnson, S., Siegel, H. and Winch, C., 2010. </w:t>
      </w:r>
      <w:r w:rsidRPr="00C377C8">
        <w:rPr>
          <w:rStyle w:val="selectable"/>
          <w:i/>
          <w:iCs/>
          <w:color w:val="000000" w:themeColor="text1"/>
        </w:rPr>
        <w:t>Teaching Thinking Skills</w:t>
      </w:r>
      <w:r w:rsidRPr="00C377C8">
        <w:rPr>
          <w:rStyle w:val="selectable"/>
          <w:color w:val="000000" w:themeColor="text1"/>
        </w:rPr>
        <w:t>. London: Continuum International Pub. Group.</w:t>
      </w:r>
    </w:p>
    <w:p w14:paraId="721132D0"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Jonassen, D., 2000. </w:t>
      </w:r>
      <w:r w:rsidRPr="00C377C8">
        <w:rPr>
          <w:rStyle w:val="selectable"/>
          <w:i/>
          <w:iCs/>
          <w:color w:val="000000" w:themeColor="text1"/>
        </w:rPr>
        <w:t>Learning with Technology</w:t>
      </w:r>
      <w:r w:rsidRPr="00C377C8">
        <w:rPr>
          <w:rStyle w:val="selectable"/>
          <w:color w:val="000000" w:themeColor="text1"/>
        </w:rPr>
        <w:t>. Upper Saddle River, NJ: Prentice Hall.</w:t>
      </w:r>
    </w:p>
    <w:p w14:paraId="18D756F7"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Jorgensen, D., 1989. </w:t>
      </w:r>
      <w:r w:rsidRPr="00C377C8">
        <w:rPr>
          <w:rFonts w:eastAsia="Times New Roman"/>
          <w:i/>
          <w:iCs/>
          <w:color w:val="000000" w:themeColor="text1"/>
          <w:lang w:eastAsia="en-GB"/>
        </w:rPr>
        <w:t>Participant observation</w:t>
      </w:r>
      <w:r w:rsidRPr="00C377C8">
        <w:rPr>
          <w:rFonts w:eastAsia="Times New Roman"/>
          <w:color w:val="000000" w:themeColor="text1"/>
          <w:lang w:eastAsia="en-GB"/>
        </w:rPr>
        <w:t>. Newbury Park: Sage.</w:t>
      </w:r>
    </w:p>
    <w:p w14:paraId="18300FE2" w14:textId="77777777" w:rsidR="00FB6B91" w:rsidRPr="00C377C8" w:rsidRDefault="00FB6B91" w:rsidP="00461178">
      <w:pPr>
        <w:spacing w:line="360" w:lineRule="auto"/>
        <w:ind w:left="2268"/>
        <w:rPr>
          <w:color w:val="000000" w:themeColor="text1"/>
          <w:lang w:val="en-US"/>
        </w:rPr>
      </w:pPr>
      <w:r w:rsidRPr="00C377C8">
        <w:rPr>
          <w:color w:val="000000" w:themeColor="text1"/>
          <w:lang w:val="en-US"/>
        </w:rPr>
        <w:t>Joyce, B., 2017. </w:t>
      </w:r>
      <w:r w:rsidRPr="00C377C8">
        <w:rPr>
          <w:i/>
          <w:iCs/>
          <w:color w:val="000000" w:themeColor="text1"/>
          <w:lang w:val="en-US"/>
        </w:rPr>
        <w:t>Models of teaching</w:t>
      </w:r>
      <w:r w:rsidRPr="00C377C8">
        <w:rPr>
          <w:color w:val="000000" w:themeColor="text1"/>
          <w:lang w:val="en-US"/>
        </w:rPr>
        <w:t>. London: Pearson.</w:t>
      </w:r>
    </w:p>
    <w:p w14:paraId="06DE15E4"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Jubien, P., 2014. </w:t>
      </w:r>
      <w:r w:rsidRPr="00C377C8">
        <w:rPr>
          <w:rFonts w:eastAsia="Times New Roman"/>
          <w:i/>
          <w:iCs/>
          <w:color w:val="000000" w:themeColor="text1"/>
          <w:lang w:eastAsia="en-GB"/>
        </w:rPr>
        <w:t>A postphenomenological exploration of mobility in post-secondary teaching and learning</w:t>
      </w:r>
      <w:r w:rsidRPr="00C377C8">
        <w:rPr>
          <w:rFonts w:eastAsia="Times New Roman"/>
          <w:color w:val="000000" w:themeColor="text1"/>
          <w:lang w:eastAsia="en-GB"/>
        </w:rPr>
        <w:t>. 1st ed. london: Sage Publications</w:t>
      </w:r>
    </w:p>
    <w:p w14:paraId="10FA7591"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Kail, H. and Trimbur, J., 2000. </w:t>
      </w:r>
      <w:r w:rsidRPr="00C377C8">
        <w:rPr>
          <w:rStyle w:val="selectable"/>
          <w:i/>
          <w:iCs/>
          <w:color w:val="000000" w:themeColor="text1"/>
        </w:rPr>
        <w:t>Collaborative learning</w:t>
      </w:r>
      <w:r w:rsidRPr="00C377C8">
        <w:rPr>
          <w:rStyle w:val="selectable"/>
          <w:color w:val="000000" w:themeColor="text1"/>
        </w:rPr>
        <w:t>. Upper Saddle River, N.J.: Prentice Hall.</w:t>
      </w:r>
    </w:p>
    <w:p w14:paraId="737CF5D1"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Kaplan, B. and Duchon, D., 1988. Combining Qualitative and Quantitative Methods in Information Systems Research: A Case Study. </w:t>
      </w:r>
      <w:r w:rsidRPr="00C377C8">
        <w:rPr>
          <w:i/>
          <w:iCs/>
          <w:color w:val="000000" w:themeColor="text1"/>
          <w:shd w:val="clear" w:color="auto" w:fill="FFFFFF"/>
        </w:rPr>
        <w:t>MIS Quarterly</w:t>
      </w:r>
      <w:r w:rsidRPr="00C377C8">
        <w:rPr>
          <w:color w:val="000000" w:themeColor="text1"/>
          <w:shd w:val="clear" w:color="auto" w:fill="FFFFFF"/>
        </w:rPr>
        <w:t>, 12(4), p.571.</w:t>
      </w:r>
    </w:p>
    <w:p w14:paraId="1BEF5155"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Kaplan, L. and Owings, W., 2002. </w:t>
      </w:r>
      <w:r w:rsidRPr="00C377C8">
        <w:rPr>
          <w:rStyle w:val="selectable"/>
          <w:i/>
          <w:iCs/>
          <w:color w:val="000000" w:themeColor="text1"/>
        </w:rPr>
        <w:t>Teacher quality, teaching quality, and school improvement</w:t>
      </w:r>
      <w:r w:rsidRPr="00C377C8">
        <w:rPr>
          <w:rStyle w:val="selectable"/>
          <w:color w:val="000000" w:themeColor="text1"/>
        </w:rPr>
        <w:t xml:space="preserve">. </w:t>
      </w:r>
    </w:p>
    <w:p w14:paraId="470FEDD7"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 xml:space="preserve">   Kaplan, S. (2016). The Power of Talk: Making Room for All Voices to Be Heard. </w:t>
      </w:r>
      <w:r w:rsidRPr="00C377C8">
        <w:rPr>
          <w:rFonts w:eastAsia="Times New Roman"/>
          <w:i/>
          <w:iCs/>
          <w:color w:val="000000" w:themeColor="text1"/>
          <w:lang w:eastAsia="en-GB"/>
        </w:rPr>
        <w:t>The Reading Teacher</w:t>
      </w:r>
      <w:r w:rsidRPr="00C377C8">
        <w:rPr>
          <w:rFonts w:eastAsia="Times New Roman"/>
          <w:color w:val="000000" w:themeColor="text1"/>
          <w:lang w:eastAsia="en-GB"/>
        </w:rPr>
        <w:t>, 69(6), pp.632-632.</w:t>
      </w:r>
    </w:p>
    <w:p w14:paraId="49242147" w14:textId="77777777" w:rsidR="00FB6B91" w:rsidRPr="00C377C8" w:rsidRDefault="00FB6B91" w:rsidP="00461178">
      <w:pPr>
        <w:spacing w:line="360" w:lineRule="auto"/>
        <w:ind w:left="2268"/>
        <w:rPr>
          <w:rFonts w:eastAsia="Times New Roman"/>
          <w:color w:val="000000" w:themeColor="text1"/>
          <w:lang w:val="en-US"/>
        </w:rPr>
      </w:pPr>
      <w:r w:rsidRPr="00C377C8">
        <w:rPr>
          <w:rFonts w:eastAsia="Times New Roman"/>
          <w:color w:val="000000" w:themeColor="text1"/>
          <w:shd w:val="clear" w:color="auto" w:fill="FFFFFF"/>
          <w:lang w:val="en-US"/>
        </w:rPr>
        <w:t>Kara, H., 2018. </w:t>
      </w:r>
      <w:r w:rsidRPr="00C377C8">
        <w:rPr>
          <w:rFonts w:eastAsia="Times New Roman"/>
          <w:i/>
          <w:iCs/>
          <w:color w:val="000000" w:themeColor="text1"/>
          <w:shd w:val="clear" w:color="auto" w:fill="FFFFFF"/>
          <w:lang w:val="en-US"/>
        </w:rPr>
        <w:t>Research Ethics in the Real World Euro-Western and Indigenous Perspectives</w:t>
      </w:r>
      <w:r w:rsidRPr="00C377C8">
        <w:rPr>
          <w:rFonts w:eastAsia="Times New Roman"/>
          <w:color w:val="000000" w:themeColor="text1"/>
          <w:shd w:val="clear" w:color="auto" w:fill="FFFFFF"/>
          <w:lang w:val="en-US"/>
        </w:rPr>
        <w:t>. london: Policy Press.</w:t>
      </w:r>
    </w:p>
    <w:p w14:paraId="0A1D8846" w14:textId="77777777" w:rsidR="00FB6B91" w:rsidRPr="00C377C8" w:rsidRDefault="00FB6B91" w:rsidP="00461178">
      <w:pPr>
        <w:spacing w:line="360" w:lineRule="auto"/>
        <w:ind w:left="2268"/>
        <w:rPr>
          <w:color w:val="000000" w:themeColor="text1"/>
        </w:rPr>
      </w:pPr>
      <w:r w:rsidRPr="00C377C8">
        <w:rPr>
          <w:color w:val="000000" w:themeColor="text1"/>
        </w:rPr>
        <w:t>Kashif Shahzad, A., 2019. Studying Teachers’ Perceptions of Teaching Methods in Pakistan: A Pedagogical Study of Pakistani Classrooms. </w:t>
      </w:r>
      <w:r w:rsidRPr="00C377C8">
        <w:rPr>
          <w:i/>
          <w:iCs/>
          <w:color w:val="000000" w:themeColor="text1"/>
        </w:rPr>
        <w:t xml:space="preserve">Pakistan languages and humanities review </w:t>
      </w:r>
      <w:r w:rsidRPr="00C377C8">
        <w:rPr>
          <w:color w:val="000000" w:themeColor="text1"/>
        </w:rPr>
        <w:t>3(1), pp.10-19.</w:t>
      </w:r>
    </w:p>
    <w:p w14:paraId="2A0192FD" w14:textId="77777777" w:rsidR="00FB6B91" w:rsidRPr="00C377C8" w:rsidRDefault="00FB6B91" w:rsidP="00461178">
      <w:pPr>
        <w:spacing w:line="360" w:lineRule="auto"/>
        <w:ind w:left="2268"/>
        <w:rPr>
          <w:rFonts w:eastAsia="Times New Roman"/>
          <w:color w:val="000000" w:themeColor="text1"/>
        </w:rPr>
      </w:pPr>
      <w:r w:rsidRPr="00C377C8">
        <w:rPr>
          <w:rFonts w:eastAsia="Times New Roman"/>
          <w:color w:val="000000" w:themeColor="text1"/>
          <w:shd w:val="clear" w:color="auto" w:fill="FFFFFF"/>
        </w:rPr>
        <w:t>Kastberg, Peter. 2007. Cultural Issues Facing the Technical Translator. </w:t>
      </w:r>
      <w:r w:rsidRPr="00C377C8">
        <w:rPr>
          <w:rStyle w:val="Emphasis"/>
          <w:rFonts w:eastAsia="Times New Roman"/>
          <w:color w:val="000000" w:themeColor="text1"/>
          <w:bdr w:val="none" w:sz="0" w:space="0" w:color="auto" w:frame="1"/>
          <w:shd w:val="clear" w:color="auto" w:fill="FFFFFF"/>
        </w:rPr>
        <w:t>The Journal of Specialized Translation, Issue 8.</w:t>
      </w:r>
    </w:p>
    <w:p w14:paraId="1970B82C"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Kennedy, M., 2000. Learning to Teach in a Different Culture. </w:t>
      </w:r>
      <w:r w:rsidRPr="00C377C8">
        <w:rPr>
          <w:rStyle w:val="selectable"/>
          <w:i/>
          <w:iCs/>
          <w:color w:val="000000" w:themeColor="text1"/>
        </w:rPr>
        <w:t>Teachers and Teaching</w:t>
      </w:r>
      <w:r w:rsidRPr="00C377C8">
        <w:rPr>
          <w:rStyle w:val="selectable"/>
          <w:color w:val="000000" w:themeColor="text1"/>
        </w:rPr>
        <w:t>, 6(1), pp.75-100.</w:t>
      </w:r>
    </w:p>
    <w:p w14:paraId="145635AC"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Kent-Drury, R., 2005. </w:t>
      </w:r>
      <w:r w:rsidRPr="00C377C8">
        <w:rPr>
          <w:rStyle w:val="selectable"/>
          <w:i/>
          <w:iCs/>
          <w:color w:val="000000" w:themeColor="text1"/>
        </w:rPr>
        <w:t>Using Internet Primary Sources To Teach Critical Thinking Skills In World Literature</w:t>
      </w:r>
      <w:r w:rsidRPr="00C377C8">
        <w:rPr>
          <w:rStyle w:val="selectable"/>
          <w:color w:val="000000" w:themeColor="text1"/>
        </w:rPr>
        <w:t>. Westport, Conn.: Libraries Unlimited.</w:t>
      </w:r>
    </w:p>
    <w:p w14:paraId="4A55B81D"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Kets de Vries, M. and Miller, D., 1987. Interpreting organisational text. </w:t>
      </w:r>
      <w:r w:rsidRPr="00C377C8">
        <w:rPr>
          <w:i/>
          <w:iCs/>
          <w:color w:val="000000" w:themeColor="text1"/>
          <w:shd w:val="clear" w:color="auto" w:fill="FFFFFF"/>
        </w:rPr>
        <w:t>Journal of Management Studies</w:t>
      </w:r>
      <w:r w:rsidRPr="00C377C8">
        <w:rPr>
          <w:color w:val="000000" w:themeColor="text1"/>
          <w:shd w:val="clear" w:color="auto" w:fill="FFFFFF"/>
        </w:rPr>
        <w:t>, 24(3), pp.233-247.</w:t>
      </w:r>
    </w:p>
    <w:p w14:paraId="558505F4"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Khan, A., 2010. </w:t>
      </w:r>
      <w:r w:rsidRPr="00C377C8">
        <w:rPr>
          <w:rStyle w:val="selectable"/>
          <w:i/>
          <w:iCs/>
          <w:color w:val="000000" w:themeColor="text1"/>
        </w:rPr>
        <w:t>Text and context</w:t>
      </w:r>
      <w:r w:rsidRPr="00C377C8">
        <w:rPr>
          <w:rStyle w:val="selectable"/>
          <w:color w:val="000000" w:themeColor="text1"/>
        </w:rPr>
        <w:t>. New Delhi: Rupa.</w:t>
      </w:r>
    </w:p>
    <w:p w14:paraId="6B423E2D" w14:textId="77777777" w:rsidR="00FB6B91" w:rsidRPr="00C377C8" w:rsidRDefault="00FB6B91" w:rsidP="00461178">
      <w:pPr>
        <w:pStyle w:val="NormalWeb"/>
        <w:shd w:val="clear" w:color="auto" w:fill="FFFFFF"/>
        <w:spacing w:before="0" w:beforeAutospacing="0" w:after="0" w:afterAutospacing="0" w:line="360" w:lineRule="auto"/>
        <w:ind w:left="2268" w:hanging="120"/>
        <w:rPr>
          <w:color w:val="000000" w:themeColor="text1"/>
        </w:rPr>
      </w:pPr>
      <w:r w:rsidRPr="00C377C8">
        <w:rPr>
          <w:rStyle w:val="selectable"/>
          <w:color w:val="000000" w:themeColor="text1"/>
        </w:rPr>
        <w:t>Khan, M., 2016. </w:t>
      </w:r>
      <w:r w:rsidRPr="00C377C8">
        <w:rPr>
          <w:rStyle w:val="selectable"/>
          <w:i/>
          <w:iCs/>
          <w:color w:val="000000" w:themeColor="text1"/>
        </w:rPr>
        <w:t>Tafsīr aḥsanulkalām</w:t>
      </w:r>
      <w:r w:rsidRPr="00C377C8">
        <w:rPr>
          <w:rStyle w:val="selectable"/>
          <w:color w:val="000000" w:themeColor="text1"/>
        </w:rPr>
        <w:t>. Lāhaur: Dārussalām.</w:t>
      </w:r>
    </w:p>
    <w:p w14:paraId="67582AB3"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Khine, M. and Saleh, I., 2011. </w:t>
      </w:r>
      <w:r w:rsidRPr="00C377C8">
        <w:rPr>
          <w:rStyle w:val="selectable"/>
          <w:i/>
          <w:iCs/>
          <w:color w:val="000000" w:themeColor="text1"/>
        </w:rPr>
        <w:t>Practitioner Research</w:t>
      </w:r>
      <w:r w:rsidRPr="00C377C8">
        <w:rPr>
          <w:rStyle w:val="selectable"/>
          <w:color w:val="000000" w:themeColor="text1"/>
        </w:rPr>
        <w:t>. New York: Nova Science Publishers.</w:t>
      </w:r>
    </w:p>
    <w:p w14:paraId="3C6AF3AA"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Killen, R., 2016. </w:t>
      </w:r>
      <w:r w:rsidRPr="00C377C8">
        <w:rPr>
          <w:rStyle w:val="selectable"/>
          <w:i/>
          <w:iCs/>
          <w:color w:val="000000" w:themeColor="text1"/>
        </w:rPr>
        <w:t>Effective teaching strategies</w:t>
      </w:r>
      <w:r w:rsidRPr="00C377C8">
        <w:rPr>
          <w:rStyle w:val="selectable"/>
          <w:color w:val="000000" w:themeColor="text1"/>
        </w:rPr>
        <w:t>. Melbourne: Cengage.</w:t>
      </w:r>
    </w:p>
    <w:p w14:paraId="6E12840A"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Killen, R., 2019. Teaching strategies for quality teaching and learning. London: Juta and Company (PTY) LT.</w:t>
      </w:r>
    </w:p>
    <w:p w14:paraId="5760782E" w14:textId="77777777" w:rsidR="00FB6B91" w:rsidRPr="00C377C8" w:rsidRDefault="00FB6B91" w:rsidP="00461178">
      <w:pPr>
        <w:spacing w:line="360" w:lineRule="auto"/>
        <w:ind w:left="2268"/>
        <w:rPr>
          <w:color w:val="000000" w:themeColor="text1"/>
          <w:lang w:val="en-US"/>
        </w:rPr>
      </w:pPr>
      <w:r w:rsidRPr="00C377C8">
        <w:rPr>
          <w:rStyle w:val="selectable"/>
          <w:color w:val="000000" w:themeColor="text1"/>
        </w:rPr>
        <w:t>Kirk, J. and Miller, M., 2005. </w:t>
      </w:r>
      <w:r w:rsidRPr="00C377C8">
        <w:rPr>
          <w:rStyle w:val="selectable"/>
          <w:i/>
          <w:iCs/>
          <w:color w:val="000000" w:themeColor="text1"/>
        </w:rPr>
        <w:t>Reliability and validity in qualitative research</w:t>
      </w:r>
      <w:r w:rsidRPr="00C377C8">
        <w:rPr>
          <w:rStyle w:val="selectable"/>
          <w:color w:val="000000" w:themeColor="text1"/>
        </w:rPr>
        <w:t>. Newbury Park, Calif: Sage.</w:t>
      </w:r>
    </w:p>
    <w:p w14:paraId="2AEF62FD"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Kitching, J., 2008. Rethinking UK small employers' skills policies and the role of workplace learning. </w:t>
      </w:r>
      <w:r w:rsidRPr="00C377C8">
        <w:rPr>
          <w:rStyle w:val="selectable"/>
          <w:i/>
          <w:iCs/>
          <w:color w:val="000000" w:themeColor="text1"/>
        </w:rPr>
        <w:t>International Journal of Training and Development</w:t>
      </w:r>
      <w:r w:rsidRPr="00C377C8">
        <w:rPr>
          <w:rStyle w:val="selectable"/>
          <w:color w:val="000000" w:themeColor="text1"/>
        </w:rPr>
        <w:t>, 12(2), pp.100-120.</w:t>
      </w:r>
    </w:p>
    <w:p w14:paraId="3CB55B6D"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Klein, B., 2012. </w:t>
      </w:r>
      <w:r w:rsidRPr="00C377C8">
        <w:rPr>
          <w:rStyle w:val="Emphasis"/>
          <w:color w:val="000000" w:themeColor="text1"/>
          <w:shd w:val="clear" w:color="auto" w:fill="FFFFFF"/>
        </w:rPr>
        <w:t>Knowledge and Coordination: A Liberal Interpretation</w:t>
      </w:r>
      <w:r w:rsidRPr="00C377C8">
        <w:rPr>
          <w:color w:val="000000" w:themeColor="text1"/>
          <w:shd w:val="clear" w:color="auto" w:fill="FFFFFF"/>
        </w:rPr>
        <w:t>. New York: Oxford University Press, USA.</w:t>
      </w:r>
    </w:p>
    <w:p w14:paraId="1481446F"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bCs/>
          <w:color w:val="000000" w:themeColor="text1"/>
          <w:lang w:eastAsia="en-GB"/>
        </w:rPr>
        <w:t> </w:t>
      </w:r>
      <w:r w:rsidRPr="00C377C8">
        <w:rPr>
          <w:rFonts w:eastAsia="Times New Roman"/>
          <w:color w:val="000000" w:themeColor="text1"/>
          <w:lang w:eastAsia="en-GB"/>
        </w:rPr>
        <w:t>Knoff, H., 2012. </w:t>
      </w:r>
      <w:r w:rsidRPr="00C377C8">
        <w:rPr>
          <w:rFonts w:eastAsia="Times New Roman"/>
          <w:i/>
          <w:iCs/>
          <w:color w:val="000000" w:themeColor="text1"/>
          <w:lang w:eastAsia="en-GB"/>
        </w:rPr>
        <w:t>School Discipline, Classroom Management, &amp; Student Self-Management</w:t>
      </w:r>
      <w:r w:rsidRPr="00C377C8">
        <w:rPr>
          <w:rFonts w:eastAsia="Times New Roman"/>
          <w:color w:val="000000" w:themeColor="text1"/>
          <w:lang w:eastAsia="en-GB"/>
        </w:rPr>
        <w:t>. Thousand Oaks, Calif.: Corwin Press.</w:t>
      </w:r>
    </w:p>
    <w:p w14:paraId="3E2B1604" w14:textId="77777777" w:rsidR="00FB6B91" w:rsidRPr="00C377C8" w:rsidRDefault="00FB6B91" w:rsidP="00461178">
      <w:pPr>
        <w:spacing w:line="360" w:lineRule="auto"/>
        <w:ind w:left="2268"/>
        <w:rPr>
          <w:rFonts w:eastAsia="Times New Roman"/>
          <w:color w:val="000000" w:themeColor="text1"/>
          <w:lang w:eastAsia="en-GB"/>
        </w:rPr>
      </w:pPr>
      <w:r w:rsidRPr="00C377C8">
        <w:rPr>
          <w:color w:val="000000" w:themeColor="text1"/>
        </w:rPr>
        <w:t>Knowles, G. and Lander, V., 2011. </w:t>
      </w:r>
      <w:r w:rsidRPr="00C377C8">
        <w:rPr>
          <w:i/>
          <w:iCs/>
          <w:color w:val="000000" w:themeColor="text1"/>
        </w:rPr>
        <w:t>Diversity, Equality And Achievement In Education</w:t>
      </w:r>
      <w:r w:rsidRPr="00C377C8">
        <w:rPr>
          <w:color w:val="000000" w:themeColor="text1"/>
        </w:rPr>
        <w:t>. London: SAGE Publications.</w:t>
      </w:r>
    </w:p>
    <w:p w14:paraId="15F85A11" w14:textId="77777777" w:rsidR="00FB6B91" w:rsidRPr="00C377C8" w:rsidRDefault="00FB6B91" w:rsidP="00F1408E">
      <w:pPr>
        <w:ind w:left="2268"/>
        <w:jc w:val="both"/>
        <w:rPr>
          <w:rFonts w:ascii="Open Sans" w:eastAsia="Calibri" w:hAnsi="Open Sans" w:cs="Open Sans"/>
          <w:color w:val="000000" w:themeColor="text1"/>
          <w:sz w:val="20"/>
          <w:szCs w:val="20"/>
          <w:shd w:val="clear" w:color="auto" w:fill="FFFFFF"/>
        </w:rPr>
      </w:pPr>
      <w:r w:rsidRPr="00C377C8">
        <w:rPr>
          <w:rFonts w:ascii="Open Sans" w:eastAsia="Calibri" w:hAnsi="Open Sans" w:cs="Open Sans"/>
          <w:color w:val="000000" w:themeColor="text1"/>
          <w:sz w:val="20"/>
          <w:szCs w:val="20"/>
          <w:shd w:val="clear" w:color="auto" w:fill="FFFFFF"/>
        </w:rPr>
        <w:t>Ko, J., Sammons, P. and Bakkum, L., 2014. [online] Educationdevelopmenttrust.com. Available at: &lt;https://www.educationdevelopmenttrust.com/EducationDevelopmentTrust/files/98/98ad6340-0ef6-4e1d-a541-db6018afce7d.pdf&gt; [Accessed 2 January 2022].</w:t>
      </w:r>
    </w:p>
    <w:p w14:paraId="73A40402" w14:textId="77777777" w:rsidR="00FB6B91" w:rsidRPr="00C377C8" w:rsidRDefault="00FB6B91" w:rsidP="00F1408E">
      <w:pPr>
        <w:shd w:val="clear" w:color="auto" w:fill="FFFFFF"/>
        <w:spacing w:before="100" w:beforeAutospacing="1" w:after="90" w:line="240" w:lineRule="auto"/>
        <w:ind w:left="2268"/>
        <w:rPr>
          <w:rFonts w:ascii="Lato" w:eastAsia="Calibri" w:hAnsi="Lato" w:cs="Times New Roman"/>
          <w:color w:val="000000" w:themeColor="text1"/>
          <w:shd w:val="clear" w:color="auto" w:fill="FFFFFF"/>
        </w:rPr>
      </w:pPr>
      <w:r w:rsidRPr="00C377C8">
        <w:rPr>
          <w:rFonts w:ascii="Open Sans" w:eastAsia="Calibri" w:hAnsi="Open Sans" w:cs="Open Sans"/>
          <w:color w:val="000000" w:themeColor="text1"/>
          <w:sz w:val="20"/>
          <w:szCs w:val="20"/>
          <w:shd w:val="clear" w:color="auto" w:fill="FFFFFF"/>
        </w:rPr>
        <w:t>Ko, J., Sammons, P. and Bakkum, L., 2014. </w:t>
      </w:r>
      <w:r w:rsidRPr="00C377C8">
        <w:rPr>
          <w:rFonts w:ascii="Open Sans" w:eastAsia="Calibri" w:hAnsi="Open Sans" w:cs="Open Sans"/>
          <w:i/>
          <w:iCs/>
          <w:color w:val="000000" w:themeColor="text1"/>
          <w:sz w:val="20"/>
          <w:szCs w:val="20"/>
          <w:shd w:val="clear" w:color="auto" w:fill="FFFFFF"/>
        </w:rPr>
        <w:t>Effective teaching</w:t>
      </w:r>
      <w:r w:rsidRPr="00C377C8">
        <w:rPr>
          <w:rFonts w:ascii="Open Sans" w:eastAsia="Calibri" w:hAnsi="Open Sans" w:cs="Open Sans"/>
          <w:color w:val="000000" w:themeColor="text1"/>
          <w:sz w:val="20"/>
          <w:szCs w:val="20"/>
          <w:shd w:val="clear" w:color="auto" w:fill="FFFFFF"/>
        </w:rPr>
        <w:t>. [online] Available at: &lt;https://www.educationdevelopmenttrust.com/EducationDevelopmentTrust/files/98/98ad6340-0ef6-4e1d-a541-db6018afce7d.pdf&gt; [Accessed 3 January 2022].</w:t>
      </w:r>
    </w:p>
    <w:p w14:paraId="763AA5A7"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Ko, S., 2013. </w:t>
      </w:r>
      <w:r w:rsidRPr="00C377C8">
        <w:rPr>
          <w:rStyle w:val="selectable"/>
          <w:i/>
          <w:iCs/>
          <w:color w:val="000000" w:themeColor="text1"/>
        </w:rPr>
        <w:t>Understanding The Dynamics Of Classroom Communication</w:t>
      </w:r>
      <w:r w:rsidRPr="00C377C8">
        <w:rPr>
          <w:rStyle w:val="selectable"/>
          <w:color w:val="000000" w:themeColor="text1"/>
        </w:rPr>
        <w:t>. Newcastle: Cambridge Scholars.</w:t>
      </w:r>
    </w:p>
    <w:p w14:paraId="42F1EB48"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 xml:space="preserve">Koch, T., </w:t>
      </w:r>
      <w:r w:rsidRPr="00C377C8">
        <w:rPr>
          <w:rStyle w:val="nlmyear"/>
          <w:color w:val="000000" w:themeColor="text1"/>
          <w:shd w:val="clear" w:color="auto" w:fill="FFFFFF"/>
        </w:rPr>
        <w:t>1995</w:t>
      </w:r>
      <w:r w:rsidRPr="00C377C8">
        <w:rPr>
          <w:color w:val="000000" w:themeColor="text1"/>
          <w:shd w:val="clear" w:color="auto" w:fill="FFFFFF"/>
        </w:rPr>
        <w:t>.  </w:t>
      </w:r>
      <w:r w:rsidRPr="00C377C8">
        <w:rPr>
          <w:rStyle w:val="nlmarticle-title"/>
          <w:color w:val="000000" w:themeColor="text1"/>
          <w:shd w:val="clear" w:color="auto" w:fill="FFFFFF"/>
        </w:rPr>
        <w:t>Interpretive approaches in nursing research: The influence of Husserl and Heidegger</w:t>
      </w:r>
      <w:r w:rsidRPr="00C377C8">
        <w:rPr>
          <w:color w:val="000000" w:themeColor="text1"/>
          <w:shd w:val="clear" w:color="auto" w:fill="FFFFFF"/>
        </w:rPr>
        <w:t>. Journal of Advanced Nursing, 21, </w:t>
      </w:r>
      <w:r w:rsidRPr="00C377C8">
        <w:rPr>
          <w:rStyle w:val="nlmfpage"/>
          <w:color w:val="000000" w:themeColor="text1"/>
          <w:shd w:val="clear" w:color="auto" w:fill="FFFFFF"/>
        </w:rPr>
        <w:t>827</w:t>
      </w:r>
      <w:r w:rsidRPr="00C377C8">
        <w:rPr>
          <w:color w:val="000000" w:themeColor="text1"/>
          <w:shd w:val="clear" w:color="auto" w:fill="FFFFFF"/>
        </w:rPr>
        <w:t>–</w:t>
      </w:r>
      <w:r w:rsidRPr="00C377C8">
        <w:rPr>
          <w:rStyle w:val="nlmlpage"/>
          <w:color w:val="000000" w:themeColor="text1"/>
          <w:shd w:val="clear" w:color="auto" w:fill="FFFFFF"/>
        </w:rPr>
        <w:t>836</w:t>
      </w:r>
      <w:r w:rsidRPr="00C377C8">
        <w:rPr>
          <w:color w:val="000000" w:themeColor="text1"/>
          <w:shd w:val="clear" w:color="auto" w:fill="FFFFFF"/>
        </w:rPr>
        <w:t>. </w:t>
      </w:r>
    </w:p>
    <w:p w14:paraId="55DC0D7C"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Koopmans, M., 2010. </w:t>
      </w:r>
      <w:r w:rsidRPr="00C377C8">
        <w:rPr>
          <w:rStyle w:val="selectable"/>
          <w:i/>
          <w:iCs/>
          <w:color w:val="000000" w:themeColor="text1"/>
        </w:rPr>
        <w:t>Feedback</w:t>
      </w:r>
      <w:r w:rsidRPr="00C377C8">
        <w:rPr>
          <w:rStyle w:val="selectable"/>
          <w:color w:val="000000" w:themeColor="text1"/>
        </w:rPr>
        <w:t>. Zaltbommel: Thema.</w:t>
      </w:r>
    </w:p>
    <w:p w14:paraId="75FE3033"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Köster, M. and Thünemann, H., 2019. The untapped potential of mixed-methods research approaches for German history education research. </w:t>
      </w:r>
      <w:r w:rsidRPr="00C377C8">
        <w:rPr>
          <w:rStyle w:val="selectable"/>
          <w:i/>
          <w:iCs/>
          <w:color w:val="000000" w:themeColor="text1"/>
        </w:rPr>
        <w:t>History Education Research Journal</w:t>
      </w:r>
      <w:r w:rsidRPr="00C377C8">
        <w:rPr>
          <w:rStyle w:val="selectable"/>
          <w:color w:val="000000" w:themeColor="text1"/>
        </w:rPr>
        <w:t>, 16(1).</w:t>
      </w:r>
    </w:p>
    <w:p w14:paraId="338C12C8" w14:textId="77777777" w:rsidR="00FB6B91" w:rsidRPr="00C377C8" w:rsidRDefault="00FB6B91" w:rsidP="00461178">
      <w:pPr>
        <w:spacing w:line="360" w:lineRule="auto"/>
        <w:ind w:left="2268"/>
        <w:rPr>
          <w:color w:val="000000" w:themeColor="text1"/>
        </w:rPr>
      </w:pPr>
      <w:r w:rsidRPr="00C377C8">
        <w:rPr>
          <w:color w:val="000000" w:themeColor="text1"/>
        </w:rPr>
        <w:t>Kottler, J., Zehm, S. and Kottler, E., 2005. </w:t>
      </w:r>
      <w:r w:rsidRPr="00C377C8">
        <w:rPr>
          <w:i/>
          <w:iCs/>
          <w:color w:val="000000" w:themeColor="text1"/>
        </w:rPr>
        <w:t>On Being A Teacher</w:t>
      </w:r>
      <w:r w:rsidRPr="00C377C8">
        <w:rPr>
          <w:color w:val="000000" w:themeColor="text1"/>
        </w:rPr>
        <w:t>. Thousand Oaks, Calif.: Corwin Press.</w:t>
      </w:r>
    </w:p>
    <w:p w14:paraId="1FB95F0C"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Krämer, G. and Schmidtke, S., 2014. </w:t>
      </w:r>
      <w:r w:rsidRPr="00C377C8">
        <w:rPr>
          <w:rStyle w:val="selectable"/>
          <w:i/>
          <w:iCs/>
          <w:color w:val="000000" w:themeColor="text1"/>
        </w:rPr>
        <w:t>Speaking for islam</w:t>
      </w:r>
      <w:r w:rsidRPr="00C377C8">
        <w:rPr>
          <w:rStyle w:val="selectable"/>
          <w:color w:val="000000" w:themeColor="text1"/>
        </w:rPr>
        <w:t>. Leiden: Brill.</w:t>
      </w:r>
    </w:p>
    <w:p w14:paraId="2580016A"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Kridel, C., 2010. </w:t>
      </w:r>
      <w:r w:rsidRPr="00C377C8">
        <w:rPr>
          <w:i/>
          <w:iCs/>
          <w:color w:val="000000" w:themeColor="text1"/>
          <w:shd w:val="clear" w:color="auto" w:fill="FFFFFF"/>
        </w:rPr>
        <w:t>Encyclopedia of curriculum studies</w:t>
      </w:r>
      <w:r w:rsidRPr="00C377C8">
        <w:rPr>
          <w:color w:val="000000" w:themeColor="text1"/>
          <w:shd w:val="clear" w:color="auto" w:fill="FFFFFF"/>
        </w:rPr>
        <w:t>. Thousand Oaks, Calif.: SAGE Publications.</w:t>
      </w:r>
    </w:p>
    <w:p w14:paraId="3AC2FFDF"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Kuger, S., Jude, N. and Kaplan, D., 2017. </w:t>
      </w:r>
      <w:r w:rsidRPr="00C377C8">
        <w:rPr>
          <w:rStyle w:val="selectable"/>
          <w:i/>
          <w:iCs/>
          <w:color w:val="000000" w:themeColor="text1"/>
        </w:rPr>
        <w:t>Assessing contexts of learning</w:t>
      </w:r>
      <w:r w:rsidRPr="00C377C8">
        <w:rPr>
          <w:rStyle w:val="selectable"/>
          <w:color w:val="000000" w:themeColor="text1"/>
        </w:rPr>
        <w:t>. Cham: Springer International Publishing.</w:t>
      </w:r>
    </w:p>
    <w:p w14:paraId="65DEE8F9" w14:textId="77777777" w:rsidR="00FB6B91" w:rsidRPr="00C377C8" w:rsidRDefault="00FB6B91" w:rsidP="00461178">
      <w:pPr>
        <w:spacing w:line="360" w:lineRule="auto"/>
        <w:ind w:left="2268"/>
        <w:rPr>
          <w:color w:val="000000" w:themeColor="text1"/>
        </w:rPr>
      </w:pPr>
      <w:r w:rsidRPr="00C377C8">
        <w:rPr>
          <w:color w:val="000000" w:themeColor="text1"/>
        </w:rPr>
        <w:t>Kuhn, D., 2008. </w:t>
      </w:r>
      <w:r w:rsidRPr="00C377C8">
        <w:rPr>
          <w:i/>
          <w:iCs/>
          <w:color w:val="000000" w:themeColor="text1"/>
        </w:rPr>
        <w:t>Education For Thinking</w:t>
      </w:r>
      <w:r w:rsidRPr="00C377C8">
        <w:rPr>
          <w:color w:val="000000" w:themeColor="text1"/>
        </w:rPr>
        <w:t>. Cambridge, Mass.: Harvard University Press.</w:t>
      </w:r>
    </w:p>
    <w:p w14:paraId="339C85EE"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Kvale, S. and Brinkmann, S. 2009. </w:t>
      </w:r>
      <w:r w:rsidRPr="00C377C8">
        <w:rPr>
          <w:rFonts w:eastAsia="Times New Roman"/>
          <w:i/>
          <w:iCs/>
          <w:color w:val="000000" w:themeColor="text1"/>
          <w:lang w:eastAsia="en-GB"/>
        </w:rPr>
        <w:t>InterViews</w:t>
      </w:r>
      <w:r w:rsidRPr="00C377C8">
        <w:rPr>
          <w:rFonts w:eastAsia="Times New Roman"/>
          <w:color w:val="000000" w:themeColor="text1"/>
          <w:lang w:eastAsia="en-GB"/>
        </w:rPr>
        <w:t>. Thousand Oaks: Sage Publication</w:t>
      </w:r>
    </w:p>
    <w:p w14:paraId="16CABD67"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Kvale, S., 1999. </w:t>
      </w:r>
      <w:r w:rsidRPr="00C377C8">
        <w:rPr>
          <w:rStyle w:val="selectable"/>
          <w:i/>
          <w:iCs/>
          <w:color w:val="000000" w:themeColor="text1"/>
        </w:rPr>
        <w:t>Psychology and postmodernism</w:t>
      </w:r>
      <w:r w:rsidRPr="00C377C8">
        <w:rPr>
          <w:rStyle w:val="selectable"/>
          <w:color w:val="000000" w:themeColor="text1"/>
        </w:rPr>
        <w:t>. London: Sage.</w:t>
      </w:r>
    </w:p>
    <w:p w14:paraId="7AD0C5E5" w14:textId="77777777" w:rsidR="00FB6B91" w:rsidRPr="00C377C8" w:rsidRDefault="00FB6B91" w:rsidP="00461178">
      <w:pPr>
        <w:spacing w:line="360" w:lineRule="auto"/>
        <w:ind w:left="2268"/>
        <w:rPr>
          <w:rFonts w:eastAsia="Times New Roman"/>
          <w:color w:val="000000" w:themeColor="text1"/>
          <w:lang w:eastAsia="en-GB"/>
        </w:rPr>
      </w:pPr>
      <w:r w:rsidRPr="00C377C8">
        <w:rPr>
          <w:rStyle w:val="selectable"/>
          <w:color w:val="000000" w:themeColor="text1"/>
        </w:rPr>
        <w:t>Kyriakides, L., Christoforou, C. and Charalambous, C. (2013). What matters for student learning outcomes: A meta-analysis of studies exploring factors of effective teaching. </w:t>
      </w:r>
      <w:r w:rsidRPr="00C377C8">
        <w:rPr>
          <w:rStyle w:val="selectable"/>
          <w:i/>
          <w:iCs/>
          <w:color w:val="000000" w:themeColor="text1"/>
        </w:rPr>
        <w:t>Teaching and Teacher Education</w:t>
      </w:r>
      <w:r w:rsidRPr="00C377C8">
        <w:rPr>
          <w:rStyle w:val="selectable"/>
          <w:color w:val="000000" w:themeColor="text1"/>
        </w:rPr>
        <w:t>, 36, pp.143-152.</w:t>
      </w:r>
    </w:p>
    <w:p w14:paraId="3644EC36" w14:textId="77777777" w:rsidR="00FB6B91" w:rsidRPr="00C377C8" w:rsidRDefault="00FB6B91" w:rsidP="00461178">
      <w:pPr>
        <w:spacing w:line="360" w:lineRule="auto"/>
        <w:ind w:left="2268"/>
        <w:rPr>
          <w:color w:val="000000" w:themeColor="text1"/>
        </w:rPr>
      </w:pPr>
      <w:r w:rsidRPr="00C377C8">
        <w:rPr>
          <w:color w:val="000000" w:themeColor="text1"/>
          <w:shd w:val="clear" w:color="auto" w:fill="FFFFFF"/>
        </w:rPr>
        <w:t>Langdridge, D., 2007. </w:t>
      </w:r>
      <w:r w:rsidRPr="00C377C8">
        <w:rPr>
          <w:i/>
          <w:iCs/>
          <w:color w:val="000000" w:themeColor="text1"/>
          <w:shd w:val="clear" w:color="auto" w:fill="FFFFFF"/>
        </w:rPr>
        <w:t>Phenomenological psychology</w:t>
      </w:r>
      <w:r w:rsidRPr="00C377C8">
        <w:rPr>
          <w:color w:val="000000" w:themeColor="text1"/>
          <w:shd w:val="clear" w:color="auto" w:fill="FFFFFF"/>
        </w:rPr>
        <w:t>. 2nd ed. london: Pearson Education Limited.</w:t>
      </w:r>
    </w:p>
    <w:p w14:paraId="0D269D93"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Langer, G., Colton, A. and Goff, L., 2004. </w:t>
      </w:r>
      <w:r w:rsidRPr="00C377C8">
        <w:rPr>
          <w:rStyle w:val="selectable"/>
          <w:i/>
          <w:iCs/>
          <w:color w:val="000000" w:themeColor="text1"/>
        </w:rPr>
        <w:t>Collaborative analysis of student work</w:t>
      </w:r>
      <w:r w:rsidRPr="00C377C8">
        <w:rPr>
          <w:rStyle w:val="selectable"/>
          <w:color w:val="000000" w:themeColor="text1"/>
        </w:rPr>
        <w:t>. Moorabbin, Vic.: Hawker Brownlow Education.</w:t>
      </w:r>
    </w:p>
    <w:p w14:paraId="1D77CE98" w14:textId="77777777" w:rsidR="00FB6B91" w:rsidRPr="00C377C8" w:rsidRDefault="00FB6B91" w:rsidP="00461178">
      <w:pPr>
        <w:spacing w:line="360" w:lineRule="auto"/>
        <w:ind w:left="2268"/>
        <w:rPr>
          <w:color w:val="000000" w:themeColor="text1"/>
        </w:rPr>
      </w:pPr>
      <w:r w:rsidRPr="00C377C8">
        <w:rPr>
          <w:color w:val="000000" w:themeColor="text1"/>
        </w:rPr>
        <w:t>Larkin, M. and Griffiths, M.D., 2002. Experiences of addiction and recovery: the case for subjective accounts. Addiction Research and Theory, 10, 281 – 311</w:t>
      </w:r>
    </w:p>
    <w:p w14:paraId="183D6DEB"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Larkin, M., Eatough, V. and Osborn, M., 2011. Interpretative phenomenological analysis and embodied, active, situated cognition. </w:t>
      </w:r>
      <w:r w:rsidRPr="00C377C8">
        <w:rPr>
          <w:rFonts w:eastAsia="Times New Roman"/>
          <w:i/>
          <w:iCs/>
          <w:color w:val="000000" w:themeColor="text1"/>
          <w:lang w:eastAsia="en-GB"/>
        </w:rPr>
        <w:t>Theory &amp; Psychology</w:t>
      </w:r>
      <w:r w:rsidRPr="00C377C8">
        <w:rPr>
          <w:rFonts w:eastAsia="Times New Roman"/>
          <w:color w:val="000000" w:themeColor="text1"/>
          <w:lang w:eastAsia="en-GB"/>
        </w:rPr>
        <w:t>, 21(3), pp.318-337</w:t>
      </w:r>
    </w:p>
    <w:p w14:paraId="07AE9BE7" w14:textId="77777777" w:rsidR="00FB6B91" w:rsidRPr="00C377C8" w:rsidRDefault="00FB6B91" w:rsidP="00461178">
      <w:pPr>
        <w:spacing w:line="360" w:lineRule="auto"/>
        <w:ind w:left="2268"/>
        <w:rPr>
          <w:color w:val="000000" w:themeColor="text1"/>
        </w:rPr>
      </w:pPr>
      <w:r w:rsidRPr="00C377C8">
        <w:rPr>
          <w:color w:val="000000" w:themeColor="text1"/>
        </w:rPr>
        <w:t>Larkin, M., Watts, S. and Clifton, E., 2006. Giving voice and making sense in interpretative phenomenological analysis. Qualitative Research in Psychology, 3(2), pp.102-120.</w:t>
      </w:r>
    </w:p>
    <w:p w14:paraId="509FA3FD" w14:textId="77777777" w:rsidR="00FB6B91" w:rsidRPr="00C377C8" w:rsidRDefault="00FB6B91" w:rsidP="00461178">
      <w:pPr>
        <w:spacing w:line="360" w:lineRule="auto"/>
        <w:ind w:left="2268"/>
        <w:rPr>
          <w:rStyle w:val="Strong"/>
          <w:b w:val="0"/>
          <w:bCs w:val="0"/>
          <w:color w:val="000000" w:themeColor="text1"/>
        </w:rPr>
      </w:pPr>
      <w:r w:rsidRPr="00C377C8">
        <w:rPr>
          <w:rStyle w:val="selectable"/>
          <w:color w:val="000000" w:themeColor="text1"/>
        </w:rPr>
        <w:t>Latham, C. and Miles, A., 2016. </w:t>
      </w:r>
      <w:r w:rsidRPr="00C377C8">
        <w:rPr>
          <w:rStyle w:val="selectable"/>
          <w:i/>
          <w:iCs/>
          <w:color w:val="000000" w:themeColor="text1"/>
        </w:rPr>
        <w:t>Communication, curriculum and classroom practice</w:t>
      </w:r>
      <w:r w:rsidRPr="00C377C8">
        <w:rPr>
          <w:rStyle w:val="selectable"/>
          <w:color w:val="000000" w:themeColor="text1"/>
        </w:rPr>
        <w:t>. London: Routledge.</w:t>
      </w:r>
    </w:p>
    <w:p w14:paraId="17630E29" w14:textId="77777777" w:rsidR="00FB6B91" w:rsidRPr="00C377C8" w:rsidRDefault="00FB6B91" w:rsidP="00461178">
      <w:pPr>
        <w:spacing w:line="360" w:lineRule="auto"/>
        <w:ind w:left="2268"/>
        <w:rPr>
          <w:color w:val="000000" w:themeColor="text1"/>
        </w:rPr>
      </w:pPr>
      <w:r w:rsidRPr="00C377C8">
        <w:rPr>
          <w:color w:val="000000" w:themeColor="text1"/>
        </w:rPr>
        <w:t>Lautzenheiser, T., 1993. </w:t>
      </w:r>
      <w:r w:rsidRPr="00C377C8">
        <w:rPr>
          <w:i/>
          <w:iCs/>
          <w:color w:val="000000" w:themeColor="text1"/>
        </w:rPr>
        <w:t>The Joy of Inspired Teaching</w:t>
      </w:r>
      <w:r w:rsidRPr="00C377C8">
        <w:rPr>
          <w:color w:val="000000" w:themeColor="text1"/>
        </w:rPr>
        <w:t>. Chicago: GIA Publications, Inc.</w:t>
      </w:r>
    </w:p>
    <w:p w14:paraId="4E22E7ED"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Laverty, S., 2003. Hermeneutic Phenomenology and Phenomenology: A Comparison of Historical and Methodological Considerations. </w:t>
      </w:r>
      <w:r w:rsidRPr="00C377C8">
        <w:rPr>
          <w:i/>
          <w:iCs/>
          <w:color w:val="000000" w:themeColor="text1"/>
          <w:shd w:val="clear" w:color="auto" w:fill="FFFFFF"/>
        </w:rPr>
        <w:t>International Journal of Qualitative Methods</w:t>
      </w:r>
      <w:r w:rsidRPr="00C377C8">
        <w:rPr>
          <w:color w:val="000000" w:themeColor="text1"/>
          <w:shd w:val="clear" w:color="auto" w:fill="FFFFFF"/>
        </w:rPr>
        <w:t>, 2(3), pp.21-35.</w:t>
      </w:r>
    </w:p>
    <w:p w14:paraId="2C284F4F"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 xml:space="preserve">Lawrence, B., 2016. The Study Quran: A New Translation and Commentary Seyyed Hossein </w:t>
      </w:r>
    </w:p>
    <w:p w14:paraId="217745DE" w14:textId="77777777" w:rsidR="00FB6B91" w:rsidRPr="00C377C8" w:rsidRDefault="00FB6B91" w:rsidP="00461178">
      <w:pPr>
        <w:spacing w:line="360" w:lineRule="auto"/>
        <w:ind w:left="2268"/>
        <w:rPr>
          <w:color w:val="000000" w:themeColor="text1"/>
        </w:rPr>
      </w:pPr>
      <w:r w:rsidRPr="00C377C8">
        <w:rPr>
          <w:color w:val="000000" w:themeColor="text1"/>
        </w:rPr>
        <w:t>Lee, A., 2013. Language and Learning in Multilingual Classrooms: A Practical Approach Elizabeth Coelho. Bristol, England: Multilingual Matters, 2012. </w:t>
      </w:r>
      <w:r w:rsidRPr="00C377C8">
        <w:rPr>
          <w:i/>
          <w:iCs/>
          <w:color w:val="000000" w:themeColor="text1"/>
        </w:rPr>
        <w:t>TESOL Journal</w:t>
      </w:r>
      <w:r w:rsidRPr="00C377C8">
        <w:rPr>
          <w:color w:val="000000" w:themeColor="text1"/>
        </w:rPr>
        <w:t>, 4(2), pp.391-395.</w:t>
      </w:r>
    </w:p>
    <w:p w14:paraId="77C02A04" w14:textId="77777777" w:rsidR="00FB6B91" w:rsidRPr="00C377C8" w:rsidRDefault="00FB6B91" w:rsidP="00461178">
      <w:pPr>
        <w:spacing w:line="360" w:lineRule="auto"/>
        <w:ind w:left="2268"/>
        <w:rPr>
          <w:color w:val="000000" w:themeColor="text1"/>
          <w:lang w:val="en-US"/>
        </w:rPr>
      </w:pPr>
      <w:r w:rsidRPr="00C377C8">
        <w:rPr>
          <w:color w:val="000000" w:themeColor="text1"/>
          <w:lang w:val="en-US"/>
        </w:rPr>
        <w:t>Leftridge, A., 2006. </w:t>
      </w:r>
      <w:r w:rsidRPr="00C377C8">
        <w:rPr>
          <w:i/>
          <w:iCs/>
          <w:color w:val="000000" w:themeColor="text1"/>
          <w:lang w:val="en-US"/>
        </w:rPr>
        <w:t>Interpretive writing</w:t>
      </w:r>
      <w:r w:rsidRPr="00C377C8">
        <w:rPr>
          <w:color w:val="000000" w:themeColor="text1"/>
          <w:lang w:val="en-US"/>
        </w:rPr>
        <w:t>. Fort Collins, CO: National Association for Interpretation.</w:t>
      </w:r>
    </w:p>
    <w:p w14:paraId="2218C986"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Leicester, M. and Taylor, D., 2010. </w:t>
      </w:r>
      <w:r w:rsidRPr="00C377C8">
        <w:rPr>
          <w:rStyle w:val="selectable"/>
          <w:i/>
          <w:iCs/>
          <w:color w:val="000000" w:themeColor="text1"/>
        </w:rPr>
        <w:t>Critical Thinking Across The Curriculum</w:t>
      </w:r>
      <w:r w:rsidRPr="00C377C8">
        <w:rPr>
          <w:rStyle w:val="selectable"/>
          <w:color w:val="000000" w:themeColor="text1"/>
        </w:rPr>
        <w:t>. Berkshire, England: Open University Press.</w:t>
      </w:r>
    </w:p>
    <w:p w14:paraId="2BF7ED14"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Leonard, D., 2002. </w:t>
      </w:r>
      <w:r w:rsidRPr="00C377C8">
        <w:rPr>
          <w:rStyle w:val="selectable"/>
          <w:i/>
          <w:iCs/>
          <w:color w:val="000000" w:themeColor="text1"/>
        </w:rPr>
        <w:t>Learning theories, A to Z</w:t>
      </w:r>
      <w:r w:rsidRPr="00C377C8">
        <w:rPr>
          <w:rStyle w:val="selectable"/>
          <w:color w:val="000000" w:themeColor="text1"/>
        </w:rPr>
        <w:t>. Westport, Conn.: Oryx Press.</w:t>
      </w:r>
    </w:p>
    <w:p w14:paraId="614ED21C" w14:textId="77777777" w:rsidR="00FB6B91" w:rsidRPr="00C377C8" w:rsidRDefault="00FB6B91" w:rsidP="00F1408E">
      <w:pPr>
        <w:shd w:val="clear" w:color="auto" w:fill="FFFFFF"/>
        <w:spacing w:after="0" w:line="360" w:lineRule="atLeast"/>
        <w:ind w:left="2268" w:hanging="120"/>
        <w:rPr>
          <w:rFonts w:ascii="Open Sans" w:eastAsia="Times New Roman" w:hAnsi="Open Sans" w:cs="Open Sans"/>
          <w:color w:val="000000" w:themeColor="text1"/>
          <w:sz w:val="20"/>
          <w:szCs w:val="20"/>
          <w:lang w:eastAsia="en-GB"/>
        </w:rPr>
      </w:pPr>
      <w:r w:rsidRPr="00C377C8">
        <w:rPr>
          <w:rFonts w:ascii="Open Sans" w:eastAsia="Times New Roman" w:hAnsi="Open Sans" w:cs="Open Sans"/>
          <w:b/>
          <w:bCs/>
          <w:color w:val="000000" w:themeColor="text1"/>
          <w:sz w:val="20"/>
          <w:szCs w:val="20"/>
          <w:lang w:eastAsia="en-GB"/>
        </w:rPr>
        <w:t> </w:t>
      </w:r>
      <w:r w:rsidRPr="00C377C8">
        <w:rPr>
          <w:rFonts w:ascii="Open Sans" w:eastAsia="Times New Roman" w:hAnsi="Open Sans" w:cs="Open Sans"/>
          <w:color w:val="000000" w:themeColor="text1"/>
          <w:sz w:val="20"/>
          <w:szCs w:val="20"/>
          <w:lang w:eastAsia="en-GB"/>
        </w:rPr>
        <w:t>Levi-Strauss, C., 1955. The Structural Study of Myth. </w:t>
      </w:r>
      <w:r w:rsidRPr="00C377C8">
        <w:rPr>
          <w:rFonts w:ascii="Open Sans" w:eastAsia="Times New Roman" w:hAnsi="Open Sans" w:cs="Open Sans"/>
          <w:i/>
          <w:iCs/>
          <w:color w:val="000000" w:themeColor="text1"/>
          <w:sz w:val="20"/>
          <w:szCs w:val="20"/>
          <w:lang w:eastAsia="en-GB"/>
        </w:rPr>
        <w:t>The Journal of American Folklore</w:t>
      </w:r>
      <w:r w:rsidRPr="00C377C8">
        <w:rPr>
          <w:rFonts w:ascii="Open Sans" w:eastAsia="Times New Roman" w:hAnsi="Open Sans" w:cs="Open Sans"/>
          <w:color w:val="000000" w:themeColor="text1"/>
          <w:sz w:val="20"/>
          <w:szCs w:val="20"/>
          <w:lang w:eastAsia="en-GB"/>
        </w:rPr>
        <w:t>, 68(270), p.428.</w:t>
      </w:r>
    </w:p>
    <w:p w14:paraId="27DF5EB4"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Lewis, P. and Hamid, S., 2018. </w:t>
      </w:r>
      <w:r w:rsidRPr="00C377C8">
        <w:rPr>
          <w:rStyle w:val="selectable"/>
          <w:i/>
          <w:iCs/>
          <w:color w:val="000000" w:themeColor="text1"/>
        </w:rPr>
        <w:t>British Muslims</w:t>
      </w:r>
      <w:r w:rsidRPr="00C377C8">
        <w:rPr>
          <w:rStyle w:val="selectable"/>
          <w:color w:val="000000" w:themeColor="text1"/>
        </w:rPr>
        <w:t>. Edinburgh: Edinburgh University Press Ltd.</w:t>
      </w:r>
    </w:p>
    <w:p w14:paraId="3F40F3C3" w14:textId="77777777" w:rsidR="00FB6B91" w:rsidRPr="00C377C8" w:rsidRDefault="00FB6B91" w:rsidP="00461178">
      <w:pPr>
        <w:spacing w:line="360" w:lineRule="auto"/>
        <w:ind w:left="2268"/>
        <w:rPr>
          <w:color w:val="000000" w:themeColor="text1"/>
        </w:rPr>
      </w:pPr>
      <w:r w:rsidRPr="00C377C8">
        <w:rPr>
          <w:color w:val="000000" w:themeColor="text1"/>
        </w:rPr>
        <w:t xml:space="preserve">Lewis, P., 2014. </w:t>
      </w:r>
      <w:r w:rsidRPr="00C377C8">
        <w:rPr>
          <w:i/>
          <w:color w:val="000000" w:themeColor="text1"/>
        </w:rPr>
        <w:t>Imams in Britain: Agents of de-radicalisation. In Islamic Movements of Europe.</w:t>
      </w:r>
      <w:r w:rsidRPr="00C377C8">
        <w:rPr>
          <w:color w:val="000000" w:themeColor="text1"/>
        </w:rPr>
        <w:t xml:space="preserve"> Edited by Frank Peter and Rafael Ortega. London: I.B. Tauris &amp; Co. Ltd.</w:t>
      </w:r>
    </w:p>
    <w:p w14:paraId="39D4478C" w14:textId="77777777" w:rsidR="00FB6B91" w:rsidRPr="00C377C8" w:rsidRDefault="00FB6B91" w:rsidP="00461178">
      <w:pPr>
        <w:spacing w:line="360" w:lineRule="auto"/>
        <w:ind w:left="2268"/>
        <w:rPr>
          <w:color w:val="000000" w:themeColor="text1"/>
        </w:rPr>
      </w:pPr>
      <w:r w:rsidRPr="00C377C8">
        <w:rPr>
          <w:color w:val="000000" w:themeColor="text1"/>
          <w:shd w:val="clear" w:color="auto" w:fill="FFFFFF"/>
        </w:rPr>
        <w:t>Liamputtong, P., 2008. </w:t>
      </w:r>
      <w:r w:rsidRPr="00C377C8">
        <w:rPr>
          <w:i/>
          <w:iCs/>
          <w:color w:val="000000" w:themeColor="text1"/>
          <w:shd w:val="clear" w:color="auto" w:fill="FFFFFF"/>
        </w:rPr>
        <w:t>Doing cross-cultural research</w:t>
      </w:r>
      <w:r w:rsidRPr="00C377C8">
        <w:rPr>
          <w:color w:val="000000" w:themeColor="text1"/>
          <w:shd w:val="clear" w:color="auto" w:fill="FFFFFF"/>
        </w:rPr>
        <w:t>. Dordrecht: Springer.</w:t>
      </w:r>
    </w:p>
    <w:p w14:paraId="1FC9992F" w14:textId="77777777" w:rsidR="00FB6B91" w:rsidRPr="00C377C8" w:rsidRDefault="00FB6B91" w:rsidP="00F1408E">
      <w:pPr>
        <w:ind w:left="2268"/>
        <w:rPr>
          <w:rFonts w:ascii="Calibri" w:eastAsia="Calibri" w:hAnsi="Calibri" w:cs="Times New Roman"/>
          <w:color w:val="000000" w:themeColor="text1"/>
        </w:rPr>
      </w:pPr>
      <w:r w:rsidRPr="00C377C8">
        <w:rPr>
          <w:rFonts w:ascii="Open Sans" w:eastAsia="Calibri" w:hAnsi="Open Sans" w:cs="Open Sans"/>
          <w:color w:val="000000" w:themeColor="text1"/>
          <w:sz w:val="20"/>
          <w:szCs w:val="20"/>
          <w:shd w:val="clear" w:color="auto" w:fill="FFFFFF"/>
        </w:rPr>
        <w:t>Liladhar, J., 1998. Talking Difference: On Gender and Language by Mary Crawford, 1995. London: Sage, pp. xiii + 207, ISBN 0 389 8828 I. </w:t>
      </w:r>
      <w:r w:rsidRPr="00C377C8">
        <w:rPr>
          <w:rFonts w:ascii="Open Sans" w:eastAsia="Calibri" w:hAnsi="Open Sans" w:cs="Open Sans"/>
          <w:i/>
          <w:iCs/>
          <w:color w:val="000000" w:themeColor="text1"/>
          <w:sz w:val="20"/>
          <w:szCs w:val="20"/>
          <w:shd w:val="clear" w:color="auto" w:fill="FFFFFF"/>
        </w:rPr>
        <w:t>Language and Literature: International Journal of Stylistics</w:t>
      </w:r>
      <w:r w:rsidRPr="00C377C8">
        <w:rPr>
          <w:rFonts w:ascii="Open Sans" w:eastAsia="Calibri" w:hAnsi="Open Sans" w:cs="Open Sans"/>
          <w:color w:val="000000" w:themeColor="text1"/>
          <w:sz w:val="20"/>
          <w:szCs w:val="20"/>
          <w:shd w:val="clear" w:color="auto" w:fill="FFFFFF"/>
        </w:rPr>
        <w:t>, 7(3), pp.279-282.</w:t>
      </w:r>
    </w:p>
    <w:p w14:paraId="140652F4" w14:textId="77777777" w:rsidR="00FB6B91" w:rsidRPr="00C377C8" w:rsidRDefault="00FB6B91" w:rsidP="00F1408E">
      <w:pPr>
        <w:ind w:left="2268"/>
        <w:jc w:val="both"/>
        <w:rPr>
          <w:rFonts w:ascii="Open Sans" w:eastAsia="Calibri" w:hAnsi="Open Sans" w:cs="Open Sans"/>
          <w:color w:val="000000" w:themeColor="text1"/>
          <w:sz w:val="20"/>
          <w:szCs w:val="20"/>
          <w:shd w:val="clear" w:color="auto" w:fill="FFFFFF"/>
        </w:rPr>
      </w:pPr>
      <w:r w:rsidRPr="00C377C8">
        <w:rPr>
          <w:rFonts w:ascii="Open Sans" w:eastAsia="Calibri" w:hAnsi="Open Sans" w:cs="Open Sans"/>
          <w:color w:val="000000" w:themeColor="text1"/>
          <w:sz w:val="20"/>
          <w:szCs w:val="20"/>
          <w:shd w:val="clear" w:color="auto" w:fill="FFFFFF"/>
        </w:rPr>
        <w:t>Liladhar, J., 1999. Racial Categories: Appearance and Othering. </w:t>
      </w:r>
      <w:r w:rsidRPr="00C377C8">
        <w:rPr>
          <w:rFonts w:ascii="Open Sans" w:eastAsia="Calibri" w:hAnsi="Open Sans" w:cs="Open Sans"/>
          <w:i/>
          <w:iCs/>
          <w:color w:val="000000" w:themeColor="text1"/>
          <w:sz w:val="20"/>
          <w:szCs w:val="20"/>
          <w:shd w:val="clear" w:color="auto" w:fill="FFFFFF"/>
        </w:rPr>
        <w:t>Feminism &amp; Psychology</w:t>
      </w:r>
      <w:r w:rsidRPr="00C377C8">
        <w:rPr>
          <w:rFonts w:ascii="Open Sans" w:eastAsia="Calibri" w:hAnsi="Open Sans" w:cs="Open Sans"/>
          <w:color w:val="000000" w:themeColor="text1"/>
          <w:sz w:val="20"/>
          <w:szCs w:val="20"/>
          <w:shd w:val="clear" w:color="auto" w:fill="FFFFFF"/>
        </w:rPr>
        <w:t>, 9(2), pp.239-242.</w:t>
      </w:r>
    </w:p>
    <w:p w14:paraId="51A91AEE"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Lindsay, J., 2016. </w:t>
      </w:r>
      <w:r w:rsidRPr="00C377C8">
        <w:rPr>
          <w:rStyle w:val="selectable"/>
          <w:i/>
          <w:iCs/>
          <w:color w:val="000000" w:themeColor="text1"/>
        </w:rPr>
        <w:t>The Global Educator</w:t>
      </w:r>
      <w:r w:rsidRPr="00C377C8">
        <w:rPr>
          <w:rStyle w:val="selectable"/>
          <w:color w:val="000000" w:themeColor="text1"/>
        </w:rPr>
        <w:t>. Eugene, Oregon: International Society for Technology in Education.</w:t>
      </w:r>
    </w:p>
    <w:p w14:paraId="5F7AF074"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Lingis, A., 1987. </w:t>
      </w:r>
      <w:r w:rsidRPr="00C377C8">
        <w:rPr>
          <w:rFonts w:eastAsia="Times New Roman"/>
          <w:i/>
          <w:iCs/>
          <w:color w:val="000000" w:themeColor="text1"/>
          <w:lang w:eastAsia="en-GB"/>
        </w:rPr>
        <w:t>Phenomenological explanations</w:t>
      </w:r>
      <w:r w:rsidRPr="00C377C8">
        <w:rPr>
          <w:rFonts w:eastAsia="Times New Roman"/>
          <w:color w:val="000000" w:themeColor="text1"/>
          <w:lang w:eastAsia="en-GB"/>
        </w:rPr>
        <w:t>. Dordrecht: M. Nijhoff</w:t>
      </w:r>
    </w:p>
    <w:p w14:paraId="0A6783BC" w14:textId="77777777" w:rsidR="00FB6B91" w:rsidRPr="00C377C8" w:rsidRDefault="00FB6B91" w:rsidP="00461178">
      <w:pPr>
        <w:spacing w:line="360" w:lineRule="auto"/>
        <w:ind w:left="2268"/>
        <w:rPr>
          <w:rStyle w:val="Strong"/>
          <w:b w:val="0"/>
          <w:bCs w:val="0"/>
          <w:color w:val="000000" w:themeColor="text1"/>
        </w:rPr>
      </w:pPr>
      <w:r w:rsidRPr="00C377C8">
        <w:rPr>
          <w:rStyle w:val="selectable"/>
          <w:color w:val="000000" w:themeColor="text1"/>
        </w:rPr>
        <w:t>Lloyd, L., 2000. </w:t>
      </w:r>
      <w:r w:rsidRPr="00C377C8">
        <w:rPr>
          <w:rStyle w:val="selectable"/>
          <w:i/>
          <w:iCs/>
          <w:color w:val="000000" w:themeColor="text1"/>
        </w:rPr>
        <w:t>Teaching with technology</w:t>
      </w:r>
      <w:r w:rsidRPr="00C377C8">
        <w:rPr>
          <w:rStyle w:val="selectable"/>
          <w:color w:val="000000" w:themeColor="text1"/>
        </w:rPr>
        <w:t>. Medford, NJ: Information Today.</w:t>
      </w:r>
    </w:p>
    <w:p w14:paraId="403584DC" w14:textId="77777777" w:rsidR="00FB6B91" w:rsidRPr="00C377C8" w:rsidRDefault="00FB6B91" w:rsidP="00FB6B91">
      <w:pPr>
        <w:spacing w:line="360" w:lineRule="auto"/>
        <w:ind w:left="2268"/>
        <w:rPr>
          <w:rFonts w:eastAsia="Times New Roman"/>
          <w:color w:val="000000" w:themeColor="text1"/>
          <w:lang w:eastAsia="en-GB"/>
        </w:rPr>
      </w:pPr>
      <w:r w:rsidRPr="00C377C8">
        <w:rPr>
          <w:rFonts w:eastAsia="Times New Roman"/>
          <w:color w:val="000000" w:themeColor="text1"/>
          <w:lang w:eastAsia="en-GB"/>
        </w:rPr>
        <w:t>London: Routledge.</w:t>
      </w:r>
    </w:p>
    <w:p w14:paraId="6036C349"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Long, M., 2015. </w:t>
      </w:r>
      <w:r w:rsidRPr="00C377C8">
        <w:rPr>
          <w:rFonts w:eastAsia="Times New Roman"/>
          <w:i/>
          <w:iCs/>
          <w:color w:val="000000" w:themeColor="text1"/>
          <w:lang w:eastAsia="en-GB"/>
        </w:rPr>
        <w:t>Second language acquisition and task-based language teaching</w:t>
      </w:r>
      <w:r w:rsidRPr="00C377C8">
        <w:rPr>
          <w:rFonts w:eastAsia="Times New Roman"/>
          <w:color w:val="000000" w:themeColor="text1"/>
          <w:lang w:eastAsia="en-GB"/>
        </w:rPr>
        <w:t>. Malden, MA: Wiley-Blackwell.</w:t>
      </w:r>
    </w:p>
    <w:p w14:paraId="2FEEBFC8"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Loosveldt, G., Swyngedouw, M. and Cambré, B., 2007. </w:t>
      </w:r>
      <w:r w:rsidRPr="00C377C8">
        <w:rPr>
          <w:rFonts w:eastAsia="Times New Roman"/>
          <w:i/>
          <w:iCs/>
          <w:color w:val="000000" w:themeColor="text1"/>
          <w:lang w:eastAsia="en-GB"/>
        </w:rPr>
        <w:t>Measuring meaningful data in social research</w:t>
      </w:r>
      <w:r w:rsidRPr="00C377C8">
        <w:rPr>
          <w:rFonts w:eastAsia="Times New Roman"/>
          <w:color w:val="000000" w:themeColor="text1"/>
          <w:lang w:eastAsia="en-GB"/>
        </w:rPr>
        <w:t>. Leuven: Acco.</w:t>
      </w:r>
    </w:p>
    <w:p w14:paraId="75402396" w14:textId="77777777" w:rsidR="00FB6B91" w:rsidRPr="00C377C8" w:rsidRDefault="00FB6B91" w:rsidP="00461178">
      <w:pPr>
        <w:spacing w:line="360" w:lineRule="auto"/>
        <w:ind w:left="2268"/>
        <w:rPr>
          <w:rStyle w:val="Strong"/>
          <w:b w:val="0"/>
          <w:bCs w:val="0"/>
          <w:color w:val="000000" w:themeColor="text1"/>
        </w:rPr>
      </w:pPr>
      <w:r w:rsidRPr="00C377C8">
        <w:rPr>
          <w:rStyle w:val="selectable"/>
          <w:color w:val="000000" w:themeColor="text1"/>
        </w:rPr>
        <w:t>Lovat, T. and Toomey, R., 2009. </w:t>
      </w:r>
      <w:r w:rsidRPr="00C377C8">
        <w:rPr>
          <w:rStyle w:val="selectable"/>
          <w:i/>
          <w:iCs/>
          <w:color w:val="000000" w:themeColor="text1"/>
        </w:rPr>
        <w:t>Values Education and Quality Teaching</w:t>
      </w:r>
      <w:r w:rsidRPr="00C377C8">
        <w:rPr>
          <w:rStyle w:val="selectable"/>
          <w:color w:val="000000" w:themeColor="text1"/>
        </w:rPr>
        <w:t>. Dordrecht: Springer Netherlands.</w:t>
      </w:r>
    </w:p>
    <w:p w14:paraId="38A219B8"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Lucas, B. and Spencer, E., 2018. </w:t>
      </w:r>
      <w:r w:rsidRPr="00C377C8">
        <w:rPr>
          <w:rStyle w:val="selectable"/>
          <w:i/>
          <w:iCs/>
          <w:color w:val="000000" w:themeColor="text1"/>
        </w:rPr>
        <w:t>Teaching Creative Thinking</w:t>
      </w:r>
      <w:r w:rsidRPr="00C377C8">
        <w:rPr>
          <w:rStyle w:val="selectable"/>
          <w:color w:val="000000" w:themeColor="text1"/>
        </w:rPr>
        <w:t>. Carmharten (Wales): Crown House Publishing.</w:t>
      </w:r>
    </w:p>
    <w:p w14:paraId="3DC174CC" w14:textId="77777777" w:rsidR="00FB6B91" w:rsidRPr="00C377C8" w:rsidRDefault="00FB6B91" w:rsidP="00461178">
      <w:pPr>
        <w:spacing w:line="360" w:lineRule="auto"/>
        <w:ind w:left="2268"/>
        <w:rPr>
          <w:rStyle w:val="selectable"/>
          <w:color w:val="000000" w:themeColor="text1"/>
          <w:lang w:val="en-US"/>
        </w:rPr>
      </w:pPr>
      <w:r w:rsidRPr="00C377C8">
        <w:rPr>
          <w:color w:val="000000" w:themeColor="text1"/>
          <w:lang w:val="en-US"/>
        </w:rPr>
        <w:t>Luke, A., Woods, A. and Weir, K., 2013. </w:t>
      </w:r>
      <w:r w:rsidRPr="00C377C8">
        <w:rPr>
          <w:i/>
          <w:iCs/>
          <w:color w:val="000000" w:themeColor="text1"/>
          <w:lang w:val="en-US"/>
        </w:rPr>
        <w:t>Curriculum, syllabus design and equity</w:t>
      </w:r>
      <w:r w:rsidRPr="00C377C8">
        <w:rPr>
          <w:color w:val="000000" w:themeColor="text1"/>
          <w:lang w:val="en-US"/>
        </w:rPr>
        <w:t>. New York: Routledge.</w:t>
      </w:r>
    </w:p>
    <w:p w14:paraId="41AA7E7E"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Lumsden, L., 1997. </w:t>
      </w:r>
      <w:r w:rsidRPr="00C377C8">
        <w:rPr>
          <w:rStyle w:val="selectable"/>
          <w:i/>
          <w:iCs/>
          <w:color w:val="000000" w:themeColor="text1"/>
        </w:rPr>
        <w:t>Expectations for students</w:t>
      </w:r>
      <w:r w:rsidRPr="00C377C8">
        <w:rPr>
          <w:rStyle w:val="selectable"/>
          <w:color w:val="000000" w:themeColor="text1"/>
        </w:rPr>
        <w:t>. [Eugene, Oreg.]: [ERIC Clearinghouse on Educational Management, University of Oregon].</w:t>
      </w:r>
    </w:p>
    <w:p w14:paraId="44C36D15"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Luttrell, W., 2010. </w:t>
      </w:r>
      <w:r w:rsidRPr="00C377C8">
        <w:rPr>
          <w:rStyle w:val="selectable"/>
          <w:i/>
          <w:iCs/>
          <w:color w:val="000000" w:themeColor="text1"/>
        </w:rPr>
        <w:t>Qualitative Educational Research</w:t>
      </w:r>
      <w:r w:rsidRPr="00C377C8">
        <w:rPr>
          <w:rStyle w:val="selectable"/>
          <w:color w:val="000000" w:themeColor="text1"/>
        </w:rPr>
        <w:t>. New York, N.Y.: Routledge.</w:t>
      </w:r>
    </w:p>
    <w:p w14:paraId="183C9925"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Lyon, H., Rogers, C. and Tausch, R., 2014. </w:t>
      </w:r>
      <w:r w:rsidRPr="00C377C8">
        <w:rPr>
          <w:rStyle w:val="selectable"/>
          <w:i/>
          <w:iCs/>
          <w:color w:val="000000" w:themeColor="text1"/>
        </w:rPr>
        <w:t>On becoming an effective teacher</w:t>
      </w:r>
      <w:r w:rsidRPr="00C377C8">
        <w:rPr>
          <w:rStyle w:val="selectable"/>
          <w:color w:val="000000" w:themeColor="text1"/>
        </w:rPr>
        <w:t>. London: Routledge.</w:t>
      </w:r>
    </w:p>
    <w:p w14:paraId="67CBE419"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Lyons, J., 1996. </w:t>
      </w:r>
      <w:r w:rsidRPr="00C377C8">
        <w:rPr>
          <w:rStyle w:val="selectable"/>
          <w:i/>
          <w:iCs/>
          <w:color w:val="000000" w:themeColor="text1"/>
        </w:rPr>
        <w:t>Semantics</w:t>
      </w:r>
      <w:r w:rsidRPr="00C377C8">
        <w:rPr>
          <w:rStyle w:val="selectable"/>
          <w:color w:val="000000" w:themeColor="text1"/>
        </w:rPr>
        <w:t>. Cambridge: Cambridge Univ. Press.</w:t>
      </w:r>
    </w:p>
    <w:p w14:paraId="13FA941D"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Machin, L., 2015. </w:t>
      </w:r>
      <w:r w:rsidRPr="00C377C8">
        <w:rPr>
          <w:rStyle w:val="selectable"/>
          <w:i/>
          <w:iCs/>
          <w:color w:val="000000" w:themeColor="text1"/>
        </w:rPr>
        <w:t>A complete guide to the Level 4 Certificate in Education and Training</w:t>
      </w:r>
      <w:r w:rsidRPr="00C377C8">
        <w:rPr>
          <w:rStyle w:val="selectable"/>
          <w:color w:val="000000" w:themeColor="text1"/>
        </w:rPr>
        <w:t>. Northwich, Cheshire: Critical.</w:t>
      </w:r>
    </w:p>
    <w:p w14:paraId="0F10C7C6"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Mackenzie, N. and Knipe, S., 2006. Research dilemmas: Paradigms, methods and methodology. </w:t>
      </w:r>
      <w:r w:rsidRPr="00C377C8">
        <w:rPr>
          <w:i/>
          <w:iCs/>
          <w:color w:val="000000" w:themeColor="text1"/>
          <w:shd w:val="clear" w:color="auto" w:fill="FFFFFF"/>
        </w:rPr>
        <w:t>Issues In Educational Research</w:t>
      </w:r>
      <w:r w:rsidRPr="00C377C8">
        <w:rPr>
          <w:color w:val="000000" w:themeColor="text1"/>
          <w:shd w:val="clear" w:color="auto" w:fill="FFFFFF"/>
        </w:rPr>
        <w:t>, 16.</w:t>
      </w:r>
    </w:p>
    <w:p w14:paraId="11CCA2FE"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Mack-Kirschner, A. and Bridges, L., 2005. </w:t>
      </w:r>
      <w:r w:rsidRPr="00C377C8">
        <w:rPr>
          <w:rStyle w:val="selectable"/>
          <w:i/>
          <w:iCs/>
          <w:color w:val="000000" w:themeColor="text1"/>
        </w:rPr>
        <w:t>Straight Talk For Today's Teacher</w:t>
      </w:r>
      <w:r w:rsidRPr="00C377C8">
        <w:rPr>
          <w:rStyle w:val="selectable"/>
          <w:color w:val="000000" w:themeColor="text1"/>
        </w:rPr>
        <w:t>. Portsmouth, NH: Heinemann.</w:t>
      </w:r>
    </w:p>
    <w:p w14:paraId="72959641"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MacNaughton, G. and Hughes, P., 2009. </w:t>
      </w:r>
      <w:r w:rsidRPr="00C377C8">
        <w:rPr>
          <w:rFonts w:eastAsia="Times New Roman"/>
          <w:i/>
          <w:iCs/>
          <w:color w:val="000000" w:themeColor="text1"/>
          <w:lang w:eastAsia="en-GB"/>
        </w:rPr>
        <w:t>Doing action research in early childhood studies</w:t>
      </w:r>
      <w:r w:rsidRPr="00C377C8">
        <w:rPr>
          <w:rFonts w:eastAsia="Times New Roman"/>
          <w:color w:val="000000" w:themeColor="text1"/>
          <w:lang w:eastAsia="en-GB"/>
        </w:rPr>
        <w:t>. Maidenhead, Berkshire, England: Open University Press.</w:t>
      </w:r>
    </w:p>
    <w:p w14:paraId="6FB22D5A"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Maguire, B., 2017. There Are No Reasons for Affective Attitudes. </w:t>
      </w:r>
      <w:r w:rsidRPr="00C377C8">
        <w:rPr>
          <w:rStyle w:val="selectable"/>
          <w:i/>
          <w:iCs/>
          <w:color w:val="000000" w:themeColor="text1"/>
        </w:rPr>
        <w:t>Mind</w:t>
      </w:r>
      <w:r w:rsidRPr="00C377C8">
        <w:rPr>
          <w:rStyle w:val="selectable"/>
          <w:color w:val="000000" w:themeColor="text1"/>
        </w:rPr>
        <w:t>, 127(507), pp.779-805.</w:t>
      </w:r>
    </w:p>
    <w:p w14:paraId="2182CBB6" w14:textId="77777777" w:rsidR="00FB6B91" w:rsidRPr="00C377C8" w:rsidRDefault="00FB6B91" w:rsidP="00461178">
      <w:pPr>
        <w:spacing w:line="360" w:lineRule="auto"/>
        <w:ind w:left="2268"/>
        <w:rPr>
          <w:rStyle w:val="selectable"/>
          <w:color w:val="000000" w:themeColor="text1"/>
        </w:rPr>
      </w:pPr>
      <w:r w:rsidRPr="00C377C8">
        <w:rPr>
          <w:rStyle w:val="Strong"/>
          <w:b w:val="0"/>
          <w:color w:val="000000" w:themeColor="text1"/>
        </w:rPr>
        <w:t> </w:t>
      </w:r>
      <w:r w:rsidRPr="00C377C8">
        <w:rPr>
          <w:rStyle w:val="selectable"/>
          <w:color w:val="000000" w:themeColor="text1"/>
        </w:rPr>
        <w:t>Major, C., Harris, M. and Zakrajsek, T., 2019. </w:t>
      </w:r>
      <w:r w:rsidRPr="00C377C8">
        <w:rPr>
          <w:rStyle w:val="selectable"/>
          <w:i/>
          <w:iCs/>
          <w:color w:val="000000" w:themeColor="text1"/>
        </w:rPr>
        <w:t>Teaching for learning</w:t>
      </w:r>
      <w:r w:rsidRPr="00C377C8">
        <w:rPr>
          <w:rStyle w:val="selectable"/>
          <w:color w:val="000000" w:themeColor="text1"/>
        </w:rPr>
        <w:t>. Newyork and London: Routledge.</w:t>
      </w:r>
    </w:p>
    <w:p w14:paraId="31CDBBE4"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Makodia, V., 2009. </w:t>
      </w:r>
      <w:r w:rsidRPr="00C377C8">
        <w:rPr>
          <w:rStyle w:val="selectable"/>
          <w:i/>
          <w:iCs/>
          <w:color w:val="000000" w:themeColor="text1"/>
        </w:rPr>
        <w:t>Role of body language in communication</w:t>
      </w:r>
      <w:r w:rsidRPr="00C377C8">
        <w:rPr>
          <w:rStyle w:val="selectable"/>
          <w:color w:val="000000" w:themeColor="text1"/>
        </w:rPr>
        <w:t>. Jaipur, India: Paradise Publishers.</w:t>
      </w:r>
    </w:p>
    <w:p w14:paraId="3CADEB33"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 xml:space="preserve">Malik, A., </w:t>
      </w:r>
      <w:r w:rsidRPr="00C377C8">
        <w:rPr>
          <w:rStyle w:val="selectable"/>
          <w:i/>
          <w:color w:val="000000" w:themeColor="text1"/>
        </w:rPr>
        <w:t xml:space="preserve">Quran and Charity Work. Khushab: Awan Publications. </w:t>
      </w:r>
    </w:p>
    <w:p w14:paraId="7724E767"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Mamas, C. and Avramidis, E., 2013. Promoting social interaction in the inclusive classroom: Lessons from inclusive schools in England and Cyprus. </w:t>
      </w:r>
      <w:r w:rsidRPr="00C377C8">
        <w:rPr>
          <w:rStyle w:val="selectable"/>
          <w:i/>
          <w:iCs/>
          <w:color w:val="000000" w:themeColor="text1"/>
        </w:rPr>
        <w:t>Learning, Culture and Social Interaction</w:t>
      </w:r>
      <w:r w:rsidRPr="00C377C8">
        <w:rPr>
          <w:rStyle w:val="selectable"/>
          <w:color w:val="000000" w:themeColor="text1"/>
        </w:rPr>
        <w:t>, 2(4), pp.217-226.</w:t>
      </w:r>
    </w:p>
    <w:p w14:paraId="5DCE5F7D"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Manalo, E., 2019. </w:t>
      </w:r>
      <w:r w:rsidRPr="00C377C8">
        <w:rPr>
          <w:rStyle w:val="selectable"/>
          <w:i/>
          <w:iCs/>
          <w:color w:val="000000" w:themeColor="text1"/>
        </w:rPr>
        <w:t>Deeper Learning, Dialogic Learning, And Critical Thinking</w:t>
      </w:r>
      <w:r w:rsidRPr="00C377C8">
        <w:rPr>
          <w:rStyle w:val="selectable"/>
          <w:color w:val="000000" w:themeColor="text1"/>
        </w:rPr>
        <w:t>. Routledge.</w:t>
      </w:r>
    </w:p>
    <w:p w14:paraId="51322F07"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Mansfield, H. and Happs, J., 1992. Using Grade Eight Students' Existing Knowledge to Teach About Parallel Lines. </w:t>
      </w:r>
      <w:r w:rsidRPr="00C377C8">
        <w:rPr>
          <w:rStyle w:val="selectable"/>
          <w:i/>
          <w:iCs/>
          <w:color w:val="000000" w:themeColor="text1"/>
        </w:rPr>
        <w:t>School Science and Mathematics</w:t>
      </w:r>
      <w:r w:rsidRPr="00C377C8">
        <w:rPr>
          <w:rStyle w:val="selectable"/>
          <w:color w:val="000000" w:themeColor="text1"/>
        </w:rPr>
        <w:t>, 92(8), pp.450-454.</w:t>
      </w:r>
    </w:p>
    <w:p w14:paraId="0D42F99C"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Mansilla, V., 2005. Assessing Student Work at Disciplinary Crossroads. </w:t>
      </w:r>
      <w:r w:rsidRPr="00C377C8">
        <w:rPr>
          <w:i/>
          <w:iCs/>
          <w:color w:val="000000" w:themeColor="text1"/>
          <w:shd w:val="clear" w:color="auto" w:fill="FFFFFF"/>
        </w:rPr>
        <w:t>Change: The Magazine of Higher Learning</w:t>
      </w:r>
      <w:r w:rsidRPr="00C377C8">
        <w:rPr>
          <w:color w:val="000000" w:themeColor="text1"/>
          <w:shd w:val="clear" w:color="auto" w:fill="FFFFFF"/>
        </w:rPr>
        <w:t>, 37(1), pp.14-21.</w:t>
      </w:r>
    </w:p>
    <w:p w14:paraId="5D6E95E2" w14:textId="77777777" w:rsidR="00FB6B91" w:rsidRPr="00C377C8" w:rsidRDefault="00FB6B91" w:rsidP="00461178">
      <w:pPr>
        <w:spacing w:line="360" w:lineRule="auto"/>
        <w:ind w:left="2268"/>
        <w:rPr>
          <w:color w:val="000000" w:themeColor="text1"/>
        </w:rPr>
      </w:pPr>
      <w:r w:rsidRPr="00C377C8">
        <w:rPr>
          <w:color w:val="000000" w:themeColor="text1"/>
        </w:rPr>
        <w:t>Marsh, H. W. &amp; Bailey, M., 1993. Multidimensional students' evaluations of teaching Effectiveness, Journal of Higher Education, 64: 1-18.</w:t>
      </w:r>
    </w:p>
    <w:p w14:paraId="7678F27D" w14:textId="77777777" w:rsidR="00FB6B91" w:rsidRPr="00C377C8" w:rsidRDefault="00FB6B91" w:rsidP="00461178">
      <w:pPr>
        <w:spacing w:line="360" w:lineRule="auto"/>
        <w:ind w:left="2268"/>
        <w:rPr>
          <w:color w:val="000000" w:themeColor="text1"/>
          <w:shd w:val="clear" w:color="auto" w:fill="FFFFFF"/>
        </w:rPr>
      </w:pPr>
      <w:r w:rsidRPr="00C377C8">
        <w:rPr>
          <w:rStyle w:val="selectable"/>
          <w:color w:val="000000" w:themeColor="text1"/>
        </w:rPr>
        <w:t>Marsh, J., 2015. </w:t>
      </w:r>
      <w:r w:rsidRPr="00C377C8">
        <w:rPr>
          <w:rStyle w:val="selectable"/>
          <w:i/>
          <w:iCs/>
          <w:color w:val="000000" w:themeColor="text1"/>
        </w:rPr>
        <w:t>Making literacy real - theories and practices for learning and teaching</w:t>
      </w:r>
      <w:r w:rsidRPr="00C377C8">
        <w:rPr>
          <w:rStyle w:val="selectable"/>
          <w:color w:val="000000" w:themeColor="text1"/>
        </w:rPr>
        <w:t>. london: Sage</w:t>
      </w:r>
    </w:p>
    <w:p w14:paraId="18FB9B20"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Marshall, C. and Miles, M. (1999). </w:t>
      </w:r>
      <w:r w:rsidRPr="00C377C8">
        <w:rPr>
          <w:i/>
          <w:iCs/>
          <w:color w:val="000000" w:themeColor="text1"/>
          <w:shd w:val="clear" w:color="auto" w:fill="FFFFFF"/>
        </w:rPr>
        <w:t>Designing qualitative research</w:t>
      </w:r>
      <w:r w:rsidRPr="00C377C8">
        <w:rPr>
          <w:color w:val="000000" w:themeColor="text1"/>
          <w:shd w:val="clear" w:color="auto" w:fill="FFFFFF"/>
        </w:rPr>
        <w:t>. london: Sage Publications.</w:t>
      </w:r>
    </w:p>
    <w:p w14:paraId="077ADBE4"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Marshall, J., 2016. </w:t>
      </w:r>
      <w:r w:rsidRPr="00C377C8">
        <w:rPr>
          <w:rStyle w:val="selectable"/>
          <w:i/>
          <w:iCs/>
          <w:color w:val="000000" w:themeColor="text1"/>
        </w:rPr>
        <w:t>The Highly Effective Teacher</w:t>
      </w:r>
      <w:r w:rsidRPr="00C377C8">
        <w:rPr>
          <w:rStyle w:val="selectable"/>
          <w:color w:val="000000" w:themeColor="text1"/>
        </w:rPr>
        <w:t>. The library of Congress Alexandira.</w:t>
      </w:r>
    </w:p>
    <w:p w14:paraId="0F527553" w14:textId="77777777" w:rsidR="00FB6B91" w:rsidRPr="00C377C8" w:rsidRDefault="00FB6B91" w:rsidP="00461178">
      <w:pPr>
        <w:spacing w:line="360" w:lineRule="auto"/>
        <w:ind w:left="2268"/>
        <w:rPr>
          <w:color w:val="000000" w:themeColor="text1"/>
        </w:rPr>
      </w:pPr>
      <w:r w:rsidRPr="00C377C8">
        <w:rPr>
          <w:color w:val="000000" w:themeColor="text1"/>
        </w:rPr>
        <w:t>Martens, E., Lueckenhausen, G. &amp; McCormack, C., 2004. La Trobe University processes for the assessment of the quality of teaching and learning, Unpublished Discussion Paper. Melbourne: La Trobe University.</w:t>
      </w:r>
    </w:p>
    <w:p w14:paraId="696BAD2B"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Martin-Kniep, G. and Picone-Zocchia, J., 2009. </w:t>
      </w:r>
      <w:r w:rsidRPr="00C377C8">
        <w:rPr>
          <w:rStyle w:val="selectable"/>
          <w:i/>
          <w:iCs/>
          <w:color w:val="000000" w:themeColor="text1"/>
        </w:rPr>
        <w:t>Changing the way you teach, improving the way students learn</w:t>
      </w:r>
      <w:r w:rsidRPr="00C377C8">
        <w:rPr>
          <w:rStyle w:val="selectable"/>
          <w:color w:val="000000" w:themeColor="text1"/>
        </w:rPr>
        <w:t>. Alexandria, Va.: Association for Supervision and Curriculum Development.</w:t>
      </w:r>
    </w:p>
    <w:p w14:paraId="62DF376A"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Marton, F., 1986. Phenomenography - A research approach investigating different understandings of reality. </w:t>
      </w:r>
      <w:r w:rsidRPr="00C377C8">
        <w:rPr>
          <w:i/>
          <w:iCs/>
          <w:color w:val="000000" w:themeColor="text1"/>
          <w:shd w:val="clear" w:color="auto" w:fill="FFFFFF"/>
        </w:rPr>
        <w:t>Journal of Thought</w:t>
      </w:r>
      <w:r w:rsidRPr="00C377C8">
        <w:rPr>
          <w:color w:val="000000" w:themeColor="text1"/>
          <w:shd w:val="clear" w:color="auto" w:fill="FFFFFF"/>
        </w:rPr>
        <w:t>, 21(2), 28-49.</w:t>
      </w:r>
    </w:p>
    <w:p w14:paraId="285DD3D2"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Marton, F., 1992. Phenomenography and “the art of teaching all things to all men'’. </w:t>
      </w:r>
      <w:r w:rsidRPr="00C377C8">
        <w:rPr>
          <w:i/>
          <w:iCs/>
          <w:color w:val="000000" w:themeColor="text1"/>
          <w:shd w:val="clear" w:color="auto" w:fill="FFFFFF"/>
        </w:rPr>
        <w:t>International Journal of Qualitative Studies in Education</w:t>
      </w:r>
      <w:r w:rsidRPr="00C377C8">
        <w:rPr>
          <w:color w:val="000000" w:themeColor="text1"/>
          <w:shd w:val="clear" w:color="auto" w:fill="FFFFFF"/>
        </w:rPr>
        <w:t>, 5(3), pp.253-267.</w:t>
      </w:r>
    </w:p>
    <w:p w14:paraId="3293F1DC"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Masoodi, T., 2007. </w:t>
      </w:r>
      <w:r w:rsidRPr="00C377C8">
        <w:rPr>
          <w:rStyle w:val="selectable"/>
          <w:i/>
          <w:iCs/>
          <w:color w:val="000000" w:themeColor="text1"/>
        </w:rPr>
        <w:t>Al-Ghazali And Iqbal</w:t>
      </w:r>
      <w:r w:rsidRPr="00C377C8">
        <w:rPr>
          <w:rStyle w:val="selectable"/>
          <w:color w:val="000000" w:themeColor="text1"/>
        </w:rPr>
        <w:t>. Srinagar: Iqbal Institute, University of Kashmir.</w:t>
      </w:r>
    </w:p>
    <w:p w14:paraId="70B26534"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Matsushita, K., 2018. </w:t>
      </w:r>
      <w:r w:rsidRPr="00C377C8">
        <w:rPr>
          <w:rStyle w:val="selectable"/>
          <w:i/>
          <w:iCs/>
          <w:color w:val="000000" w:themeColor="text1"/>
        </w:rPr>
        <w:t>Deep Active Learning</w:t>
      </w:r>
      <w:r w:rsidRPr="00C377C8">
        <w:rPr>
          <w:rStyle w:val="selectable"/>
          <w:color w:val="000000" w:themeColor="text1"/>
        </w:rPr>
        <w:t>. Singapore: Springer Singapore.</w:t>
      </w:r>
    </w:p>
    <w:p w14:paraId="06E16565"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Matthews, P., 2000. </w:t>
      </w:r>
      <w:r w:rsidRPr="00C377C8">
        <w:rPr>
          <w:rStyle w:val="selectable"/>
          <w:i/>
          <w:iCs/>
          <w:color w:val="000000" w:themeColor="text1"/>
        </w:rPr>
        <w:t>Syntax</w:t>
      </w:r>
      <w:r w:rsidRPr="00C377C8">
        <w:rPr>
          <w:rStyle w:val="selectable"/>
          <w:color w:val="000000" w:themeColor="text1"/>
        </w:rPr>
        <w:t>. Cambridge: Cambridge Univ. Press.</w:t>
      </w:r>
    </w:p>
    <w:p w14:paraId="0FFB7D94"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Matthews, R. and Lally, J., 2010. </w:t>
      </w:r>
      <w:r w:rsidRPr="00C377C8">
        <w:rPr>
          <w:rStyle w:val="selectable"/>
          <w:i/>
          <w:iCs/>
          <w:color w:val="000000" w:themeColor="text1"/>
        </w:rPr>
        <w:t>The Thinking Teacher's Toolkit</w:t>
      </w:r>
      <w:r w:rsidRPr="00C377C8">
        <w:rPr>
          <w:rStyle w:val="selectable"/>
          <w:color w:val="000000" w:themeColor="text1"/>
        </w:rPr>
        <w:t>. London: Continuum International Pub. Group.</w:t>
      </w:r>
    </w:p>
    <w:p w14:paraId="3E0D5ED9"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Mawdoodi, S., 2019. </w:t>
      </w:r>
      <w:r w:rsidRPr="00C377C8">
        <w:rPr>
          <w:rFonts w:eastAsia="Times New Roman"/>
          <w:i/>
          <w:iCs/>
          <w:color w:val="000000" w:themeColor="text1"/>
          <w:lang w:eastAsia="en-GB"/>
        </w:rPr>
        <w:t>The Holy Quran</w:t>
      </w:r>
      <w:r w:rsidRPr="00C377C8">
        <w:rPr>
          <w:rFonts w:eastAsia="Times New Roman"/>
          <w:color w:val="000000" w:themeColor="text1"/>
          <w:lang w:eastAsia="en-GB"/>
        </w:rPr>
        <w:t>. Lahore: Islamic Publications.</w:t>
      </w:r>
    </w:p>
    <w:p w14:paraId="21FC7AA2" w14:textId="77777777" w:rsidR="00FB6B91" w:rsidRPr="00C377C8" w:rsidRDefault="00FB6B91" w:rsidP="00461178">
      <w:pPr>
        <w:spacing w:line="360" w:lineRule="auto"/>
        <w:ind w:left="2268"/>
        <w:rPr>
          <w:color w:val="000000" w:themeColor="text1"/>
        </w:rPr>
      </w:pPr>
      <w:r w:rsidRPr="00C377C8">
        <w:rPr>
          <w:color w:val="000000" w:themeColor="text1"/>
        </w:rPr>
        <w:t>Mawdūdī, A., Anṣārī, Z. and Muḥammad, 2010. </w:t>
      </w:r>
      <w:r w:rsidRPr="00C377C8">
        <w:rPr>
          <w:i/>
          <w:iCs/>
          <w:color w:val="000000" w:themeColor="text1"/>
        </w:rPr>
        <w:t>Towards Understanding The Qur'ān</w:t>
      </w:r>
      <w:r w:rsidRPr="00C377C8">
        <w:rPr>
          <w:color w:val="000000" w:themeColor="text1"/>
        </w:rPr>
        <w:t>. London: The Islamic Foundation.</w:t>
      </w:r>
    </w:p>
    <w:p w14:paraId="6DF95D7C" w14:textId="77777777" w:rsidR="00FB6B91" w:rsidRPr="00C377C8" w:rsidRDefault="00FB6B91" w:rsidP="00461178">
      <w:pPr>
        <w:spacing w:line="360" w:lineRule="auto"/>
        <w:ind w:left="2268"/>
        <w:rPr>
          <w:rFonts w:eastAsia="Times New Roman"/>
          <w:color w:val="000000" w:themeColor="text1"/>
          <w:shd w:val="clear" w:color="auto" w:fill="FFFFFF"/>
        </w:rPr>
      </w:pPr>
      <w:r w:rsidRPr="00C377C8">
        <w:rPr>
          <w:rFonts w:eastAsia="Times New Roman"/>
          <w:color w:val="000000" w:themeColor="text1"/>
          <w:shd w:val="clear" w:color="auto" w:fill="FFFFFF"/>
        </w:rPr>
        <w:t>Mawdūdī, S. and Ḫān, Č., 2010. </w:t>
      </w:r>
      <w:r w:rsidRPr="00C377C8">
        <w:rPr>
          <w:rFonts w:eastAsia="Times New Roman"/>
          <w:i/>
          <w:iCs/>
          <w:color w:val="000000" w:themeColor="text1"/>
          <w:shd w:val="clear" w:color="auto" w:fill="FFFFFF"/>
        </w:rPr>
        <w:t>Tafhīm-ul-Qur'ān</w:t>
      </w:r>
      <w:r w:rsidRPr="00C377C8">
        <w:rPr>
          <w:rFonts w:eastAsia="Times New Roman"/>
          <w:color w:val="000000" w:themeColor="text1"/>
          <w:shd w:val="clear" w:color="auto" w:fill="FFFFFF"/>
        </w:rPr>
        <w:t>. Lāhaur: Tarğumān al-Qur'ān.</w:t>
      </w:r>
    </w:p>
    <w:p w14:paraId="12844693"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Mawdudi, S., 2019. </w:t>
      </w:r>
      <w:r w:rsidRPr="00C377C8">
        <w:rPr>
          <w:rStyle w:val="selectable"/>
          <w:i/>
          <w:iCs/>
          <w:color w:val="000000" w:themeColor="text1"/>
        </w:rPr>
        <w:t>Towards understanding the qur'an</w:t>
      </w:r>
      <w:r w:rsidRPr="00C377C8">
        <w:rPr>
          <w:rStyle w:val="selectable"/>
          <w:color w:val="000000" w:themeColor="text1"/>
        </w:rPr>
        <w:t>. New York: Kube Publishing Ltd.</w:t>
      </w:r>
    </w:p>
    <w:p w14:paraId="779437DC"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Maxwell, J., 2013. </w:t>
      </w:r>
      <w:r w:rsidRPr="00C377C8">
        <w:rPr>
          <w:i/>
          <w:iCs/>
          <w:color w:val="000000" w:themeColor="text1"/>
          <w:shd w:val="clear" w:color="auto" w:fill="FFFFFF"/>
        </w:rPr>
        <w:t>Qualitative research design</w:t>
      </w:r>
      <w:r w:rsidRPr="00C377C8">
        <w:rPr>
          <w:color w:val="000000" w:themeColor="text1"/>
          <w:shd w:val="clear" w:color="auto" w:fill="FFFFFF"/>
        </w:rPr>
        <w:t>. Thousand Oaks, Calif.: SAGE Publications.</w:t>
      </w:r>
    </w:p>
    <w:p w14:paraId="0C2FF78C"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McAuliffe, J., Milo, T., Badawi, E. and Abdel Haleem, M. (2012). </w:t>
      </w:r>
      <w:r w:rsidRPr="00C377C8">
        <w:rPr>
          <w:rFonts w:eastAsia="Times New Roman"/>
          <w:i/>
          <w:iCs/>
          <w:color w:val="000000" w:themeColor="text1"/>
          <w:lang w:eastAsia="en-GB"/>
        </w:rPr>
        <w:t>Encyclopaedia of the Qur'ān</w:t>
      </w:r>
      <w:r w:rsidRPr="00C377C8">
        <w:rPr>
          <w:rFonts w:eastAsia="Times New Roman"/>
          <w:color w:val="000000" w:themeColor="text1"/>
          <w:lang w:eastAsia="en-GB"/>
        </w:rPr>
        <w:t>. [Leiden, Netherlands]: Brill.</w:t>
      </w:r>
    </w:p>
    <w:p w14:paraId="27387CD1"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McCain, K., 2021. </w:t>
      </w:r>
      <w:r w:rsidRPr="00C377C8">
        <w:rPr>
          <w:rStyle w:val="selectable"/>
          <w:i/>
          <w:iCs/>
          <w:color w:val="000000" w:themeColor="text1"/>
        </w:rPr>
        <w:t>Epistemology</w:t>
      </w:r>
      <w:r w:rsidRPr="00C377C8">
        <w:rPr>
          <w:rStyle w:val="selectable"/>
          <w:color w:val="000000" w:themeColor="text1"/>
        </w:rPr>
        <w:t>. Milton: Taylor &amp; Francis Group.</w:t>
      </w:r>
    </w:p>
    <w:p w14:paraId="3D19384A"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McCall, M., 2000. Performance ethnography: A brief history and some advice. In N. K. Denzin  and Y. S. Lincoln (Eds.), Handbook</w:t>
      </w:r>
    </w:p>
    <w:p w14:paraId="0B914AF9" w14:textId="77777777" w:rsidR="00FB6B91" w:rsidRPr="00C377C8" w:rsidRDefault="00FB6B91" w:rsidP="00F1408E">
      <w:pPr>
        <w:ind w:left="2268"/>
        <w:rPr>
          <w:rFonts w:ascii="Calibri" w:eastAsia="Calibri" w:hAnsi="Calibri" w:cs="Times New Roman"/>
          <w:color w:val="000000" w:themeColor="text1"/>
        </w:rPr>
      </w:pPr>
      <w:r w:rsidRPr="00C377C8">
        <w:rPr>
          <w:rFonts w:ascii="Calibri" w:eastAsia="Calibri" w:hAnsi="Calibri" w:cs="Times New Roman"/>
          <w:color w:val="000000" w:themeColor="text1"/>
        </w:rPr>
        <w:t xml:space="preserve">McCulloh, Mark R, </w:t>
      </w:r>
      <w:r w:rsidRPr="00C377C8">
        <w:rPr>
          <w:rFonts w:ascii="Open Sans" w:eastAsia="Calibri" w:hAnsi="Open Sans" w:cs="Open Sans"/>
          <w:color w:val="000000" w:themeColor="text1"/>
          <w:sz w:val="20"/>
          <w:szCs w:val="20"/>
          <w:shd w:val="clear" w:color="auto" w:fill="FFFFFF"/>
        </w:rPr>
        <w:t>1999. Encyclopaedia of Literary Critics and Criticism. 14(4), pp.15-16.</w:t>
      </w:r>
    </w:p>
    <w:p w14:paraId="5FF5EEFF"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McEwan-Adkins, E. and McEwan-Adkins, E., 2010. </w:t>
      </w:r>
      <w:r w:rsidRPr="00C377C8">
        <w:rPr>
          <w:rStyle w:val="selectable"/>
          <w:i/>
          <w:iCs/>
          <w:color w:val="000000" w:themeColor="text1"/>
        </w:rPr>
        <w:t>10 Traits Of Highly Effective Teachers</w:t>
      </w:r>
      <w:r w:rsidRPr="00C377C8">
        <w:rPr>
          <w:rStyle w:val="selectable"/>
          <w:color w:val="000000" w:themeColor="text1"/>
        </w:rPr>
        <w:t>. Moorabbin, Vic.: Hawker Brownlow Education.</w:t>
      </w:r>
    </w:p>
    <w:p w14:paraId="78DEA3D8"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Mcgovern., 2017. </w:t>
      </w:r>
      <w:r w:rsidRPr="00C377C8">
        <w:rPr>
          <w:rStyle w:val="selectable"/>
          <w:i/>
          <w:iCs/>
          <w:color w:val="000000" w:themeColor="text1"/>
        </w:rPr>
        <w:t>Capturing the Lived Experience</w:t>
      </w:r>
      <w:r w:rsidRPr="00C377C8">
        <w:rPr>
          <w:rStyle w:val="selectable"/>
          <w:color w:val="000000" w:themeColor="text1"/>
        </w:rPr>
        <w:t>. London: Sage Publications Ltd.</w:t>
      </w:r>
    </w:p>
    <w:p w14:paraId="1040954D"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McInerney, D. and Liem, A., 2008. </w:t>
      </w:r>
      <w:r w:rsidRPr="00C377C8">
        <w:rPr>
          <w:rStyle w:val="selectable"/>
          <w:i/>
          <w:iCs/>
          <w:color w:val="000000" w:themeColor="text1"/>
        </w:rPr>
        <w:t>Teaching and learning</w:t>
      </w:r>
      <w:r w:rsidRPr="00C377C8">
        <w:rPr>
          <w:rStyle w:val="selectable"/>
          <w:color w:val="000000" w:themeColor="text1"/>
        </w:rPr>
        <w:t>. Charlotte, N.C.: Information Age Pub.</w:t>
      </w:r>
    </w:p>
    <w:p w14:paraId="18AC59F5"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McKeown, R., 2011. </w:t>
      </w:r>
      <w:r w:rsidRPr="00C377C8">
        <w:rPr>
          <w:rFonts w:eastAsia="Times New Roman"/>
          <w:i/>
          <w:iCs/>
          <w:color w:val="000000" w:themeColor="text1"/>
          <w:lang w:eastAsia="en-GB"/>
        </w:rPr>
        <w:t>Into The Classroom</w:t>
      </w:r>
      <w:r w:rsidRPr="00C377C8">
        <w:rPr>
          <w:rFonts w:eastAsia="Times New Roman"/>
          <w:color w:val="000000" w:themeColor="text1"/>
          <w:lang w:eastAsia="en-GB"/>
        </w:rPr>
        <w:t>. Knoxville: University of Tennessee Press.</w:t>
      </w:r>
    </w:p>
    <w:p w14:paraId="2703BB36" w14:textId="77777777" w:rsidR="00FB6B91" w:rsidRPr="00C377C8" w:rsidRDefault="00FB6B91" w:rsidP="00FB6B91">
      <w:pPr>
        <w:shd w:val="clear" w:color="auto" w:fill="FFFFFF"/>
        <w:spacing w:after="0" w:line="360" w:lineRule="atLeast"/>
        <w:ind w:left="2268" w:hanging="120"/>
        <w:rPr>
          <w:rFonts w:ascii="Open Sans" w:eastAsia="Times New Roman" w:hAnsi="Open Sans" w:cs="Open Sans"/>
          <w:color w:val="000000" w:themeColor="text1"/>
          <w:sz w:val="20"/>
          <w:szCs w:val="20"/>
          <w:lang w:eastAsia="en-GB"/>
        </w:rPr>
      </w:pPr>
      <w:r w:rsidRPr="00C377C8">
        <w:rPr>
          <w:rFonts w:ascii="Open Sans" w:eastAsia="Times New Roman" w:hAnsi="Open Sans" w:cs="Open Sans"/>
          <w:color w:val="000000" w:themeColor="text1"/>
          <w:sz w:val="20"/>
          <w:szCs w:val="20"/>
          <w:lang w:eastAsia="en-GB"/>
        </w:rPr>
        <w:t>McLaren, P. and Kincheloe, J., 2007. </w:t>
      </w:r>
      <w:r w:rsidRPr="00C377C8">
        <w:rPr>
          <w:rFonts w:ascii="Open Sans" w:eastAsia="Times New Roman" w:hAnsi="Open Sans" w:cs="Open Sans"/>
          <w:i/>
          <w:iCs/>
          <w:color w:val="000000" w:themeColor="text1"/>
          <w:sz w:val="20"/>
          <w:szCs w:val="20"/>
          <w:lang w:eastAsia="en-GB"/>
        </w:rPr>
        <w:t>Critical pedagogy</w:t>
      </w:r>
      <w:r w:rsidRPr="00C377C8">
        <w:rPr>
          <w:rFonts w:ascii="Open Sans" w:eastAsia="Times New Roman" w:hAnsi="Open Sans" w:cs="Open Sans"/>
          <w:color w:val="000000" w:themeColor="text1"/>
          <w:sz w:val="20"/>
          <w:szCs w:val="20"/>
          <w:lang w:eastAsia="en-GB"/>
        </w:rPr>
        <w:t>. New York: Peter Lang.</w:t>
      </w:r>
    </w:p>
    <w:p w14:paraId="5531CABA"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McLeod, J. and Reynolds, R., 2007. </w:t>
      </w:r>
      <w:r w:rsidRPr="00C377C8">
        <w:rPr>
          <w:rStyle w:val="selectable"/>
          <w:i/>
          <w:iCs/>
          <w:color w:val="000000" w:themeColor="text1"/>
        </w:rPr>
        <w:t>Quality teaching for quality learning</w:t>
      </w:r>
      <w:r w:rsidRPr="00C377C8">
        <w:rPr>
          <w:rStyle w:val="selectable"/>
          <w:color w:val="000000" w:themeColor="text1"/>
        </w:rPr>
        <w:t>. South Melbourne: Cengage learning.</w:t>
      </w:r>
    </w:p>
    <w:p w14:paraId="723B1FAD"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McMahon, M., Forde, C. and Martin, M., 2011. </w:t>
      </w:r>
      <w:r w:rsidRPr="00C377C8">
        <w:rPr>
          <w:rStyle w:val="selectable"/>
          <w:i/>
          <w:iCs/>
          <w:color w:val="000000" w:themeColor="text1"/>
        </w:rPr>
        <w:t>Contemporary Issues In Learning And Teaching</w:t>
      </w:r>
      <w:r w:rsidRPr="00C377C8">
        <w:rPr>
          <w:rStyle w:val="selectable"/>
          <w:color w:val="000000" w:themeColor="text1"/>
        </w:rPr>
        <w:t>. Los Angeles, Calif.: SAGE.</w:t>
      </w:r>
    </w:p>
    <w:p w14:paraId="613B3571"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McMillan, J., 2012. </w:t>
      </w:r>
      <w:r w:rsidRPr="00C377C8">
        <w:rPr>
          <w:rStyle w:val="selectable"/>
          <w:i/>
          <w:iCs/>
          <w:color w:val="000000" w:themeColor="text1"/>
        </w:rPr>
        <w:t>Educational research</w:t>
      </w:r>
      <w:r w:rsidRPr="00C377C8">
        <w:rPr>
          <w:rStyle w:val="selectable"/>
          <w:color w:val="000000" w:themeColor="text1"/>
        </w:rPr>
        <w:t>. Boston: Pearson.</w:t>
      </w:r>
    </w:p>
    <w:p w14:paraId="377E2B29"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McMillan, K. and Weyers, J., 2013. </w:t>
      </w:r>
      <w:r w:rsidRPr="00C377C8">
        <w:rPr>
          <w:rStyle w:val="selectable"/>
          <w:i/>
          <w:iCs/>
          <w:color w:val="000000" w:themeColor="text1"/>
        </w:rPr>
        <w:t>How to Improve your Critical Thinking &amp; Reflective Skills</w:t>
      </w:r>
      <w:r w:rsidRPr="00C377C8">
        <w:rPr>
          <w:rStyle w:val="selectable"/>
          <w:color w:val="000000" w:themeColor="text1"/>
        </w:rPr>
        <w:t>. London: Pearson Education UK.</w:t>
      </w:r>
    </w:p>
    <w:p w14:paraId="7E4A8813"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McNamee, M. and Bridges, D., 2002. </w:t>
      </w:r>
      <w:r w:rsidRPr="00C377C8">
        <w:rPr>
          <w:rFonts w:eastAsia="Times New Roman"/>
          <w:i/>
          <w:iCs/>
          <w:color w:val="000000" w:themeColor="text1"/>
          <w:lang w:eastAsia="en-GB"/>
        </w:rPr>
        <w:t>The ethics of educational research</w:t>
      </w:r>
      <w:r w:rsidRPr="00C377C8">
        <w:rPr>
          <w:rFonts w:eastAsia="Times New Roman"/>
          <w:color w:val="000000" w:themeColor="text1"/>
          <w:lang w:eastAsia="en-GB"/>
        </w:rPr>
        <w:t>. Oxford: Blackwell.</w:t>
      </w:r>
    </w:p>
    <w:p w14:paraId="0C534C59"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Mead, D. and Beadle, P., 2017. </w:t>
      </w:r>
      <w:r w:rsidRPr="00C377C8">
        <w:rPr>
          <w:rFonts w:eastAsia="Times New Roman"/>
          <w:i/>
          <w:iCs/>
          <w:color w:val="000000" w:themeColor="text1"/>
          <w:lang w:eastAsia="en-GB"/>
        </w:rPr>
        <w:t>The expert teacher</w:t>
      </w:r>
      <w:r w:rsidRPr="00C377C8">
        <w:rPr>
          <w:rFonts w:eastAsia="Times New Roman"/>
          <w:color w:val="000000" w:themeColor="text1"/>
          <w:lang w:eastAsia="en-GB"/>
        </w:rPr>
        <w:t>. London: The Sage Publications.</w:t>
      </w:r>
    </w:p>
    <w:p w14:paraId="72A4A727"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Meltzer, M. and Palau, S., 1996. </w:t>
      </w:r>
      <w:r w:rsidRPr="00C377C8">
        <w:rPr>
          <w:rStyle w:val="selectable"/>
          <w:i/>
          <w:iCs/>
          <w:color w:val="000000" w:themeColor="text1"/>
        </w:rPr>
        <w:t>Acquiring Critical Thinking Skills</w:t>
      </w:r>
      <w:r w:rsidRPr="00C377C8">
        <w:rPr>
          <w:rStyle w:val="selectable"/>
          <w:color w:val="000000" w:themeColor="text1"/>
        </w:rPr>
        <w:t>. Philadelphia: W.B. Saunders Co.</w:t>
      </w:r>
    </w:p>
    <w:p w14:paraId="31AD858B" w14:textId="77777777" w:rsidR="00FB6B91" w:rsidRPr="00C377C8" w:rsidRDefault="00FB6B91" w:rsidP="00461178">
      <w:pPr>
        <w:spacing w:line="360" w:lineRule="auto"/>
        <w:ind w:left="2268"/>
        <w:rPr>
          <w:rFonts w:eastAsia="Times New Roman"/>
          <w:color w:val="000000" w:themeColor="text1"/>
          <w:lang w:eastAsia="en-GB"/>
        </w:rPr>
      </w:pPr>
      <w:r w:rsidRPr="00C377C8">
        <w:rPr>
          <w:rStyle w:val="selectable"/>
          <w:color w:val="000000" w:themeColor="text1"/>
        </w:rPr>
        <w:t>Menan, V., 2014. </w:t>
      </w:r>
      <w:r w:rsidRPr="00C377C8">
        <w:rPr>
          <w:rStyle w:val="selectable"/>
          <w:i/>
          <w:iCs/>
          <w:color w:val="000000" w:themeColor="text1"/>
        </w:rPr>
        <w:t>Phenomenology of practice</w:t>
      </w:r>
      <w:r w:rsidRPr="00C377C8">
        <w:rPr>
          <w:rStyle w:val="selectable"/>
          <w:color w:val="000000" w:themeColor="text1"/>
        </w:rPr>
        <w:t>. Walnut Creek: Left Coast Press.</w:t>
      </w:r>
    </w:p>
    <w:p w14:paraId="68E9016E" w14:textId="77777777" w:rsidR="00FB6B91" w:rsidRPr="00C377C8" w:rsidRDefault="00FB6B91" w:rsidP="00F1408E">
      <w:pPr>
        <w:ind w:left="2268"/>
        <w:rPr>
          <w:rFonts w:ascii="Calibri" w:eastAsia="Calibri" w:hAnsi="Calibri" w:cs="Times New Roman"/>
          <w:color w:val="000000" w:themeColor="text1"/>
        </w:rPr>
      </w:pPr>
      <w:r w:rsidRPr="00C377C8">
        <w:rPr>
          <w:rFonts w:ascii="Open Sans" w:eastAsia="Calibri" w:hAnsi="Open Sans" w:cs="Open Sans"/>
          <w:color w:val="000000" w:themeColor="text1"/>
          <w:sz w:val="20"/>
          <w:szCs w:val="20"/>
          <w:shd w:val="clear" w:color="auto" w:fill="FFFFFF"/>
        </w:rPr>
        <w:t>Mernissi, F. and Lakeland, M., 2004. </w:t>
      </w:r>
      <w:r w:rsidRPr="00C377C8">
        <w:rPr>
          <w:rFonts w:ascii="Open Sans" w:eastAsia="Calibri" w:hAnsi="Open Sans" w:cs="Open Sans"/>
          <w:i/>
          <w:iCs/>
          <w:color w:val="000000" w:themeColor="text1"/>
          <w:sz w:val="20"/>
          <w:szCs w:val="20"/>
          <w:shd w:val="clear" w:color="auto" w:fill="FFFFFF"/>
        </w:rPr>
        <w:t>Women and Islam</w:t>
      </w:r>
      <w:r w:rsidRPr="00C377C8">
        <w:rPr>
          <w:rFonts w:ascii="Open Sans" w:eastAsia="Calibri" w:hAnsi="Open Sans" w:cs="Open Sans"/>
          <w:color w:val="000000" w:themeColor="text1"/>
          <w:sz w:val="20"/>
          <w:szCs w:val="20"/>
          <w:shd w:val="clear" w:color="auto" w:fill="FFFFFF"/>
        </w:rPr>
        <w:t>. New Delhi: Women Unlimited.</w:t>
      </w:r>
    </w:p>
    <w:p w14:paraId="4DE8D44B"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Mernissi, F. and Lakeland, M., 2006. </w:t>
      </w:r>
      <w:r w:rsidRPr="00C377C8">
        <w:rPr>
          <w:rStyle w:val="selectable"/>
          <w:i/>
          <w:iCs/>
          <w:color w:val="000000" w:themeColor="text1"/>
        </w:rPr>
        <w:t>The veil and the male elite</w:t>
      </w:r>
      <w:r w:rsidRPr="00C377C8">
        <w:rPr>
          <w:rStyle w:val="selectable"/>
          <w:color w:val="000000" w:themeColor="text1"/>
        </w:rPr>
        <w:t>. New York: Basic Books.</w:t>
      </w:r>
    </w:p>
    <w:p w14:paraId="78251A55"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Mertens, D. and Ginsberg, P., 2009. </w:t>
      </w:r>
      <w:r w:rsidRPr="00C377C8">
        <w:rPr>
          <w:rStyle w:val="selectable"/>
          <w:i/>
          <w:iCs/>
          <w:color w:val="000000" w:themeColor="text1"/>
        </w:rPr>
        <w:t>The handbook of social research ethics</w:t>
      </w:r>
      <w:r w:rsidRPr="00C377C8">
        <w:rPr>
          <w:rStyle w:val="selectable"/>
          <w:color w:val="000000" w:themeColor="text1"/>
        </w:rPr>
        <w:t>. Los Angeles, CA: Sage Publications.</w:t>
      </w:r>
    </w:p>
    <w:p w14:paraId="42702DF5"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Mertens, D. and Ginsberg, P., 2009. </w:t>
      </w:r>
      <w:r w:rsidRPr="00C377C8">
        <w:rPr>
          <w:rStyle w:val="selectable"/>
          <w:i/>
          <w:iCs/>
          <w:color w:val="000000" w:themeColor="text1"/>
        </w:rPr>
        <w:t>The handbook of social research ethics</w:t>
      </w:r>
      <w:r w:rsidRPr="00C377C8">
        <w:rPr>
          <w:rStyle w:val="selectable"/>
          <w:color w:val="000000" w:themeColor="text1"/>
        </w:rPr>
        <w:t>. Los Angeles, CA: Sage Publications.</w:t>
      </w:r>
    </w:p>
    <w:p w14:paraId="649FEC3D"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Mertens, D., 2009. </w:t>
      </w:r>
      <w:r w:rsidRPr="00C377C8">
        <w:rPr>
          <w:rStyle w:val="selectable"/>
          <w:i/>
          <w:iCs/>
          <w:color w:val="000000" w:themeColor="text1"/>
        </w:rPr>
        <w:t>Research and evaluation in education and psychology</w:t>
      </w:r>
      <w:r w:rsidRPr="00C377C8">
        <w:rPr>
          <w:rStyle w:val="selectable"/>
          <w:color w:val="000000" w:themeColor="text1"/>
        </w:rPr>
        <w:t>. New York, NY: Guilford.</w:t>
      </w:r>
    </w:p>
    <w:p w14:paraId="6636D100"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Mestre, J., 2005. </w:t>
      </w:r>
      <w:r w:rsidRPr="00C377C8">
        <w:rPr>
          <w:rStyle w:val="selectable"/>
          <w:i/>
          <w:iCs/>
          <w:color w:val="000000" w:themeColor="text1"/>
        </w:rPr>
        <w:t>Transfer Of Learning From A Modern Multidisciplinary Perspective</w:t>
      </w:r>
      <w:r w:rsidRPr="00C377C8">
        <w:rPr>
          <w:rStyle w:val="selectable"/>
          <w:color w:val="000000" w:themeColor="text1"/>
        </w:rPr>
        <w:t>. Greenwich, CT: IAP.</w:t>
      </w:r>
    </w:p>
    <w:p w14:paraId="5FFCDBF8"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Middleton, M. and Perks, K., 2016. </w:t>
      </w:r>
      <w:r w:rsidRPr="00C377C8">
        <w:rPr>
          <w:rStyle w:val="selectable"/>
          <w:i/>
          <w:iCs/>
          <w:color w:val="000000" w:themeColor="text1"/>
        </w:rPr>
        <w:t>Motivation to learn</w:t>
      </w:r>
      <w:r w:rsidRPr="00C377C8">
        <w:rPr>
          <w:rStyle w:val="selectable"/>
          <w:color w:val="000000" w:themeColor="text1"/>
        </w:rPr>
        <w:t>. Thousand Oaks, California: Corwin.</w:t>
      </w:r>
    </w:p>
    <w:p w14:paraId="028F9350" w14:textId="77777777" w:rsidR="00FB6B91" w:rsidRPr="00C377C8" w:rsidRDefault="00FB6B91" w:rsidP="00461178">
      <w:pPr>
        <w:spacing w:line="360" w:lineRule="auto"/>
        <w:ind w:left="2268"/>
        <w:rPr>
          <w:rStyle w:val="Strong"/>
          <w:b w:val="0"/>
          <w:bCs w:val="0"/>
          <w:i/>
          <w:color w:val="000000" w:themeColor="text1"/>
        </w:rPr>
      </w:pPr>
      <w:r w:rsidRPr="00C377C8">
        <w:rPr>
          <w:rStyle w:val="Strong"/>
          <w:b w:val="0"/>
          <w:color w:val="000000" w:themeColor="text1"/>
        </w:rPr>
        <w:t>Mieschbuehler</w:t>
      </w:r>
      <w:r w:rsidRPr="00C377C8">
        <w:rPr>
          <w:i/>
          <w:color w:val="000000" w:themeColor="text1"/>
        </w:rPr>
        <w:t>, R</w:t>
      </w:r>
      <w:r w:rsidRPr="00C377C8">
        <w:rPr>
          <w:rStyle w:val="Strong"/>
          <w:color w:val="000000" w:themeColor="text1"/>
        </w:rPr>
        <w:t xml:space="preserve">., </w:t>
      </w:r>
      <w:r w:rsidRPr="00C377C8">
        <w:rPr>
          <w:i/>
          <w:color w:val="000000" w:themeColor="text1"/>
        </w:rPr>
        <w:t xml:space="preserve">2020. How to bring about real equality in higher education, in Bartram, B. Understabnding contemporary issues in Higher Edcation: complexisities and Challenges. </w:t>
      </w:r>
      <w:r w:rsidRPr="00C377C8">
        <w:rPr>
          <w:color w:val="000000" w:themeColor="text1"/>
        </w:rPr>
        <w:t>London and New York: Routledge.</w:t>
      </w:r>
    </w:p>
    <w:p w14:paraId="59130BD9"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 xml:space="preserve">Miftahi, B., Dars-e-Nizami Curriculum: a critical study of Pak-Indo Maddaris. Lahore. Punjab Publications. </w:t>
      </w:r>
    </w:p>
    <w:p w14:paraId="4ABA6EFB" w14:textId="77777777" w:rsidR="00FB6B91" w:rsidRPr="00C377C8" w:rsidRDefault="00FB6B91" w:rsidP="00461178">
      <w:pPr>
        <w:spacing w:line="360" w:lineRule="auto"/>
        <w:ind w:left="2268"/>
        <w:rPr>
          <w:rFonts w:eastAsia="Times New Roman"/>
          <w:color w:val="000000" w:themeColor="text1"/>
          <w:shd w:val="clear" w:color="auto" w:fill="FFFFFF"/>
        </w:rPr>
      </w:pPr>
      <w:r w:rsidRPr="00C377C8">
        <w:rPr>
          <w:rStyle w:val="selectable"/>
          <w:color w:val="000000" w:themeColor="text1"/>
        </w:rPr>
        <w:t>Miller, A., 2003. </w:t>
      </w:r>
      <w:r w:rsidRPr="00C377C8">
        <w:rPr>
          <w:rStyle w:val="selectable"/>
          <w:i/>
          <w:iCs/>
          <w:color w:val="000000" w:themeColor="text1"/>
        </w:rPr>
        <w:t>Teachers, parents and classroom behaviour</w:t>
      </w:r>
      <w:r w:rsidRPr="00C377C8">
        <w:rPr>
          <w:rStyle w:val="selectable"/>
          <w:color w:val="000000" w:themeColor="text1"/>
        </w:rPr>
        <w:t>. Buckingham: Open University Pres</w:t>
      </w:r>
      <w:r w:rsidRPr="00C377C8">
        <w:rPr>
          <w:rFonts w:eastAsia="Times New Roman"/>
          <w:color w:val="000000" w:themeColor="text1"/>
          <w:shd w:val="clear" w:color="auto" w:fill="FFFFFF"/>
        </w:rPr>
        <w:t>.</w:t>
      </w:r>
    </w:p>
    <w:p w14:paraId="6D407A48"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Miller, J. and Tewksbury, R., 2001. </w:t>
      </w:r>
      <w:r w:rsidRPr="00C377C8">
        <w:rPr>
          <w:i/>
          <w:iCs/>
          <w:color w:val="000000" w:themeColor="text1"/>
          <w:shd w:val="clear" w:color="auto" w:fill="FFFFFF"/>
        </w:rPr>
        <w:t>Extreme methods</w:t>
      </w:r>
      <w:r w:rsidRPr="00C377C8">
        <w:rPr>
          <w:color w:val="000000" w:themeColor="text1"/>
          <w:shd w:val="clear" w:color="auto" w:fill="FFFFFF"/>
        </w:rPr>
        <w:t>. Boston, mass.: Allyn and Bacon.</w:t>
      </w:r>
    </w:p>
    <w:p w14:paraId="5DA019F6" w14:textId="77777777" w:rsidR="00FB6B91" w:rsidRPr="00C377C8" w:rsidRDefault="00FB6B91" w:rsidP="00461178">
      <w:pPr>
        <w:spacing w:line="360" w:lineRule="auto"/>
        <w:ind w:left="2268"/>
        <w:rPr>
          <w:color w:val="000000" w:themeColor="text1"/>
        </w:rPr>
      </w:pPr>
      <w:r w:rsidRPr="00C377C8">
        <w:rPr>
          <w:color w:val="000000" w:themeColor="text1"/>
        </w:rPr>
        <w:t>Miller, T., 2012. </w:t>
      </w:r>
      <w:r w:rsidRPr="00C377C8">
        <w:rPr>
          <w:i/>
          <w:iCs/>
          <w:color w:val="000000" w:themeColor="text1"/>
        </w:rPr>
        <w:t>Ethics In Qualitative Research</w:t>
      </w:r>
      <w:r w:rsidRPr="00C377C8">
        <w:rPr>
          <w:color w:val="000000" w:themeColor="text1"/>
        </w:rPr>
        <w:t>. Los Angeles, Calif.: London.</w:t>
      </w:r>
    </w:p>
    <w:p w14:paraId="6210CB4E"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Millie, A., 2009. </w:t>
      </w:r>
      <w:r w:rsidRPr="00C377C8">
        <w:rPr>
          <w:rStyle w:val="selectable"/>
          <w:i/>
          <w:iCs/>
          <w:color w:val="000000" w:themeColor="text1"/>
        </w:rPr>
        <w:t>Securing Respect</w:t>
      </w:r>
      <w:r w:rsidRPr="00C377C8">
        <w:rPr>
          <w:rStyle w:val="selectable"/>
          <w:color w:val="000000" w:themeColor="text1"/>
        </w:rPr>
        <w:t>. Bristol, UK: Policy Press.</w:t>
      </w:r>
    </w:p>
    <w:p w14:paraId="3954607A"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Mir, M., 2011. </w:t>
      </w:r>
      <w:r w:rsidRPr="00C377C8">
        <w:rPr>
          <w:rFonts w:eastAsia="Times New Roman"/>
          <w:i/>
          <w:iCs/>
          <w:color w:val="000000" w:themeColor="text1"/>
          <w:lang w:eastAsia="en-GB"/>
        </w:rPr>
        <w:t>Coherence in the Qurʼān</w:t>
      </w:r>
      <w:r w:rsidRPr="00C377C8">
        <w:rPr>
          <w:rFonts w:eastAsia="Times New Roman"/>
          <w:color w:val="000000" w:themeColor="text1"/>
          <w:lang w:eastAsia="en-GB"/>
        </w:rPr>
        <w:t>. Kuala Lumpur: Islamic Boojk Trust.</w:t>
      </w:r>
    </w:p>
    <w:p w14:paraId="75060CCC"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Mishra, R., 2009. </w:t>
      </w:r>
      <w:r w:rsidRPr="00C377C8">
        <w:rPr>
          <w:rStyle w:val="selectable"/>
          <w:i/>
          <w:iCs/>
          <w:color w:val="000000" w:themeColor="text1"/>
        </w:rPr>
        <w:t>Lesson planning</w:t>
      </w:r>
      <w:r w:rsidRPr="00C377C8">
        <w:rPr>
          <w:rStyle w:val="selectable"/>
          <w:color w:val="000000" w:themeColor="text1"/>
        </w:rPr>
        <w:t>. New Delhi, India: A.P.H. Pub. Corp.</w:t>
      </w:r>
    </w:p>
    <w:p w14:paraId="0425DE35" w14:textId="77777777" w:rsidR="00FB6B91" w:rsidRPr="00C377C8" w:rsidRDefault="00FB6B91" w:rsidP="00461178">
      <w:pPr>
        <w:spacing w:line="360" w:lineRule="auto"/>
        <w:ind w:left="2268"/>
        <w:rPr>
          <w:rFonts w:eastAsia="Times New Roman"/>
          <w:color w:val="000000" w:themeColor="text1"/>
          <w:lang w:eastAsia="en-GB"/>
        </w:rPr>
      </w:pPr>
      <w:r w:rsidRPr="00C377C8">
        <w:rPr>
          <w:rStyle w:val="selectable"/>
          <w:color w:val="000000" w:themeColor="text1"/>
        </w:rPr>
        <w:t>Mitchell, D., 2012. </w:t>
      </w:r>
      <w:r w:rsidRPr="00C377C8">
        <w:rPr>
          <w:rStyle w:val="selectable"/>
          <w:i/>
          <w:iCs/>
          <w:color w:val="000000" w:themeColor="text1"/>
        </w:rPr>
        <w:t>Everyday Phenomenology</w:t>
      </w:r>
      <w:r w:rsidRPr="00C377C8">
        <w:rPr>
          <w:rStyle w:val="selectable"/>
          <w:color w:val="000000" w:themeColor="text1"/>
        </w:rPr>
        <w:t>. Newcastle upon Tyne: Cambridge Scholars Pub.</w:t>
      </w:r>
    </w:p>
    <w:p w14:paraId="3BCA408A"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Mitchell, M. and Jolley, J., 2013. </w:t>
      </w:r>
      <w:r w:rsidRPr="00C377C8">
        <w:rPr>
          <w:rStyle w:val="selectable"/>
          <w:i/>
          <w:iCs/>
          <w:color w:val="000000" w:themeColor="text1"/>
        </w:rPr>
        <w:t>Research Design Explained</w:t>
      </w:r>
      <w:r w:rsidRPr="00C377C8">
        <w:rPr>
          <w:rStyle w:val="selectable"/>
          <w:color w:val="000000" w:themeColor="text1"/>
        </w:rPr>
        <w:t>. Belmont, Calif.: Wadsworth Cengage Learning.</w:t>
      </w:r>
    </w:p>
    <w:p w14:paraId="591ACB31" w14:textId="77777777" w:rsidR="00FB6B91" w:rsidRPr="00C377C8" w:rsidRDefault="00FB6B91" w:rsidP="00461178">
      <w:pPr>
        <w:spacing w:line="360" w:lineRule="auto"/>
        <w:ind w:left="2268"/>
        <w:rPr>
          <w:color w:val="000000" w:themeColor="text1"/>
        </w:rPr>
      </w:pPr>
      <w:r w:rsidRPr="00C377C8">
        <w:rPr>
          <w:color w:val="000000" w:themeColor="text1"/>
          <w:shd w:val="clear" w:color="auto" w:fill="FFFFFF"/>
        </w:rPr>
        <w:t>Miyata, H. and Kai, I., 2009. Reconsidering Evaluation Criteria for Scientific Adequacy in Health Care Research: An Integrative Framework of Quantitative and Qualitative Criteria. </w:t>
      </w:r>
      <w:r w:rsidRPr="00C377C8">
        <w:rPr>
          <w:i/>
          <w:iCs/>
          <w:color w:val="000000" w:themeColor="text1"/>
          <w:shd w:val="clear" w:color="auto" w:fill="FFFFFF"/>
        </w:rPr>
        <w:t>International Journal of Qualitative Methods</w:t>
      </w:r>
      <w:r w:rsidRPr="00C377C8">
        <w:rPr>
          <w:color w:val="000000" w:themeColor="text1"/>
          <w:shd w:val="clear" w:color="auto" w:fill="FFFFFF"/>
        </w:rPr>
        <w:t>, 8(1), pp.64-75.</w:t>
      </w:r>
    </w:p>
    <w:p w14:paraId="73F20791"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Mngnadi, a., 2018. </w:t>
      </w:r>
      <w:r w:rsidRPr="00C377C8">
        <w:rPr>
          <w:rStyle w:val="selectable"/>
          <w:i/>
          <w:iCs/>
          <w:color w:val="000000" w:themeColor="text1"/>
        </w:rPr>
        <w:t>The Role of Theory in Research and Practice</w:t>
      </w:r>
      <w:r w:rsidRPr="00C377C8">
        <w:rPr>
          <w:rStyle w:val="selectable"/>
          <w:color w:val="000000" w:themeColor="text1"/>
        </w:rPr>
        <w:t>. VERLAg: GRIN.</w:t>
      </w:r>
    </w:p>
    <w:p w14:paraId="27192DAE" w14:textId="77777777" w:rsidR="00FB6B91" w:rsidRPr="00C377C8" w:rsidRDefault="00FB6B91" w:rsidP="00461178">
      <w:pPr>
        <w:spacing w:line="360" w:lineRule="auto"/>
        <w:ind w:left="2268"/>
        <w:rPr>
          <w:rStyle w:val="selectable"/>
          <w:i/>
          <w:color w:val="000000" w:themeColor="text1"/>
        </w:rPr>
      </w:pPr>
      <w:r w:rsidRPr="00C377C8">
        <w:rPr>
          <w:rStyle w:val="selectable"/>
          <w:color w:val="000000" w:themeColor="text1"/>
        </w:rPr>
        <w:t>Mo, X., 2021.</w:t>
      </w:r>
      <w:r w:rsidRPr="00C377C8">
        <w:rPr>
          <w:rStyle w:val="selectable"/>
          <w:i/>
          <w:color w:val="000000" w:themeColor="text1"/>
        </w:rPr>
        <w:t xml:space="preserve"> Teaching reading and teacher beliefs </w:t>
      </w:r>
      <w:r w:rsidRPr="00C377C8">
        <w:rPr>
          <w:rStyle w:val="selectable"/>
          <w:color w:val="000000" w:themeColor="text1"/>
        </w:rPr>
        <w:t>Copenhagen: Springer.</w:t>
      </w:r>
    </w:p>
    <w:p w14:paraId="0BFA2430"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Mocorro, R., 2017. Pilot Study, The First Step in Research. </w:t>
      </w:r>
      <w:r w:rsidRPr="00C377C8">
        <w:rPr>
          <w:rStyle w:val="selectable"/>
          <w:i/>
          <w:iCs/>
          <w:color w:val="000000" w:themeColor="text1"/>
        </w:rPr>
        <w:t>International Journal of Science and Research (IJSR)</w:t>
      </w:r>
      <w:r w:rsidRPr="00C377C8">
        <w:rPr>
          <w:rStyle w:val="selectable"/>
          <w:color w:val="000000" w:themeColor="text1"/>
        </w:rPr>
        <w:t>, 6(12), pp.864-866.</w:t>
      </w:r>
    </w:p>
    <w:p w14:paraId="164AECDA"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 xml:space="preserve">Mohammad, Q., 2019. </w:t>
      </w:r>
      <w:r w:rsidRPr="00C377C8">
        <w:rPr>
          <w:i/>
          <w:color w:val="000000" w:themeColor="text1"/>
          <w:shd w:val="clear" w:color="auto" w:fill="FFFFFF"/>
        </w:rPr>
        <w:t>Quranic Encyclopaedia</w:t>
      </w:r>
      <w:r w:rsidRPr="00C377C8">
        <w:rPr>
          <w:color w:val="000000" w:themeColor="text1"/>
          <w:shd w:val="clear" w:color="auto" w:fill="FFFFFF"/>
        </w:rPr>
        <w:t xml:space="preserve">. Manchester: Minhaj Publications. </w:t>
      </w:r>
    </w:p>
    <w:p w14:paraId="536D2F80"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Moj, M., 2015. </w:t>
      </w:r>
      <w:r w:rsidRPr="00C377C8">
        <w:rPr>
          <w:rStyle w:val="selectable"/>
          <w:i/>
          <w:iCs/>
          <w:color w:val="000000" w:themeColor="text1"/>
        </w:rPr>
        <w:t>The Deoband Madrassah movement</w:t>
      </w:r>
      <w:r w:rsidRPr="00C377C8">
        <w:rPr>
          <w:rStyle w:val="selectable"/>
          <w:color w:val="000000" w:themeColor="text1"/>
        </w:rPr>
        <w:t>. London: Anthem Press.</w:t>
      </w:r>
    </w:p>
    <w:p w14:paraId="1EC42635"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Moore, B. and Parker, R., 2007. </w:t>
      </w:r>
      <w:r w:rsidRPr="00C377C8">
        <w:rPr>
          <w:rStyle w:val="selectable"/>
          <w:i/>
          <w:iCs/>
          <w:color w:val="000000" w:themeColor="text1"/>
        </w:rPr>
        <w:t>Critical Thinking</w:t>
      </w:r>
      <w:r w:rsidRPr="00C377C8">
        <w:rPr>
          <w:rStyle w:val="selectable"/>
          <w:color w:val="000000" w:themeColor="text1"/>
        </w:rPr>
        <w:t>. Boston: McGraw Hill.</w:t>
      </w:r>
    </w:p>
    <w:p w14:paraId="65FA7786" w14:textId="77777777" w:rsidR="00FB6B91" w:rsidRPr="00C377C8" w:rsidRDefault="00FB6B91" w:rsidP="00461178">
      <w:pPr>
        <w:spacing w:line="360" w:lineRule="auto"/>
        <w:ind w:left="2268"/>
        <w:rPr>
          <w:rStyle w:val="selectable"/>
          <w:color w:val="000000" w:themeColor="text1"/>
        </w:rPr>
      </w:pPr>
      <w:r w:rsidRPr="00C377C8">
        <w:rPr>
          <w:color w:val="000000" w:themeColor="text1"/>
          <w:shd w:val="clear" w:color="auto" w:fill="FFFFFF"/>
        </w:rPr>
        <w:t>Moosa, E., 2015. </w:t>
      </w:r>
      <w:r w:rsidRPr="00C377C8">
        <w:rPr>
          <w:i/>
          <w:iCs/>
          <w:color w:val="000000" w:themeColor="text1"/>
          <w:shd w:val="clear" w:color="auto" w:fill="FFFFFF"/>
        </w:rPr>
        <w:t>What is a Madrassah</w:t>
      </w:r>
      <w:r w:rsidRPr="00C377C8">
        <w:rPr>
          <w:color w:val="000000" w:themeColor="text1"/>
          <w:shd w:val="clear" w:color="auto" w:fill="FFFFFF"/>
        </w:rPr>
        <w:t>. North Carolina: University of North Carolina.</w:t>
      </w:r>
    </w:p>
    <w:p w14:paraId="54C83954" w14:textId="77777777" w:rsidR="00FB6B91" w:rsidRPr="00C377C8" w:rsidRDefault="00FB6B91" w:rsidP="00F1408E">
      <w:pPr>
        <w:shd w:val="clear" w:color="auto" w:fill="FFFFFF"/>
        <w:spacing w:before="100" w:beforeAutospacing="1" w:after="90" w:line="240" w:lineRule="auto"/>
        <w:ind w:left="2268"/>
        <w:rPr>
          <w:rFonts w:ascii="Lato" w:eastAsia="Calibri" w:hAnsi="Lato" w:cs="Times New Roman"/>
          <w:color w:val="000000" w:themeColor="text1"/>
          <w:shd w:val="clear" w:color="auto" w:fill="FFFFFF"/>
        </w:rPr>
      </w:pPr>
      <w:r w:rsidRPr="00C377C8">
        <w:rPr>
          <w:rFonts w:ascii="Lato" w:eastAsia="Calibri" w:hAnsi="Lato" w:cs="Times New Roman"/>
          <w:color w:val="000000" w:themeColor="text1"/>
          <w:shd w:val="clear" w:color="auto" w:fill="FFFFFF"/>
        </w:rPr>
        <w:t xml:space="preserve">Morgan, D. 2017. Re: What is the difference between constructivism, critical realism and phenomenology?, Retrieved from: </w:t>
      </w:r>
      <w:hyperlink r:id="rId24" w:history="1">
        <w:r w:rsidRPr="00C377C8">
          <w:rPr>
            <w:rFonts w:ascii="Lato" w:eastAsia="Calibri" w:hAnsi="Lato" w:cs="Times New Roman"/>
            <w:color w:val="000000" w:themeColor="text1"/>
            <w:u w:val="single"/>
            <w:shd w:val="clear" w:color="auto" w:fill="FFFFFF"/>
          </w:rPr>
          <w:t>https://www.researchgate.net/post/What-is-the-difference-between-constructivism-critical-realism-and-phenomenlogy/59fa26a7f7b67e48c1092c2f/citation/download</w:t>
        </w:r>
      </w:hyperlink>
      <w:r w:rsidRPr="00C377C8">
        <w:rPr>
          <w:rFonts w:ascii="Lato" w:eastAsia="Calibri" w:hAnsi="Lato" w:cs="Times New Roman"/>
          <w:color w:val="000000" w:themeColor="text1"/>
          <w:shd w:val="clear" w:color="auto" w:fill="FFFFFF"/>
        </w:rPr>
        <w:t>.</w:t>
      </w:r>
      <w:r w:rsidRPr="00C377C8">
        <w:rPr>
          <w:rFonts w:ascii="Open Sans" w:eastAsia="Calibri" w:hAnsi="Open Sans" w:cs="Open Sans"/>
          <w:color w:val="000000" w:themeColor="text1"/>
          <w:sz w:val="20"/>
          <w:szCs w:val="20"/>
          <w:shd w:val="clear" w:color="auto" w:fill="FFFFFF"/>
        </w:rPr>
        <w:t xml:space="preserve">  [Accessed 3 January 2022].</w:t>
      </w:r>
    </w:p>
    <w:p w14:paraId="204C29B4" w14:textId="77777777" w:rsidR="00FB6B91" w:rsidRPr="00C377C8" w:rsidRDefault="00FB6B91" w:rsidP="00461178">
      <w:pPr>
        <w:spacing w:line="360" w:lineRule="auto"/>
        <w:ind w:left="2268"/>
        <w:rPr>
          <w:color w:val="000000" w:themeColor="text1"/>
          <w:lang w:val="en-US"/>
        </w:rPr>
      </w:pPr>
      <w:r w:rsidRPr="00C377C8">
        <w:rPr>
          <w:color w:val="000000" w:themeColor="text1"/>
          <w:lang w:val="en-US"/>
        </w:rPr>
        <w:t>Morse, J., 2015. Building Validity in Qualitative Inquiry. </w:t>
      </w:r>
      <w:r w:rsidRPr="00C377C8">
        <w:rPr>
          <w:i/>
          <w:iCs/>
          <w:color w:val="000000" w:themeColor="text1"/>
          <w:lang w:val="en-US"/>
        </w:rPr>
        <w:t>Qualitative Research</w:t>
      </w:r>
      <w:r w:rsidRPr="00C377C8">
        <w:rPr>
          <w:color w:val="000000" w:themeColor="text1"/>
          <w:lang w:val="en-US"/>
        </w:rPr>
        <w:t>, 16(1), pp.1-11.</w:t>
      </w:r>
    </w:p>
    <w:p w14:paraId="24E89E3B"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Moskal, P., 2017. Evaluating the Outcomes and Impact of Hybrid Courses. </w:t>
      </w:r>
      <w:r w:rsidRPr="00C377C8">
        <w:rPr>
          <w:rStyle w:val="selectable"/>
          <w:i/>
          <w:iCs/>
          <w:color w:val="000000" w:themeColor="text1"/>
        </w:rPr>
        <w:t>New Directions for Teaching and Learning</w:t>
      </w:r>
      <w:r w:rsidRPr="00C377C8">
        <w:rPr>
          <w:rStyle w:val="selectable"/>
          <w:color w:val="000000" w:themeColor="text1"/>
        </w:rPr>
        <w:t>, 2017(149), pp.19-26.</w:t>
      </w:r>
    </w:p>
    <w:p w14:paraId="0B0B0DFC"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Mouly, G. and Mouly, G.,1973. </w:t>
      </w:r>
      <w:r w:rsidRPr="00C377C8">
        <w:rPr>
          <w:rStyle w:val="selectable"/>
          <w:i/>
          <w:iCs/>
          <w:color w:val="000000" w:themeColor="text1"/>
        </w:rPr>
        <w:t>Psychology for effective teaching</w:t>
      </w:r>
      <w:r w:rsidRPr="00C377C8">
        <w:rPr>
          <w:rStyle w:val="selectable"/>
          <w:color w:val="000000" w:themeColor="text1"/>
        </w:rPr>
        <w:t>. New York: Holt Rinehart and Winston.</w:t>
      </w:r>
    </w:p>
    <w:p w14:paraId="42243A23" w14:textId="77777777" w:rsidR="00FB6B91" w:rsidRPr="00C377C8" w:rsidRDefault="00FB6B91" w:rsidP="00461178">
      <w:pPr>
        <w:spacing w:line="360" w:lineRule="auto"/>
        <w:ind w:left="2268"/>
        <w:rPr>
          <w:rStyle w:val="selectable"/>
          <w:color w:val="000000" w:themeColor="text1"/>
        </w:rPr>
      </w:pPr>
      <w:r w:rsidRPr="00C377C8">
        <w:rPr>
          <w:color w:val="000000" w:themeColor="text1"/>
        </w:rPr>
        <w:t>Moustakas, C., 1995. </w:t>
      </w:r>
      <w:r w:rsidRPr="00C377C8">
        <w:rPr>
          <w:i/>
          <w:iCs/>
          <w:color w:val="000000" w:themeColor="text1"/>
        </w:rPr>
        <w:t>Phenomenological Research Methods</w:t>
      </w:r>
      <w:r w:rsidRPr="00C377C8">
        <w:rPr>
          <w:color w:val="000000" w:themeColor="text1"/>
        </w:rPr>
        <w:t>. Thousand Oaks: Sage Publications.</w:t>
      </w:r>
    </w:p>
    <w:p w14:paraId="02D73666"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Muhammad, A., 2002. The Prophet Muhammad as a Teacher: implications for Hadith literature. </w:t>
      </w:r>
      <w:r w:rsidRPr="00C377C8">
        <w:rPr>
          <w:rStyle w:val="selectable"/>
          <w:i/>
          <w:iCs/>
          <w:color w:val="000000" w:themeColor="text1"/>
        </w:rPr>
        <w:t>Islamic Quarely</w:t>
      </w:r>
      <w:r w:rsidRPr="00C377C8">
        <w:rPr>
          <w:rStyle w:val="selectable"/>
          <w:color w:val="000000" w:themeColor="text1"/>
        </w:rPr>
        <w:t>, 46(2), pp.121-137.</w:t>
      </w:r>
    </w:p>
    <w:p w14:paraId="154E86D4"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 xml:space="preserve">Muhammad, K.S., 1992 </w:t>
      </w:r>
      <w:r w:rsidRPr="00C377C8">
        <w:rPr>
          <w:i/>
          <w:color w:val="000000" w:themeColor="text1"/>
          <w:shd w:val="clear" w:color="auto" w:fill="FFFFFF"/>
        </w:rPr>
        <w:t xml:space="preserve">Zia ul Quran. </w:t>
      </w:r>
      <w:r w:rsidRPr="00C377C8">
        <w:rPr>
          <w:color w:val="000000" w:themeColor="text1"/>
          <w:shd w:val="clear" w:color="auto" w:fill="FFFFFF"/>
        </w:rPr>
        <w:t>Lahore: Zia ul Quran Publications.</w:t>
      </w:r>
    </w:p>
    <w:p w14:paraId="00972719"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Muijs, D. and Reynolds, D., 2019. </w:t>
      </w:r>
      <w:r w:rsidRPr="00C377C8">
        <w:rPr>
          <w:rStyle w:val="selectable"/>
          <w:i/>
          <w:iCs/>
          <w:color w:val="000000" w:themeColor="text1"/>
        </w:rPr>
        <w:t>Effective teaching</w:t>
      </w:r>
      <w:r w:rsidRPr="00C377C8">
        <w:rPr>
          <w:rStyle w:val="selectable"/>
          <w:color w:val="000000" w:themeColor="text1"/>
        </w:rPr>
        <w:t>. London: Sage Publications.</w:t>
      </w:r>
    </w:p>
    <w:p w14:paraId="41C3976A"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Mullany, J., 1908. </w:t>
      </w:r>
      <w:r w:rsidRPr="00C377C8">
        <w:rPr>
          <w:rStyle w:val="selectable"/>
          <w:i/>
          <w:iCs/>
          <w:color w:val="000000" w:themeColor="text1"/>
        </w:rPr>
        <w:t>Bible studies</w:t>
      </w:r>
      <w:r w:rsidRPr="00C377C8">
        <w:rPr>
          <w:rStyle w:val="selectable"/>
          <w:color w:val="000000" w:themeColor="text1"/>
        </w:rPr>
        <w:t>. Syracuse, N.Y.: The Mason-Henry Press.</w:t>
      </w:r>
    </w:p>
    <w:p w14:paraId="0794933B"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Munday, J., 2004. </w:t>
      </w:r>
      <w:r w:rsidRPr="00C377C8">
        <w:rPr>
          <w:i/>
          <w:iCs/>
          <w:color w:val="000000" w:themeColor="text1"/>
          <w:shd w:val="clear" w:color="auto" w:fill="FFFFFF"/>
        </w:rPr>
        <w:t>Introducing Translation Studies</w:t>
      </w:r>
      <w:r w:rsidRPr="00C377C8">
        <w:rPr>
          <w:color w:val="000000" w:themeColor="text1"/>
          <w:shd w:val="clear" w:color="auto" w:fill="FFFFFF"/>
        </w:rPr>
        <w:t>. london: Routledge.</w:t>
      </w:r>
    </w:p>
    <w:p w14:paraId="69E0F594"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 xml:space="preserve">Musharaf, H., </w:t>
      </w:r>
      <w:r w:rsidRPr="00C377C8">
        <w:rPr>
          <w:i/>
          <w:color w:val="000000" w:themeColor="text1"/>
          <w:shd w:val="clear" w:color="auto" w:fill="FFFFFF"/>
        </w:rPr>
        <w:t xml:space="preserve">The Majestic Quran. </w:t>
      </w:r>
      <w:r w:rsidRPr="00C377C8">
        <w:rPr>
          <w:color w:val="000000" w:themeColor="text1"/>
          <w:shd w:val="clear" w:color="auto" w:fill="FFFFFF"/>
        </w:rPr>
        <w:t xml:space="preserve">Nottingham: Al-Karimia Publications. </w:t>
      </w:r>
    </w:p>
    <w:p w14:paraId="763A22FA"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Naguib, S., 2015. Bint al-Shāṭiʾ’s Approach to tafsīr: An Egyptian Exegete's Journey from Hermeneutics to Humanity. </w:t>
      </w:r>
      <w:r w:rsidRPr="00C377C8">
        <w:rPr>
          <w:rStyle w:val="selectable"/>
          <w:i/>
          <w:iCs/>
          <w:color w:val="000000" w:themeColor="text1"/>
        </w:rPr>
        <w:t>Journal of Qur'anic Studies</w:t>
      </w:r>
      <w:r w:rsidRPr="00C377C8">
        <w:rPr>
          <w:rStyle w:val="selectable"/>
          <w:color w:val="000000" w:themeColor="text1"/>
        </w:rPr>
        <w:t>, 17(1), pp.45-84.</w:t>
      </w:r>
    </w:p>
    <w:p w14:paraId="2F5CC676"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Naidu, S., 2004. </w:t>
      </w:r>
      <w:r w:rsidRPr="00C377C8">
        <w:rPr>
          <w:rStyle w:val="selectable"/>
          <w:i/>
          <w:iCs/>
          <w:color w:val="000000" w:themeColor="text1"/>
        </w:rPr>
        <w:t>Learning and teaching with technology</w:t>
      </w:r>
      <w:r w:rsidRPr="00C377C8">
        <w:rPr>
          <w:rStyle w:val="selectable"/>
          <w:color w:val="000000" w:themeColor="text1"/>
        </w:rPr>
        <w:t>. London: Routledge Falmer.</w:t>
      </w:r>
    </w:p>
    <w:p w14:paraId="1536573D" w14:textId="77777777" w:rsidR="00FB6B91" w:rsidRPr="00C377C8" w:rsidRDefault="00FB6B91" w:rsidP="00461178">
      <w:pPr>
        <w:spacing w:line="360" w:lineRule="auto"/>
        <w:ind w:left="2268"/>
        <w:rPr>
          <w:color w:val="000000" w:themeColor="text1"/>
        </w:rPr>
      </w:pPr>
      <w:r w:rsidRPr="00C377C8">
        <w:rPr>
          <w:color w:val="000000" w:themeColor="text1"/>
        </w:rPr>
        <w:t>Needels, M., 1994. Themes embedded in effective and responsible teaching. </w:t>
      </w:r>
      <w:r w:rsidRPr="00C377C8">
        <w:rPr>
          <w:i/>
          <w:iCs/>
          <w:color w:val="000000" w:themeColor="text1"/>
        </w:rPr>
        <w:t>Teaching and Teacher Education</w:t>
      </w:r>
      <w:r w:rsidRPr="00C377C8">
        <w:rPr>
          <w:color w:val="000000" w:themeColor="text1"/>
        </w:rPr>
        <w:t>, 10(2), pp.245-251.</w:t>
      </w:r>
    </w:p>
    <w:p w14:paraId="60BD85BE"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Newby, P., 2013. </w:t>
      </w:r>
      <w:r w:rsidRPr="00C377C8">
        <w:rPr>
          <w:rStyle w:val="selectable"/>
          <w:i/>
          <w:iCs/>
          <w:color w:val="000000" w:themeColor="text1"/>
        </w:rPr>
        <w:t>Research methods for education</w:t>
      </w:r>
      <w:r w:rsidRPr="00C377C8">
        <w:rPr>
          <w:rStyle w:val="selectable"/>
          <w:color w:val="000000" w:themeColor="text1"/>
        </w:rPr>
        <w:t>. London: Taylors and Francis.</w:t>
      </w:r>
    </w:p>
    <w:p w14:paraId="61C0A7E8"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Newton, P. and Riveros, A., 2014. Toward an Ontology of Practices in Educational Administration: Theoretical implications for research and practice. </w:t>
      </w:r>
      <w:r w:rsidRPr="00C377C8">
        <w:rPr>
          <w:rStyle w:val="selectable"/>
          <w:i/>
          <w:iCs/>
          <w:color w:val="000000" w:themeColor="text1"/>
        </w:rPr>
        <w:t>Educational Philosophy and Theory</w:t>
      </w:r>
      <w:r w:rsidRPr="00C377C8">
        <w:rPr>
          <w:rStyle w:val="selectable"/>
          <w:color w:val="000000" w:themeColor="text1"/>
        </w:rPr>
        <w:t>, 47(4), pp.330-341.</w:t>
      </w:r>
    </w:p>
    <w:p w14:paraId="36F65FF9"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Niess, M., Kajder, S. and Lee, J., 2008. </w:t>
      </w:r>
      <w:r w:rsidRPr="00C377C8">
        <w:rPr>
          <w:rStyle w:val="selectable"/>
          <w:i/>
          <w:iCs/>
          <w:color w:val="000000" w:themeColor="text1"/>
        </w:rPr>
        <w:t>Guiding, Learning With Technology</w:t>
      </w:r>
      <w:r w:rsidRPr="00C377C8">
        <w:rPr>
          <w:rStyle w:val="selectable"/>
          <w:color w:val="000000" w:themeColor="text1"/>
        </w:rPr>
        <w:t>. Hoboken, N.J.: Wiley.</w:t>
      </w:r>
    </w:p>
    <w:p w14:paraId="24CCB47E" w14:textId="77777777" w:rsidR="00FB6B91" w:rsidRPr="00C377C8" w:rsidRDefault="00FB6B91" w:rsidP="00F1408E">
      <w:pPr>
        <w:shd w:val="clear" w:color="auto" w:fill="FFFFFF"/>
        <w:spacing w:after="0" w:line="360" w:lineRule="atLeast"/>
        <w:ind w:left="2268" w:hanging="120"/>
        <w:rPr>
          <w:rFonts w:ascii="Open Sans" w:eastAsia="Times New Roman" w:hAnsi="Open Sans" w:cs="Open Sans"/>
          <w:color w:val="000000" w:themeColor="text1"/>
          <w:sz w:val="20"/>
          <w:szCs w:val="20"/>
          <w:lang w:eastAsia="en-GB"/>
        </w:rPr>
      </w:pPr>
      <w:r w:rsidRPr="00C377C8">
        <w:rPr>
          <w:rFonts w:ascii="Open Sans" w:eastAsia="Times New Roman" w:hAnsi="Open Sans" w:cs="Open Sans"/>
          <w:color w:val="000000" w:themeColor="text1"/>
          <w:sz w:val="20"/>
          <w:szCs w:val="20"/>
          <w:lang w:eastAsia="en-GB"/>
        </w:rPr>
        <w:t>Nimmo, P., 2013. Schleiermacher on Scripture and the Work of Jesus Christ. </w:t>
      </w:r>
      <w:r w:rsidRPr="00C377C8">
        <w:rPr>
          <w:rFonts w:ascii="Open Sans" w:eastAsia="Times New Roman" w:hAnsi="Open Sans" w:cs="Open Sans"/>
          <w:i/>
          <w:iCs/>
          <w:color w:val="000000" w:themeColor="text1"/>
          <w:sz w:val="20"/>
          <w:szCs w:val="20"/>
          <w:lang w:eastAsia="en-GB"/>
        </w:rPr>
        <w:t>Modern Theology</w:t>
      </w:r>
      <w:r w:rsidRPr="00C377C8">
        <w:rPr>
          <w:rFonts w:ascii="Open Sans" w:eastAsia="Times New Roman" w:hAnsi="Open Sans" w:cs="Open Sans"/>
          <w:color w:val="000000" w:themeColor="text1"/>
          <w:sz w:val="20"/>
          <w:szCs w:val="20"/>
          <w:lang w:eastAsia="en-GB"/>
        </w:rPr>
        <w:t>, 31(1), pp.60-90.</w:t>
      </w:r>
    </w:p>
    <w:p w14:paraId="5C3501DD" w14:textId="77777777" w:rsidR="00FB6B91" w:rsidRPr="00C377C8" w:rsidRDefault="00FB6B91" w:rsidP="00461178">
      <w:pPr>
        <w:spacing w:line="360" w:lineRule="auto"/>
        <w:ind w:left="2268"/>
        <w:rPr>
          <w:rFonts w:eastAsia="Times New Roman"/>
          <w:color w:val="000000" w:themeColor="text1"/>
          <w:lang w:val="en-US"/>
        </w:rPr>
      </w:pPr>
      <w:r w:rsidRPr="00C377C8">
        <w:rPr>
          <w:rFonts w:eastAsia="Times New Roman"/>
          <w:color w:val="000000" w:themeColor="text1"/>
          <w:shd w:val="clear" w:color="auto" w:fill="FFFFFF"/>
          <w:lang w:val="en-US"/>
        </w:rPr>
        <w:t>Nind, M., 2013. </w:t>
      </w:r>
      <w:r w:rsidRPr="00C377C8">
        <w:rPr>
          <w:rFonts w:eastAsia="Times New Roman"/>
          <w:i/>
          <w:iCs/>
          <w:color w:val="000000" w:themeColor="text1"/>
          <w:shd w:val="clear" w:color="auto" w:fill="FFFFFF"/>
          <w:lang w:val="en-US"/>
        </w:rPr>
        <w:t>Curriculum and pedagogy in inclusive education</w:t>
      </w:r>
      <w:r w:rsidRPr="00C377C8">
        <w:rPr>
          <w:rFonts w:eastAsia="Times New Roman"/>
          <w:color w:val="000000" w:themeColor="text1"/>
          <w:shd w:val="clear" w:color="auto" w:fill="FFFFFF"/>
          <w:lang w:val="en-US"/>
        </w:rPr>
        <w:t>. London: Rutledge Taylors and Francis.</w:t>
      </w:r>
    </w:p>
    <w:p w14:paraId="78956F0C" w14:textId="77777777" w:rsidR="00FB6B91" w:rsidRPr="00C377C8" w:rsidRDefault="00FB6B91" w:rsidP="00461178">
      <w:pPr>
        <w:spacing w:line="360" w:lineRule="auto"/>
        <w:ind w:left="2268"/>
        <w:rPr>
          <w:color w:val="000000" w:themeColor="text1"/>
        </w:rPr>
      </w:pPr>
      <w:r w:rsidRPr="00C377C8">
        <w:rPr>
          <w:color w:val="000000" w:themeColor="text1"/>
          <w:shd w:val="clear" w:color="auto" w:fill="FFFFFF"/>
        </w:rPr>
        <w:t>Noddings, N.,2008. Chapter 13: Spirituality and Religion in Public Schooling. </w:t>
      </w:r>
      <w:r w:rsidRPr="00C377C8">
        <w:rPr>
          <w:i/>
          <w:iCs/>
          <w:color w:val="000000" w:themeColor="text1"/>
          <w:shd w:val="clear" w:color="auto" w:fill="FFFFFF"/>
        </w:rPr>
        <w:t>Yearbook of the National Society for the Study of Education</w:t>
      </w:r>
      <w:r w:rsidRPr="00C377C8">
        <w:rPr>
          <w:color w:val="000000" w:themeColor="text1"/>
          <w:shd w:val="clear" w:color="auto" w:fill="FFFFFF"/>
        </w:rPr>
        <w:t>, 107(1), pp.185-195.</w:t>
      </w:r>
    </w:p>
    <w:p w14:paraId="17D2118E"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Noon, E., 2018. Interpretive Phenomenological Analysis: An Appropriate Methodology for Educational Research?. </w:t>
      </w:r>
      <w:r w:rsidRPr="00C377C8">
        <w:rPr>
          <w:rStyle w:val="selectable"/>
          <w:i/>
          <w:iCs/>
          <w:color w:val="000000" w:themeColor="text1"/>
        </w:rPr>
        <w:t>Journal of Perspectives in Applied Academic Practice</w:t>
      </w:r>
      <w:r w:rsidRPr="00C377C8">
        <w:rPr>
          <w:rStyle w:val="selectable"/>
          <w:color w:val="000000" w:themeColor="text1"/>
        </w:rPr>
        <w:t>, 6(1), pp.75-83.</w:t>
      </w:r>
    </w:p>
    <w:p w14:paraId="70F8212A"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Norris, J., Nutting, J., White, T., Evans, J. and Robison, D., 2009. </w:t>
      </w:r>
      <w:r w:rsidRPr="00C377C8">
        <w:rPr>
          <w:rStyle w:val="selectable"/>
          <w:i/>
          <w:iCs/>
          <w:color w:val="000000" w:themeColor="text1"/>
        </w:rPr>
        <w:t>Thinking Skills</w:t>
      </w:r>
      <w:r w:rsidRPr="00C377C8">
        <w:rPr>
          <w:rStyle w:val="selectable"/>
          <w:color w:val="000000" w:themeColor="text1"/>
        </w:rPr>
        <w:t>. New York: Evan-Moor Educational Publishers.</w:t>
      </w:r>
    </w:p>
    <w:p w14:paraId="7A1D4B61"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 xml:space="preserve">Nouman, H., </w:t>
      </w:r>
      <w:r w:rsidRPr="00C377C8">
        <w:rPr>
          <w:rStyle w:val="selectable"/>
          <w:i/>
          <w:color w:val="000000" w:themeColor="text1"/>
        </w:rPr>
        <w:t xml:space="preserve">Quran and the Diverse Communities. </w:t>
      </w:r>
      <w:r w:rsidRPr="00C377C8">
        <w:rPr>
          <w:rStyle w:val="selectable"/>
          <w:color w:val="000000" w:themeColor="text1"/>
        </w:rPr>
        <w:t>Lahore. Aleem Publishers.</w:t>
      </w:r>
    </w:p>
    <w:p w14:paraId="50E1C3A5"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Nunan, D., 2003. </w:t>
      </w:r>
      <w:r w:rsidRPr="00C377C8">
        <w:rPr>
          <w:rStyle w:val="selectable"/>
          <w:i/>
          <w:iCs/>
          <w:color w:val="000000" w:themeColor="text1"/>
        </w:rPr>
        <w:t>Collaborative Language Learning And Teaching</w:t>
      </w:r>
      <w:r w:rsidRPr="00C377C8">
        <w:rPr>
          <w:rStyle w:val="selectable"/>
          <w:color w:val="000000" w:themeColor="text1"/>
        </w:rPr>
        <w:t>. Cambridge: University Press.</w:t>
      </w:r>
    </w:p>
    <w:p w14:paraId="001B7114" w14:textId="77777777" w:rsidR="00FB6B91" w:rsidRPr="00C377C8" w:rsidRDefault="00FB6B91" w:rsidP="00F1408E">
      <w:pPr>
        <w:shd w:val="clear" w:color="auto" w:fill="FFFFFF"/>
        <w:spacing w:after="0" w:line="360" w:lineRule="atLeast"/>
        <w:ind w:left="2268" w:hanging="120"/>
        <w:rPr>
          <w:rFonts w:ascii="Open Sans" w:eastAsia="Times New Roman" w:hAnsi="Open Sans" w:cs="Open Sans"/>
          <w:color w:val="000000" w:themeColor="text1"/>
          <w:sz w:val="20"/>
          <w:szCs w:val="20"/>
          <w:lang w:eastAsia="en-GB"/>
        </w:rPr>
      </w:pPr>
      <w:r w:rsidRPr="00C377C8">
        <w:rPr>
          <w:rFonts w:ascii="Open Sans" w:eastAsia="Times New Roman" w:hAnsi="Open Sans" w:cs="Open Sans"/>
          <w:color w:val="000000" w:themeColor="text1"/>
          <w:sz w:val="20"/>
          <w:szCs w:val="20"/>
          <w:lang w:eastAsia="en-GB"/>
        </w:rPr>
        <w:t>Núñez C, E., 1985. </w:t>
      </w:r>
      <w:r w:rsidRPr="00C377C8">
        <w:rPr>
          <w:rFonts w:ascii="Open Sans" w:eastAsia="Times New Roman" w:hAnsi="Open Sans" w:cs="Open Sans"/>
          <w:i/>
          <w:iCs/>
          <w:color w:val="000000" w:themeColor="text1"/>
          <w:sz w:val="20"/>
          <w:szCs w:val="20"/>
          <w:lang w:eastAsia="en-GB"/>
        </w:rPr>
        <w:t>Liberation theology</w:t>
      </w:r>
      <w:r w:rsidRPr="00C377C8">
        <w:rPr>
          <w:rFonts w:ascii="Open Sans" w:eastAsia="Times New Roman" w:hAnsi="Open Sans" w:cs="Open Sans"/>
          <w:color w:val="000000" w:themeColor="text1"/>
          <w:sz w:val="20"/>
          <w:szCs w:val="20"/>
          <w:lang w:eastAsia="en-GB"/>
        </w:rPr>
        <w:t>. Chicago: Moody Press</w:t>
      </w:r>
    </w:p>
    <w:p w14:paraId="37CDC177"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Nunn, D., 2013. </w:t>
      </w:r>
      <w:r w:rsidRPr="00C377C8">
        <w:rPr>
          <w:rStyle w:val="selectable"/>
          <w:i/>
          <w:iCs/>
          <w:color w:val="000000" w:themeColor="text1"/>
        </w:rPr>
        <w:t>Arabic</w:t>
      </w:r>
      <w:r w:rsidRPr="00C377C8">
        <w:rPr>
          <w:rStyle w:val="selectable"/>
          <w:color w:val="000000" w:themeColor="text1"/>
        </w:rPr>
        <w:t>. London: Raintree.</w:t>
      </w:r>
    </w:p>
    <w:p w14:paraId="6B83CAB8"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Oakes, M. and Ji, M., 2012. </w:t>
      </w:r>
      <w:r w:rsidRPr="00C377C8">
        <w:rPr>
          <w:rStyle w:val="selectable"/>
          <w:i/>
          <w:iCs/>
          <w:color w:val="000000" w:themeColor="text1"/>
        </w:rPr>
        <w:t>Quantitative Methods in Corpus-Based Translation Studies</w:t>
      </w:r>
      <w:r w:rsidRPr="00C377C8">
        <w:rPr>
          <w:rStyle w:val="selectable"/>
          <w:color w:val="000000" w:themeColor="text1"/>
        </w:rPr>
        <w:t>. Amsterdam/Philadelphia: John Benjamins Pub. Co.</w:t>
      </w:r>
    </w:p>
    <w:p w14:paraId="3A04F0ED"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O'Donnell, A., Hmelo-Silver, C. and Erkens, G., 2012. </w:t>
      </w:r>
      <w:r w:rsidRPr="00C377C8">
        <w:rPr>
          <w:rStyle w:val="selectable"/>
          <w:i/>
          <w:iCs/>
          <w:color w:val="000000" w:themeColor="text1"/>
        </w:rPr>
        <w:t>Collaborative learning, reasoning, and technology</w:t>
      </w:r>
      <w:r w:rsidRPr="00C377C8">
        <w:rPr>
          <w:rStyle w:val="selectable"/>
          <w:color w:val="000000" w:themeColor="text1"/>
        </w:rPr>
        <w:t>. New York: Routledge.</w:t>
      </w:r>
    </w:p>
    <w:p w14:paraId="6A9B8624"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O'Donoghue, T., 2007. </w:t>
      </w:r>
      <w:r w:rsidRPr="00C377C8">
        <w:rPr>
          <w:rStyle w:val="selectable"/>
          <w:i/>
          <w:iCs/>
          <w:color w:val="000000" w:themeColor="text1"/>
        </w:rPr>
        <w:t>Planning your qualitative research project</w:t>
      </w:r>
      <w:r w:rsidRPr="00C377C8">
        <w:rPr>
          <w:rStyle w:val="selectable"/>
          <w:color w:val="000000" w:themeColor="text1"/>
        </w:rPr>
        <w:t>. London: Routledge.</w:t>
      </w:r>
    </w:p>
    <w:p w14:paraId="6B760F4F"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O'Neill, S., 1997. </w:t>
      </w:r>
      <w:r w:rsidRPr="00C377C8">
        <w:rPr>
          <w:rStyle w:val="selectable"/>
          <w:i/>
          <w:iCs/>
          <w:color w:val="000000" w:themeColor="text1"/>
        </w:rPr>
        <w:t>Impartiality In Context</w:t>
      </w:r>
      <w:r w:rsidRPr="00C377C8">
        <w:rPr>
          <w:rStyle w:val="selectable"/>
          <w:color w:val="000000" w:themeColor="text1"/>
        </w:rPr>
        <w:t>. Albany: State University of New York Press.</w:t>
      </w:r>
    </w:p>
    <w:p w14:paraId="2B3629AF"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Oniye, M., 2020. Personality Traits and Creativity among Pre-service Teachers of Public Universities in Nigeria. </w:t>
      </w:r>
      <w:r w:rsidRPr="00C377C8">
        <w:rPr>
          <w:rStyle w:val="selectable"/>
          <w:i/>
          <w:iCs/>
          <w:color w:val="000000" w:themeColor="text1"/>
        </w:rPr>
        <w:t>Journal of Advanced Research in Dynamical and Control Systems</w:t>
      </w:r>
      <w:r w:rsidRPr="00C377C8">
        <w:rPr>
          <w:rStyle w:val="selectable"/>
          <w:color w:val="000000" w:themeColor="text1"/>
        </w:rPr>
        <w:t>, 12(SP7), pp.2840-2846.</w:t>
      </w:r>
    </w:p>
    <w:p w14:paraId="57E9EC46"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Ons.gov.uk. 2019. </w:t>
      </w:r>
      <w:r w:rsidRPr="00C377C8">
        <w:rPr>
          <w:rStyle w:val="selectable"/>
          <w:i/>
          <w:iCs/>
          <w:color w:val="000000" w:themeColor="text1"/>
        </w:rPr>
        <w:t>Language - Office for National Statistics</w:t>
      </w:r>
      <w:r w:rsidRPr="00C377C8">
        <w:rPr>
          <w:rStyle w:val="selectable"/>
          <w:color w:val="000000" w:themeColor="text1"/>
        </w:rPr>
        <w:t>. [online] Available at: &lt;https://www.ons.gov.uk/peoplepopulationandcommunity/culturalidentity/language&gt; [Accessed 7 April 2019].</w:t>
      </w:r>
    </w:p>
    <w:p w14:paraId="441A2121"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Onsman, A., 2010. </w:t>
      </w:r>
      <w:r w:rsidRPr="00C377C8">
        <w:rPr>
          <w:rStyle w:val="selectable"/>
          <w:i/>
          <w:iCs/>
          <w:color w:val="000000" w:themeColor="text1"/>
        </w:rPr>
        <w:t>Cross-Border Teaching And The Globalization Of Higher Education</w:t>
      </w:r>
      <w:r w:rsidRPr="00C377C8">
        <w:rPr>
          <w:rStyle w:val="selectable"/>
          <w:color w:val="000000" w:themeColor="text1"/>
        </w:rPr>
        <w:t>. Lewiston: Edwin Mellen Press.</w:t>
      </w:r>
    </w:p>
    <w:p w14:paraId="3975D7D0" w14:textId="77777777" w:rsidR="00FB6B91" w:rsidRPr="00C377C8" w:rsidRDefault="00FB6B91" w:rsidP="00F1408E">
      <w:pPr>
        <w:ind w:left="2268"/>
        <w:jc w:val="both"/>
        <w:rPr>
          <w:rFonts w:ascii="Calibri" w:eastAsia="Calibri" w:hAnsi="Calibri" w:cs="Times New Roman"/>
          <w:color w:val="000000" w:themeColor="text1"/>
        </w:rPr>
      </w:pPr>
      <w:r w:rsidRPr="00C377C8">
        <w:rPr>
          <w:rFonts w:ascii="Calibri" w:eastAsia="Calibri" w:hAnsi="Calibri" w:cs="Times New Roman"/>
          <w:color w:val="000000" w:themeColor="text1"/>
        </w:rPr>
        <w:t>Ozturk, Y. Nuri, (2000) Yeniden Yapılanma, Istanbul: Yeni Boyut, 15th edition pp. 97-188.</w:t>
      </w:r>
    </w:p>
    <w:p w14:paraId="78E524D2"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Pantaleo, S., 2016. Teacher expectations and student literacy engagement and achievement. </w:t>
      </w:r>
      <w:r w:rsidRPr="00C377C8">
        <w:rPr>
          <w:rStyle w:val="selectable"/>
          <w:i/>
          <w:iCs/>
          <w:color w:val="000000" w:themeColor="text1"/>
        </w:rPr>
        <w:t>Literacy</w:t>
      </w:r>
      <w:r w:rsidRPr="00C377C8">
        <w:rPr>
          <w:rStyle w:val="selectable"/>
          <w:color w:val="000000" w:themeColor="text1"/>
        </w:rPr>
        <w:t>, 50(2), pp.83-92</w:t>
      </w:r>
    </w:p>
    <w:p w14:paraId="09C27977"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Pantić, N. and Wubbels, T., 2010. Teacher competencies as a basis for teacher education – Views of Serbian teachers and teacher educators. </w:t>
      </w:r>
      <w:r w:rsidRPr="00C377C8">
        <w:rPr>
          <w:rStyle w:val="selectable"/>
          <w:i/>
          <w:iCs/>
          <w:color w:val="000000" w:themeColor="text1"/>
        </w:rPr>
        <w:t>Teaching and Teacher Education</w:t>
      </w:r>
      <w:r w:rsidRPr="00C377C8">
        <w:rPr>
          <w:rStyle w:val="selectable"/>
          <w:color w:val="000000" w:themeColor="text1"/>
        </w:rPr>
        <w:t>, 26(3), pp.694-703.</w:t>
      </w:r>
    </w:p>
    <w:p w14:paraId="04BA705F" w14:textId="77777777" w:rsidR="00FB6B91" w:rsidRPr="00C377C8" w:rsidRDefault="00FB6B91" w:rsidP="00461178">
      <w:pPr>
        <w:spacing w:line="360" w:lineRule="auto"/>
        <w:ind w:left="2268"/>
        <w:rPr>
          <w:color w:val="000000" w:themeColor="text1"/>
        </w:rPr>
      </w:pPr>
      <w:r w:rsidRPr="00C377C8">
        <w:rPr>
          <w:color w:val="000000" w:themeColor="text1"/>
        </w:rPr>
        <w:t>Paquet-Gauthier, M. and Beaulieu, S., 2015. Can language classrooms take the multilingual turn?. </w:t>
      </w:r>
      <w:r w:rsidRPr="00C377C8">
        <w:rPr>
          <w:i/>
          <w:iCs/>
          <w:color w:val="000000" w:themeColor="text1"/>
        </w:rPr>
        <w:t>Journal of Multilingual and Multicultural Development</w:t>
      </w:r>
      <w:r w:rsidRPr="00C377C8">
        <w:rPr>
          <w:color w:val="000000" w:themeColor="text1"/>
        </w:rPr>
        <w:t>, 37(2), pp.167-183.</w:t>
      </w:r>
    </w:p>
    <w:p w14:paraId="7F75B171"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Parker, I., 1998. </w:t>
      </w:r>
      <w:r w:rsidRPr="00C377C8">
        <w:rPr>
          <w:rStyle w:val="selectable"/>
          <w:i/>
          <w:iCs/>
          <w:color w:val="000000" w:themeColor="text1"/>
        </w:rPr>
        <w:t>Social constructionism, discourse and realism</w:t>
      </w:r>
      <w:r w:rsidRPr="00C377C8">
        <w:rPr>
          <w:rStyle w:val="selectable"/>
          <w:color w:val="000000" w:themeColor="text1"/>
        </w:rPr>
        <w:t>. London: SAGE Publications.</w:t>
      </w:r>
    </w:p>
    <w:p w14:paraId="61254073" w14:textId="77777777" w:rsidR="00FB6B91" w:rsidRPr="00C377C8" w:rsidRDefault="00FB6B91" w:rsidP="00461178">
      <w:pPr>
        <w:spacing w:line="360" w:lineRule="auto"/>
        <w:ind w:left="2268"/>
        <w:rPr>
          <w:color w:val="000000" w:themeColor="text1"/>
        </w:rPr>
      </w:pPr>
      <w:r w:rsidRPr="00C377C8">
        <w:rPr>
          <w:color w:val="000000" w:themeColor="text1"/>
        </w:rPr>
        <w:t>Paterson BL., 1994. A framework to identify reactivity in qualitative research. Western Journal of Nursing Research. 16, 3, 301-316.</w:t>
      </w:r>
    </w:p>
    <w:p w14:paraId="6D26541E" w14:textId="77777777" w:rsidR="00FB6B91" w:rsidRPr="00C377C8" w:rsidRDefault="00FB6B91" w:rsidP="00461178">
      <w:pPr>
        <w:spacing w:line="360" w:lineRule="auto"/>
        <w:ind w:left="2268"/>
        <w:rPr>
          <w:color w:val="000000" w:themeColor="text1"/>
        </w:rPr>
      </w:pPr>
      <w:r w:rsidRPr="00C377C8">
        <w:rPr>
          <w:color w:val="000000" w:themeColor="text1"/>
          <w:shd w:val="clear" w:color="auto" w:fill="FFFFFF"/>
        </w:rPr>
        <w:t>Patte, D., 2006. </w:t>
      </w:r>
      <w:r w:rsidRPr="00C377C8">
        <w:rPr>
          <w:i/>
          <w:iCs/>
          <w:color w:val="000000" w:themeColor="text1"/>
          <w:shd w:val="clear" w:color="auto" w:fill="FFFFFF"/>
        </w:rPr>
        <w:t>Global Bible commentary</w:t>
      </w:r>
      <w:r w:rsidRPr="00C377C8">
        <w:rPr>
          <w:color w:val="000000" w:themeColor="text1"/>
          <w:shd w:val="clear" w:color="auto" w:fill="FFFFFF"/>
        </w:rPr>
        <w:t>. Nashville, Tenn.: Abingdon.</w:t>
      </w:r>
    </w:p>
    <w:p w14:paraId="7275E2A7"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Paul, S., 2013. </w:t>
      </w:r>
      <w:r w:rsidRPr="00C377C8">
        <w:rPr>
          <w:rStyle w:val="selectable"/>
          <w:i/>
          <w:iCs/>
          <w:color w:val="000000" w:themeColor="text1"/>
        </w:rPr>
        <w:t>Inclusive Education</w:t>
      </w:r>
      <w:r w:rsidRPr="00C377C8">
        <w:rPr>
          <w:rStyle w:val="selectable"/>
          <w:color w:val="000000" w:themeColor="text1"/>
        </w:rPr>
        <w:t>. New Delhi: Lakshi Publisher's &amp; Distributors.</w:t>
      </w:r>
    </w:p>
    <w:p w14:paraId="2F852644"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Perrott, E., 2014. </w:t>
      </w:r>
      <w:r w:rsidRPr="00C377C8">
        <w:rPr>
          <w:rStyle w:val="selectable"/>
          <w:i/>
          <w:iCs/>
          <w:color w:val="000000" w:themeColor="text1"/>
        </w:rPr>
        <w:t>Effective Teaching</w:t>
      </w:r>
      <w:r w:rsidRPr="00C377C8">
        <w:rPr>
          <w:rStyle w:val="selectable"/>
          <w:color w:val="000000" w:themeColor="text1"/>
        </w:rPr>
        <w:t>. Cambridge: Taylor and Francis.</w:t>
      </w:r>
    </w:p>
    <w:p w14:paraId="2219D373"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Perry, J., 2012. </w:t>
      </w:r>
      <w:r w:rsidRPr="00C377C8">
        <w:rPr>
          <w:rStyle w:val="selectable"/>
          <w:i/>
          <w:iCs/>
          <w:color w:val="000000" w:themeColor="text1"/>
        </w:rPr>
        <w:t>Reference and reflexivity</w:t>
      </w:r>
      <w:r w:rsidRPr="00C377C8">
        <w:rPr>
          <w:rStyle w:val="selectable"/>
          <w:color w:val="000000" w:themeColor="text1"/>
        </w:rPr>
        <w:t>. Stanford, Calif.: CSLI Publications.</w:t>
      </w:r>
    </w:p>
    <w:p w14:paraId="53D1A6F6"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Perry, R. and Smart, J., 1997. </w:t>
      </w:r>
      <w:r w:rsidRPr="00C377C8">
        <w:rPr>
          <w:rStyle w:val="selectable"/>
          <w:i/>
          <w:iCs/>
          <w:color w:val="000000" w:themeColor="text1"/>
        </w:rPr>
        <w:t>Effective Teaching In Higher Education</w:t>
      </w:r>
      <w:r w:rsidRPr="00C377C8">
        <w:rPr>
          <w:rStyle w:val="selectable"/>
          <w:color w:val="000000" w:themeColor="text1"/>
        </w:rPr>
        <w:t>. New York: Agathon Press.</w:t>
      </w:r>
    </w:p>
    <w:p w14:paraId="2CFF1072" w14:textId="77777777" w:rsidR="00FB6B91" w:rsidRPr="00C377C8" w:rsidRDefault="00FB6B91" w:rsidP="00461178">
      <w:pPr>
        <w:spacing w:line="360" w:lineRule="auto"/>
        <w:ind w:left="2268"/>
        <w:rPr>
          <w:color w:val="000000" w:themeColor="text1"/>
        </w:rPr>
      </w:pPr>
      <w:r w:rsidRPr="00C377C8">
        <w:rPr>
          <w:color w:val="000000" w:themeColor="text1"/>
        </w:rPr>
        <w:t>Perryman, J., Ball, S., Maguire, M. and Braun, A., 2011. Life in the Pressure Cooker – School League Tables and English and Mathematics Teachers’ Responses to Accountability in a Results-Driven Era. British Journal of Educational Studies, 59(2), pp.179-195.</w:t>
      </w:r>
    </w:p>
    <w:p w14:paraId="5026C087" w14:textId="77777777" w:rsidR="00FB6B91" w:rsidRPr="00C377C8" w:rsidRDefault="00FB6B91" w:rsidP="00461178">
      <w:pPr>
        <w:spacing w:line="360" w:lineRule="auto"/>
        <w:ind w:left="2268"/>
        <w:rPr>
          <w:color w:val="000000" w:themeColor="text1"/>
        </w:rPr>
      </w:pPr>
      <w:r w:rsidRPr="00C377C8">
        <w:rPr>
          <w:color w:val="000000" w:themeColor="text1"/>
        </w:rPr>
        <w:t>Pine, G., 2009. </w:t>
      </w:r>
      <w:r w:rsidRPr="00C377C8">
        <w:rPr>
          <w:i/>
          <w:iCs/>
          <w:color w:val="000000" w:themeColor="text1"/>
        </w:rPr>
        <w:t>Teacher Action Research</w:t>
      </w:r>
      <w:r w:rsidRPr="00C377C8">
        <w:rPr>
          <w:color w:val="000000" w:themeColor="text1"/>
        </w:rPr>
        <w:t>. Thousand Oaks: SAGE Publications.</w:t>
      </w:r>
    </w:p>
    <w:p w14:paraId="79B4D015" w14:textId="77777777" w:rsidR="00FB6B91" w:rsidRPr="00C377C8" w:rsidRDefault="00FB6B91" w:rsidP="00461178">
      <w:pPr>
        <w:spacing w:line="360" w:lineRule="auto"/>
        <w:ind w:left="2268"/>
        <w:rPr>
          <w:color w:val="000000" w:themeColor="text1"/>
        </w:rPr>
      </w:pPr>
      <w:r w:rsidRPr="00C377C8">
        <w:rPr>
          <w:color w:val="000000" w:themeColor="text1"/>
        </w:rPr>
        <w:t>Pinnegar, S. and Brophy, J., 2009. </w:t>
      </w:r>
      <w:r w:rsidRPr="00C377C8">
        <w:rPr>
          <w:i/>
          <w:iCs/>
          <w:color w:val="000000" w:themeColor="text1"/>
        </w:rPr>
        <w:t>Learning from Research On Teaching</w:t>
      </w:r>
      <w:r w:rsidRPr="00C377C8">
        <w:rPr>
          <w:color w:val="000000" w:themeColor="text1"/>
        </w:rPr>
        <w:t>. Bingley: Emerald Group Publishing Limited.</w:t>
      </w:r>
    </w:p>
    <w:p w14:paraId="289FBC0D"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 xml:space="preserve">Polkinghorne, D., </w:t>
      </w:r>
      <w:r w:rsidRPr="00C377C8">
        <w:rPr>
          <w:rStyle w:val="nlmyear"/>
          <w:color w:val="000000" w:themeColor="text1"/>
          <w:shd w:val="clear" w:color="auto" w:fill="FFFFFF"/>
        </w:rPr>
        <w:t>1983</w:t>
      </w:r>
      <w:r w:rsidRPr="00C377C8">
        <w:rPr>
          <w:color w:val="000000" w:themeColor="text1"/>
          <w:shd w:val="clear" w:color="auto" w:fill="FFFFFF"/>
        </w:rPr>
        <w:t>. Methodology for the human sciences: Systems of inquiry. </w:t>
      </w:r>
      <w:r w:rsidRPr="00C377C8">
        <w:rPr>
          <w:rStyle w:val="nlmpublisher-loc"/>
          <w:color w:val="000000" w:themeColor="text1"/>
          <w:shd w:val="clear" w:color="auto" w:fill="FFFFFF"/>
        </w:rPr>
        <w:t>Albany</w:t>
      </w:r>
      <w:r w:rsidRPr="00C377C8">
        <w:rPr>
          <w:color w:val="000000" w:themeColor="text1"/>
          <w:shd w:val="clear" w:color="auto" w:fill="FFFFFF"/>
        </w:rPr>
        <w:t>: </w:t>
      </w:r>
      <w:r w:rsidRPr="00C377C8">
        <w:rPr>
          <w:rStyle w:val="nlmpublisher-name"/>
          <w:color w:val="000000" w:themeColor="text1"/>
          <w:shd w:val="clear" w:color="auto" w:fill="FFFFFF"/>
        </w:rPr>
        <w:t>State University of New York Press</w:t>
      </w:r>
      <w:r w:rsidRPr="00C377C8">
        <w:rPr>
          <w:color w:val="000000" w:themeColor="text1"/>
          <w:shd w:val="clear" w:color="auto" w:fill="FFFFFF"/>
        </w:rPr>
        <w:t>. </w:t>
      </w:r>
    </w:p>
    <w:p w14:paraId="12FE1378"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Pollard, A., 2008. </w:t>
      </w:r>
      <w:r w:rsidRPr="00C377C8">
        <w:rPr>
          <w:rStyle w:val="selectable"/>
          <w:i/>
          <w:iCs/>
          <w:color w:val="000000" w:themeColor="text1"/>
        </w:rPr>
        <w:t>Reflective Teaching</w:t>
      </w:r>
      <w:r w:rsidRPr="00C377C8">
        <w:rPr>
          <w:rStyle w:val="selectable"/>
          <w:color w:val="000000" w:themeColor="text1"/>
        </w:rPr>
        <w:t>. Continuum International Publishing Group.</w:t>
      </w:r>
    </w:p>
    <w:p w14:paraId="383DA6C8"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Pollock, J. and Ford, S., 2009. </w:t>
      </w:r>
      <w:r w:rsidRPr="00C377C8">
        <w:rPr>
          <w:rStyle w:val="selectable"/>
          <w:i/>
          <w:iCs/>
          <w:color w:val="000000" w:themeColor="text1"/>
        </w:rPr>
        <w:t>Improving student learning one principal at a time</w:t>
      </w:r>
      <w:r w:rsidRPr="00C377C8">
        <w:rPr>
          <w:rStyle w:val="selectable"/>
          <w:color w:val="000000" w:themeColor="text1"/>
        </w:rPr>
        <w:t>. Alexandria, VA: Association for Supervision and Curriculum Development.</w:t>
      </w:r>
    </w:p>
    <w:p w14:paraId="3034055F"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Potts, B., 1994. </w:t>
      </w:r>
      <w:r w:rsidRPr="00C377C8">
        <w:rPr>
          <w:rStyle w:val="selectable"/>
          <w:i/>
          <w:iCs/>
          <w:color w:val="000000" w:themeColor="text1"/>
        </w:rPr>
        <w:t>Strategies for Teaching Critical Thinking</w:t>
      </w:r>
      <w:r w:rsidRPr="00C377C8">
        <w:rPr>
          <w:rStyle w:val="selectable"/>
          <w:color w:val="000000" w:themeColor="text1"/>
        </w:rPr>
        <w:t>. [Washington, DC]: Dept. of Education, Catholic University of America [ERIC Clearinghouse on Assessment and Evaluation].</w:t>
      </w:r>
    </w:p>
    <w:p w14:paraId="56BEE8A0" w14:textId="77777777" w:rsidR="00FB6B91" w:rsidRPr="00C377C8" w:rsidRDefault="00FB6B91" w:rsidP="00461178">
      <w:pPr>
        <w:spacing w:line="360" w:lineRule="auto"/>
        <w:ind w:left="2268"/>
        <w:rPr>
          <w:color w:val="000000" w:themeColor="text1"/>
          <w:lang w:val="en-US"/>
        </w:rPr>
      </w:pPr>
      <w:r w:rsidRPr="00C377C8">
        <w:rPr>
          <w:color w:val="000000" w:themeColor="text1"/>
          <w:lang w:val="en-US"/>
        </w:rPr>
        <w:t>Powney, J., 2019. </w:t>
      </w:r>
      <w:r w:rsidRPr="00C377C8">
        <w:rPr>
          <w:i/>
          <w:iCs/>
          <w:color w:val="000000" w:themeColor="text1"/>
          <w:lang w:val="en-US"/>
        </w:rPr>
        <w:t>Interviewing in Educational Research</w:t>
      </w:r>
      <w:r w:rsidRPr="00C377C8">
        <w:rPr>
          <w:color w:val="000000" w:themeColor="text1"/>
          <w:lang w:val="en-US"/>
        </w:rPr>
        <w:t>. London: Routledge.</w:t>
      </w:r>
    </w:p>
    <w:p w14:paraId="74EF172A" w14:textId="77777777" w:rsidR="00FB6B91" w:rsidRPr="00C377C8" w:rsidRDefault="00FB6B91" w:rsidP="00461178">
      <w:pPr>
        <w:spacing w:line="360" w:lineRule="auto"/>
        <w:ind w:left="2268"/>
        <w:rPr>
          <w:color w:val="000000" w:themeColor="text1"/>
        </w:rPr>
      </w:pPr>
      <w:r w:rsidRPr="00C377C8">
        <w:rPr>
          <w:color w:val="000000" w:themeColor="text1"/>
        </w:rPr>
        <w:t>Prevenier, W. and Howell, M., 2001. From Reliable Sources: An Introduction to Historical Methods. London: Routledge Francis and Taylors Group.</w:t>
      </w:r>
    </w:p>
    <w:p w14:paraId="1358ACAF" w14:textId="77777777" w:rsidR="00FB6B91" w:rsidRPr="00C377C8" w:rsidRDefault="00FB6B91" w:rsidP="00461178">
      <w:pPr>
        <w:spacing w:line="360" w:lineRule="auto"/>
        <w:ind w:left="2268"/>
        <w:rPr>
          <w:color w:val="000000" w:themeColor="text1"/>
        </w:rPr>
      </w:pPr>
      <w:r w:rsidRPr="00C377C8">
        <w:rPr>
          <w:rFonts w:eastAsia="Times New Roman"/>
          <w:color w:val="000000" w:themeColor="text1"/>
          <w:lang w:eastAsia="en-GB"/>
        </w:rPr>
        <w:t>Prosser, M. and Trigwell, K., 1997. Using Phenomenography in the Design of Programs for Teachers in Higher Education. </w:t>
      </w:r>
      <w:r w:rsidRPr="00C377C8">
        <w:rPr>
          <w:rFonts w:eastAsia="Times New Roman"/>
          <w:i/>
          <w:iCs/>
          <w:color w:val="000000" w:themeColor="text1"/>
          <w:lang w:eastAsia="en-GB"/>
        </w:rPr>
        <w:t>Higher Education Research &amp; Development</w:t>
      </w:r>
      <w:r w:rsidRPr="00C377C8">
        <w:rPr>
          <w:rFonts w:eastAsia="Times New Roman"/>
          <w:color w:val="000000" w:themeColor="text1"/>
          <w:lang w:eastAsia="en-GB"/>
        </w:rPr>
        <w:t>, 16(1), pp.41-54.</w:t>
      </w:r>
    </w:p>
    <w:p w14:paraId="4BE563F4"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Pruzen, P., 2018. </w:t>
      </w:r>
      <w:r w:rsidRPr="00C377C8">
        <w:rPr>
          <w:rStyle w:val="selectable"/>
          <w:i/>
          <w:iCs/>
          <w:color w:val="000000" w:themeColor="text1"/>
        </w:rPr>
        <w:t>Research Methodology</w:t>
      </w:r>
      <w:r w:rsidRPr="00C377C8">
        <w:rPr>
          <w:rStyle w:val="selectable"/>
          <w:color w:val="000000" w:themeColor="text1"/>
        </w:rPr>
        <w:t>. Copenhagen: SPRINGER.</w:t>
      </w:r>
    </w:p>
    <w:p w14:paraId="3A387230"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Putnam, J., 2005. </w:t>
      </w:r>
      <w:r w:rsidRPr="00C377C8">
        <w:rPr>
          <w:rStyle w:val="selectable"/>
          <w:i/>
          <w:iCs/>
          <w:color w:val="000000" w:themeColor="text1"/>
        </w:rPr>
        <w:t>Cooperative Learning and Strategies For Inclusion</w:t>
      </w:r>
      <w:r w:rsidRPr="00C377C8">
        <w:rPr>
          <w:rStyle w:val="selectable"/>
          <w:color w:val="000000" w:themeColor="text1"/>
        </w:rPr>
        <w:t>. Baltimore: Brookes.</w:t>
      </w:r>
    </w:p>
    <w:p w14:paraId="22818085"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 xml:space="preserve">Rahim, A., 2011. Quranic Wisdom. Lahore: Ishat e Islam. </w:t>
      </w:r>
    </w:p>
    <w:p w14:paraId="5D2C2311"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Rai, U. and Rai, S., 2009. </w:t>
      </w:r>
      <w:r w:rsidRPr="00C377C8">
        <w:rPr>
          <w:rStyle w:val="selectable"/>
          <w:i/>
          <w:iCs/>
          <w:color w:val="000000" w:themeColor="text1"/>
        </w:rPr>
        <w:t>Effective Communication</w:t>
      </w:r>
      <w:r w:rsidRPr="00C377C8">
        <w:rPr>
          <w:rStyle w:val="selectable"/>
          <w:color w:val="000000" w:themeColor="text1"/>
        </w:rPr>
        <w:t>. New Delhi: Himalaya Pub. House.</w:t>
      </w:r>
    </w:p>
    <w:p w14:paraId="014A1839"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Rapley, T., 2007. </w:t>
      </w:r>
      <w:r w:rsidRPr="00C377C8">
        <w:rPr>
          <w:rFonts w:eastAsia="Times New Roman"/>
          <w:i/>
          <w:iCs/>
          <w:color w:val="000000" w:themeColor="text1"/>
          <w:lang w:eastAsia="en-GB"/>
        </w:rPr>
        <w:t>Doing conversation, discourse and document analysis [electronic resour</w:t>
      </w:r>
      <w:r w:rsidRPr="00C377C8">
        <w:rPr>
          <w:rFonts w:eastAsia="Times New Roman"/>
          <w:color w:val="000000" w:themeColor="text1"/>
          <w:lang w:eastAsia="en-GB"/>
        </w:rPr>
        <w:t>. London: SAGE.</w:t>
      </w:r>
    </w:p>
    <w:p w14:paraId="128FFC68" w14:textId="77777777" w:rsidR="00FB6B91" w:rsidRPr="00C377C8" w:rsidRDefault="00FB6B91" w:rsidP="00461178">
      <w:pPr>
        <w:spacing w:line="360" w:lineRule="auto"/>
        <w:ind w:left="2268"/>
        <w:rPr>
          <w:rFonts w:eastAsia="Times New Roman"/>
          <w:color w:val="000000" w:themeColor="text1"/>
          <w:lang w:val="en-US"/>
        </w:rPr>
      </w:pPr>
      <w:r w:rsidRPr="00C377C8">
        <w:rPr>
          <w:rFonts w:eastAsia="Times New Roman"/>
          <w:color w:val="000000" w:themeColor="text1"/>
          <w:shd w:val="clear" w:color="auto" w:fill="FFFFFF"/>
        </w:rPr>
        <w:t>Rasool, A., 2014. </w:t>
      </w:r>
      <w:r w:rsidRPr="00C377C8">
        <w:rPr>
          <w:rFonts w:eastAsia="Times New Roman"/>
          <w:i/>
          <w:iCs/>
          <w:color w:val="000000" w:themeColor="text1"/>
          <w:shd w:val="clear" w:color="auto" w:fill="FFFFFF"/>
        </w:rPr>
        <w:t>Tafsir e Jalayan ki Tafsiri khoobiyan</w:t>
      </w:r>
      <w:r w:rsidRPr="00C377C8">
        <w:rPr>
          <w:rFonts w:eastAsia="Times New Roman"/>
          <w:color w:val="000000" w:themeColor="text1"/>
          <w:shd w:val="clear" w:color="auto" w:fill="FFFFFF"/>
        </w:rPr>
        <w:t>. Karachi: Memon Publications.</w:t>
      </w:r>
    </w:p>
    <w:p w14:paraId="38D2D004" w14:textId="77777777" w:rsidR="00FB6B91" w:rsidRPr="00C377C8" w:rsidRDefault="00FB6B91" w:rsidP="00461178">
      <w:pPr>
        <w:spacing w:line="360" w:lineRule="auto"/>
        <w:ind w:left="2268"/>
        <w:rPr>
          <w:color w:val="000000" w:themeColor="text1"/>
        </w:rPr>
      </w:pPr>
      <w:r w:rsidRPr="00C377C8">
        <w:rPr>
          <w:color w:val="000000" w:themeColor="text1"/>
        </w:rPr>
        <w:t>Raud, N. and Orehhova, O., 2020. Training teachers for multilingual primary schools in Europe: key components of teacher education curricula. </w:t>
      </w:r>
      <w:r w:rsidRPr="00C377C8">
        <w:rPr>
          <w:i/>
          <w:iCs/>
          <w:color w:val="000000" w:themeColor="text1"/>
        </w:rPr>
        <w:t>International Journal of Multilingualism</w:t>
      </w:r>
      <w:r w:rsidRPr="00C377C8">
        <w:rPr>
          <w:color w:val="000000" w:themeColor="text1"/>
        </w:rPr>
        <w:t>, pp.1-13.</w:t>
      </w:r>
    </w:p>
    <w:p w14:paraId="0A82EB35"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Redmond, K., Foran, A. and Dwyer, S., 2010. </w:t>
      </w:r>
      <w:r w:rsidRPr="00C377C8">
        <w:rPr>
          <w:rStyle w:val="selectable"/>
          <w:i/>
          <w:iCs/>
          <w:color w:val="000000" w:themeColor="text1"/>
        </w:rPr>
        <w:t>Quality lesson plans for outdoor education</w:t>
      </w:r>
      <w:r w:rsidRPr="00C377C8">
        <w:rPr>
          <w:rStyle w:val="selectable"/>
          <w:color w:val="000000" w:themeColor="text1"/>
        </w:rPr>
        <w:t>. Champaign, IL: Human Kinetics.</w:t>
      </w:r>
    </w:p>
    <w:p w14:paraId="5B85FF75"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Reed, L. and Rae, T., 2007. </w:t>
      </w:r>
      <w:r w:rsidRPr="00C377C8">
        <w:rPr>
          <w:rStyle w:val="selectable"/>
          <w:i/>
          <w:iCs/>
          <w:color w:val="000000" w:themeColor="text1"/>
        </w:rPr>
        <w:t>Creating Gender-Fair Schools And Classrooms</w:t>
      </w:r>
      <w:r w:rsidRPr="00C377C8">
        <w:rPr>
          <w:rStyle w:val="selectable"/>
          <w:color w:val="000000" w:themeColor="text1"/>
        </w:rPr>
        <w:t>. London: Paul Chapman Publishing.</w:t>
      </w:r>
    </w:p>
    <w:p w14:paraId="3EA615FA" w14:textId="77777777" w:rsidR="00FB6B91" w:rsidRPr="00C377C8" w:rsidRDefault="00FB6B91" w:rsidP="00DF3B58">
      <w:pPr>
        <w:pStyle w:val="Heading1"/>
        <w:numPr>
          <w:ilvl w:val="0"/>
          <w:numId w:val="40"/>
        </w:numPr>
        <w:ind w:right="0"/>
      </w:pPr>
      <w:bookmarkStart w:id="256" w:name="_Toc83667040"/>
      <w:bookmarkStart w:id="257" w:name="_Toc96609152"/>
      <w:r w:rsidRPr="00C377C8">
        <w:t>References</w:t>
      </w:r>
      <w:bookmarkEnd w:id="256"/>
      <w:bookmarkEnd w:id="257"/>
      <w:r w:rsidRPr="00C377C8">
        <w:t xml:space="preserve"> </w:t>
      </w:r>
    </w:p>
    <w:p w14:paraId="04A5F5EF"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Reynolds, G., 2007. </w:t>
      </w:r>
      <w:r w:rsidRPr="00C377C8">
        <w:rPr>
          <w:rStyle w:val="selectable"/>
          <w:i/>
          <w:iCs/>
          <w:color w:val="000000" w:themeColor="text1"/>
        </w:rPr>
        <w:t>The Qurʼan in its historical context</w:t>
      </w:r>
      <w:r w:rsidRPr="00C377C8">
        <w:rPr>
          <w:rStyle w:val="selectable"/>
          <w:color w:val="000000" w:themeColor="text1"/>
        </w:rPr>
        <w:t>. New York: Routledge.</w:t>
      </w:r>
    </w:p>
    <w:p w14:paraId="6DD88AB1"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Reynolds, G., 2011. </w:t>
      </w:r>
      <w:r w:rsidRPr="00C377C8">
        <w:rPr>
          <w:rStyle w:val="selectable"/>
          <w:i/>
          <w:iCs/>
          <w:color w:val="000000" w:themeColor="text1"/>
        </w:rPr>
        <w:t>New perspectives on the Qur'an</w:t>
      </w:r>
      <w:r w:rsidRPr="00C377C8">
        <w:rPr>
          <w:rStyle w:val="selectable"/>
          <w:color w:val="000000" w:themeColor="text1"/>
        </w:rPr>
        <w:t>. London: Routledge.</w:t>
      </w:r>
    </w:p>
    <w:p w14:paraId="274DA356"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Riaz, N., 2016. </w:t>
      </w:r>
      <w:r w:rsidRPr="00C377C8">
        <w:rPr>
          <w:rStyle w:val="selectable"/>
          <w:i/>
          <w:iCs/>
          <w:color w:val="000000" w:themeColor="text1"/>
        </w:rPr>
        <w:t>The Interpretivist Paradigm</w:t>
      </w:r>
      <w:r w:rsidRPr="00C377C8">
        <w:rPr>
          <w:rStyle w:val="selectable"/>
          <w:color w:val="000000" w:themeColor="text1"/>
        </w:rPr>
        <w:t>. [online] Available at: &lt;https://www.linkedin.com/pulse/interpretivist-paradigm-nighet-nasim-riaz?trk=portfolio_article-card_title&gt; [Accessed 12 May 2019].</w:t>
      </w:r>
    </w:p>
    <w:p w14:paraId="687FD79B"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Richards, C., Simco, N. and Twiselton, S., 1998. </w:t>
      </w:r>
      <w:r w:rsidRPr="00C377C8">
        <w:rPr>
          <w:rStyle w:val="selectable"/>
          <w:i/>
          <w:iCs/>
          <w:color w:val="000000" w:themeColor="text1"/>
        </w:rPr>
        <w:t>Primary Teacher Education</w:t>
      </w:r>
      <w:r w:rsidRPr="00C377C8">
        <w:rPr>
          <w:rStyle w:val="selectable"/>
          <w:color w:val="000000" w:themeColor="text1"/>
        </w:rPr>
        <w:t>. London: Bristol, PA.</w:t>
      </w:r>
    </w:p>
    <w:p w14:paraId="0B7F4C73" w14:textId="77777777" w:rsidR="00FB6B91" w:rsidRPr="00C377C8" w:rsidRDefault="00FB6B91" w:rsidP="00461178">
      <w:pPr>
        <w:spacing w:line="360" w:lineRule="auto"/>
        <w:ind w:left="2268"/>
        <w:rPr>
          <w:color w:val="000000" w:themeColor="text1"/>
        </w:rPr>
      </w:pPr>
      <w:r w:rsidRPr="00C377C8">
        <w:rPr>
          <w:color w:val="000000" w:themeColor="text1"/>
        </w:rPr>
        <w:t>Richards, D. and Robinson, C., 2003. </w:t>
      </w:r>
      <w:r w:rsidRPr="00C377C8">
        <w:rPr>
          <w:i/>
          <w:iCs/>
          <w:color w:val="000000" w:themeColor="text1"/>
        </w:rPr>
        <w:t>Texts, Documents, And Artefacts</w:t>
      </w:r>
      <w:r w:rsidRPr="00C377C8">
        <w:rPr>
          <w:color w:val="000000" w:themeColor="text1"/>
        </w:rPr>
        <w:t>. Leiden: Brill.</w:t>
      </w:r>
    </w:p>
    <w:p w14:paraId="2DA483E9"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Richards, I., 2004. </w:t>
      </w:r>
      <w:r w:rsidRPr="00C377C8">
        <w:rPr>
          <w:rStyle w:val="selectable"/>
          <w:i/>
          <w:iCs/>
          <w:color w:val="000000" w:themeColor="text1"/>
        </w:rPr>
        <w:t>Interpretation In Teaching</w:t>
      </w:r>
      <w:r w:rsidRPr="00C377C8">
        <w:rPr>
          <w:rStyle w:val="selectable"/>
          <w:color w:val="000000" w:themeColor="text1"/>
        </w:rPr>
        <w:t>. New Delhi, India: Cosmo Publications.</w:t>
      </w:r>
    </w:p>
    <w:p w14:paraId="1B655AF6"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Richards, J. and Rodgers, T., 2015. </w:t>
      </w:r>
      <w:r w:rsidRPr="00C377C8">
        <w:rPr>
          <w:rFonts w:eastAsia="Times New Roman"/>
          <w:i/>
          <w:iCs/>
          <w:color w:val="000000" w:themeColor="text1"/>
          <w:lang w:eastAsia="en-GB"/>
        </w:rPr>
        <w:t>Approaches and methods in language teaching</w:t>
      </w:r>
      <w:r w:rsidRPr="00C377C8">
        <w:rPr>
          <w:rFonts w:eastAsia="Times New Roman"/>
          <w:color w:val="000000" w:themeColor="text1"/>
          <w:lang w:eastAsia="en-GB"/>
        </w:rPr>
        <w:t>. Cambridge: Cambridge University Press.</w:t>
      </w:r>
    </w:p>
    <w:p w14:paraId="1A5F56A0" w14:textId="77777777" w:rsidR="00FB6B91" w:rsidRPr="00C377C8" w:rsidRDefault="00FB6B91" w:rsidP="00461178">
      <w:pPr>
        <w:spacing w:line="360" w:lineRule="auto"/>
        <w:ind w:left="2268"/>
        <w:rPr>
          <w:color w:val="000000" w:themeColor="text1"/>
        </w:rPr>
      </w:pPr>
      <w:r w:rsidRPr="00C377C8">
        <w:rPr>
          <w:color w:val="000000" w:themeColor="text1"/>
        </w:rPr>
        <w:t>Richardson, V., 2002. </w:t>
      </w:r>
      <w:r w:rsidRPr="00C377C8">
        <w:rPr>
          <w:i/>
          <w:iCs/>
          <w:color w:val="000000" w:themeColor="text1"/>
        </w:rPr>
        <w:t>Handbook Of Research On Teaching</w:t>
      </w:r>
      <w:r w:rsidRPr="00C377C8">
        <w:rPr>
          <w:color w:val="000000" w:themeColor="text1"/>
        </w:rPr>
        <w:t>. Washington: American Educational Research Association.</w:t>
      </w:r>
    </w:p>
    <w:p w14:paraId="568B07FF"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Riordan-Karlsson, M., 2000. </w:t>
      </w:r>
      <w:r w:rsidRPr="00C377C8">
        <w:rPr>
          <w:rStyle w:val="selectable"/>
          <w:i/>
          <w:iCs/>
          <w:color w:val="000000" w:themeColor="text1"/>
        </w:rPr>
        <w:t>Constructivism</w:t>
      </w:r>
      <w:r w:rsidRPr="00C377C8">
        <w:rPr>
          <w:rStyle w:val="selectable"/>
          <w:color w:val="000000" w:themeColor="text1"/>
        </w:rPr>
        <w:t>. Westminster, CA: Teacher Created Materials.</w:t>
      </w:r>
    </w:p>
    <w:p w14:paraId="2EBEB39B" w14:textId="77777777" w:rsidR="00FB6B91" w:rsidRPr="00C377C8" w:rsidRDefault="00FB6B91" w:rsidP="00F1408E">
      <w:pPr>
        <w:ind w:left="2268"/>
        <w:rPr>
          <w:rFonts w:ascii="Calibri" w:eastAsia="Calibri" w:hAnsi="Calibri" w:cs="Times New Roman"/>
          <w:color w:val="000000" w:themeColor="text1"/>
        </w:rPr>
      </w:pPr>
      <w:r w:rsidRPr="00C377C8">
        <w:rPr>
          <w:rFonts w:ascii="Calibri" w:eastAsia="Calibri" w:hAnsi="Calibri" w:cs="Times New Roman"/>
          <w:color w:val="000000" w:themeColor="text1"/>
        </w:rPr>
        <w:t>Rippin, A., ìTafsirî, ER ed. by Mircea Eliade, p. 242</w:t>
      </w:r>
    </w:p>
    <w:p w14:paraId="64FCFF59"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Ritchhart, R., 2015. </w:t>
      </w:r>
      <w:r w:rsidRPr="00C377C8">
        <w:rPr>
          <w:rStyle w:val="selectable"/>
          <w:i/>
          <w:iCs/>
          <w:color w:val="000000" w:themeColor="text1"/>
        </w:rPr>
        <w:t>Creating Cultures of Thinking: The 8 Forces We Must Master to Truly Transfo</w:t>
      </w:r>
      <w:r w:rsidRPr="00C377C8">
        <w:rPr>
          <w:rStyle w:val="selectable"/>
          <w:color w:val="000000" w:themeColor="text1"/>
        </w:rPr>
        <w:t>. John Wiley &amp; Sons.</w:t>
      </w:r>
    </w:p>
    <w:p w14:paraId="58DCE275"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Robinson, J. and Lipman-Blumen, J., 2017. Challenging Our Assumptions About Male and Female Preferences for Competition. </w:t>
      </w:r>
      <w:r w:rsidRPr="00C377C8">
        <w:rPr>
          <w:rStyle w:val="selectable"/>
          <w:i/>
          <w:iCs/>
          <w:color w:val="000000" w:themeColor="text1"/>
        </w:rPr>
        <w:t>Journal of Leadership Studies</w:t>
      </w:r>
      <w:r w:rsidRPr="00C377C8">
        <w:rPr>
          <w:rStyle w:val="selectable"/>
          <w:color w:val="000000" w:themeColor="text1"/>
        </w:rPr>
        <w:t>, 10(4), pp.66-74.</w:t>
      </w:r>
    </w:p>
    <w:p w14:paraId="2CE87646"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Robinson, N., 2004. </w:t>
      </w:r>
      <w:r w:rsidRPr="00C377C8">
        <w:rPr>
          <w:rStyle w:val="selectable"/>
          <w:i/>
          <w:iCs/>
          <w:color w:val="000000" w:themeColor="text1"/>
        </w:rPr>
        <w:t>Discovering the Qur'an</w:t>
      </w:r>
      <w:r w:rsidRPr="00C377C8">
        <w:rPr>
          <w:rStyle w:val="selectable"/>
          <w:color w:val="000000" w:themeColor="text1"/>
        </w:rPr>
        <w:t>. Washington, D.C.: Georgetown University Press.</w:t>
      </w:r>
    </w:p>
    <w:p w14:paraId="6D0E381D" w14:textId="77777777" w:rsidR="00FB6B91" w:rsidRPr="00C377C8" w:rsidRDefault="00FB6B91" w:rsidP="00461178">
      <w:pPr>
        <w:spacing w:line="360" w:lineRule="auto"/>
        <w:ind w:left="2268"/>
        <w:rPr>
          <w:rStyle w:val="selectable"/>
          <w:color w:val="000000" w:themeColor="text1"/>
          <w:lang w:val="en-US"/>
        </w:rPr>
      </w:pPr>
      <w:r w:rsidRPr="00C377C8">
        <w:rPr>
          <w:color w:val="000000" w:themeColor="text1"/>
          <w:lang w:val="en-US"/>
        </w:rPr>
        <w:t>Rogers, B., 2015. </w:t>
      </w:r>
      <w:r w:rsidRPr="00C377C8">
        <w:rPr>
          <w:i/>
          <w:iCs/>
          <w:color w:val="000000" w:themeColor="text1"/>
          <w:lang w:val="en-US"/>
        </w:rPr>
        <w:t>Classroom behaviour</w:t>
      </w:r>
      <w:r w:rsidRPr="00C377C8">
        <w:rPr>
          <w:color w:val="000000" w:themeColor="text1"/>
          <w:lang w:val="en-US"/>
        </w:rPr>
        <w:t>. London: SAGE.</w:t>
      </w:r>
    </w:p>
    <w:p w14:paraId="558BA4D3"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Rogers, J., 2007. </w:t>
      </w:r>
      <w:r w:rsidRPr="00C377C8">
        <w:rPr>
          <w:rFonts w:eastAsia="Times New Roman"/>
          <w:i/>
          <w:iCs/>
          <w:color w:val="000000" w:themeColor="text1"/>
          <w:lang w:eastAsia="en-GB"/>
        </w:rPr>
        <w:t>Adults Learning</w:t>
      </w:r>
      <w:r w:rsidRPr="00C377C8">
        <w:rPr>
          <w:rFonts w:eastAsia="Times New Roman"/>
          <w:color w:val="000000" w:themeColor="text1"/>
          <w:lang w:eastAsia="en-GB"/>
        </w:rPr>
        <w:t>. Maidenhead: Open University Press.</w:t>
      </w:r>
    </w:p>
    <w:p w14:paraId="693F08E5" w14:textId="77777777" w:rsidR="00FB6B91" w:rsidRPr="00C377C8" w:rsidRDefault="00FB6B91" w:rsidP="00461178">
      <w:pPr>
        <w:spacing w:line="360" w:lineRule="auto"/>
        <w:ind w:left="2268"/>
        <w:rPr>
          <w:color w:val="000000" w:themeColor="text1"/>
        </w:rPr>
      </w:pPr>
      <w:r w:rsidRPr="00C377C8">
        <w:rPr>
          <w:rStyle w:val="selectable"/>
          <w:rFonts w:eastAsia="Calibri"/>
          <w:color w:val="000000" w:themeColor="text1"/>
        </w:rPr>
        <w:t>Rogerson, J., 2014. </w:t>
      </w:r>
      <w:r w:rsidRPr="00C377C8">
        <w:rPr>
          <w:rStyle w:val="selectable"/>
          <w:rFonts w:eastAsia="Calibri"/>
          <w:i/>
          <w:iCs/>
          <w:color w:val="000000" w:themeColor="text1"/>
        </w:rPr>
        <w:t>An Introduction To The Bible</w:t>
      </w:r>
      <w:r w:rsidRPr="00C377C8">
        <w:rPr>
          <w:rStyle w:val="selectable"/>
          <w:rFonts w:eastAsia="Calibri"/>
          <w:color w:val="000000" w:themeColor="text1"/>
        </w:rPr>
        <w:t>. Hoboken: Taylor and Francis.</w:t>
      </w:r>
    </w:p>
    <w:p w14:paraId="324515A7" w14:textId="77777777" w:rsidR="00FB6B91" w:rsidRPr="00C377C8" w:rsidRDefault="00FB6B91" w:rsidP="00461178">
      <w:pPr>
        <w:spacing w:line="360" w:lineRule="auto"/>
        <w:ind w:left="2268"/>
        <w:rPr>
          <w:color w:val="000000" w:themeColor="text1"/>
        </w:rPr>
      </w:pPr>
      <w:r w:rsidRPr="00C377C8">
        <w:rPr>
          <w:color w:val="000000" w:themeColor="text1"/>
        </w:rPr>
        <w:t>Rollins, B., 2010. </w:t>
      </w:r>
      <w:r w:rsidRPr="00C377C8">
        <w:rPr>
          <w:i/>
          <w:iCs/>
          <w:color w:val="000000" w:themeColor="text1"/>
        </w:rPr>
        <w:t>Critical Thinking</w:t>
      </w:r>
      <w:r w:rsidRPr="00C377C8">
        <w:rPr>
          <w:color w:val="000000" w:themeColor="text1"/>
        </w:rPr>
        <w:t>. San Diego, Calif.: Classroom Complete Press.</w:t>
      </w:r>
    </w:p>
    <w:p w14:paraId="1F5C870E"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Roose, G. and John, A., 2003. A focus group investigation into young children's understanding of mental health and their views on appropriate services for their age group. </w:t>
      </w:r>
      <w:r w:rsidRPr="00C377C8">
        <w:rPr>
          <w:i/>
          <w:iCs/>
          <w:color w:val="000000" w:themeColor="text1"/>
          <w:shd w:val="clear" w:color="auto" w:fill="FFFFFF"/>
        </w:rPr>
        <w:t>Child: Care, Health and Development</w:t>
      </w:r>
      <w:r w:rsidRPr="00C377C8">
        <w:rPr>
          <w:color w:val="000000" w:themeColor="text1"/>
          <w:shd w:val="clear" w:color="auto" w:fill="FFFFFF"/>
        </w:rPr>
        <w:t>, 29(6), pp.545-550.</w:t>
      </w:r>
    </w:p>
    <w:p w14:paraId="3BB5E054"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Rosenau, P., 2001. </w:t>
      </w:r>
      <w:r w:rsidRPr="00C377C8">
        <w:rPr>
          <w:rStyle w:val="selectable"/>
          <w:i/>
          <w:iCs/>
          <w:color w:val="000000" w:themeColor="text1"/>
        </w:rPr>
        <w:t>Post-Modernism And The Social Sciences</w:t>
      </w:r>
      <w:r w:rsidRPr="00C377C8">
        <w:rPr>
          <w:rStyle w:val="selectable"/>
          <w:color w:val="000000" w:themeColor="text1"/>
        </w:rPr>
        <w:t>. Princeton: Princeton University Press.</w:t>
      </w:r>
    </w:p>
    <w:p w14:paraId="4B6BD1DA"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Rossman, G. and Rallis, S., 2017. </w:t>
      </w:r>
      <w:r w:rsidRPr="00C377C8">
        <w:rPr>
          <w:rStyle w:val="selectable"/>
          <w:i/>
          <w:iCs/>
          <w:color w:val="000000" w:themeColor="text1"/>
        </w:rPr>
        <w:t>An introduction to qualitative research</w:t>
      </w:r>
      <w:r w:rsidRPr="00C377C8">
        <w:rPr>
          <w:rStyle w:val="selectable"/>
          <w:color w:val="000000" w:themeColor="text1"/>
        </w:rPr>
        <w:t>. Thousand Oaks (Calif.): Sage Publications.</w:t>
      </w:r>
    </w:p>
    <w:p w14:paraId="025E8226" w14:textId="77777777" w:rsidR="00FB6B91" w:rsidRPr="00C377C8" w:rsidRDefault="00FB6B91" w:rsidP="00461178">
      <w:pPr>
        <w:spacing w:line="360" w:lineRule="auto"/>
        <w:ind w:left="2268"/>
        <w:rPr>
          <w:color w:val="000000" w:themeColor="text1"/>
          <w:lang w:val="en-US"/>
        </w:rPr>
      </w:pPr>
      <w:r w:rsidRPr="00C377C8">
        <w:rPr>
          <w:color w:val="000000" w:themeColor="text1"/>
          <w:lang w:val="en-US"/>
        </w:rPr>
        <w:t>Rubie-Davies, C., 2015. </w:t>
      </w:r>
      <w:r w:rsidRPr="00C377C8">
        <w:rPr>
          <w:i/>
          <w:iCs/>
          <w:color w:val="000000" w:themeColor="text1"/>
          <w:lang w:val="en-US"/>
        </w:rPr>
        <w:t>Becoming a high expectation teacher</w:t>
      </w:r>
      <w:r w:rsidRPr="00C377C8">
        <w:rPr>
          <w:color w:val="000000" w:themeColor="text1"/>
          <w:lang w:val="en-US"/>
        </w:rPr>
        <w:t>. London: Routledge Taylors and Francis Group.</w:t>
      </w:r>
    </w:p>
    <w:p w14:paraId="7EB39922" w14:textId="77777777" w:rsidR="00FB6B91" w:rsidRPr="00C377C8" w:rsidRDefault="00FB6B91" w:rsidP="00461178">
      <w:pPr>
        <w:spacing w:line="360" w:lineRule="auto"/>
        <w:ind w:left="2268"/>
        <w:rPr>
          <w:color w:val="000000" w:themeColor="text1"/>
        </w:rPr>
      </w:pPr>
      <w:r w:rsidRPr="00C377C8">
        <w:rPr>
          <w:color w:val="000000" w:themeColor="text1"/>
        </w:rPr>
        <w:t>Rudduck, J. &amp; McIntyre, D., 2007. Improving Learning Through Consulting Pupils, London: Ro</w:t>
      </w:r>
      <w:r w:rsidRPr="00C377C8">
        <w:rPr>
          <w:rStyle w:val="selectable"/>
          <w:color w:val="000000" w:themeColor="text1"/>
        </w:rPr>
        <w:t xml:space="preserve"> Roebuck, C., 1998. </w:t>
      </w:r>
      <w:r w:rsidRPr="00C377C8">
        <w:rPr>
          <w:rStyle w:val="selectable"/>
          <w:i/>
          <w:iCs/>
          <w:color w:val="000000" w:themeColor="text1"/>
        </w:rPr>
        <w:t>Effective Communication</w:t>
      </w:r>
      <w:r w:rsidRPr="00C377C8">
        <w:rPr>
          <w:rStyle w:val="selectable"/>
          <w:color w:val="000000" w:themeColor="text1"/>
        </w:rPr>
        <w:t>. New York: AMACOM</w:t>
      </w:r>
      <w:r w:rsidRPr="00C377C8">
        <w:rPr>
          <w:color w:val="000000" w:themeColor="text1"/>
        </w:rPr>
        <w:t xml:space="preserve"> utledge.</w:t>
      </w:r>
    </w:p>
    <w:p w14:paraId="4B06A96F"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Ruijs, N. and Peetsma, T., 2009. Effects of inclusion on students with and without special educational needs reviewed. </w:t>
      </w:r>
      <w:r w:rsidRPr="00C377C8">
        <w:rPr>
          <w:rStyle w:val="selectable"/>
          <w:i/>
          <w:iCs/>
          <w:color w:val="000000" w:themeColor="text1"/>
        </w:rPr>
        <w:t>Educational Research Review</w:t>
      </w:r>
      <w:r w:rsidRPr="00C377C8">
        <w:rPr>
          <w:rStyle w:val="selectable"/>
          <w:color w:val="000000" w:themeColor="text1"/>
        </w:rPr>
        <w:t>, 4(2), pp.67-79.</w:t>
      </w:r>
    </w:p>
    <w:p w14:paraId="599EF073"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Russ, R., 2014. Epistemology of Science vs. Epistemology for Science. </w:t>
      </w:r>
      <w:r w:rsidRPr="00C377C8">
        <w:rPr>
          <w:rStyle w:val="selectable"/>
          <w:i/>
          <w:iCs/>
          <w:color w:val="000000" w:themeColor="text1"/>
        </w:rPr>
        <w:t>Science Education</w:t>
      </w:r>
      <w:r w:rsidRPr="00C377C8">
        <w:rPr>
          <w:rStyle w:val="selectable"/>
          <w:color w:val="000000" w:themeColor="text1"/>
        </w:rPr>
        <w:t>, 98(3), pp.388-396.</w:t>
      </w:r>
    </w:p>
    <w:p w14:paraId="417B3F8C"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Rust, C., 2008. </w:t>
      </w:r>
      <w:r w:rsidRPr="00C377C8">
        <w:rPr>
          <w:rStyle w:val="selectable"/>
          <w:i/>
          <w:iCs/>
          <w:color w:val="000000" w:themeColor="text1"/>
        </w:rPr>
        <w:t>Improving student learning</w:t>
      </w:r>
      <w:r w:rsidRPr="00C377C8">
        <w:rPr>
          <w:rStyle w:val="selectable"/>
          <w:color w:val="000000" w:themeColor="text1"/>
        </w:rPr>
        <w:t>. Oxford: Oxford Centre for Staff and Learning Development.</w:t>
      </w:r>
    </w:p>
    <w:p w14:paraId="3041BA8C"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Ryding, K., 2013. </w:t>
      </w:r>
      <w:r w:rsidRPr="00C377C8">
        <w:rPr>
          <w:rStyle w:val="selectable"/>
          <w:i/>
          <w:iCs/>
          <w:color w:val="000000" w:themeColor="text1"/>
        </w:rPr>
        <w:t>Teaching And Learning Arabic As A Foreign Language</w:t>
      </w:r>
      <w:r w:rsidRPr="00C377C8">
        <w:rPr>
          <w:rStyle w:val="selectable"/>
          <w:color w:val="000000" w:themeColor="text1"/>
        </w:rPr>
        <w:t xml:space="preserve">. Washington, DC: </w:t>
      </w:r>
    </w:p>
    <w:p w14:paraId="649E5AC8"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s.</w:t>
      </w:r>
    </w:p>
    <w:p w14:paraId="2A0DA743"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Sæbø, M., 1996. </w:t>
      </w:r>
      <w:r w:rsidRPr="00C377C8">
        <w:rPr>
          <w:rFonts w:eastAsia="Times New Roman"/>
          <w:i/>
          <w:iCs/>
          <w:color w:val="000000" w:themeColor="text1"/>
          <w:lang w:eastAsia="en-GB"/>
        </w:rPr>
        <w:t>Hebrew Bible, Old Testament: the history of its interpretation</w:t>
      </w:r>
      <w:r w:rsidRPr="00C377C8">
        <w:rPr>
          <w:rFonts w:eastAsia="Times New Roman"/>
          <w:color w:val="000000" w:themeColor="text1"/>
          <w:lang w:eastAsia="en-GB"/>
        </w:rPr>
        <w:t>. 2nd ed. Bristol: Hobert &amp; Co.</w:t>
      </w:r>
    </w:p>
    <w:p w14:paraId="68D691CD"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Saeed, A., 2014. </w:t>
      </w:r>
      <w:r w:rsidRPr="00C377C8">
        <w:rPr>
          <w:i/>
          <w:iCs/>
          <w:color w:val="000000" w:themeColor="text1"/>
          <w:shd w:val="clear" w:color="auto" w:fill="FFFFFF"/>
        </w:rPr>
        <w:t>Reading the Qur'an in the Twenty-First Century: A ...</w:t>
      </w:r>
      <w:r w:rsidRPr="00C377C8">
        <w:rPr>
          <w:color w:val="000000" w:themeColor="text1"/>
          <w:shd w:val="clear" w:color="auto" w:fill="FFFFFF"/>
        </w:rPr>
        <w:t>. london: Routledge.</w:t>
      </w:r>
    </w:p>
    <w:p w14:paraId="0AA444DC" w14:textId="77777777" w:rsidR="00FB6B91" w:rsidRPr="00C377C8" w:rsidRDefault="00FB6B91" w:rsidP="00461178">
      <w:pPr>
        <w:spacing w:line="360" w:lineRule="auto"/>
        <w:ind w:left="2268"/>
        <w:rPr>
          <w:color w:val="000000" w:themeColor="text1"/>
        </w:rPr>
      </w:pPr>
      <w:r w:rsidRPr="00C377C8">
        <w:rPr>
          <w:color w:val="000000" w:themeColor="text1"/>
        </w:rPr>
        <w:t>Sahin, A., 2018. Critical Issues in Islamic Education Studies: Rethinking Islamic and Western Liberal Secular Values of Education. </w:t>
      </w:r>
      <w:r w:rsidRPr="00C377C8">
        <w:rPr>
          <w:i/>
          <w:iCs/>
          <w:color w:val="000000" w:themeColor="text1"/>
        </w:rPr>
        <w:t>Religions</w:t>
      </w:r>
      <w:r w:rsidRPr="00C377C8">
        <w:rPr>
          <w:color w:val="000000" w:themeColor="text1"/>
        </w:rPr>
        <w:t>, 9(11), p.335.</w:t>
      </w:r>
    </w:p>
    <w:p w14:paraId="5AF2682A"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Saʻīdī, G., 2014. </w:t>
      </w:r>
      <w:r w:rsidRPr="00C377C8">
        <w:rPr>
          <w:rStyle w:val="selectable"/>
          <w:i/>
          <w:iCs/>
          <w:color w:val="000000" w:themeColor="text1"/>
        </w:rPr>
        <w:t>Tibyānulqurʼān</w:t>
      </w:r>
      <w:r w:rsidRPr="00C377C8">
        <w:rPr>
          <w:rStyle w:val="selectable"/>
          <w:color w:val="000000" w:themeColor="text1"/>
        </w:rPr>
        <w:t>. Lāhaur: Farīd Buk Sṭāl.</w:t>
      </w:r>
    </w:p>
    <w:p w14:paraId="2092EE99" w14:textId="77777777" w:rsidR="00FB6B91" w:rsidRPr="00C377C8" w:rsidRDefault="00FB6B91" w:rsidP="00461178">
      <w:pPr>
        <w:spacing w:line="360" w:lineRule="auto"/>
        <w:ind w:left="2268"/>
        <w:rPr>
          <w:color w:val="000000" w:themeColor="text1"/>
        </w:rPr>
      </w:pPr>
      <w:r w:rsidRPr="00C377C8">
        <w:rPr>
          <w:rStyle w:val="Strong"/>
          <w:color w:val="000000" w:themeColor="text1"/>
        </w:rPr>
        <w:t> </w:t>
      </w:r>
      <w:r w:rsidRPr="00C377C8">
        <w:rPr>
          <w:rStyle w:val="selectable"/>
          <w:color w:val="000000" w:themeColor="text1"/>
        </w:rPr>
        <w:t>Saleh, W., 2004. </w:t>
      </w:r>
      <w:r w:rsidRPr="00C377C8">
        <w:rPr>
          <w:rStyle w:val="selectable"/>
          <w:i/>
          <w:iCs/>
          <w:color w:val="000000" w:themeColor="text1"/>
        </w:rPr>
        <w:t>The formation of the classical tafsīr tradition</w:t>
      </w:r>
      <w:r w:rsidRPr="00C377C8">
        <w:rPr>
          <w:rStyle w:val="selectable"/>
          <w:color w:val="000000" w:themeColor="text1"/>
        </w:rPr>
        <w:t>. Leiden: Brill.</w:t>
      </w:r>
    </w:p>
    <w:p w14:paraId="3FD8272B"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Salili, F. and Hoosain, R., 2001. </w:t>
      </w:r>
      <w:r w:rsidRPr="00C377C8">
        <w:rPr>
          <w:rStyle w:val="selectable"/>
          <w:i/>
          <w:iCs/>
          <w:color w:val="000000" w:themeColor="text1"/>
        </w:rPr>
        <w:t>Multicultural education</w:t>
      </w:r>
      <w:r w:rsidRPr="00C377C8">
        <w:rPr>
          <w:rStyle w:val="selectable"/>
          <w:color w:val="000000" w:themeColor="text1"/>
        </w:rPr>
        <w:t>. Greenwich, Conn.: Information Age Pub.</w:t>
      </w:r>
    </w:p>
    <w:p w14:paraId="62637050" w14:textId="77777777" w:rsidR="00FB6B91" w:rsidRPr="00C377C8" w:rsidRDefault="00FB6B91" w:rsidP="00461178">
      <w:pPr>
        <w:spacing w:line="360" w:lineRule="auto"/>
        <w:ind w:left="2268"/>
        <w:rPr>
          <w:color w:val="000000" w:themeColor="text1"/>
        </w:rPr>
      </w:pPr>
      <w:r w:rsidRPr="00C377C8">
        <w:rPr>
          <w:color w:val="000000" w:themeColor="text1"/>
        </w:rPr>
        <w:t>Salma, H., 2009. Quran and Modern Thoughts. Lahore: al-Hamd Publications.</w:t>
      </w:r>
    </w:p>
    <w:p w14:paraId="1BD8A925" w14:textId="77777777" w:rsidR="00FB6B91" w:rsidRPr="00C377C8" w:rsidRDefault="00FB6B91" w:rsidP="00461178">
      <w:pPr>
        <w:spacing w:line="360" w:lineRule="auto"/>
        <w:ind w:left="2268"/>
        <w:rPr>
          <w:color w:val="000000" w:themeColor="text1"/>
        </w:rPr>
      </w:pPr>
      <w:r w:rsidRPr="00C377C8">
        <w:rPr>
          <w:color w:val="000000" w:themeColor="text1"/>
        </w:rPr>
        <w:t>Salverda, R., 2002. Multilingualism in Metropolitan London. </w:t>
      </w:r>
      <w:r w:rsidRPr="00C377C8">
        <w:rPr>
          <w:i/>
          <w:iCs/>
          <w:color w:val="000000" w:themeColor="text1"/>
        </w:rPr>
        <w:t>English Today</w:t>
      </w:r>
      <w:r w:rsidRPr="00C377C8">
        <w:rPr>
          <w:color w:val="000000" w:themeColor="text1"/>
        </w:rPr>
        <w:t>, 18(1), pp.17-24.</w:t>
      </w:r>
    </w:p>
    <w:p w14:paraId="61DDC27C" w14:textId="77777777" w:rsidR="00FB6B91" w:rsidRPr="00C377C8" w:rsidRDefault="00FB6B91" w:rsidP="00461178">
      <w:pPr>
        <w:spacing w:line="360" w:lineRule="auto"/>
        <w:ind w:left="2268"/>
        <w:rPr>
          <w:color w:val="000000" w:themeColor="text1"/>
        </w:rPr>
      </w:pPr>
      <w:r w:rsidRPr="00C377C8">
        <w:rPr>
          <w:color w:val="000000" w:themeColor="text1"/>
        </w:rPr>
        <w:t>Sammons, P.E., 2014. Influences on Students’ Social-behaviour Development at age 16 Effective Pre-School, Primary&amp; Secondary Education Project. London: ResearchGate</w:t>
      </w:r>
    </w:p>
    <w:p w14:paraId="137B0B48"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Sandu, A., Frunză, A. and Unguru, E., 2019. </w:t>
      </w:r>
      <w:r w:rsidRPr="00C377C8">
        <w:rPr>
          <w:rStyle w:val="selectable"/>
          <w:i/>
          <w:iCs/>
          <w:color w:val="000000" w:themeColor="text1"/>
        </w:rPr>
        <w:t>Ethics in research practice and innovation</w:t>
      </w:r>
      <w:r w:rsidRPr="00C377C8">
        <w:rPr>
          <w:rStyle w:val="selectable"/>
          <w:color w:val="000000" w:themeColor="text1"/>
        </w:rPr>
        <w:t>. Romania: IGI Publications.</w:t>
      </w:r>
    </w:p>
    <w:p w14:paraId="726C82C6"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Santone, S., 2019. </w:t>
      </w:r>
      <w:r w:rsidRPr="00C377C8">
        <w:rPr>
          <w:rStyle w:val="selectable"/>
          <w:i/>
          <w:iCs/>
          <w:color w:val="000000" w:themeColor="text1"/>
        </w:rPr>
        <w:t>Reframing the curriculum</w:t>
      </w:r>
      <w:r w:rsidRPr="00C377C8">
        <w:rPr>
          <w:rStyle w:val="selectable"/>
          <w:color w:val="000000" w:themeColor="text1"/>
        </w:rPr>
        <w:t>. Taylors and Francis: New York.</w:t>
      </w:r>
    </w:p>
    <w:p w14:paraId="47E1D9EB" w14:textId="77777777" w:rsidR="00FB6B91" w:rsidRPr="00C377C8" w:rsidRDefault="00FB6B91" w:rsidP="00461178">
      <w:pPr>
        <w:spacing w:line="360" w:lineRule="auto"/>
        <w:ind w:left="2268"/>
        <w:rPr>
          <w:rStyle w:val="Strong"/>
          <w:b w:val="0"/>
          <w:color w:val="000000" w:themeColor="text1"/>
        </w:rPr>
      </w:pPr>
      <w:r w:rsidRPr="00C377C8">
        <w:rPr>
          <w:rStyle w:val="selectable"/>
          <w:color w:val="000000" w:themeColor="text1"/>
        </w:rPr>
        <w:t>Sarantakos, S., 2005. </w:t>
      </w:r>
      <w:r w:rsidRPr="00C377C8">
        <w:rPr>
          <w:rStyle w:val="selectable"/>
          <w:i/>
          <w:iCs/>
          <w:color w:val="000000" w:themeColor="text1"/>
        </w:rPr>
        <w:t>Social research</w:t>
      </w:r>
      <w:r w:rsidRPr="00C377C8">
        <w:rPr>
          <w:rStyle w:val="selectable"/>
          <w:color w:val="000000" w:themeColor="text1"/>
        </w:rPr>
        <w:t>. New York: Palgrave Macmillan.</w:t>
      </w:r>
    </w:p>
    <w:p w14:paraId="3E71ED1B"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Sardar, Z., 2012. </w:t>
      </w:r>
      <w:r w:rsidRPr="00C377C8">
        <w:rPr>
          <w:rFonts w:eastAsia="Times New Roman"/>
          <w:i/>
          <w:iCs/>
          <w:color w:val="000000" w:themeColor="text1"/>
          <w:lang w:eastAsia="en-GB"/>
        </w:rPr>
        <w:t>Reading the Qur'an</w:t>
      </w:r>
      <w:r w:rsidRPr="00C377C8">
        <w:rPr>
          <w:rFonts w:eastAsia="Times New Roman"/>
          <w:color w:val="000000" w:themeColor="text1"/>
          <w:lang w:eastAsia="en-GB"/>
        </w:rPr>
        <w:t>. India: HEbooks.</w:t>
      </w:r>
    </w:p>
    <w:p w14:paraId="33A1EB64"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Sardar, Z., 2012. </w:t>
      </w:r>
      <w:r w:rsidRPr="00C377C8">
        <w:rPr>
          <w:rStyle w:val="selectable"/>
          <w:i/>
          <w:iCs/>
          <w:color w:val="000000" w:themeColor="text1"/>
        </w:rPr>
        <w:t>Reading the Qur'an</w:t>
      </w:r>
      <w:r w:rsidRPr="00C377C8">
        <w:rPr>
          <w:rStyle w:val="selectable"/>
          <w:color w:val="000000" w:themeColor="text1"/>
        </w:rPr>
        <w:t>. London: Oxford University Press.</w:t>
      </w:r>
    </w:p>
    <w:p w14:paraId="65D03936" w14:textId="77777777" w:rsidR="00FB6B91" w:rsidRPr="00C377C8" w:rsidRDefault="00FB6B91" w:rsidP="00461178">
      <w:pPr>
        <w:spacing w:line="360" w:lineRule="auto"/>
        <w:ind w:left="2268"/>
        <w:rPr>
          <w:color w:val="000000" w:themeColor="text1"/>
        </w:rPr>
      </w:pPr>
      <w:r w:rsidRPr="00C377C8">
        <w:rPr>
          <w:color w:val="000000" w:themeColor="text1"/>
        </w:rPr>
        <w:t>Sartre, P., 1969. Being and Nothingness: An Essay on Phenomenological Ontology. Methuen, London.</w:t>
      </w:r>
    </w:p>
    <w:p w14:paraId="002FBD50"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Savin-Baden, M. and Major, C., 2013. Qualitative research. Abingdon, Oxon: Routledge.</w:t>
      </w:r>
    </w:p>
    <w:p w14:paraId="427E60BB" w14:textId="77777777" w:rsidR="00FB6B91" w:rsidRPr="00C377C8" w:rsidRDefault="00FB6B91" w:rsidP="00461178">
      <w:pPr>
        <w:spacing w:line="360" w:lineRule="auto"/>
        <w:ind w:left="2268"/>
        <w:rPr>
          <w:color w:val="000000" w:themeColor="text1"/>
        </w:rPr>
      </w:pPr>
      <w:r w:rsidRPr="00C377C8">
        <w:rPr>
          <w:color w:val="000000" w:themeColor="text1"/>
        </w:rPr>
        <w:t>Sayis, M. and 'Umayrat, Z., 2010. </w:t>
      </w:r>
      <w:r w:rsidRPr="00C377C8">
        <w:rPr>
          <w:i/>
          <w:iCs/>
          <w:color w:val="000000" w:themeColor="text1"/>
        </w:rPr>
        <w:t>Tafsir Ayat Al-Ahkam</w:t>
      </w:r>
      <w:r w:rsidRPr="00C377C8">
        <w:rPr>
          <w:color w:val="000000" w:themeColor="text1"/>
        </w:rPr>
        <w:t>. Beirut: Dar al-Kutub al-'Ilmiyah.</w:t>
      </w:r>
    </w:p>
    <w:p w14:paraId="0551C865"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Schleicher, A., 2011. </w:t>
      </w:r>
      <w:r w:rsidRPr="00C377C8">
        <w:rPr>
          <w:i/>
          <w:iCs/>
          <w:color w:val="000000" w:themeColor="text1"/>
          <w:shd w:val="clear" w:color="auto" w:fill="FFFFFF"/>
        </w:rPr>
        <w:t>Building a high-quality teaching profession</w:t>
      </w:r>
      <w:r w:rsidRPr="00C377C8">
        <w:rPr>
          <w:color w:val="000000" w:themeColor="text1"/>
          <w:shd w:val="clear" w:color="auto" w:fill="FFFFFF"/>
        </w:rPr>
        <w:t>. Paris: OECD.</w:t>
      </w:r>
    </w:p>
    <w:p w14:paraId="2D81801E" w14:textId="77777777" w:rsidR="00FB6B91" w:rsidRPr="00C377C8" w:rsidRDefault="00FB6B91" w:rsidP="00461178">
      <w:pPr>
        <w:spacing w:line="360" w:lineRule="auto"/>
        <w:ind w:left="2268"/>
        <w:rPr>
          <w:color w:val="000000" w:themeColor="text1"/>
          <w:lang w:val="en-US"/>
        </w:rPr>
      </w:pPr>
      <w:r w:rsidRPr="00C377C8">
        <w:rPr>
          <w:color w:val="000000" w:themeColor="text1"/>
          <w:lang w:val="en-US"/>
        </w:rPr>
        <w:t>Schostak, J., 2006. </w:t>
      </w:r>
      <w:r w:rsidRPr="00C377C8">
        <w:rPr>
          <w:i/>
          <w:iCs/>
          <w:color w:val="000000" w:themeColor="text1"/>
          <w:lang w:val="en-US"/>
        </w:rPr>
        <w:t>Interviewing and representation in qualitative research</w:t>
      </w:r>
      <w:r w:rsidRPr="00C377C8">
        <w:rPr>
          <w:color w:val="000000" w:themeColor="text1"/>
          <w:lang w:val="en-US"/>
        </w:rPr>
        <w:t>. Maidenhead, England: Open University Press.</w:t>
      </w:r>
    </w:p>
    <w:p w14:paraId="5C1CC5EE" w14:textId="77777777" w:rsidR="00FB6B91" w:rsidRPr="00C377C8" w:rsidRDefault="00FB6B91" w:rsidP="00461178">
      <w:pPr>
        <w:spacing w:line="360" w:lineRule="auto"/>
        <w:ind w:left="2268"/>
        <w:rPr>
          <w:color w:val="000000" w:themeColor="text1"/>
        </w:rPr>
      </w:pPr>
      <w:r w:rsidRPr="00C377C8">
        <w:rPr>
          <w:color w:val="000000" w:themeColor="text1"/>
        </w:rPr>
        <w:t>Schutt, R. K., Check, J., 2011. Research Methods in Education. United Kingdom: SAGE Publications.</w:t>
      </w:r>
    </w:p>
    <w:p w14:paraId="56E21CCB" w14:textId="77777777" w:rsidR="00FB6B91" w:rsidRPr="00C377C8" w:rsidRDefault="00FB6B91" w:rsidP="00461178">
      <w:pPr>
        <w:spacing w:line="360" w:lineRule="auto"/>
        <w:ind w:left="2268"/>
        <w:rPr>
          <w:color w:val="000000" w:themeColor="text1"/>
        </w:rPr>
      </w:pPr>
      <w:r w:rsidRPr="00C377C8">
        <w:rPr>
          <w:color w:val="000000" w:themeColor="text1"/>
        </w:rPr>
        <w:t>Schwartz, L., 1980. Criteria for Effective University Teaching. </w:t>
      </w:r>
      <w:r w:rsidRPr="00C377C8">
        <w:rPr>
          <w:i/>
          <w:iCs/>
          <w:color w:val="000000" w:themeColor="text1"/>
        </w:rPr>
        <w:t>Improving College and University Teaching</w:t>
      </w:r>
      <w:r w:rsidRPr="00C377C8">
        <w:rPr>
          <w:color w:val="000000" w:themeColor="text1"/>
        </w:rPr>
        <w:t>, 28(3), pp.120-123.</w:t>
      </w:r>
    </w:p>
    <w:p w14:paraId="3B776FB6" w14:textId="77777777" w:rsidR="00FB6B91" w:rsidRPr="00C377C8" w:rsidRDefault="00FB6B91" w:rsidP="00461178">
      <w:pPr>
        <w:spacing w:line="360" w:lineRule="auto"/>
        <w:ind w:left="2268"/>
        <w:rPr>
          <w:color w:val="000000" w:themeColor="text1"/>
        </w:rPr>
      </w:pPr>
      <w:r w:rsidRPr="00C377C8">
        <w:rPr>
          <w:rStyle w:val="Strong"/>
          <w:b w:val="0"/>
          <w:color w:val="000000" w:themeColor="text1"/>
        </w:rPr>
        <w:t> </w:t>
      </w:r>
      <w:r w:rsidRPr="00C377C8">
        <w:rPr>
          <w:rStyle w:val="selectable"/>
          <w:color w:val="000000" w:themeColor="text1"/>
        </w:rPr>
        <w:t>Scott, D. and Usher, R., 1996. </w:t>
      </w:r>
      <w:r w:rsidRPr="00C377C8">
        <w:rPr>
          <w:rStyle w:val="selectable"/>
          <w:i/>
          <w:iCs/>
          <w:color w:val="000000" w:themeColor="text1"/>
        </w:rPr>
        <w:t>Understanding Educational Research</w:t>
      </w:r>
      <w:r w:rsidRPr="00C377C8">
        <w:rPr>
          <w:rStyle w:val="selectable"/>
          <w:color w:val="000000" w:themeColor="text1"/>
        </w:rPr>
        <w:t>. London: Routledge.</w:t>
      </w:r>
    </w:p>
    <w:p w14:paraId="70057C65"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Seale, C., 2011. </w:t>
      </w:r>
      <w:r w:rsidRPr="00C377C8">
        <w:rPr>
          <w:rStyle w:val="selectable"/>
          <w:i/>
          <w:iCs/>
          <w:color w:val="000000" w:themeColor="text1"/>
        </w:rPr>
        <w:t>Qualitative research practice</w:t>
      </w:r>
      <w:r w:rsidRPr="00C377C8">
        <w:rPr>
          <w:rStyle w:val="selectable"/>
          <w:color w:val="000000" w:themeColor="text1"/>
        </w:rPr>
        <w:t>. Los Angeles: SAGE.</w:t>
      </w:r>
    </w:p>
    <w:p w14:paraId="1D822262" w14:textId="77777777" w:rsidR="00FB6B91" w:rsidRPr="00C377C8" w:rsidRDefault="00FB6B91" w:rsidP="00461178">
      <w:pPr>
        <w:spacing w:line="360" w:lineRule="auto"/>
        <w:ind w:left="2268"/>
        <w:rPr>
          <w:color w:val="000000" w:themeColor="text1"/>
        </w:rPr>
      </w:pPr>
      <w:r w:rsidRPr="00C377C8">
        <w:rPr>
          <w:color w:val="000000" w:themeColor="text1"/>
        </w:rPr>
        <w:t>See, E., 2015. </w:t>
      </w:r>
      <w:r w:rsidRPr="00C377C8">
        <w:rPr>
          <w:i/>
          <w:iCs/>
          <w:color w:val="000000" w:themeColor="text1"/>
        </w:rPr>
        <w:t>Teaching of Bible Class, Princilpes and Methods</w:t>
      </w:r>
      <w:r w:rsidRPr="00C377C8">
        <w:rPr>
          <w:color w:val="000000" w:themeColor="text1"/>
        </w:rPr>
        <w:t>. Oxford: Forgotten Books</w:t>
      </w:r>
    </w:p>
    <w:p w14:paraId="246DCE76"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Seedat, F., 2013. When Islam and Feminism Converge. </w:t>
      </w:r>
      <w:r w:rsidRPr="00C377C8">
        <w:rPr>
          <w:rStyle w:val="selectable"/>
          <w:i/>
          <w:iCs/>
          <w:color w:val="000000" w:themeColor="text1"/>
        </w:rPr>
        <w:t>The Muslim World</w:t>
      </w:r>
      <w:r w:rsidRPr="00C377C8">
        <w:rPr>
          <w:rStyle w:val="selectable"/>
          <w:color w:val="000000" w:themeColor="text1"/>
        </w:rPr>
        <w:t>, 103(3), pp.404-420.</w:t>
      </w:r>
    </w:p>
    <w:p w14:paraId="23965BF0"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Seedhouse, P., 2004. Different Perspectives on Language Classroom Interaction. </w:t>
      </w:r>
      <w:r w:rsidRPr="00C377C8">
        <w:rPr>
          <w:rFonts w:eastAsia="Times New Roman"/>
          <w:i/>
          <w:iCs/>
          <w:color w:val="000000" w:themeColor="text1"/>
          <w:lang w:eastAsia="en-GB"/>
        </w:rPr>
        <w:t>Language Learning</w:t>
      </w:r>
      <w:r w:rsidRPr="00C377C8">
        <w:rPr>
          <w:rFonts w:eastAsia="Times New Roman"/>
          <w:color w:val="000000" w:themeColor="text1"/>
          <w:lang w:eastAsia="en-GB"/>
        </w:rPr>
        <w:t>, 54(S1), pp.55-100.</w:t>
      </w:r>
    </w:p>
    <w:p w14:paraId="5A51BC36"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Seider, S., 2011. Deepening College Students' Engagement with Religion and Theology through Community Service Learning. </w:t>
      </w:r>
      <w:r w:rsidRPr="00C377C8">
        <w:rPr>
          <w:rStyle w:val="selectable"/>
          <w:i/>
          <w:iCs/>
          <w:color w:val="000000" w:themeColor="text1"/>
        </w:rPr>
        <w:t>Teaching Theology &amp; Religion</w:t>
      </w:r>
      <w:r w:rsidRPr="00C377C8">
        <w:rPr>
          <w:rStyle w:val="selectable"/>
          <w:color w:val="000000" w:themeColor="text1"/>
        </w:rPr>
        <w:t>, 14(3), pp.205-225.</w:t>
      </w:r>
    </w:p>
    <w:p w14:paraId="0CAE3C09"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Seidman, I., 2014. </w:t>
      </w:r>
      <w:r w:rsidRPr="00C377C8">
        <w:rPr>
          <w:rFonts w:eastAsia="Times New Roman"/>
          <w:i/>
          <w:iCs/>
          <w:color w:val="000000" w:themeColor="text1"/>
          <w:lang w:eastAsia="en-GB"/>
        </w:rPr>
        <w:t>Interviewing as Qualitative Research</w:t>
      </w:r>
      <w:r w:rsidRPr="00C377C8">
        <w:rPr>
          <w:rFonts w:eastAsia="Times New Roman"/>
          <w:color w:val="000000" w:themeColor="text1"/>
          <w:lang w:eastAsia="en-GB"/>
        </w:rPr>
        <w:t>. london: Teachers College Press.</w:t>
      </w:r>
    </w:p>
    <w:p w14:paraId="1341E5A3" w14:textId="77777777" w:rsidR="00FB6B91" w:rsidRPr="00C377C8" w:rsidRDefault="00FB6B91" w:rsidP="00461178">
      <w:pPr>
        <w:spacing w:line="360" w:lineRule="auto"/>
        <w:ind w:left="2268"/>
        <w:rPr>
          <w:color w:val="000000" w:themeColor="text1"/>
        </w:rPr>
      </w:pPr>
      <w:r w:rsidRPr="00C377C8">
        <w:rPr>
          <w:color w:val="000000" w:themeColor="text1"/>
        </w:rPr>
        <w:t xml:space="preserve"> Sekaran, U.; Bougie, R., 2010. Research methods for business: a skill building approach. 5th ed. New Delhi: John Wiley. 488 p.</w:t>
      </w:r>
    </w:p>
    <w:p w14:paraId="621352D0" w14:textId="77777777" w:rsidR="00FB6B91" w:rsidRPr="00C377C8" w:rsidRDefault="00FB6B91" w:rsidP="00461178">
      <w:pPr>
        <w:spacing w:line="360" w:lineRule="auto"/>
        <w:ind w:left="2268"/>
        <w:rPr>
          <w:color w:val="000000" w:themeColor="text1"/>
        </w:rPr>
      </w:pPr>
      <w:r w:rsidRPr="00C377C8">
        <w:rPr>
          <w:color w:val="000000" w:themeColor="text1"/>
        </w:rPr>
        <w:t>Seleskovitch, D., Lederer, M. and Harmer, J., 1995. </w:t>
      </w:r>
      <w:r w:rsidRPr="00C377C8">
        <w:rPr>
          <w:i/>
          <w:iCs/>
          <w:color w:val="000000" w:themeColor="text1"/>
        </w:rPr>
        <w:t>A systematic approach to teaching interpretation</w:t>
      </w:r>
      <w:r w:rsidRPr="00C377C8">
        <w:rPr>
          <w:color w:val="000000" w:themeColor="text1"/>
        </w:rPr>
        <w:t>. [Silver Spring, MD.]: Registry of Interpreters for the Deaf.</w:t>
      </w:r>
    </w:p>
    <w:p w14:paraId="1A5CE309"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Sercu, L. and Bandura, E., 2005. </w:t>
      </w:r>
      <w:r w:rsidRPr="00C377C8">
        <w:rPr>
          <w:rStyle w:val="selectable"/>
          <w:i/>
          <w:iCs/>
          <w:color w:val="000000" w:themeColor="text1"/>
        </w:rPr>
        <w:t>Foreign Language Teachers And Intercultural Competence</w:t>
      </w:r>
      <w:r w:rsidRPr="00C377C8">
        <w:rPr>
          <w:rStyle w:val="selectable"/>
          <w:color w:val="000000" w:themeColor="text1"/>
        </w:rPr>
        <w:t>. Clevedon: Multilingual Matters Ltd.</w:t>
      </w:r>
    </w:p>
    <w:p w14:paraId="787E9234"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Settles, B., 2012. </w:t>
      </w:r>
      <w:r w:rsidRPr="00C377C8">
        <w:rPr>
          <w:rStyle w:val="selectable"/>
          <w:i/>
          <w:iCs/>
          <w:color w:val="000000" w:themeColor="text1"/>
        </w:rPr>
        <w:t>Active learning</w:t>
      </w:r>
      <w:r w:rsidRPr="00C377C8">
        <w:rPr>
          <w:rStyle w:val="selectable"/>
          <w:color w:val="000000" w:themeColor="text1"/>
        </w:rPr>
        <w:t>. San Rafael, Calif.: Morgan &amp; Claypool Publ.</w:t>
      </w:r>
    </w:p>
    <w:p w14:paraId="2ABBCF1A"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Shāh, M., 2010. </w:t>
      </w:r>
      <w:r w:rsidRPr="00C377C8">
        <w:rPr>
          <w:rStyle w:val="selectable"/>
          <w:i/>
          <w:iCs/>
          <w:color w:val="000000" w:themeColor="text1"/>
        </w:rPr>
        <w:t>Zia-un-Nabi</w:t>
      </w:r>
      <w:r w:rsidRPr="00C377C8">
        <w:rPr>
          <w:rStyle w:val="selectable"/>
          <w:color w:val="000000" w:themeColor="text1"/>
        </w:rPr>
        <w:t>. Lahrore: Zia-ul-Quran Publications.</w:t>
      </w:r>
    </w:p>
    <w:p w14:paraId="0204D5D1" w14:textId="77777777" w:rsidR="00FB6B91" w:rsidRPr="00C377C8" w:rsidRDefault="00FB6B91" w:rsidP="00461178">
      <w:pPr>
        <w:spacing w:line="360" w:lineRule="auto"/>
        <w:ind w:left="2268"/>
        <w:rPr>
          <w:color w:val="000000" w:themeColor="text1"/>
        </w:rPr>
      </w:pPr>
      <w:r w:rsidRPr="00C377C8">
        <w:rPr>
          <w:color w:val="000000" w:themeColor="text1"/>
        </w:rPr>
        <w:t>Shah, S., 2013. Islamic Education and the UK Muslims: Options and Expectations in a Context of Multi-locationality. </w:t>
      </w:r>
      <w:r w:rsidRPr="00C377C8">
        <w:rPr>
          <w:i/>
          <w:iCs/>
          <w:color w:val="000000" w:themeColor="text1"/>
        </w:rPr>
        <w:t>Studies in Philosophy and Education</w:t>
      </w:r>
      <w:r w:rsidRPr="00C377C8">
        <w:rPr>
          <w:color w:val="000000" w:themeColor="text1"/>
        </w:rPr>
        <w:t>, 33(3), pp.233-249.</w:t>
      </w:r>
    </w:p>
    <w:p w14:paraId="0E8B5D57"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Shahzad, A., 2018. </w:t>
      </w:r>
      <w:r w:rsidRPr="00C377C8">
        <w:rPr>
          <w:rStyle w:val="selectable"/>
          <w:i/>
          <w:iCs/>
          <w:color w:val="000000" w:themeColor="text1"/>
        </w:rPr>
        <w:t>Assessing Teachers' performance</w:t>
      </w:r>
      <w:r w:rsidRPr="00C377C8">
        <w:rPr>
          <w:rStyle w:val="selectable"/>
          <w:color w:val="000000" w:themeColor="text1"/>
        </w:rPr>
        <w:t>. Lahore: Ilmi Publications.</w:t>
      </w:r>
    </w:p>
    <w:p w14:paraId="13887EBE"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Shain, F., 2011. </w:t>
      </w:r>
      <w:r w:rsidRPr="00C377C8">
        <w:rPr>
          <w:i/>
          <w:iCs/>
          <w:color w:val="000000" w:themeColor="text1"/>
          <w:shd w:val="clear" w:color="auto" w:fill="FFFFFF"/>
        </w:rPr>
        <w:t>The new folk devils</w:t>
      </w:r>
      <w:r w:rsidRPr="00C377C8">
        <w:rPr>
          <w:color w:val="000000" w:themeColor="text1"/>
          <w:shd w:val="clear" w:color="auto" w:fill="FFFFFF"/>
        </w:rPr>
        <w:t>. Stoke on Trent: Trentham Books.</w:t>
      </w:r>
    </w:p>
    <w:p w14:paraId="767308FA" w14:textId="77777777" w:rsidR="00FB6B91" w:rsidRPr="00C377C8" w:rsidRDefault="00FB6B91" w:rsidP="00461178">
      <w:pPr>
        <w:spacing w:line="360" w:lineRule="auto"/>
        <w:ind w:left="2268"/>
        <w:rPr>
          <w:color w:val="000000" w:themeColor="text1"/>
        </w:rPr>
      </w:pPr>
      <w:r w:rsidRPr="00C377C8">
        <w:rPr>
          <w:color w:val="000000" w:themeColor="text1"/>
        </w:rPr>
        <w:t xml:space="preserve">Shulman, S., 1986. </w:t>
      </w:r>
      <w:r w:rsidRPr="00C377C8">
        <w:rPr>
          <w:i/>
          <w:color w:val="000000" w:themeColor="text1"/>
        </w:rPr>
        <w:t>Those who understand: Knowledge growth in teaching</w:t>
      </w:r>
      <w:r w:rsidRPr="00C377C8">
        <w:rPr>
          <w:color w:val="000000" w:themeColor="text1"/>
        </w:rPr>
        <w:t>. Educational Researcher, 15(2), 4-14 1, 8, 11, 79.</w:t>
      </w:r>
    </w:p>
    <w:p w14:paraId="362C4360" w14:textId="77777777" w:rsidR="00FB6B91" w:rsidRPr="00C377C8" w:rsidRDefault="00FB6B91" w:rsidP="00461178">
      <w:pPr>
        <w:spacing w:line="360" w:lineRule="auto"/>
        <w:ind w:left="2268"/>
        <w:rPr>
          <w:rFonts w:eastAsia="Times New Roman"/>
          <w:color w:val="000000" w:themeColor="text1"/>
          <w:lang w:val="en-US"/>
        </w:rPr>
      </w:pPr>
      <w:r w:rsidRPr="00C377C8">
        <w:rPr>
          <w:rFonts w:eastAsia="Times New Roman"/>
          <w:color w:val="000000" w:themeColor="text1"/>
          <w:shd w:val="clear" w:color="auto" w:fill="FFFFFF"/>
        </w:rPr>
        <w:t>Sidat, H., 2018. Between Tradition and Transition: An Islamic Seminary, or Dar al-Uloom in Modern Britain. </w:t>
      </w:r>
      <w:r w:rsidRPr="00C377C8">
        <w:rPr>
          <w:rFonts w:eastAsia="Times New Roman"/>
          <w:i/>
          <w:iCs/>
          <w:color w:val="000000" w:themeColor="text1"/>
          <w:shd w:val="clear" w:color="auto" w:fill="FFFFFF"/>
        </w:rPr>
        <w:t>Religions</w:t>
      </w:r>
      <w:r w:rsidRPr="00C377C8">
        <w:rPr>
          <w:rFonts w:eastAsia="Times New Roman"/>
          <w:color w:val="000000" w:themeColor="text1"/>
          <w:shd w:val="clear" w:color="auto" w:fill="FFFFFF"/>
        </w:rPr>
        <w:t>, 9(10), p.314.</w:t>
      </w:r>
    </w:p>
    <w:p w14:paraId="5B218AB9"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Siddiqui, M., 2020. Religious pluralism: Essential or challenge to liberal democracy?. </w:t>
      </w:r>
      <w:r w:rsidRPr="00C377C8">
        <w:rPr>
          <w:rStyle w:val="selectable"/>
          <w:i/>
          <w:iCs/>
          <w:color w:val="000000" w:themeColor="text1"/>
        </w:rPr>
        <w:t>Philosophy &amp; Social Criticism</w:t>
      </w:r>
      <w:r w:rsidRPr="00C377C8">
        <w:rPr>
          <w:rStyle w:val="selectable"/>
          <w:color w:val="000000" w:themeColor="text1"/>
        </w:rPr>
        <w:t>, 46(5), pp.487-496.</w:t>
      </w:r>
    </w:p>
    <w:p w14:paraId="30D3B4AC"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Siegel, M., 2002. Like: The Discourse Particle and Semantics. </w:t>
      </w:r>
      <w:r w:rsidRPr="00C377C8">
        <w:rPr>
          <w:rStyle w:val="selectable"/>
          <w:i/>
          <w:iCs/>
          <w:color w:val="000000" w:themeColor="text1"/>
        </w:rPr>
        <w:t>Journal of Semantics</w:t>
      </w:r>
      <w:r w:rsidRPr="00C377C8">
        <w:rPr>
          <w:rStyle w:val="selectable"/>
          <w:color w:val="000000" w:themeColor="text1"/>
        </w:rPr>
        <w:t>, 19(1), pp.35-71.</w:t>
      </w:r>
    </w:p>
    <w:p w14:paraId="44C6FFAE" w14:textId="77777777" w:rsidR="00FB6B91" w:rsidRPr="00C377C8" w:rsidRDefault="00FB6B91" w:rsidP="00461178">
      <w:pPr>
        <w:spacing w:line="360" w:lineRule="auto"/>
        <w:ind w:left="2268"/>
        <w:rPr>
          <w:color w:val="000000" w:themeColor="text1"/>
        </w:rPr>
      </w:pPr>
      <w:r w:rsidRPr="00C377C8">
        <w:rPr>
          <w:color w:val="000000" w:themeColor="text1"/>
        </w:rPr>
        <w:t>Silverman, D., 1993. Interpreting Qualitative Data: Methods for Analysing Talk, Text and Interaction. London: Sage.</w:t>
      </w:r>
    </w:p>
    <w:p w14:paraId="214B7DD8"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Simonds, C. and Cooper, P., 2013. </w:t>
      </w:r>
      <w:r w:rsidRPr="00C377C8">
        <w:rPr>
          <w:rFonts w:eastAsia="Times New Roman"/>
          <w:i/>
          <w:iCs/>
          <w:color w:val="000000" w:themeColor="text1"/>
          <w:lang w:eastAsia="en-GB"/>
        </w:rPr>
        <w:t>Communication For The Classroom Teacher</w:t>
      </w:r>
      <w:r w:rsidRPr="00C377C8">
        <w:rPr>
          <w:rFonts w:eastAsia="Times New Roman"/>
          <w:color w:val="000000" w:themeColor="text1"/>
          <w:lang w:eastAsia="en-GB"/>
        </w:rPr>
        <w:t>. Harlow: Pearson Education UK.</w:t>
      </w:r>
    </w:p>
    <w:p w14:paraId="682793D2" w14:textId="77777777" w:rsidR="00FB6B91" w:rsidRPr="00C377C8" w:rsidRDefault="00FB6B91" w:rsidP="00461178">
      <w:pPr>
        <w:spacing w:line="360" w:lineRule="auto"/>
        <w:ind w:left="2268"/>
        <w:rPr>
          <w:color w:val="000000" w:themeColor="text1"/>
        </w:rPr>
      </w:pPr>
      <w:r w:rsidRPr="00C377C8">
        <w:rPr>
          <w:color w:val="000000" w:themeColor="text1"/>
        </w:rPr>
        <w:t>Sin, S., 2010. Considerations of Quality in Phenomenographic Research International Journal of Qualitative Methods 9(4): 305-319.</w:t>
      </w:r>
    </w:p>
    <w:p w14:paraId="515EBCA6"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Sinai, N., 2017. </w:t>
      </w:r>
      <w:r w:rsidRPr="00C377C8">
        <w:rPr>
          <w:rStyle w:val="selectable"/>
          <w:i/>
          <w:iCs/>
          <w:color w:val="000000" w:themeColor="text1"/>
        </w:rPr>
        <w:t>The Qur'an: A Historical-critical Introduction</w:t>
      </w:r>
      <w:r w:rsidRPr="00C377C8">
        <w:rPr>
          <w:rStyle w:val="selectable"/>
          <w:color w:val="000000" w:themeColor="text1"/>
        </w:rPr>
        <w:t>. London: Oxford University Press.</w:t>
      </w:r>
    </w:p>
    <w:p w14:paraId="3A781295" w14:textId="77777777" w:rsidR="00FB6B91" w:rsidRPr="00C377C8" w:rsidRDefault="00FB6B91" w:rsidP="00461178">
      <w:pPr>
        <w:spacing w:line="360" w:lineRule="auto"/>
        <w:ind w:left="2268"/>
        <w:rPr>
          <w:color w:val="000000" w:themeColor="text1"/>
        </w:rPr>
      </w:pPr>
      <w:r w:rsidRPr="00C377C8">
        <w:rPr>
          <w:color w:val="000000" w:themeColor="text1"/>
        </w:rPr>
        <w:t>Singh, S., 2001. </w:t>
      </w:r>
      <w:r w:rsidRPr="00C377C8">
        <w:rPr>
          <w:i/>
          <w:iCs/>
          <w:color w:val="000000" w:themeColor="text1"/>
        </w:rPr>
        <w:t>Multilingualism</w:t>
      </w:r>
      <w:r w:rsidRPr="00C377C8">
        <w:rPr>
          <w:color w:val="000000" w:themeColor="text1"/>
        </w:rPr>
        <w:t>. New Delhi: Bahri Publications.</w:t>
      </w:r>
    </w:p>
    <w:p w14:paraId="2B6DB5A6" w14:textId="77777777" w:rsidR="00FB6B91" w:rsidRPr="00C377C8" w:rsidRDefault="00FB6B91" w:rsidP="00461178">
      <w:pPr>
        <w:spacing w:line="360" w:lineRule="auto"/>
        <w:ind w:left="2268"/>
        <w:rPr>
          <w:color w:val="000000" w:themeColor="text1"/>
        </w:rPr>
      </w:pPr>
      <w:r w:rsidRPr="00C377C8">
        <w:rPr>
          <w:color w:val="000000" w:themeColor="text1"/>
        </w:rPr>
        <w:t>Sit, H., 2017. </w:t>
      </w:r>
      <w:r w:rsidRPr="00C377C8">
        <w:rPr>
          <w:i/>
          <w:iCs/>
          <w:color w:val="000000" w:themeColor="text1"/>
        </w:rPr>
        <w:t>Inclusive Teaching Strategies For Discipline-Based English Studies</w:t>
      </w:r>
      <w:r w:rsidRPr="00C377C8">
        <w:rPr>
          <w:color w:val="000000" w:themeColor="text1"/>
        </w:rPr>
        <w:t>. Singapore: Springer Singapore.</w:t>
      </w:r>
    </w:p>
    <w:p w14:paraId="2ADE5AC7"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Sjostrom, B. and Dahlgren, L., 2002. Applying phenomenography in nursing research. </w:t>
      </w:r>
      <w:r w:rsidRPr="00C377C8">
        <w:rPr>
          <w:i/>
          <w:iCs/>
          <w:color w:val="000000" w:themeColor="text1"/>
          <w:shd w:val="clear" w:color="auto" w:fill="FFFFFF"/>
        </w:rPr>
        <w:t>Journal of Advanced Nursing</w:t>
      </w:r>
      <w:r w:rsidRPr="00C377C8">
        <w:rPr>
          <w:color w:val="000000" w:themeColor="text1"/>
          <w:shd w:val="clear" w:color="auto" w:fill="FFFFFF"/>
        </w:rPr>
        <w:t>, 40(3), pp.339-345.</w:t>
      </w:r>
    </w:p>
    <w:p w14:paraId="2F4D43FC"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Skinta, M. and Brandrett, B., 2016. </w:t>
      </w:r>
      <w:r w:rsidRPr="00C377C8">
        <w:rPr>
          <w:rStyle w:val="selectable"/>
          <w:i/>
          <w:iCs/>
          <w:color w:val="000000" w:themeColor="text1"/>
        </w:rPr>
        <w:t>Interpretive phenomenological analysis</w:t>
      </w:r>
      <w:r w:rsidRPr="00C377C8">
        <w:rPr>
          <w:rStyle w:val="selectable"/>
          <w:color w:val="000000" w:themeColor="text1"/>
        </w:rPr>
        <w:t>. London: SAGE Publications.</w:t>
      </w:r>
    </w:p>
    <w:p w14:paraId="4235DD29"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Slevitch, L., 2011. Qualitative and quantitative methodologies compared: ontological and epistemological perspectives. Journal of Quality Assurance in Hospitality &amp; Tourism, 12(1), pp.73-81.</w:t>
      </w:r>
    </w:p>
    <w:p w14:paraId="277233BB" w14:textId="77777777" w:rsidR="00FB6B91" w:rsidRPr="00C377C8" w:rsidRDefault="00FB6B91" w:rsidP="00461178">
      <w:pPr>
        <w:spacing w:line="360" w:lineRule="auto"/>
        <w:ind w:left="2268"/>
        <w:rPr>
          <w:color w:val="000000" w:themeColor="text1"/>
        </w:rPr>
      </w:pPr>
      <w:r w:rsidRPr="00C377C8">
        <w:rPr>
          <w:color w:val="000000" w:themeColor="text1"/>
          <w:shd w:val="clear" w:color="auto" w:fill="FFFFFF"/>
        </w:rPr>
        <w:t>Smith, J. and Osborn, M., 2014. Interpretative phenomenological analysis as a useful methodology for research on the lived experience of pain. </w:t>
      </w:r>
      <w:r w:rsidRPr="00C377C8">
        <w:rPr>
          <w:i/>
          <w:iCs/>
          <w:color w:val="000000" w:themeColor="text1"/>
          <w:shd w:val="clear" w:color="auto" w:fill="FFFFFF"/>
        </w:rPr>
        <w:t>British Journal of Pain</w:t>
      </w:r>
      <w:r w:rsidRPr="00C377C8">
        <w:rPr>
          <w:color w:val="000000" w:themeColor="text1"/>
          <w:shd w:val="clear" w:color="auto" w:fill="FFFFFF"/>
        </w:rPr>
        <w:t>, 9(1), pp.41-42.</w:t>
      </w:r>
    </w:p>
    <w:p w14:paraId="63374B7F" w14:textId="77777777" w:rsidR="00FB6B91" w:rsidRPr="00C377C8" w:rsidRDefault="00FB6B91" w:rsidP="00461178">
      <w:pPr>
        <w:spacing w:line="360" w:lineRule="auto"/>
        <w:ind w:left="2268"/>
        <w:rPr>
          <w:color w:val="000000" w:themeColor="text1"/>
          <w:lang w:val="en-US"/>
        </w:rPr>
      </w:pPr>
      <w:r w:rsidRPr="00C377C8">
        <w:rPr>
          <w:color w:val="000000" w:themeColor="text1"/>
          <w:lang w:val="en-US"/>
        </w:rPr>
        <w:t>Smith, J., Flowers, P. and Larkin, M., 2012. </w:t>
      </w:r>
      <w:r w:rsidRPr="00C377C8">
        <w:rPr>
          <w:i/>
          <w:iCs/>
          <w:color w:val="000000" w:themeColor="text1"/>
          <w:lang w:val="en-US"/>
        </w:rPr>
        <w:t>Interpretive Phenomenological Analysis</w:t>
      </w:r>
      <w:r w:rsidRPr="00C377C8">
        <w:rPr>
          <w:color w:val="000000" w:themeColor="text1"/>
          <w:lang w:val="en-US"/>
        </w:rPr>
        <w:t>. Sage: London.</w:t>
      </w:r>
    </w:p>
    <w:p w14:paraId="5B583AAD" w14:textId="77777777" w:rsidR="00FB6B91" w:rsidRPr="00C377C8" w:rsidRDefault="00FB6B91" w:rsidP="00461178">
      <w:pPr>
        <w:spacing w:line="360" w:lineRule="auto"/>
        <w:ind w:left="2268"/>
        <w:rPr>
          <w:rStyle w:val="Strong"/>
          <w:b w:val="0"/>
          <w:color w:val="000000" w:themeColor="text1"/>
          <w:lang w:val="en-US"/>
        </w:rPr>
      </w:pPr>
      <w:r w:rsidRPr="00C377C8">
        <w:rPr>
          <w:color w:val="000000" w:themeColor="text1"/>
          <w:lang w:val="en-US"/>
        </w:rPr>
        <w:t>Smith, R., 2008. </w:t>
      </w:r>
      <w:r w:rsidRPr="00C377C8">
        <w:rPr>
          <w:i/>
          <w:iCs/>
          <w:color w:val="000000" w:themeColor="text1"/>
          <w:lang w:val="en-US"/>
        </w:rPr>
        <w:t>Cumulative social inquiry</w:t>
      </w:r>
      <w:r w:rsidRPr="00C377C8">
        <w:rPr>
          <w:color w:val="000000" w:themeColor="text1"/>
          <w:lang w:val="en-US"/>
        </w:rPr>
        <w:t>. New York: Guilford Press.</w:t>
      </w:r>
    </w:p>
    <w:p w14:paraId="62CFDC22"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Spinthourakis, J., Lalor, J. and Berg, W., 2012. </w:t>
      </w:r>
      <w:r w:rsidRPr="00C377C8">
        <w:rPr>
          <w:rStyle w:val="selectable"/>
          <w:i/>
          <w:iCs/>
          <w:color w:val="000000" w:themeColor="text1"/>
        </w:rPr>
        <w:t>Cultural Diversity In The Classroom</w:t>
      </w:r>
      <w:r w:rsidRPr="00C377C8">
        <w:rPr>
          <w:rStyle w:val="selectable"/>
          <w:color w:val="000000" w:themeColor="text1"/>
        </w:rPr>
        <w:t>. Wiesbaden: VS Verlag für Sozialwissenschaften / Springer Fachmedien Wiesbaden GmbH, Wiesbaden.</w:t>
      </w:r>
    </w:p>
    <w:p w14:paraId="5B3CE3A9" w14:textId="77777777" w:rsidR="00FB6B91" w:rsidRPr="00C377C8" w:rsidRDefault="00FB6B91" w:rsidP="00461178">
      <w:pPr>
        <w:spacing w:line="360" w:lineRule="auto"/>
        <w:ind w:left="2268"/>
        <w:rPr>
          <w:color w:val="000000" w:themeColor="text1"/>
        </w:rPr>
      </w:pPr>
      <w:r w:rsidRPr="00C377C8">
        <w:rPr>
          <w:color w:val="000000" w:themeColor="text1"/>
        </w:rPr>
        <w:t>Spradley, J.P. (1980) Participant observation. Long Grove, IL: Waveland Press.</w:t>
      </w:r>
    </w:p>
    <w:p w14:paraId="49F6A608"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Springer, S., Reider, J. and Morgan, J., 2017. </w:t>
      </w:r>
      <w:r w:rsidRPr="00C377C8">
        <w:rPr>
          <w:rStyle w:val="selectable"/>
          <w:i/>
          <w:iCs/>
          <w:color w:val="000000" w:themeColor="text1"/>
        </w:rPr>
        <w:t>Admission Matters</w:t>
      </w:r>
      <w:r w:rsidRPr="00C377C8">
        <w:rPr>
          <w:rStyle w:val="selectable"/>
          <w:color w:val="000000" w:themeColor="text1"/>
        </w:rPr>
        <w:t>. Newark: John Wiley &amp; Sons, Incorporated.</w:t>
      </w:r>
    </w:p>
    <w:p w14:paraId="164C605E"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Squire, C., Davis, M., Esin, C., Andrews, M., Harrison, B., Hýden, L. and Hýden, M., 2014. </w:t>
      </w:r>
      <w:r w:rsidRPr="00C377C8">
        <w:rPr>
          <w:rStyle w:val="selectable"/>
          <w:i/>
          <w:iCs/>
          <w:color w:val="000000" w:themeColor="text1"/>
        </w:rPr>
        <w:t>What is narrative research?</w:t>
      </w:r>
      <w:r w:rsidRPr="00C377C8">
        <w:rPr>
          <w:rStyle w:val="selectable"/>
          <w:color w:val="000000" w:themeColor="text1"/>
        </w:rPr>
        <w:t>. London: Bloomsbury.</w:t>
      </w:r>
    </w:p>
    <w:p w14:paraId="0B19B95D"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Starbuck, D., 2012. </w:t>
      </w:r>
      <w:r w:rsidRPr="00C377C8">
        <w:rPr>
          <w:rStyle w:val="selectable"/>
          <w:i/>
          <w:iCs/>
          <w:color w:val="000000" w:themeColor="text1"/>
        </w:rPr>
        <w:t>Creative Teaching</w:t>
      </w:r>
      <w:r w:rsidRPr="00C377C8">
        <w:rPr>
          <w:rStyle w:val="selectable"/>
          <w:color w:val="000000" w:themeColor="text1"/>
        </w:rPr>
        <w:t>. London: Continuum International Pub.</w:t>
      </w:r>
    </w:p>
    <w:p w14:paraId="74E8D5A3"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Sṭavans, ʻ. and Hoffmann, C., 2015. </w:t>
      </w:r>
      <w:r w:rsidRPr="00C377C8">
        <w:rPr>
          <w:rStyle w:val="selectable"/>
          <w:i/>
          <w:iCs/>
          <w:color w:val="000000" w:themeColor="text1"/>
        </w:rPr>
        <w:t>Multilingualism</w:t>
      </w:r>
      <w:r w:rsidRPr="00C377C8">
        <w:rPr>
          <w:rStyle w:val="selectable"/>
          <w:color w:val="000000" w:themeColor="text1"/>
        </w:rPr>
        <w:t>. Cambridge: Cambridge Univ. Press.</w:t>
      </w:r>
    </w:p>
    <w:p w14:paraId="2358B88A" w14:textId="77777777" w:rsidR="00FB6B91" w:rsidRPr="00C377C8" w:rsidRDefault="00FB6B91" w:rsidP="00461178">
      <w:pPr>
        <w:spacing w:line="360" w:lineRule="auto"/>
        <w:ind w:left="2268"/>
        <w:rPr>
          <w:color w:val="000000" w:themeColor="text1"/>
        </w:rPr>
      </w:pPr>
      <w:r w:rsidRPr="00C377C8">
        <w:rPr>
          <w:color w:val="000000" w:themeColor="text1"/>
        </w:rPr>
        <w:t>Stein, S., Fujisaki, B. and Davis, S., 2011. What Does Effective Teaching Look Like? Profession-Centric Perceptions of Effective Teaching in Pharmacy and Nursing Education. </w:t>
      </w:r>
      <w:r w:rsidRPr="00C377C8">
        <w:rPr>
          <w:i/>
          <w:iCs/>
          <w:color w:val="000000" w:themeColor="text1"/>
        </w:rPr>
        <w:t>Health and Inter-professional Practice</w:t>
      </w:r>
      <w:r w:rsidRPr="00C377C8">
        <w:rPr>
          <w:color w:val="000000" w:themeColor="text1"/>
        </w:rPr>
        <w:t>, 1(1).</w:t>
      </w:r>
    </w:p>
    <w:p w14:paraId="1DAC5662"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Steinberg, A., Cushman, K. and Riordan, R., 1999. </w:t>
      </w:r>
      <w:r w:rsidRPr="00C377C8">
        <w:rPr>
          <w:rStyle w:val="selectable"/>
          <w:i/>
          <w:iCs/>
          <w:color w:val="000000" w:themeColor="text1"/>
        </w:rPr>
        <w:t>Schooling For The Real World</w:t>
      </w:r>
      <w:r w:rsidRPr="00C377C8">
        <w:rPr>
          <w:rStyle w:val="selectable"/>
          <w:color w:val="000000" w:themeColor="text1"/>
        </w:rPr>
        <w:t>. San Francisco, Calif.: Jossey-Bass.</w:t>
      </w:r>
    </w:p>
    <w:p w14:paraId="777AB5AE" w14:textId="77777777" w:rsidR="00FB6B91" w:rsidRPr="00C377C8" w:rsidRDefault="00FB6B91" w:rsidP="00461178">
      <w:pPr>
        <w:spacing w:line="360" w:lineRule="auto"/>
        <w:ind w:left="2268"/>
        <w:rPr>
          <w:color w:val="000000" w:themeColor="text1"/>
        </w:rPr>
      </w:pPr>
      <w:r w:rsidRPr="00C377C8">
        <w:rPr>
          <w:color w:val="000000" w:themeColor="text1"/>
        </w:rPr>
        <w:t>Stix, A. and Hrbek, F., 2006. </w:t>
      </w:r>
      <w:r w:rsidRPr="00C377C8">
        <w:rPr>
          <w:i/>
          <w:iCs/>
          <w:color w:val="000000" w:themeColor="text1"/>
        </w:rPr>
        <w:t>Teachers as Classroom Coaches</w:t>
      </w:r>
      <w:r w:rsidRPr="00C377C8">
        <w:rPr>
          <w:color w:val="000000" w:themeColor="text1"/>
        </w:rPr>
        <w:t>. Alexandria, Va.: Association for Supervision and Curriculum Development.</w:t>
      </w:r>
    </w:p>
    <w:p w14:paraId="3998CA60" w14:textId="77777777" w:rsidR="00FB6B91" w:rsidRPr="00C377C8" w:rsidRDefault="00FB6B91" w:rsidP="00461178">
      <w:pPr>
        <w:spacing w:line="360" w:lineRule="auto"/>
        <w:ind w:left="2268"/>
        <w:rPr>
          <w:color w:val="000000" w:themeColor="text1"/>
        </w:rPr>
      </w:pPr>
      <w:r w:rsidRPr="00C377C8">
        <w:rPr>
          <w:rFonts w:eastAsia="Times New Roman"/>
          <w:color w:val="000000" w:themeColor="text1"/>
          <w:lang w:eastAsia="en-GB"/>
        </w:rPr>
        <w:t>Stopher, P., 2012. </w:t>
      </w:r>
      <w:r w:rsidRPr="00C377C8">
        <w:rPr>
          <w:rFonts w:eastAsia="Times New Roman"/>
          <w:i/>
          <w:iCs/>
          <w:color w:val="000000" w:themeColor="text1"/>
          <w:lang w:eastAsia="en-GB"/>
        </w:rPr>
        <w:t>Collecting, managing, and assessing data using sample surveys</w:t>
      </w:r>
      <w:r w:rsidRPr="00C377C8">
        <w:rPr>
          <w:rFonts w:eastAsia="Times New Roman"/>
          <w:color w:val="000000" w:themeColor="text1"/>
          <w:lang w:eastAsia="en-GB"/>
        </w:rPr>
        <w:t>. Cambridge, UK: Cambridge University Press.</w:t>
      </w:r>
    </w:p>
    <w:p w14:paraId="35988996" w14:textId="77777777" w:rsidR="00FB6B91" w:rsidRPr="00C377C8" w:rsidRDefault="00FB6B91" w:rsidP="00461178">
      <w:pPr>
        <w:spacing w:line="360" w:lineRule="auto"/>
        <w:ind w:left="2268"/>
        <w:rPr>
          <w:color w:val="000000" w:themeColor="text1"/>
        </w:rPr>
      </w:pPr>
      <w:r w:rsidRPr="00C377C8">
        <w:rPr>
          <w:color w:val="000000" w:themeColor="text1"/>
        </w:rPr>
        <w:t>Street, H., 2006. </w:t>
      </w:r>
      <w:r w:rsidRPr="00C377C8">
        <w:rPr>
          <w:i/>
          <w:iCs/>
          <w:color w:val="000000" w:themeColor="text1"/>
        </w:rPr>
        <w:t>Personalised Learning</w:t>
      </w:r>
      <w:r w:rsidRPr="00C377C8">
        <w:rPr>
          <w:color w:val="000000" w:themeColor="text1"/>
        </w:rPr>
        <w:t>. Haywards Heath: National Association of Head Teachers.</w:t>
      </w:r>
    </w:p>
    <w:p w14:paraId="37E3089F"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Stronge, J., 2002. </w:t>
      </w:r>
      <w:r w:rsidRPr="00C377C8">
        <w:rPr>
          <w:rStyle w:val="selectable"/>
          <w:i/>
          <w:iCs/>
          <w:color w:val="000000" w:themeColor="text1"/>
        </w:rPr>
        <w:t>Qualities of Effective Teachers</w:t>
      </w:r>
      <w:r w:rsidRPr="00C377C8">
        <w:rPr>
          <w:rStyle w:val="selectable"/>
          <w:color w:val="000000" w:themeColor="text1"/>
        </w:rPr>
        <w:t>. Alexandria, Va.: Association for Supervision and Curriculum Development.</w:t>
      </w:r>
    </w:p>
    <w:p w14:paraId="1BCEA065" w14:textId="77777777" w:rsidR="00FB6B91" w:rsidRPr="00C377C8" w:rsidRDefault="00FB6B91" w:rsidP="00461178">
      <w:pPr>
        <w:spacing w:line="360" w:lineRule="auto"/>
        <w:ind w:left="2268"/>
        <w:rPr>
          <w:color w:val="000000" w:themeColor="text1"/>
        </w:rPr>
      </w:pPr>
      <w:r w:rsidRPr="00C377C8">
        <w:rPr>
          <w:color w:val="000000" w:themeColor="text1"/>
        </w:rPr>
        <w:t>Studer, P. and Werlen, I., 2012. </w:t>
      </w:r>
      <w:r w:rsidRPr="00C377C8">
        <w:rPr>
          <w:i/>
          <w:iCs/>
          <w:color w:val="000000" w:themeColor="text1"/>
        </w:rPr>
        <w:t>Linguistic Diversity in Europe</w:t>
      </w:r>
      <w:r w:rsidRPr="00C377C8">
        <w:rPr>
          <w:color w:val="000000" w:themeColor="text1"/>
        </w:rPr>
        <w:t>. Berlin: De Gruyter Mouton.</w:t>
      </w:r>
    </w:p>
    <w:p w14:paraId="60EBF3FE"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Subḥānī, J. and Bhimji, S., 2006. </w:t>
      </w:r>
      <w:r w:rsidRPr="00C377C8">
        <w:rPr>
          <w:rStyle w:val="selectable"/>
          <w:i/>
          <w:iCs/>
          <w:color w:val="000000" w:themeColor="text1"/>
        </w:rPr>
        <w:t>Introduction to the science of tafsir of the Qur'an</w:t>
      </w:r>
      <w:r w:rsidRPr="00C377C8">
        <w:rPr>
          <w:rStyle w:val="selectable"/>
          <w:color w:val="000000" w:themeColor="text1"/>
        </w:rPr>
        <w:t>. Stanmore: Islamic Education Board of the World Federation of KSIMC.</w:t>
      </w:r>
    </w:p>
    <w:p w14:paraId="56FC450B"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Sullivan, T. (2001). </w:t>
      </w:r>
      <w:r w:rsidRPr="00C377C8">
        <w:rPr>
          <w:rFonts w:eastAsia="Times New Roman"/>
          <w:i/>
          <w:iCs/>
          <w:color w:val="000000" w:themeColor="text1"/>
          <w:lang w:eastAsia="en-GB"/>
        </w:rPr>
        <w:t>Methods of Social research</w:t>
      </w:r>
      <w:r w:rsidRPr="00C377C8">
        <w:rPr>
          <w:rFonts w:eastAsia="Times New Roman"/>
          <w:color w:val="000000" w:themeColor="text1"/>
          <w:lang w:eastAsia="en-GB"/>
        </w:rPr>
        <w:t>. Forth worth: Harcourt College.</w:t>
      </w:r>
    </w:p>
    <w:p w14:paraId="26F194CF" w14:textId="77777777" w:rsidR="00FB6B91" w:rsidRPr="00C377C8" w:rsidRDefault="00FB6B91" w:rsidP="00461178">
      <w:pPr>
        <w:spacing w:line="360" w:lineRule="auto"/>
        <w:ind w:left="2268"/>
        <w:rPr>
          <w:color w:val="000000" w:themeColor="text1"/>
        </w:rPr>
      </w:pPr>
      <w:r w:rsidRPr="00C377C8">
        <w:rPr>
          <w:color w:val="000000" w:themeColor="text1"/>
        </w:rPr>
        <w:t>Suryadi, R., 2019. Islamic Education in The Theological Perspective. </w:t>
      </w:r>
      <w:r w:rsidRPr="00C377C8">
        <w:rPr>
          <w:i/>
          <w:iCs/>
          <w:color w:val="000000" w:themeColor="text1"/>
        </w:rPr>
        <w:t>Al-Hayat: Journal of Islamic Education</w:t>
      </w:r>
      <w:r w:rsidRPr="00C377C8">
        <w:rPr>
          <w:color w:val="000000" w:themeColor="text1"/>
        </w:rPr>
        <w:t>, 3(1), p.29.</w:t>
      </w:r>
    </w:p>
    <w:p w14:paraId="1CE68C90"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Sutcliffe, R., 2010. </w:t>
      </w:r>
      <w:r w:rsidRPr="00C377C8">
        <w:rPr>
          <w:rStyle w:val="selectable"/>
          <w:i/>
          <w:iCs/>
          <w:color w:val="000000" w:themeColor="text1"/>
        </w:rPr>
        <w:t>Enquiry-Based Learning And Open Futures</w:t>
      </w:r>
      <w:r w:rsidRPr="00C377C8">
        <w:rPr>
          <w:rStyle w:val="selectable"/>
          <w:color w:val="000000" w:themeColor="text1"/>
        </w:rPr>
        <w:t>. London: Open Futures Trust.</w:t>
      </w:r>
    </w:p>
    <w:p w14:paraId="53AB2F1A"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Suter, W., 2012. </w:t>
      </w:r>
      <w:r w:rsidRPr="00C377C8">
        <w:rPr>
          <w:rStyle w:val="selectable"/>
          <w:i/>
          <w:iCs/>
          <w:color w:val="000000" w:themeColor="text1"/>
        </w:rPr>
        <w:t>Introduction to educational research</w:t>
      </w:r>
      <w:r w:rsidRPr="00C377C8">
        <w:rPr>
          <w:rStyle w:val="selectable"/>
          <w:color w:val="000000" w:themeColor="text1"/>
        </w:rPr>
        <w:t>. Los Angeles: SAGE.</w:t>
      </w:r>
    </w:p>
    <w:p w14:paraId="693ADA86"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Svendsen, B., 2016. Teachers’ experience from a school-based collaborative teacher professional development programme: reported impact on professional development. </w:t>
      </w:r>
      <w:r w:rsidRPr="00C377C8">
        <w:rPr>
          <w:rStyle w:val="selectable"/>
          <w:i/>
          <w:iCs/>
          <w:color w:val="000000" w:themeColor="text1"/>
        </w:rPr>
        <w:t>Teacher Development</w:t>
      </w:r>
      <w:r w:rsidRPr="00C377C8">
        <w:rPr>
          <w:rStyle w:val="selectable"/>
          <w:color w:val="000000" w:themeColor="text1"/>
        </w:rPr>
        <w:t>, 20(3), pp.313-328.</w:t>
      </w:r>
    </w:p>
    <w:p w14:paraId="11DE3DF8" w14:textId="77777777" w:rsidR="00FB6B91" w:rsidRPr="00C377C8" w:rsidRDefault="00FB6B91" w:rsidP="00461178">
      <w:pPr>
        <w:spacing w:line="360" w:lineRule="auto"/>
        <w:ind w:left="2268"/>
        <w:rPr>
          <w:color w:val="000000" w:themeColor="text1"/>
          <w:lang w:val="en-US"/>
        </w:rPr>
      </w:pPr>
      <w:r w:rsidRPr="00C377C8">
        <w:rPr>
          <w:rStyle w:val="selectable"/>
          <w:color w:val="000000" w:themeColor="text1"/>
        </w:rPr>
        <w:t>Swanson, K., 2014. </w:t>
      </w:r>
      <w:r w:rsidRPr="00C377C8">
        <w:rPr>
          <w:rStyle w:val="selectable"/>
          <w:i/>
          <w:iCs/>
          <w:color w:val="000000" w:themeColor="text1"/>
        </w:rPr>
        <w:t>Multidisciplinary Collaboration</w:t>
      </w:r>
      <w:r w:rsidRPr="00C377C8">
        <w:rPr>
          <w:rStyle w:val="selectable"/>
          <w:color w:val="000000" w:themeColor="text1"/>
        </w:rPr>
        <w:t>. Hoboken: Wiley.</w:t>
      </w:r>
    </w:p>
    <w:p w14:paraId="15FC0D2B"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Syafruddin, D., 2017. </w:t>
      </w:r>
      <w:r w:rsidRPr="00C377C8">
        <w:rPr>
          <w:rStyle w:val="selectable"/>
          <w:i/>
          <w:iCs/>
          <w:color w:val="000000" w:themeColor="text1"/>
        </w:rPr>
        <w:t>The principles of Ibn Taymiyya's Qurʼanic interpretation</w:t>
      </w:r>
      <w:r w:rsidRPr="00C377C8">
        <w:rPr>
          <w:rStyle w:val="selectable"/>
          <w:color w:val="000000" w:themeColor="text1"/>
        </w:rPr>
        <w:t>. Ahmadabad: Shahrani Publishers.</w:t>
      </w:r>
    </w:p>
    <w:p w14:paraId="0191D556"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Tauber, R., 2007. </w:t>
      </w:r>
      <w:r w:rsidRPr="00C377C8">
        <w:rPr>
          <w:rStyle w:val="selectable"/>
          <w:i/>
          <w:iCs/>
          <w:color w:val="000000" w:themeColor="text1"/>
        </w:rPr>
        <w:t>Classroom management</w:t>
      </w:r>
      <w:r w:rsidRPr="00C377C8">
        <w:rPr>
          <w:rStyle w:val="selectable"/>
          <w:color w:val="000000" w:themeColor="text1"/>
        </w:rPr>
        <w:t>. Westport, Conn.: Praeger Publishers.</w:t>
      </w:r>
    </w:p>
    <w:p w14:paraId="52B1E5E2"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Taylor, S., DeVault, M. and Bogdan, R., 2015. </w:t>
      </w:r>
      <w:r w:rsidRPr="00C377C8">
        <w:rPr>
          <w:rStyle w:val="selectable"/>
          <w:i/>
          <w:iCs/>
          <w:color w:val="000000" w:themeColor="text1"/>
        </w:rPr>
        <w:t>Introduction to qualitative research methods, 4th ed.</w:t>
      </w:r>
      <w:r w:rsidRPr="00C377C8">
        <w:rPr>
          <w:rStyle w:val="selectable"/>
          <w:color w:val="000000" w:themeColor="text1"/>
        </w:rPr>
        <w:t>. Hoboken, N.J.: Wiley.</w:t>
      </w:r>
    </w:p>
    <w:p w14:paraId="0DCCFE4D"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Thānvī, A., ʻUs̲mānī, M. and Multānī, M., 2003. </w:t>
      </w:r>
      <w:r w:rsidRPr="00C377C8">
        <w:rPr>
          <w:rStyle w:val="selectable"/>
          <w:i/>
          <w:iCs/>
          <w:color w:val="000000" w:themeColor="text1"/>
        </w:rPr>
        <w:t>Islam the whole truth</w:t>
      </w:r>
      <w:r w:rsidRPr="00C377C8">
        <w:rPr>
          <w:rStyle w:val="selectable"/>
          <w:color w:val="000000" w:themeColor="text1"/>
        </w:rPr>
        <w:t>. Multan: Idaratalifat-e-Ashrafia.</w:t>
      </w:r>
    </w:p>
    <w:p w14:paraId="0C447DD5"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Thayer-Bacon, B., 2000. </w:t>
      </w:r>
      <w:r w:rsidRPr="00C377C8">
        <w:rPr>
          <w:rStyle w:val="selectable"/>
          <w:i/>
          <w:iCs/>
          <w:color w:val="000000" w:themeColor="text1"/>
        </w:rPr>
        <w:t>Transforming critical thinking</w:t>
      </w:r>
      <w:r w:rsidRPr="00C377C8">
        <w:rPr>
          <w:rStyle w:val="selectable"/>
          <w:color w:val="000000" w:themeColor="text1"/>
        </w:rPr>
        <w:t>. New York: Teachers College Press.</w:t>
      </w:r>
    </w:p>
    <w:p w14:paraId="3A9C0E26"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Thomas, G., 2007. </w:t>
      </w:r>
      <w:r w:rsidRPr="00C377C8">
        <w:rPr>
          <w:rStyle w:val="selectable"/>
          <w:i/>
          <w:iCs/>
          <w:color w:val="000000" w:themeColor="text1"/>
        </w:rPr>
        <w:t>Education and theory</w:t>
      </w:r>
      <w:r w:rsidRPr="00C377C8">
        <w:rPr>
          <w:rStyle w:val="selectable"/>
          <w:color w:val="000000" w:themeColor="text1"/>
        </w:rPr>
        <w:t>. Maidenhead: Open University Press.</w:t>
      </w:r>
    </w:p>
    <w:p w14:paraId="0FD7A35F" w14:textId="77777777" w:rsidR="00FB6B91" w:rsidRPr="00C377C8" w:rsidRDefault="00FB6B91" w:rsidP="00461178">
      <w:pPr>
        <w:spacing w:line="360" w:lineRule="auto"/>
        <w:ind w:left="2268"/>
        <w:rPr>
          <w:color w:val="000000" w:themeColor="text1"/>
        </w:rPr>
      </w:pPr>
      <w:r w:rsidRPr="00C377C8">
        <w:rPr>
          <w:color w:val="000000" w:themeColor="text1"/>
          <w:shd w:val="clear" w:color="auto" w:fill="FFFFFF"/>
        </w:rPr>
        <w:t>Tinto, V., 2012. Enhancing student success: Taking the classroom success seriously. </w:t>
      </w:r>
      <w:r w:rsidRPr="00C377C8">
        <w:rPr>
          <w:i/>
          <w:iCs/>
          <w:color w:val="000000" w:themeColor="text1"/>
          <w:shd w:val="clear" w:color="auto" w:fill="FFFFFF"/>
        </w:rPr>
        <w:t>The International Journal of the First Year in Higher Education</w:t>
      </w:r>
      <w:r w:rsidRPr="00C377C8">
        <w:rPr>
          <w:color w:val="000000" w:themeColor="text1"/>
          <w:shd w:val="clear" w:color="auto" w:fill="FFFFFF"/>
        </w:rPr>
        <w:t>, 3(1).</w:t>
      </w:r>
    </w:p>
    <w:p w14:paraId="5EA325A3"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Trafford, B., 2002. </w:t>
      </w:r>
      <w:r w:rsidRPr="00C377C8">
        <w:rPr>
          <w:rStyle w:val="selectable"/>
          <w:i/>
          <w:iCs/>
          <w:color w:val="000000" w:themeColor="text1"/>
        </w:rPr>
        <w:t>Diversity, Inclusivity And Equal Opportunities</w:t>
      </w:r>
      <w:r w:rsidRPr="00C377C8">
        <w:rPr>
          <w:rStyle w:val="selectable"/>
          <w:color w:val="000000" w:themeColor="text1"/>
        </w:rPr>
        <w:t>. Leicester: SHA Publications.</w:t>
      </w:r>
    </w:p>
    <w:p w14:paraId="33E7CBE9"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Trowler, P. and Cooper, A., 2002. Teaching and Learning Regimes: Implicit theories and recurrent practices in the enhancement of teaching and learning through educational development programmes. </w:t>
      </w:r>
      <w:r w:rsidRPr="00C377C8">
        <w:rPr>
          <w:rFonts w:eastAsia="Times New Roman"/>
          <w:i/>
          <w:iCs/>
          <w:color w:val="000000" w:themeColor="text1"/>
          <w:lang w:eastAsia="en-GB"/>
        </w:rPr>
        <w:t>Higher Education Research &amp; Development</w:t>
      </w:r>
      <w:r w:rsidRPr="00C377C8">
        <w:rPr>
          <w:rFonts w:eastAsia="Times New Roman"/>
          <w:color w:val="000000" w:themeColor="text1"/>
          <w:lang w:eastAsia="en-GB"/>
        </w:rPr>
        <w:t>, 21(3), pp.221-240.</w:t>
      </w:r>
    </w:p>
    <w:p w14:paraId="5E86807C" w14:textId="77777777" w:rsidR="00FB6B91" w:rsidRPr="00C377C8" w:rsidRDefault="00FB6B91" w:rsidP="00461178">
      <w:pPr>
        <w:spacing w:line="360" w:lineRule="auto"/>
        <w:ind w:left="2268"/>
        <w:rPr>
          <w:rFonts w:eastAsia="Times New Roman"/>
          <w:color w:val="000000" w:themeColor="text1"/>
          <w:lang w:eastAsia="en-GB"/>
        </w:rPr>
      </w:pPr>
      <w:r w:rsidRPr="00C377C8">
        <w:rPr>
          <w:rStyle w:val="selectable"/>
          <w:color w:val="000000" w:themeColor="text1"/>
        </w:rPr>
        <w:t>Tu, C., 2004. </w:t>
      </w:r>
      <w:r w:rsidRPr="00C377C8">
        <w:rPr>
          <w:rStyle w:val="selectable"/>
          <w:i/>
          <w:iCs/>
          <w:color w:val="000000" w:themeColor="text1"/>
        </w:rPr>
        <w:t>Online Collaborative Learning Communities</w:t>
      </w:r>
      <w:r w:rsidRPr="00C377C8">
        <w:rPr>
          <w:rStyle w:val="selectable"/>
          <w:color w:val="000000" w:themeColor="text1"/>
        </w:rPr>
        <w:t>. Westport, Conn.: Libraries Unlimited.</w:t>
      </w:r>
    </w:p>
    <w:p w14:paraId="68FC02E4" w14:textId="77777777" w:rsidR="00FB6B91" w:rsidRPr="00C377C8" w:rsidRDefault="00FB6B91" w:rsidP="00461178">
      <w:pPr>
        <w:spacing w:line="360" w:lineRule="auto"/>
        <w:ind w:left="2268"/>
        <w:rPr>
          <w:rStyle w:val="selectable"/>
          <w:rFonts w:eastAsia="Times New Roman"/>
          <w:color w:val="000000" w:themeColor="text1"/>
          <w:lang w:eastAsia="en-GB"/>
        </w:rPr>
      </w:pPr>
      <w:r w:rsidRPr="00C377C8">
        <w:rPr>
          <w:rStyle w:val="selectable"/>
          <w:color w:val="000000" w:themeColor="text1"/>
        </w:rPr>
        <w:t>Tucker, P. and Stronge, J., 2005. </w:t>
      </w:r>
      <w:r w:rsidRPr="00C377C8">
        <w:rPr>
          <w:rStyle w:val="selectable"/>
          <w:i/>
          <w:iCs/>
          <w:color w:val="000000" w:themeColor="text1"/>
        </w:rPr>
        <w:t>Linking Teacher Evaluation And Student Learning</w:t>
      </w:r>
      <w:r w:rsidRPr="00C377C8">
        <w:rPr>
          <w:rStyle w:val="selectable"/>
          <w:color w:val="000000" w:themeColor="text1"/>
        </w:rPr>
        <w:t>. Alexandria, Va.: Association for Supervision and Curriculum Development.</w:t>
      </w:r>
    </w:p>
    <w:p w14:paraId="2707C99C"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Turnbull, M. and Dailey-O'Cain, J., 2009. </w:t>
      </w:r>
      <w:r w:rsidRPr="00C377C8">
        <w:rPr>
          <w:rStyle w:val="selectable"/>
          <w:i/>
          <w:iCs/>
          <w:color w:val="000000" w:themeColor="text1"/>
        </w:rPr>
        <w:t>First language use in second and foreign language learning</w:t>
      </w:r>
      <w:r w:rsidRPr="00C377C8">
        <w:rPr>
          <w:rStyle w:val="selectable"/>
          <w:color w:val="000000" w:themeColor="text1"/>
        </w:rPr>
        <w:t>. Bristol, UK: Multilingual Matters.</w:t>
      </w:r>
    </w:p>
    <w:p w14:paraId="70CE24E9" w14:textId="77777777" w:rsidR="00FB6B91" w:rsidRPr="00C377C8" w:rsidRDefault="00FB6B91" w:rsidP="00461178">
      <w:pPr>
        <w:spacing w:line="360" w:lineRule="auto"/>
        <w:ind w:left="2268"/>
        <w:rPr>
          <w:rFonts w:eastAsia="Times New Roman"/>
          <w:color w:val="000000" w:themeColor="text1"/>
          <w:lang w:eastAsia="en-GB"/>
        </w:rPr>
      </w:pPr>
      <w:r w:rsidRPr="00C377C8">
        <w:rPr>
          <w:color w:val="000000" w:themeColor="text1"/>
          <w:shd w:val="clear" w:color="auto" w:fill="FFFFFF"/>
        </w:rPr>
        <w:t>Turner, A., Barlow, J. and Ilbery, B. (2002). Play Hurt, Live Hurt: Living with and Managing Osteoarthritis from the Perspective of Ex-professional Footballers. </w:t>
      </w:r>
      <w:r w:rsidRPr="00C377C8">
        <w:rPr>
          <w:i/>
          <w:iCs/>
          <w:color w:val="000000" w:themeColor="text1"/>
          <w:shd w:val="clear" w:color="auto" w:fill="FFFFFF"/>
        </w:rPr>
        <w:t>Journal of Health Psychology</w:t>
      </w:r>
      <w:r w:rsidRPr="00C377C8">
        <w:rPr>
          <w:color w:val="000000" w:themeColor="text1"/>
          <w:shd w:val="clear" w:color="auto" w:fill="FFFFFF"/>
        </w:rPr>
        <w:t>, 7(3), pp.285-301.</w:t>
      </w:r>
    </w:p>
    <w:p w14:paraId="2F6AE42C"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Turner, M., 2019. </w:t>
      </w:r>
      <w:r w:rsidRPr="00C377C8">
        <w:rPr>
          <w:rStyle w:val="selectable"/>
          <w:i/>
          <w:iCs/>
          <w:color w:val="000000" w:themeColor="text1"/>
        </w:rPr>
        <w:t>Multilingualism as a Goal and a Resource</w:t>
      </w:r>
      <w:r w:rsidRPr="00C377C8">
        <w:rPr>
          <w:rStyle w:val="selectable"/>
          <w:color w:val="000000" w:themeColor="text1"/>
        </w:rPr>
        <w:t>. New York: Palgrave Macmillan.</w:t>
      </w:r>
    </w:p>
    <w:p w14:paraId="32C04A9F" w14:textId="77777777" w:rsidR="00FB6B91" w:rsidRPr="00C377C8" w:rsidRDefault="00FB6B91" w:rsidP="00461178">
      <w:pPr>
        <w:spacing w:line="360" w:lineRule="auto"/>
        <w:ind w:left="2268"/>
        <w:rPr>
          <w:color w:val="000000" w:themeColor="text1"/>
        </w:rPr>
      </w:pPr>
      <w:r w:rsidRPr="00C377C8">
        <w:rPr>
          <w:color w:val="000000" w:themeColor="text1"/>
        </w:rPr>
        <w:t>Unger, R. (2004). Handbook of the psychology of women and gender. New York: Wiley.</w:t>
      </w:r>
    </w:p>
    <w:p w14:paraId="15FB790D" w14:textId="77777777" w:rsidR="00FB6B91" w:rsidRPr="00C377C8" w:rsidRDefault="00FB6B91" w:rsidP="00461178">
      <w:pPr>
        <w:spacing w:line="360" w:lineRule="auto"/>
        <w:ind w:left="2268"/>
        <w:rPr>
          <w:color w:val="000000" w:themeColor="text1"/>
        </w:rPr>
      </w:pPr>
      <w:r w:rsidRPr="00C377C8">
        <w:rPr>
          <w:bCs/>
          <w:color w:val="000000" w:themeColor="text1"/>
        </w:rPr>
        <w:t> </w:t>
      </w:r>
      <w:r w:rsidRPr="00C377C8">
        <w:rPr>
          <w:color w:val="000000" w:themeColor="text1"/>
        </w:rPr>
        <w:t>ʻUs̲mānī, M. and Abdur Rehman, R., 2000. </w:t>
      </w:r>
      <w:r w:rsidRPr="00C377C8">
        <w:rPr>
          <w:i/>
          <w:iCs/>
          <w:color w:val="000000" w:themeColor="text1"/>
        </w:rPr>
        <w:t>An Approach To The Quranic Sciences</w:t>
      </w:r>
      <w:r w:rsidRPr="00C377C8">
        <w:rPr>
          <w:color w:val="000000" w:themeColor="text1"/>
        </w:rPr>
        <w:t>. Karachi: Darul Ishaʼat.</w:t>
      </w:r>
    </w:p>
    <w:p w14:paraId="6B5F9F8B" w14:textId="77777777" w:rsidR="00FB6B91" w:rsidRPr="00C377C8" w:rsidRDefault="00FB6B91" w:rsidP="00461178">
      <w:pPr>
        <w:spacing w:line="360" w:lineRule="auto"/>
        <w:ind w:left="2268"/>
        <w:rPr>
          <w:rFonts w:eastAsia="Times New Roman"/>
          <w:color w:val="000000" w:themeColor="text1"/>
        </w:rPr>
      </w:pPr>
      <w:r w:rsidRPr="00C377C8">
        <w:rPr>
          <w:rFonts w:eastAsia="Times New Roman"/>
          <w:color w:val="000000" w:themeColor="text1"/>
          <w:shd w:val="clear" w:color="auto" w:fill="FFFFFF"/>
        </w:rPr>
        <w:t>Us̲mānī, M. and Abdur Rehman, R., 2000. </w:t>
      </w:r>
      <w:r w:rsidRPr="00C377C8">
        <w:rPr>
          <w:rFonts w:eastAsia="Times New Roman"/>
          <w:i/>
          <w:iCs/>
          <w:color w:val="000000" w:themeColor="text1"/>
          <w:shd w:val="clear" w:color="auto" w:fill="FFFFFF"/>
        </w:rPr>
        <w:t>An approach to the Quranic sciences</w:t>
      </w:r>
      <w:r w:rsidRPr="00C377C8">
        <w:rPr>
          <w:rFonts w:eastAsia="Times New Roman"/>
          <w:color w:val="000000" w:themeColor="text1"/>
          <w:shd w:val="clear" w:color="auto" w:fill="FFFFFF"/>
        </w:rPr>
        <w:t>. Karachi: Darul Ishaʼat.</w:t>
      </w:r>
    </w:p>
    <w:p w14:paraId="4E787DB3" w14:textId="77777777" w:rsidR="00FB6B91" w:rsidRPr="00C377C8" w:rsidRDefault="00FB6B91" w:rsidP="00461178">
      <w:pPr>
        <w:spacing w:line="360" w:lineRule="auto"/>
        <w:ind w:left="2268"/>
        <w:rPr>
          <w:rFonts w:eastAsia="Times New Roman"/>
          <w:color w:val="000000" w:themeColor="text1"/>
          <w:lang w:eastAsia="en-GB"/>
        </w:rPr>
      </w:pPr>
      <w:r w:rsidRPr="00C377C8">
        <w:rPr>
          <w:rStyle w:val="selectable"/>
          <w:color w:val="000000" w:themeColor="text1"/>
        </w:rPr>
        <w:t>Van den Broek, G., 2012. </w:t>
      </w:r>
      <w:r w:rsidRPr="00C377C8">
        <w:rPr>
          <w:rStyle w:val="selectable"/>
          <w:i/>
          <w:iCs/>
          <w:color w:val="000000" w:themeColor="text1"/>
        </w:rPr>
        <w:t>Innovative Research-Based Approaches to Learning and Teaching</w:t>
      </w:r>
      <w:r w:rsidRPr="00C377C8">
        <w:rPr>
          <w:rStyle w:val="selectable"/>
          <w:color w:val="000000" w:themeColor="text1"/>
        </w:rPr>
        <w:t>. Paris: OECD Publishing.</w:t>
      </w:r>
    </w:p>
    <w:p w14:paraId="7F7B0C92"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Van der Boom, E. and Jang, E., 2018. The Effects of Holistic Diagnostic Feedback Intervention on Improving Struggling Readers’ Reading Skills. </w:t>
      </w:r>
      <w:r w:rsidRPr="00C377C8">
        <w:rPr>
          <w:rStyle w:val="selectable"/>
          <w:i/>
          <w:iCs/>
          <w:color w:val="000000" w:themeColor="text1"/>
        </w:rPr>
        <w:t>Journal of Teaching and Learning</w:t>
      </w:r>
      <w:r w:rsidRPr="00C377C8">
        <w:rPr>
          <w:rStyle w:val="selectable"/>
          <w:color w:val="000000" w:themeColor="text1"/>
        </w:rPr>
        <w:t>, 12(2), pp.54-69.</w:t>
      </w:r>
    </w:p>
    <w:p w14:paraId="2E9E475C"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 xml:space="preserve">  </w:t>
      </w:r>
      <w:r w:rsidRPr="00C377C8">
        <w:rPr>
          <w:rStyle w:val="selectable"/>
          <w:color w:val="000000" w:themeColor="text1"/>
        </w:rPr>
        <w:t>Van Hoozer, H., 1994. </w:t>
      </w:r>
      <w:r w:rsidRPr="00C377C8">
        <w:rPr>
          <w:rStyle w:val="selectable"/>
          <w:i/>
          <w:iCs/>
          <w:color w:val="000000" w:themeColor="text1"/>
        </w:rPr>
        <w:t>The teaching process</w:t>
      </w:r>
      <w:r w:rsidRPr="00C377C8">
        <w:rPr>
          <w:rStyle w:val="selectable"/>
          <w:color w:val="000000" w:themeColor="text1"/>
        </w:rPr>
        <w:t>. Kalona, Iowa: Kalana Graphics.</w:t>
      </w:r>
    </w:p>
    <w:p w14:paraId="092453E4" w14:textId="77777777" w:rsidR="00FB6B91" w:rsidRPr="00C377C8" w:rsidRDefault="00FB6B91"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Van Manen, M., 2017. </w:t>
      </w:r>
      <w:r w:rsidRPr="00C377C8">
        <w:rPr>
          <w:rFonts w:eastAsia="Times New Roman"/>
          <w:i/>
          <w:iCs/>
          <w:color w:val="000000" w:themeColor="text1"/>
          <w:lang w:eastAsia="en-GB"/>
        </w:rPr>
        <w:t>Researching lived experience</w:t>
      </w:r>
      <w:r w:rsidRPr="00C377C8">
        <w:rPr>
          <w:rFonts w:eastAsia="Times New Roman"/>
          <w:color w:val="000000" w:themeColor="text1"/>
          <w:lang w:eastAsia="en-GB"/>
        </w:rPr>
        <w:t>. New York: Routledge/Taylor and Francis.</w:t>
      </w:r>
    </w:p>
    <w:p w14:paraId="51B2FF89"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Vaus, D., 2007. </w:t>
      </w:r>
      <w:r w:rsidRPr="00C377C8">
        <w:rPr>
          <w:rStyle w:val="selectable"/>
          <w:i/>
          <w:iCs/>
          <w:color w:val="000000" w:themeColor="text1"/>
        </w:rPr>
        <w:t>Research Design</w:t>
      </w:r>
      <w:r w:rsidRPr="00C377C8">
        <w:rPr>
          <w:rStyle w:val="selectable"/>
          <w:color w:val="000000" w:themeColor="text1"/>
        </w:rPr>
        <w:t>. London: SAGE.</w:t>
      </w:r>
    </w:p>
    <w:p w14:paraId="5B01FCF7" w14:textId="77777777" w:rsidR="00FB6B91" w:rsidRPr="00C377C8" w:rsidRDefault="00FB6B91" w:rsidP="00461178">
      <w:pPr>
        <w:spacing w:line="360" w:lineRule="auto"/>
        <w:ind w:left="2268"/>
        <w:rPr>
          <w:rStyle w:val="selectable"/>
          <w:color w:val="000000" w:themeColor="text1"/>
        </w:rPr>
      </w:pPr>
      <w:r w:rsidRPr="00C377C8">
        <w:rPr>
          <w:rStyle w:val="selectable"/>
          <w:color w:val="000000" w:themeColor="text1"/>
        </w:rPr>
        <w:t>Vegas, E., 2005. </w:t>
      </w:r>
      <w:r w:rsidRPr="00C377C8">
        <w:rPr>
          <w:rStyle w:val="selectable"/>
          <w:i/>
          <w:iCs/>
          <w:color w:val="000000" w:themeColor="text1"/>
        </w:rPr>
        <w:t>Incentives to improve teaching</w:t>
      </w:r>
      <w:r w:rsidRPr="00C377C8">
        <w:rPr>
          <w:rStyle w:val="selectable"/>
          <w:color w:val="000000" w:themeColor="text1"/>
        </w:rPr>
        <w:t>. Washington, D.C.: World Bank.</w:t>
      </w:r>
    </w:p>
    <w:p w14:paraId="76527388" w14:textId="77777777" w:rsidR="00FB6B91" w:rsidRPr="00C377C8" w:rsidRDefault="00FB6B91" w:rsidP="00461178">
      <w:pPr>
        <w:spacing w:line="360" w:lineRule="auto"/>
        <w:ind w:left="2268"/>
        <w:rPr>
          <w:color w:val="000000" w:themeColor="text1"/>
        </w:rPr>
      </w:pPr>
      <w:r w:rsidRPr="00C377C8">
        <w:rPr>
          <w:rStyle w:val="selectable"/>
          <w:color w:val="000000" w:themeColor="text1"/>
        </w:rPr>
        <w:t>Velliotis, E., 2008. </w:t>
      </w:r>
      <w:r w:rsidRPr="00C377C8">
        <w:rPr>
          <w:rStyle w:val="selectable"/>
          <w:i/>
          <w:iCs/>
          <w:color w:val="000000" w:themeColor="text1"/>
        </w:rPr>
        <w:t>Classroom culture and dynamics</w:t>
      </w:r>
      <w:r w:rsidRPr="00C377C8">
        <w:rPr>
          <w:rStyle w:val="selectable"/>
          <w:color w:val="000000" w:themeColor="text1"/>
        </w:rPr>
        <w:t>. New York: Nova Science Publishers.</w:t>
      </w:r>
    </w:p>
    <w:p w14:paraId="54272682" w14:textId="77777777" w:rsidR="00FB6B91" w:rsidRPr="00C377C8" w:rsidRDefault="00FB6B91" w:rsidP="00461178">
      <w:pPr>
        <w:spacing w:line="360" w:lineRule="auto"/>
        <w:ind w:left="2268"/>
        <w:rPr>
          <w:color w:val="000000" w:themeColor="text1"/>
          <w:shd w:val="clear" w:color="auto" w:fill="FFFFFF"/>
        </w:rPr>
      </w:pPr>
      <w:r w:rsidRPr="00C377C8">
        <w:rPr>
          <w:color w:val="000000" w:themeColor="text1"/>
          <w:shd w:val="clear" w:color="auto" w:fill="FFFFFF"/>
        </w:rPr>
        <w:t>Villegas, A. and Lucas, T. (2002). Preparing Culturally Responsive Teachers. </w:t>
      </w:r>
      <w:r w:rsidRPr="00C377C8">
        <w:rPr>
          <w:i/>
          <w:iCs/>
          <w:color w:val="000000" w:themeColor="text1"/>
          <w:shd w:val="clear" w:color="auto" w:fill="FFFFFF"/>
        </w:rPr>
        <w:t>Journal of Teacher Education</w:t>
      </w:r>
      <w:r w:rsidRPr="00C377C8">
        <w:rPr>
          <w:color w:val="000000" w:themeColor="text1"/>
          <w:shd w:val="clear" w:color="auto" w:fill="FFFFFF"/>
        </w:rPr>
        <w:t>, 53(1), pp.20-32.</w:t>
      </w:r>
    </w:p>
    <w:p w14:paraId="2F131DAC" w14:textId="77777777" w:rsidR="00DF3B58" w:rsidRPr="00C377C8" w:rsidRDefault="00DF3B58"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Wagner, W. (2010). </w:t>
      </w:r>
      <w:r w:rsidRPr="00C377C8">
        <w:rPr>
          <w:rFonts w:eastAsia="Times New Roman"/>
          <w:i/>
          <w:iCs/>
          <w:color w:val="000000" w:themeColor="text1"/>
          <w:lang w:eastAsia="en-GB"/>
        </w:rPr>
        <w:t>Opening Quran</w:t>
      </w:r>
      <w:r w:rsidRPr="00C377C8">
        <w:rPr>
          <w:rFonts w:eastAsia="Times New Roman"/>
          <w:color w:val="000000" w:themeColor="text1"/>
          <w:lang w:eastAsia="en-GB"/>
        </w:rPr>
        <w:t>. Notre Dame: University of Notre Dame Press.</w:t>
      </w:r>
    </w:p>
    <w:p w14:paraId="0B661D6A" w14:textId="77777777" w:rsidR="00DF3B58" w:rsidRPr="00C377C8" w:rsidRDefault="00DF3B58" w:rsidP="00461178">
      <w:pPr>
        <w:spacing w:line="360" w:lineRule="auto"/>
        <w:ind w:left="2268"/>
        <w:rPr>
          <w:rFonts w:eastAsia="Times New Roman"/>
          <w:color w:val="000000" w:themeColor="text1"/>
        </w:rPr>
      </w:pPr>
      <w:r w:rsidRPr="00C377C8">
        <w:rPr>
          <w:rFonts w:eastAsia="Times New Roman"/>
          <w:i/>
          <w:iCs/>
          <w:color w:val="000000" w:themeColor="text1"/>
        </w:rPr>
        <w:t xml:space="preserve">Wahid ud Din, K. 2011.  A Treasury of the Quran. Dehli: </w:t>
      </w:r>
      <w:r w:rsidRPr="00C377C8">
        <w:rPr>
          <w:rFonts w:eastAsia="Times New Roman"/>
          <w:color w:val="000000" w:themeColor="text1"/>
          <w:shd w:val="clear" w:color="auto" w:fill="FFFFFF"/>
        </w:rPr>
        <w:t xml:space="preserve">Sufi Ruhaniat International. </w:t>
      </w:r>
    </w:p>
    <w:p w14:paraId="67831B63" w14:textId="77777777" w:rsidR="00DF3B58" w:rsidRPr="00C377C8" w:rsidRDefault="00DF3B58" w:rsidP="00461178">
      <w:pPr>
        <w:spacing w:line="360" w:lineRule="auto"/>
        <w:ind w:left="2268"/>
        <w:rPr>
          <w:color w:val="000000" w:themeColor="text1"/>
        </w:rPr>
      </w:pPr>
      <w:r w:rsidRPr="00C377C8">
        <w:rPr>
          <w:color w:val="000000" w:themeColor="text1"/>
        </w:rPr>
        <w:t>Walīallāh ad-Dihlawī and Anṣārī, R., 1987. </w:t>
      </w:r>
      <w:r w:rsidRPr="00C377C8">
        <w:rPr>
          <w:i/>
          <w:iCs/>
          <w:color w:val="000000" w:themeColor="text1"/>
        </w:rPr>
        <w:t>Al-Fauz Al-Kabīr Fī Uṣūl At-Tafsīr</w:t>
      </w:r>
      <w:r w:rsidRPr="00C377C8">
        <w:rPr>
          <w:color w:val="000000" w:themeColor="text1"/>
        </w:rPr>
        <w:t>. Lāhaur: Naz̲īr Sanz Pablišarz.</w:t>
      </w:r>
    </w:p>
    <w:p w14:paraId="2BBE816E" w14:textId="77777777" w:rsidR="00DF3B58" w:rsidRPr="00C377C8" w:rsidRDefault="00DF3B58" w:rsidP="00461178">
      <w:pPr>
        <w:spacing w:line="360" w:lineRule="auto"/>
        <w:ind w:left="2268"/>
        <w:rPr>
          <w:color w:val="000000" w:themeColor="text1"/>
        </w:rPr>
      </w:pPr>
      <w:r w:rsidRPr="00C377C8">
        <w:rPr>
          <w:rFonts w:eastAsia="Times New Roman"/>
          <w:color w:val="000000" w:themeColor="text1"/>
          <w:lang w:eastAsia="en-GB"/>
        </w:rPr>
        <w:t>Waliullah., s. and Jalbani, G. (2004). </w:t>
      </w:r>
      <w:r w:rsidRPr="00C377C8">
        <w:rPr>
          <w:rFonts w:eastAsia="Times New Roman"/>
          <w:i/>
          <w:iCs/>
          <w:color w:val="000000" w:themeColor="text1"/>
          <w:lang w:eastAsia="en-GB"/>
        </w:rPr>
        <w:t>Al-fauz al-kabir fi usul al-tafsir</w:t>
      </w:r>
      <w:r w:rsidRPr="00C377C8">
        <w:rPr>
          <w:rFonts w:eastAsia="Times New Roman"/>
          <w:color w:val="000000" w:themeColor="text1"/>
          <w:lang w:eastAsia="en-GB"/>
        </w:rPr>
        <w:t>. New Delhi: Kitab Bhavan.</w:t>
      </w:r>
    </w:p>
    <w:p w14:paraId="467811FB" w14:textId="77777777" w:rsidR="00DF3B58" w:rsidRPr="00C377C8" w:rsidRDefault="00DF3B58" w:rsidP="00461178">
      <w:pPr>
        <w:spacing w:line="360" w:lineRule="auto"/>
        <w:ind w:left="2268"/>
        <w:rPr>
          <w:rStyle w:val="selectable"/>
          <w:color w:val="000000" w:themeColor="text1"/>
        </w:rPr>
      </w:pPr>
      <w:r w:rsidRPr="00C377C8">
        <w:rPr>
          <w:color w:val="000000" w:themeColor="text1"/>
        </w:rPr>
        <w:t>Walker, C., 1998 Learning to learn, phenomenography and children’s learning, Educational and Child Psychology, 15: 25-33.</w:t>
      </w:r>
      <w:r w:rsidRPr="00C377C8">
        <w:rPr>
          <w:rStyle w:val="selectable"/>
          <w:color w:val="000000" w:themeColor="text1"/>
        </w:rPr>
        <w:t xml:space="preserve"> </w:t>
      </w:r>
    </w:p>
    <w:p w14:paraId="0756ACCB" w14:textId="77777777" w:rsidR="00DF3B58" w:rsidRPr="00C377C8" w:rsidRDefault="00DF3B58" w:rsidP="00461178">
      <w:pPr>
        <w:spacing w:line="360" w:lineRule="auto"/>
        <w:ind w:left="2268"/>
        <w:rPr>
          <w:rStyle w:val="selectable"/>
          <w:color w:val="000000" w:themeColor="text1"/>
          <w:lang w:val="en-US"/>
        </w:rPr>
      </w:pPr>
      <w:r w:rsidRPr="00C377C8">
        <w:rPr>
          <w:color w:val="000000" w:themeColor="text1"/>
          <w:lang w:val="en-US"/>
        </w:rPr>
        <w:t>Wankel, C. and Blessinger, P., 2013. </w:t>
      </w:r>
      <w:r w:rsidRPr="00C377C8">
        <w:rPr>
          <w:i/>
          <w:iCs/>
          <w:color w:val="000000" w:themeColor="text1"/>
          <w:lang w:val="en-US"/>
        </w:rPr>
        <w:t>Increasing student engagement and retention using classroom technologies</w:t>
      </w:r>
      <w:r w:rsidRPr="00C377C8">
        <w:rPr>
          <w:color w:val="000000" w:themeColor="text1"/>
          <w:lang w:val="en-US"/>
        </w:rPr>
        <w:t>. Bingley, U.K.: Emerald.</w:t>
      </w:r>
    </w:p>
    <w:p w14:paraId="232F9CB9" w14:textId="77777777" w:rsidR="00DF3B58" w:rsidRPr="00C377C8" w:rsidRDefault="00DF3B58" w:rsidP="00461178">
      <w:pPr>
        <w:spacing w:line="360" w:lineRule="auto"/>
        <w:ind w:left="2268"/>
        <w:rPr>
          <w:color w:val="000000" w:themeColor="text1"/>
        </w:rPr>
      </w:pPr>
      <w:r w:rsidRPr="00C377C8">
        <w:rPr>
          <w:rStyle w:val="selectable"/>
          <w:color w:val="000000" w:themeColor="text1"/>
        </w:rPr>
        <w:t>Wansbrough, J. and Rippin, A. (2004). </w:t>
      </w:r>
      <w:r w:rsidRPr="00C377C8">
        <w:rPr>
          <w:rStyle w:val="selectable"/>
          <w:i/>
          <w:iCs/>
          <w:color w:val="000000" w:themeColor="text1"/>
        </w:rPr>
        <w:t>Quranic studies</w:t>
      </w:r>
      <w:r w:rsidRPr="00C377C8">
        <w:rPr>
          <w:rStyle w:val="selectable"/>
          <w:color w:val="000000" w:themeColor="text1"/>
        </w:rPr>
        <w:t>. Amherst, N.Y: Prometheus Books</w:t>
      </w:r>
    </w:p>
    <w:p w14:paraId="749C28CA" w14:textId="77777777" w:rsidR="00DF3B58" w:rsidRPr="00C377C8" w:rsidRDefault="00DF3B58" w:rsidP="00461178">
      <w:pPr>
        <w:spacing w:line="360" w:lineRule="auto"/>
        <w:ind w:left="2268"/>
        <w:rPr>
          <w:color w:val="000000" w:themeColor="text1"/>
        </w:rPr>
      </w:pPr>
      <w:r w:rsidRPr="00C377C8">
        <w:rPr>
          <w:color w:val="000000" w:themeColor="text1"/>
        </w:rPr>
        <w:t>Warren, R., 2006. </w:t>
      </w:r>
      <w:r w:rsidRPr="00C377C8">
        <w:rPr>
          <w:i/>
          <w:iCs/>
          <w:color w:val="000000" w:themeColor="text1"/>
        </w:rPr>
        <w:t>Rick Warren's Bible Study Methods</w:t>
      </w:r>
      <w:r w:rsidRPr="00C377C8">
        <w:rPr>
          <w:color w:val="000000" w:themeColor="text1"/>
        </w:rPr>
        <w:t>. Grand Rapids, Mich.: Zondervan.</w:t>
      </w:r>
    </w:p>
    <w:p w14:paraId="25D5C771" w14:textId="77777777" w:rsidR="00DF3B58" w:rsidRPr="00C377C8" w:rsidRDefault="00DF3B58" w:rsidP="00461178">
      <w:pPr>
        <w:spacing w:line="360" w:lineRule="auto"/>
        <w:ind w:left="2268"/>
        <w:rPr>
          <w:color w:val="000000" w:themeColor="text1"/>
        </w:rPr>
      </w:pPr>
      <w:r w:rsidRPr="00C377C8">
        <w:rPr>
          <w:rStyle w:val="selectable"/>
          <w:color w:val="000000" w:themeColor="text1"/>
        </w:rPr>
        <w:t>Watkins, C., 2008. </w:t>
      </w:r>
      <w:r w:rsidRPr="00C377C8">
        <w:rPr>
          <w:rStyle w:val="selectable"/>
          <w:i/>
          <w:iCs/>
          <w:color w:val="000000" w:themeColor="text1"/>
        </w:rPr>
        <w:t>Managing classroom behaviour</w:t>
      </w:r>
      <w:r w:rsidRPr="00C377C8">
        <w:rPr>
          <w:rStyle w:val="selectable"/>
          <w:color w:val="000000" w:themeColor="text1"/>
        </w:rPr>
        <w:t>. London: Association of Teachers and Lecturers.</w:t>
      </w:r>
    </w:p>
    <w:p w14:paraId="15510FD9" w14:textId="77777777" w:rsidR="00DF3B58" w:rsidRPr="00C377C8" w:rsidRDefault="00DF3B58" w:rsidP="00461178">
      <w:pPr>
        <w:spacing w:line="360" w:lineRule="auto"/>
        <w:ind w:left="2268"/>
        <w:rPr>
          <w:color w:val="000000" w:themeColor="text1"/>
          <w:lang w:val="en-US"/>
        </w:rPr>
      </w:pPr>
      <w:r w:rsidRPr="00C377C8">
        <w:rPr>
          <w:color w:val="000000" w:themeColor="text1"/>
          <w:lang w:val="en-US"/>
        </w:rPr>
        <w:t>Watson, B. and Thompson, P., 2014. </w:t>
      </w:r>
      <w:r w:rsidRPr="00C377C8">
        <w:rPr>
          <w:i/>
          <w:iCs/>
          <w:color w:val="000000" w:themeColor="text1"/>
          <w:lang w:val="en-US"/>
        </w:rPr>
        <w:t>The Effective Teaching of Religious Education</w:t>
      </w:r>
      <w:r w:rsidRPr="00C377C8">
        <w:rPr>
          <w:color w:val="000000" w:themeColor="text1"/>
          <w:lang w:val="en-US"/>
        </w:rPr>
        <w:t>. Hoboken: Taylor and Francis.</w:t>
      </w:r>
    </w:p>
    <w:p w14:paraId="61D9AA7B" w14:textId="77777777" w:rsidR="00DF3B58" w:rsidRPr="00C377C8" w:rsidRDefault="00DF3B58" w:rsidP="00461178">
      <w:pPr>
        <w:spacing w:line="360" w:lineRule="auto"/>
        <w:ind w:left="2268"/>
        <w:rPr>
          <w:color w:val="000000" w:themeColor="text1"/>
        </w:rPr>
      </w:pPr>
      <w:r w:rsidRPr="00C377C8">
        <w:rPr>
          <w:rStyle w:val="selectable"/>
          <w:color w:val="000000" w:themeColor="text1"/>
        </w:rPr>
        <w:t>Watson, B. and Thompson, P., 2014. </w:t>
      </w:r>
      <w:r w:rsidRPr="00C377C8">
        <w:rPr>
          <w:rStyle w:val="selectable"/>
          <w:i/>
          <w:iCs/>
          <w:color w:val="000000" w:themeColor="text1"/>
        </w:rPr>
        <w:t>The Effective Teaching Of Religious Education</w:t>
      </w:r>
      <w:r w:rsidRPr="00C377C8">
        <w:rPr>
          <w:rStyle w:val="selectable"/>
          <w:color w:val="000000" w:themeColor="text1"/>
        </w:rPr>
        <w:t>. Hoboken: Taylor and Francis.</w:t>
      </w:r>
    </w:p>
    <w:p w14:paraId="766E28CA" w14:textId="77777777" w:rsidR="00DF3B58" w:rsidRPr="00C377C8" w:rsidRDefault="00DF3B58"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 xml:space="preserve">  Wearmouth, J. and Goodwyn, A., 2019. </w:t>
      </w:r>
      <w:r w:rsidRPr="00C377C8">
        <w:rPr>
          <w:rFonts w:eastAsia="Times New Roman"/>
          <w:i/>
          <w:iCs/>
          <w:color w:val="000000" w:themeColor="text1"/>
          <w:lang w:eastAsia="en-GB"/>
        </w:rPr>
        <w:t>Pupil, teacher and family voice in educational institutions</w:t>
      </w:r>
      <w:r w:rsidRPr="00C377C8">
        <w:rPr>
          <w:rFonts w:eastAsia="Times New Roman"/>
          <w:color w:val="000000" w:themeColor="text1"/>
          <w:lang w:eastAsia="en-GB"/>
        </w:rPr>
        <w:t xml:space="preserve">. Lo </w:t>
      </w:r>
    </w:p>
    <w:p w14:paraId="7B1FD41A" w14:textId="77777777" w:rsidR="00DF3B58" w:rsidRPr="00C377C8" w:rsidRDefault="00DF3B58" w:rsidP="00461178">
      <w:pPr>
        <w:spacing w:line="360" w:lineRule="auto"/>
        <w:ind w:left="2268"/>
        <w:rPr>
          <w:color w:val="000000" w:themeColor="text1"/>
        </w:rPr>
      </w:pPr>
      <w:r w:rsidRPr="00C377C8">
        <w:rPr>
          <w:rStyle w:val="selectable"/>
          <w:color w:val="000000" w:themeColor="text1"/>
        </w:rPr>
        <w:t>Webb, G. and Wadud, A., 2000. Qur'an and Woman: Rereading the Sacred Text from a Woman's Perspective. </w:t>
      </w:r>
      <w:r w:rsidRPr="00C377C8">
        <w:rPr>
          <w:rStyle w:val="selectable"/>
          <w:i/>
          <w:iCs/>
          <w:color w:val="000000" w:themeColor="text1"/>
        </w:rPr>
        <w:t>Journal of Law and Religion</w:t>
      </w:r>
      <w:r w:rsidRPr="00C377C8">
        <w:rPr>
          <w:rStyle w:val="selectable"/>
          <w:color w:val="000000" w:themeColor="text1"/>
        </w:rPr>
        <w:t>, 15(1/2), p.519.</w:t>
      </w:r>
    </w:p>
    <w:p w14:paraId="0F18DA11" w14:textId="77777777" w:rsidR="00DF3B58" w:rsidRPr="00C377C8" w:rsidRDefault="00DF3B58" w:rsidP="00461178">
      <w:pPr>
        <w:spacing w:line="360" w:lineRule="auto"/>
        <w:ind w:left="2268"/>
        <w:rPr>
          <w:rStyle w:val="selectable"/>
          <w:color w:val="000000" w:themeColor="text1"/>
        </w:rPr>
      </w:pPr>
      <w:r w:rsidRPr="00C377C8">
        <w:rPr>
          <w:rStyle w:val="selectable"/>
          <w:color w:val="000000" w:themeColor="text1"/>
        </w:rPr>
        <w:t>Webber, C. and Lupart, J., 2012. </w:t>
      </w:r>
      <w:r w:rsidRPr="00C377C8">
        <w:rPr>
          <w:rStyle w:val="selectable"/>
          <w:i/>
          <w:iCs/>
          <w:color w:val="000000" w:themeColor="text1"/>
        </w:rPr>
        <w:t>Leading student assessment</w:t>
      </w:r>
      <w:r w:rsidRPr="00C377C8">
        <w:rPr>
          <w:rStyle w:val="selectable"/>
          <w:color w:val="000000" w:themeColor="text1"/>
        </w:rPr>
        <w:t>. Dordrecht: Springer.</w:t>
      </w:r>
    </w:p>
    <w:p w14:paraId="477271F3" w14:textId="77777777" w:rsidR="00DF3B58" w:rsidRPr="00C377C8" w:rsidRDefault="00DF3B58" w:rsidP="00F1408E">
      <w:pPr>
        <w:ind w:left="2268"/>
        <w:rPr>
          <w:rFonts w:ascii="Calibri" w:eastAsia="Calibri" w:hAnsi="Calibri" w:cs="Times New Roman"/>
          <w:color w:val="000000" w:themeColor="text1"/>
        </w:rPr>
      </w:pPr>
      <w:r w:rsidRPr="00C377C8">
        <w:rPr>
          <w:rFonts w:ascii="Open Sans" w:eastAsia="Calibri" w:hAnsi="Open Sans" w:cs="Open Sans"/>
          <w:color w:val="000000" w:themeColor="text1"/>
          <w:sz w:val="20"/>
          <w:szCs w:val="20"/>
          <w:shd w:val="clear" w:color="auto" w:fill="FFFFFF"/>
        </w:rPr>
        <w:t>Webster, R., 2001. </w:t>
      </w:r>
      <w:r w:rsidRPr="00C377C8">
        <w:rPr>
          <w:rFonts w:ascii="Open Sans" w:eastAsia="Calibri" w:hAnsi="Open Sans" w:cs="Open Sans"/>
          <w:i/>
          <w:iCs/>
          <w:color w:val="000000" w:themeColor="text1"/>
          <w:sz w:val="20"/>
          <w:szCs w:val="20"/>
          <w:shd w:val="clear" w:color="auto" w:fill="FFFFFF"/>
        </w:rPr>
        <w:t>Studying literary theory</w:t>
      </w:r>
      <w:r w:rsidRPr="00C377C8">
        <w:rPr>
          <w:rFonts w:ascii="Open Sans" w:eastAsia="Calibri" w:hAnsi="Open Sans" w:cs="Open Sans"/>
          <w:color w:val="000000" w:themeColor="text1"/>
          <w:sz w:val="20"/>
          <w:szCs w:val="20"/>
          <w:shd w:val="clear" w:color="auto" w:fill="FFFFFF"/>
        </w:rPr>
        <w:t>. London: Arnold.</w:t>
      </w:r>
    </w:p>
    <w:p w14:paraId="0C8A64D3" w14:textId="77777777" w:rsidR="00DF3B58" w:rsidRPr="00C377C8" w:rsidRDefault="00DF3B58" w:rsidP="00461178">
      <w:pPr>
        <w:spacing w:line="360" w:lineRule="auto"/>
        <w:ind w:left="2268"/>
        <w:rPr>
          <w:rStyle w:val="selectable"/>
          <w:color w:val="000000" w:themeColor="text1"/>
        </w:rPr>
      </w:pPr>
      <w:r w:rsidRPr="00C377C8">
        <w:rPr>
          <w:rStyle w:val="selectable"/>
          <w:color w:val="000000" w:themeColor="text1"/>
        </w:rPr>
        <w:t>Wells, G., 2001. </w:t>
      </w:r>
      <w:r w:rsidRPr="00C377C8">
        <w:rPr>
          <w:rStyle w:val="selectable"/>
          <w:i/>
          <w:iCs/>
          <w:color w:val="000000" w:themeColor="text1"/>
        </w:rPr>
        <w:t>Action, Talk, And Text</w:t>
      </w:r>
      <w:r w:rsidRPr="00C377C8">
        <w:rPr>
          <w:rStyle w:val="selectable"/>
          <w:color w:val="000000" w:themeColor="text1"/>
        </w:rPr>
        <w:t>. New York: Teachers College Press.</w:t>
      </w:r>
    </w:p>
    <w:p w14:paraId="344ABB8F" w14:textId="77777777" w:rsidR="00DF3B58" w:rsidRPr="00C377C8" w:rsidRDefault="00DF3B58" w:rsidP="00461178">
      <w:pPr>
        <w:spacing w:line="360" w:lineRule="auto"/>
        <w:ind w:left="2268"/>
        <w:rPr>
          <w:color w:val="000000" w:themeColor="text1"/>
        </w:rPr>
      </w:pPr>
      <w:r w:rsidRPr="00C377C8">
        <w:rPr>
          <w:color w:val="000000" w:themeColor="text1"/>
        </w:rPr>
        <w:t>White, R. (2013). </w:t>
      </w:r>
      <w:r w:rsidRPr="00C377C8">
        <w:rPr>
          <w:i/>
          <w:iCs/>
          <w:color w:val="000000" w:themeColor="text1"/>
        </w:rPr>
        <w:t>Curriculum development, innovation and reform</w:t>
      </w:r>
      <w:r w:rsidRPr="00C377C8">
        <w:rPr>
          <w:color w:val="000000" w:themeColor="text1"/>
        </w:rPr>
        <w:t>. Hauppauge, New York: Nova Science Publisher's.</w:t>
      </w:r>
    </w:p>
    <w:p w14:paraId="320A2CAD" w14:textId="77777777" w:rsidR="00DF3B58" w:rsidRPr="00C377C8" w:rsidRDefault="00DF3B58" w:rsidP="00461178">
      <w:pPr>
        <w:spacing w:line="360" w:lineRule="auto"/>
        <w:ind w:left="2268"/>
        <w:rPr>
          <w:color w:val="000000" w:themeColor="text1"/>
        </w:rPr>
      </w:pPr>
      <w:r w:rsidRPr="00C377C8">
        <w:rPr>
          <w:rStyle w:val="selectable"/>
          <w:color w:val="000000" w:themeColor="text1"/>
        </w:rPr>
        <w:t>White, T. and McBurney, D., 2013. </w:t>
      </w:r>
      <w:r w:rsidRPr="00C377C8">
        <w:rPr>
          <w:rStyle w:val="selectable"/>
          <w:i/>
          <w:iCs/>
          <w:color w:val="000000" w:themeColor="text1"/>
        </w:rPr>
        <w:t>Research methods</w:t>
      </w:r>
      <w:r w:rsidRPr="00C377C8">
        <w:rPr>
          <w:rStyle w:val="selectable"/>
          <w:color w:val="000000" w:themeColor="text1"/>
        </w:rPr>
        <w:t>. Australia: Wadsworth Cengage Learning.</w:t>
      </w:r>
    </w:p>
    <w:p w14:paraId="4B60A683" w14:textId="77777777" w:rsidR="00DF3B58" w:rsidRPr="00C377C8" w:rsidRDefault="00DF3B58" w:rsidP="00461178">
      <w:pPr>
        <w:spacing w:line="360" w:lineRule="auto"/>
        <w:ind w:left="2268"/>
        <w:rPr>
          <w:color w:val="000000" w:themeColor="text1"/>
        </w:rPr>
      </w:pPr>
      <w:r w:rsidRPr="00C377C8">
        <w:rPr>
          <w:color w:val="000000" w:themeColor="text1"/>
          <w:shd w:val="clear" w:color="auto" w:fill="FFFFFF"/>
        </w:rPr>
        <w:t>Whyte, W. and Whyte, K.,1984. </w:t>
      </w:r>
      <w:r w:rsidRPr="00C377C8">
        <w:rPr>
          <w:i/>
          <w:iCs/>
          <w:color w:val="000000" w:themeColor="text1"/>
          <w:shd w:val="clear" w:color="auto" w:fill="FFFFFF"/>
        </w:rPr>
        <w:t>Learning from the field</w:t>
      </w:r>
      <w:r w:rsidRPr="00C377C8">
        <w:rPr>
          <w:color w:val="000000" w:themeColor="text1"/>
          <w:shd w:val="clear" w:color="auto" w:fill="FFFFFF"/>
        </w:rPr>
        <w:t>. Beverly Hills: Sage Publications.</w:t>
      </w:r>
    </w:p>
    <w:p w14:paraId="55E0DC3C" w14:textId="77777777" w:rsidR="00DF3B58" w:rsidRPr="00C377C8" w:rsidRDefault="00DF3B58"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Wiersma, W. and Jurs, S.,2009. </w:t>
      </w:r>
      <w:r w:rsidRPr="00C377C8">
        <w:rPr>
          <w:rFonts w:eastAsia="Times New Roman"/>
          <w:i/>
          <w:iCs/>
          <w:color w:val="000000" w:themeColor="text1"/>
          <w:lang w:eastAsia="en-GB"/>
        </w:rPr>
        <w:t>Research methods in education</w:t>
      </w:r>
      <w:r w:rsidRPr="00C377C8">
        <w:rPr>
          <w:rFonts w:eastAsia="Times New Roman"/>
          <w:color w:val="000000" w:themeColor="text1"/>
          <w:lang w:eastAsia="en-GB"/>
        </w:rPr>
        <w:t>. Boston, Mass.: Pearson.</w:t>
      </w:r>
    </w:p>
    <w:p w14:paraId="2E6DD22C" w14:textId="77777777" w:rsidR="00DF3B58" w:rsidRPr="00C377C8" w:rsidRDefault="00DF3B58" w:rsidP="00461178">
      <w:pPr>
        <w:spacing w:line="360" w:lineRule="auto"/>
        <w:ind w:left="2268"/>
        <w:rPr>
          <w:color w:val="000000" w:themeColor="text1"/>
        </w:rPr>
      </w:pPr>
      <w:r w:rsidRPr="00C377C8">
        <w:rPr>
          <w:rStyle w:val="selectable"/>
          <w:color w:val="000000" w:themeColor="text1"/>
        </w:rPr>
        <w:t>Wild, S., 1996. </w:t>
      </w:r>
      <w:r w:rsidRPr="00C377C8">
        <w:rPr>
          <w:rStyle w:val="selectable"/>
          <w:i/>
          <w:iCs/>
          <w:color w:val="000000" w:themeColor="text1"/>
        </w:rPr>
        <w:t>The Quʼran as text</w:t>
      </w:r>
      <w:r w:rsidRPr="00C377C8">
        <w:rPr>
          <w:rStyle w:val="selectable"/>
          <w:color w:val="000000" w:themeColor="text1"/>
        </w:rPr>
        <w:t>. Leiden: E.J. Brill.</w:t>
      </w:r>
    </w:p>
    <w:p w14:paraId="4624BCCC" w14:textId="77777777" w:rsidR="00DF3B58" w:rsidRPr="00C377C8" w:rsidRDefault="00DF3B58" w:rsidP="00461178">
      <w:pPr>
        <w:spacing w:line="360" w:lineRule="auto"/>
        <w:ind w:left="2268"/>
        <w:rPr>
          <w:color w:val="000000" w:themeColor="text1"/>
          <w:lang w:val="en-US"/>
        </w:rPr>
      </w:pPr>
      <w:r w:rsidRPr="00C377C8">
        <w:rPr>
          <w:color w:val="000000" w:themeColor="text1"/>
          <w:lang w:val="en-US"/>
        </w:rPr>
        <w:t>Wiles, R., 2012. </w:t>
      </w:r>
      <w:r w:rsidRPr="00C377C8">
        <w:rPr>
          <w:i/>
          <w:iCs/>
          <w:color w:val="000000" w:themeColor="text1"/>
          <w:lang w:val="en-US"/>
        </w:rPr>
        <w:t>What are qualitative research ethics?</w:t>
      </w:r>
      <w:r w:rsidRPr="00C377C8">
        <w:rPr>
          <w:color w:val="000000" w:themeColor="text1"/>
          <w:lang w:val="en-US"/>
        </w:rPr>
        <w:t>. London: Bloomsbury Academic.</w:t>
      </w:r>
    </w:p>
    <w:p w14:paraId="0A6BBDA6" w14:textId="77777777" w:rsidR="00DF3B58" w:rsidRPr="00C377C8" w:rsidRDefault="00DF3B58" w:rsidP="00461178">
      <w:pPr>
        <w:spacing w:line="360" w:lineRule="auto"/>
        <w:ind w:left="2268"/>
        <w:rPr>
          <w:color w:val="000000" w:themeColor="text1"/>
        </w:rPr>
      </w:pPr>
      <w:r w:rsidRPr="00C377C8">
        <w:rPr>
          <w:color w:val="000000" w:themeColor="text1"/>
        </w:rPr>
        <w:t>Wilhoit, J. and Ryken, L., 2012. </w:t>
      </w:r>
      <w:r w:rsidRPr="00C377C8">
        <w:rPr>
          <w:i/>
          <w:iCs/>
          <w:color w:val="000000" w:themeColor="text1"/>
        </w:rPr>
        <w:t>Effective Bible Teaching</w:t>
      </w:r>
      <w:r w:rsidRPr="00C377C8">
        <w:rPr>
          <w:color w:val="000000" w:themeColor="text1"/>
        </w:rPr>
        <w:t>. Grand Rapids, MI: Baker Academic.</w:t>
      </w:r>
    </w:p>
    <w:p w14:paraId="62572D1E" w14:textId="77777777" w:rsidR="00DF3B58" w:rsidRPr="00C377C8" w:rsidRDefault="00DF3B58" w:rsidP="00461178">
      <w:pPr>
        <w:spacing w:line="360" w:lineRule="auto"/>
        <w:ind w:left="2268"/>
        <w:rPr>
          <w:color w:val="000000" w:themeColor="text1"/>
        </w:rPr>
      </w:pPr>
      <w:r w:rsidRPr="00C377C8">
        <w:rPr>
          <w:rStyle w:val="selectable"/>
          <w:color w:val="000000" w:themeColor="text1"/>
        </w:rPr>
        <w:t>Williams, J. and Kane, D., 2009. Assessment and Feedback: Institutional Experiences of Student Feedback, 1996 to 2007. </w:t>
      </w:r>
      <w:r w:rsidRPr="00C377C8">
        <w:rPr>
          <w:rStyle w:val="selectable"/>
          <w:i/>
          <w:iCs/>
          <w:color w:val="000000" w:themeColor="text1"/>
        </w:rPr>
        <w:t>Higher Education Quarterly</w:t>
      </w:r>
      <w:r w:rsidRPr="00C377C8">
        <w:rPr>
          <w:rStyle w:val="selectable"/>
          <w:color w:val="000000" w:themeColor="text1"/>
        </w:rPr>
        <w:t>, 63(3), pp.264-286.</w:t>
      </w:r>
    </w:p>
    <w:p w14:paraId="456AD15B" w14:textId="77777777" w:rsidR="00DF3B58" w:rsidRPr="00C377C8" w:rsidRDefault="00DF3B58" w:rsidP="00461178">
      <w:pPr>
        <w:spacing w:line="360" w:lineRule="auto"/>
        <w:ind w:left="2268"/>
        <w:rPr>
          <w:color w:val="000000" w:themeColor="text1"/>
        </w:rPr>
      </w:pPr>
      <w:r w:rsidRPr="00C377C8">
        <w:rPr>
          <w:rStyle w:val="selectable"/>
          <w:color w:val="000000" w:themeColor="text1"/>
        </w:rPr>
        <w:t>Willis, J., 2008. </w:t>
      </w:r>
      <w:r w:rsidRPr="00C377C8">
        <w:rPr>
          <w:rStyle w:val="selectable"/>
          <w:i/>
          <w:iCs/>
          <w:color w:val="000000" w:themeColor="text1"/>
        </w:rPr>
        <w:t>Qualitative research methods in education and educational technology</w:t>
      </w:r>
      <w:r w:rsidRPr="00C377C8">
        <w:rPr>
          <w:rStyle w:val="selectable"/>
          <w:color w:val="000000" w:themeColor="text1"/>
        </w:rPr>
        <w:t>. Charlotte, NC: Information Age Pub.</w:t>
      </w:r>
    </w:p>
    <w:p w14:paraId="2DEE7AC2" w14:textId="77777777" w:rsidR="00DF3B58" w:rsidRPr="00C377C8" w:rsidRDefault="00DF3B58" w:rsidP="00461178">
      <w:pPr>
        <w:spacing w:line="360" w:lineRule="auto"/>
        <w:ind w:left="2268"/>
        <w:rPr>
          <w:color w:val="000000" w:themeColor="text1"/>
        </w:rPr>
      </w:pPr>
      <w:r w:rsidRPr="00C377C8">
        <w:rPr>
          <w:color w:val="000000" w:themeColor="text1"/>
        </w:rPr>
        <w:t>Wilss, W., 1999. </w:t>
      </w:r>
      <w:r w:rsidRPr="00C377C8">
        <w:rPr>
          <w:i/>
          <w:iCs/>
          <w:color w:val="000000" w:themeColor="text1"/>
        </w:rPr>
        <w:t>Translation and interpreting in the 20th century</w:t>
      </w:r>
      <w:r w:rsidRPr="00C377C8">
        <w:rPr>
          <w:color w:val="000000" w:themeColor="text1"/>
        </w:rPr>
        <w:t>. Amsterdam: John Benjamins</w:t>
      </w:r>
    </w:p>
    <w:p w14:paraId="30E83121" w14:textId="77777777" w:rsidR="00DF3B58" w:rsidRPr="00C377C8" w:rsidRDefault="00DF3B58" w:rsidP="00461178">
      <w:pPr>
        <w:spacing w:line="360" w:lineRule="auto"/>
        <w:ind w:left="2268"/>
        <w:rPr>
          <w:color w:val="000000" w:themeColor="text1"/>
        </w:rPr>
      </w:pPr>
      <w:r w:rsidRPr="00C377C8">
        <w:rPr>
          <w:rStyle w:val="selectable"/>
          <w:color w:val="000000" w:themeColor="text1"/>
        </w:rPr>
        <w:t>Woodard, B. and Fatzinger, J., 2018. Student Engagement with Other Students. </w:t>
      </w:r>
      <w:r w:rsidRPr="00C377C8">
        <w:rPr>
          <w:rStyle w:val="selectable"/>
          <w:i/>
          <w:iCs/>
          <w:color w:val="000000" w:themeColor="text1"/>
        </w:rPr>
        <w:t>New Directions for Teaching and Learning</w:t>
      </w:r>
      <w:r w:rsidRPr="00C377C8">
        <w:rPr>
          <w:rStyle w:val="selectable"/>
          <w:color w:val="000000" w:themeColor="text1"/>
        </w:rPr>
        <w:t>, 2018(154), pp.99-107.</w:t>
      </w:r>
    </w:p>
    <w:p w14:paraId="56B191DC" w14:textId="77777777" w:rsidR="00DF3B58" w:rsidRPr="00C377C8" w:rsidRDefault="00DF3B58" w:rsidP="00461178">
      <w:pPr>
        <w:spacing w:line="360" w:lineRule="auto"/>
        <w:ind w:left="2268"/>
        <w:rPr>
          <w:color w:val="000000" w:themeColor="text1"/>
        </w:rPr>
      </w:pPr>
      <w:r w:rsidRPr="00C377C8">
        <w:rPr>
          <w:rStyle w:val="selectable"/>
          <w:color w:val="000000" w:themeColor="text1"/>
        </w:rPr>
        <w:t>Worrell, J. and Profetto-McGrath, J., 2007. Critical thinking as an outcome of context-based learning among post RN students: A literature review. </w:t>
      </w:r>
      <w:r w:rsidRPr="00C377C8">
        <w:rPr>
          <w:rStyle w:val="selectable"/>
          <w:i/>
          <w:iCs/>
          <w:color w:val="000000" w:themeColor="text1"/>
        </w:rPr>
        <w:t>Nurse Education Today</w:t>
      </w:r>
      <w:r w:rsidRPr="00C377C8">
        <w:rPr>
          <w:rStyle w:val="selectable"/>
          <w:color w:val="000000" w:themeColor="text1"/>
        </w:rPr>
        <w:t>, 27(5), pp.420-426.</w:t>
      </w:r>
    </w:p>
    <w:p w14:paraId="75357AB6" w14:textId="77777777" w:rsidR="00DF3B58" w:rsidRPr="00C377C8" w:rsidRDefault="00DF3B58" w:rsidP="00461178">
      <w:pPr>
        <w:spacing w:line="360" w:lineRule="auto"/>
        <w:ind w:left="2268"/>
        <w:rPr>
          <w:color w:val="000000" w:themeColor="text1"/>
        </w:rPr>
      </w:pPr>
      <w:r w:rsidRPr="00C377C8">
        <w:rPr>
          <w:color w:val="000000" w:themeColor="text1"/>
        </w:rPr>
        <w:t>Wyse, D., 2013. </w:t>
      </w:r>
      <w:r w:rsidRPr="00C377C8">
        <w:rPr>
          <w:i/>
          <w:iCs/>
          <w:color w:val="000000" w:themeColor="text1"/>
        </w:rPr>
        <w:t>Creating the curriculum</w:t>
      </w:r>
      <w:r w:rsidRPr="00C377C8">
        <w:rPr>
          <w:color w:val="000000" w:themeColor="text1"/>
        </w:rPr>
        <w:t>. London: Routledge.</w:t>
      </w:r>
    </w:p>
    <w:p w14:paraId="1FB1977F" w14:textId="77777777" w:rsidR="00DF3B58" w:rsidRPr="00C377C8" w:rsidRDefault="00DF3B58" w:rsidP="00461178">
      <w:pPr>
        <w:spacing w:line="360" w:lineRule="auto"/>
        <w:ind w:left="2268"/>
        <w:rPr>
          <w:color w:val="000000" w:themeColor="text1"/>
        </w:rPr>
      </w:pPr>
      <w:r w:rsidRPr="00C377C8">
        <w:rPr>
          <w:rStyle w:val="selectable"/>
          <w:color w:val="000000" w:themeColor="text1"/>
        </w:rPr>
        <w:t>Yama, B., 1987. </w:t>
      </w:r>
      <w:r w:rsidRPr="00C377C8">
        <w:rPr>
          <w:rStyle w:val="selectable"/>
          <w:i/>
          <w:iCs/>
          <w:color w:val="000000" w:themeColor="text1"/>
        </w:rPr>
        <w:t>Collaborative learning</w:t>
      </w:r>
      <w:r w:rsidRPr="00C377C8">
        <w:rPr>
          <w:rStyle w:val="selectable"/>
          <w:color w:val="000000" w:themeColor="text1"/>
        </w:rPr>
        <w:t>. Toronto, Ont.: Ministry of Education.</w:t>
      </w:r>
    </w:p>
    <w:p w14:paraId="7B0DB4E1" w14:textId="77777777" w:rsidR="00DF3B58" w:rsidRPr="00C377C8" w:rsidRDefault="00DF3B58" w:rsidP="00461178">
      <w:pPr>
        <w:spacing w:line="360" w:lineRule="auto"/>
        <w:ind w:left="2268"/>
        <w:rPr>
          <w:color w:val="000000" w:themeColor="text1"/>
          <w:lang w:val="en-US"/>
        </w:rPr>
      </w:pPr>
      <w:r w:rsidRPr="00C377C8">
        <w:rPr>
          <w:color w:val="000000" w:themeColor="text1"/>
          <w:lang w:val="en-US"/>
        </w:rPr>
        <w:t xml:space="preserve">Yardley.L., 2008. </w:t>
      </w:r>
      <w:r w:rsidRPr="00C377C8">
        <w:rPr>
          <w:i/>
          <w:color w:val="000000" w:themeColor="text1"/>
          <w:lang w:val="en-US"/>
        </w:rPr>
        <w:t>Demonstrating validity in qualitative psychology.</w:t>
      </w:r>
      <w:r w:rsidRPr="00C377C8">
        <w:rPr>
          <w:color w:val="000000" w:themeColor="text1"/>
          <w:lang w:val="en-US"/>
        </w:rPr>
        <w:t xml:space="preserve"> inJ.A Smith. Qualitative Psychology; A practical Guide to Methods London: sage. </w:t>
      </w:r>
    </w:p>
    <w:p w14:paraId="57E12275" w14:textId="77777777" w:rsidR="00DF3B58" w:rsidRPr="00C377C8" w:rsidRDefault="00DF3B58" w:rsidP="00461178">
      <w:pPr>
        <w:spacing w:line="360" w:lineRule="auto"/>
        <w:ind w:left="2268"/>
        <w:rPr>
          <w:color w:val="000000" w:themeColor="text1"/>
        </w:rPr>
      </w:pPr>
      <w:r w:rsidRPr="00C377C8">
        <w:rPr>
          <w:rStyle w:val="selectable"/>
          <w:color w:val="000000" w:themeColor="text1"/>
        </w:rPr>
        <w:t>Yuen, L., 2012. The impact of continuing professional development on a novice teacher. </w:t>
      </w:r>
      <w:r w:rsidRPr="00C377C8">
        <w:rPr>
          <w:rStyle w:val="selectable"/>
          <w:i/>
          <w:iCs/>
          <w:color w:val="000000" w:themeColor="text1"/>
        </w:rPr>
        <w:t>Teacher Development</w:t>
      </w:r>
      <w:r w:rsidRPr="00C377C8">
        <w:rPr>
          <w:rStyle w:val="selectable"/>
          <w:color w:val="000000" w:themeColor="text1"/>
        </w:rPr>
        <w:t>, 16(3), pp.387-398.</w:t>
      </w:r>
    </w:p>
    <w:p w14:paraId="72F3D31E" w14:textId="77777777" w:rsidR="00DF3B58" w:rsidRPr="00C377C8" w:rsidRDefault="00DF3B58" w:rsidP="00461178">
      <w:pPr>
        <w:spacing w:line="360" w:lineRule="auto"/>
        <w:ind w:left="2268"/>
        <w:rPr>
          <w:color w:val="000000" w:themeColor="text1"/>
        </w:rPr>
      </w:pPr>
      <w:r w:rsidRPr="00C377C8">
        <w:rPr>
          <w:color w:val="000000" w:themeColor="text1"/>
        </w:rPr>
        <w:t>Yüksel, P. and Yıldırım, S., 2015. Theoretical Frameworks, Methods, and Procedures for Conducting Phenomenological Studies. </w:t>
      </w:r>
      <w:r w:rsidRPr="00C377C8">
        <w:rPr>
          <w:i/>
          <w:iCs/>
          <w:color w:val="000000" w:themeColor="text1"/>
        </w:rPr>
        <w:t>Turkish Online Journal of Qualitative Inquiry</w:t>
      </w:r>
      <w:r w:rsidRPr="00C377C8">
        <w:rPr>
          <w:color w:val="000000" w:themeColor="text1"/>
        </w:rPr>
        <w:t>, </w:t>
      </w:r>
    </w:p>
    <w:p w14:paraId="0EF72654" w14:textId="77777777" w:rsidR="00DF3B58" w:rsidRPr="00C377C8" w:rsidRDefault="00DF3B58" w:rsidP="00461178">
      <w:pPr>
        <w:spacing w:line="360" w:lineRule="auto"/>
        <w:ind w:left="2268"/>
        <w:rPr>
          <w:color w:val="000000" w:themeColor="text1"/>
          <w:lang w:val="en-US"/>
        </w:rPr>
      </w:pPr>
      <w:r w:rsidRPr="00C377C8">
        <w:rPr>
          <w:color w:val="000000" w:themeColor="text1"/>
          <w:lang w:val="en-US"/>
        </w:rPr>
        <w:t>Zafar, n., 2019. </w:t>
      </w:r>
      <w:r w:rsidRPr="00C377C8">
        <w:rPr>
          <w:i/>
          <w:iCs/>
          <w:color w:val="000000" w:themeColor="text1"/>
          <w:lang w:val="en-US"/>
        </w:rPr>
        <w:t>Minhaj us Sarf</w:t>
      </w:r>
      <w:r w:rsidRPr="00C377C8">
        <w:rPr>
          <w:color w:val="000000" w:themeColor="text1"/>
          <w:lang w:val="en-US"/>
        </w:rPr>
        <w:t>. Lahore: Minhaj Publications.</w:t>
      </w:r>
    </w:p>
    <w:p w14:paraId="3A8624E1" w14:textId="77777777" w:rsidR="00DF3B58" w:rsidRPr="00C377C8" w:rsidRDefault="00DF3B58" w:rsidP="00461178">
      <w:pPr>
        <w:spacing w:line="360" w:lineRule="auto"/>
        <w:ind w:left="2268"/>
        <w:rPr>
          <w:rStyle w:val="selectable"/>
          <w:color w:val="000000" w:themeColor="text1"/>
        </w:rPr>
      </w:pPr>
      <w:r w:rsidRPr="00C377C8">
        <w:rPr>
          <w:rStyle w:val="selectable"/>
          <w:color w:val="000000" w:themeColor="text1"/>
        </w:rPr>
        <w:t>Zahavi, D., 2019. </w:t>
      </w:r>
      <w:r w:rsidRPr="00C377C8">
        <w:rPr>
          <w:rStyle w:val="selectable"/>
          <w:i/>
          <w:iCs/>
          <w:color w:val="000000" w:themeColor="text1"/>
        </w:rPr>
        <w:t>Phenomenology</w:t>
      </w:r>
      <w:r w:rsidRPr="00C377C8">
        <w:rPr>
          <w:rStyle w:val="selectable"/>
          <w:color w:val="000000" w:themeColor="text1"/>
        </w:rPr>
        <w:t>. London: Routledge.</w:t>
      </w:r>
    </w:p>
    <w:p w14:paraId="4741A6B3" w14:textId="77777777" w:rsidR="00DF3B58" w:rsidRPr="00C377C8" w:rsidRDefault="00DF3B58" w:rsidP="00461178">
      <w:pPr>
        <w:spacing w:line="360" w:lineRule="auto"/>
        <w:ind w:left="2268"/>
        <w:rPr>
          <w:rFonts w:eastAsia="Times New Roman"/>
          <w:color w:val="000000" w:themeColor="text1"/>
          <w:lang w:eastAsia="en-GB"/>
        </w:rPr>
      </w:pPr>
      <w:r w:rsidRPr="00C377C8">
        <w:rPr>
          <w:rFonts w:eastAsia="Times New Roman"/>
          <w:color w:val="000000" w:themeColor="text1"/>
          <w:lang w:eastAsia="en-GB"/>
        </w:rPr>
        <w:t xml:space="preserve">Zahid, H., 2015. </w:t>
      </w:r>
      <w:r w:rsidRPr="00C377C8">
        <w:rPr>
          <w:rFonts w:eastAsia="Times New Roman"/>
          <w:i/>
          <w:color w:val="000000" w:themeColor="text1"/>
          <w:lang w:eastAsia="en-GB"/>
        </w:rPr>
        <w:t>Madrassah Education</w:t>
      </w:r>
      <w:r w:rsidRPr="00C377C8">
        <w:rPr>
          <w:rFonts w:eastAsia="Times New Roman"/>
          <w:color w:val="000000" w:themeColor="text1"/>
          <w:lang w:eastAsia="en-GB"/>
        </w:rPr>
        <w:t xml:space="preserve">. Bolton: Noor Publication. </w:t>
      </w:r>
    </w:p>
    <w:p w14:paraId="3CA50E80" w14:textId="77777777" w:rsidR="00DF3B58" w:rsidRPr="00C377C8" w:rsidRDefault="00DF3B58" w:rsidP="00461178">
      <w:pPr>
        <w:spacing w:line="360" w:lineRule="auto"/>
        <w:ind w:left="2268"/>
        <w:rPr>
          <w:rStyle w:val="selectable"/>
          <w:color w:val="000000" w:themeColor="text1"/>
        </w:rPr>
      </w:pPr>
      <w:r w:rsidRPr="00C377C8">
        <w:rPr>
          <w:rStyle w:val="selectable"/>
          <w:color w:val="000000" w:themeColor="text1"/>
        </w:rPr>
        <w:t>Zaidī, S., 2004. </w:t>
      </w:r>
      <w:r w:rsidRPr="00C377C8">
        <w:rPr>
          <w:rStyle w:val="selectable"/>
          <w:i/>
          <w:iCs/>
          <w:color w:val="000000" w:themeColor="text1"/>
        </w:rPr>
        <w:t>Z̤iyāʼul-Qurʼān</w:t>
      </w:r>
      <w:r w:rsidRPr="00C377C8">
        <w:rPr>
          <w:rStyle w:val="selectable"/>
          <w:color w:val="000000" w:themeColor="text1"/>
        </w:rPr>
        <w:t>. ʻAlīgaṛh: Islāmik Risarc Fāʼūnḍaishan.</w:t>
      </w:r>
    </w:p>
    <w:p w14:paraId="232A0670" w14:textId="77777777" w:rsidR="00DF3B58" w:rsidRPr="00C377C8" w:rsidRDefault="00DF3B58" w:rsidP="00461178">
      <w:pPr>
        <w:spacing w:line="360" w:lineRule="auto"/>
        <w:ind w:left="2268"/>
        <w:rPr>
          <w:rFonts w:eastAsia="Times New Roman"/>
          <w:color w:val="000000" w:themeColor="text1"/>
        </w:rPr>
      </w:pPr>
      <w:r w:rsidRPr="00C377C8">
        <w:rPr>
          <w:rFonts w:eastAsia="Times New Roman"/>
          <w:color w:val="000000" w:themeColor="text1"/>
        </w:rPr>
        <w:t>Zaman, M. Q., 2001.The Role of Arabic and the Arab Middle East in the Definition of Muslim Identity in Twentieth Century India. The Muslim World 81. (4):272-98.</w:t>
      </w:r>
    </w:p>
    <w:p w14:paraId="1E45CA89" w14:textId="77777777" w:rsidR="00DF3B58" w:rsidRPr="00C377C8" w:rsidRDefault="00DF3B58" w:rsidP="00461178">
      <w:pPr>
        <w:spacing w:line="360" w:lineRule="auto"/>
        <w:ind w:left="2268"/>
        <w:rPr>
          <w:color w:val="000000" w:themeColor="text1"/>
        </w:rPr>
      </w:pPr>
      <w:r w:rsidRPr="00C377C8">
        <w:rPr>
          <w:rStyle w:val="selectable"/>
          <w:color w:val="000000" w:themeColor="text1"/>
        </w:rPr>
        <w:t>Zeeshan, M., 2017. Studying Quran. Dehli: Ishat e Islam.</w:t>
      </w:r>
    </w:p>
    <w:p w14:paraId="7677A70F" w14:textId="77777777" w:rsidR="00DF3B58" w:rsidRPr="00C377C8" w:rsidRDefault="00DF3B58" w:rsidP="00461178">
      <w:pPr>
        <w:spacing w:line="360" w:lineRule="auto"/>
        <w:ind w:left="2268"/>
        <w:rPr>
          <w:rFonts w:eastAsia="Times New Roman"/>
          <w:i/>
          <w:color w:val="000000" w:themeColor="text1"/>
        </w:rPr>
      </w:pPr>
      <w:r w:rsidRPr="00C377C8">
        <w:rPr>
          <w:rFonts w:eastAsia="Times New Roman"/>
          <w:color w:val="000000" w:themeColor="text1"/>
        </w:rPr>
        <w:t xml:space="preserve">Zubair, R., 1995. </w:t>
      </w:r>
      <w:r w:rsidRPr="00C377C8">
        <w:rPr>
          <w:rFonts w:eastAsia="Times New Roman"/>
          <w:i/>
          <w:color w:val="000000" w:themeColor="text1"/>
        </w:rPr>
        <w:t xml:space="preserve">Qurani Ayyat aur unka Siyyaq-o-Sabbaq ( the context of the Quranic verses). Karachi. Farid Book Stall. </w:t>
      </w:r>
    </w:p>
    <w:p w14:paraId="6750DA9D" w14:textId="77777777" w:rsidR="00DF3B58" w:rsidRPr="00C377C8" w:rsidRDefault="00DF3B58" w:rsidP="00461178">
      <w:pPr>
        <w:spacing w:line="360" w:lineRule="auto"/>
        <w:ind w:left="2268"/>
        <w:rPr>
          <w:rStyle w:val="selectable"/>
          <w:color w:val="000000" w:themeColor="text1"/>
        </w:rPr>
      </w:pPr>
      <w:r w:rsidRPr="00C377C8">
        <w:rPr>
          <w:rStyle w:val="selectable"/>
          <w:color w:val="000000" w:themeColor="text1"/>
        </w:rPr>
        <w:t>Zwozdiak-Myers, P., 2012. </w:t>
      </w:r>
      <w:r w:rsidRPr="00C377C8">
        <w:rPr>
          <w:rStyle w:val="selectable"/>
          <w:i/>
          <w:iCs/>
          <w:color w:val="000000" w:themeColor="text1"/>
        </w:rPr>
        <w:t>The teacher's reflective practice handbook</w:t>
      </w:r>
      <w:r w:rsidRPr="00C377C8">
        <w:rPr>
          <w:rStyle w:val="selectable"/>
          <w:color w:val="000000" w:themeColor="text1"/>
        </w:rPr>
        <w:t>. London: Routledge.</w:t>
      </w:r>
    </w:p>
    <w:p w14:paraId="18721133" w14:textId="77777777" w:rsidR="00F1408E" w:rsidRPr="00C377C8" w:rsidRDefault="00F1408E" w:rsidP="00461178">
      <w:pPr>
        <w:spacing w:line="360" w:lineRule="auto"/>
        <w:ind w:left="2268"/>
        <w:rPr>
          <w:rStyle w:val="selectable"/>
          <w:color w:val="000000" w:themeColor="text1"/>
        </w:rPr>
      </w:pPr>
    </w:p>
    <w:p w14:paraId="3DCBC1E3" w14:textId="77777777" w:rsidR="00011AFA" w:rsidRPr="00C377C8" w:rsidRDefault="00011AFA" w:rsidP="00461178">
      <w:pPr>
        <w:spacing w:line="360" w:lineRule="auto"/>
        <w:ind w:left="2268"/>
        <w:jc w:val="both"/>
        <w:rPr>
          <w:rFonts w:ascii="Times New Roman" w:hAnsi="Times New Roman" w:cs="Times New Roman"/>
          <w:color w:val="000000" w:themeColor="text1"/>
          <w:sz w:val="24"/>
          <w:szCs w:val="24"/>
        </w:rPr>
      </w:pPr>
    </w:p>
    <w:p w14:paraId="28DA0CB4" w14:textId="77777777" w:rsidR="005E71FF" w:rsidRPr="00C377C8" w:rsidRDefault="00011AFA" w:rsidP="00461178">
      <w:pPr>
        <w:pStyle w:val="Heading2"/>
        <w:numPr>
          <w:ilvl w:val="0"/>
          <w:numId w:val="0"/>
        </w:numPr>
        <w:ind w:left="2851" w:hanging="576"/>
        <w:rPr>
          <w:rFonts w:eastAsia="Times New Roman"/>
          <w:lang w:eastAsia="en-GB"/>
        </w:rPr>
      </w:pPr>
      <w:bookmarkStart w:id="258" w:name="_Toc83667041"/>
      <w:bookmarkStart w:id="259" w:name="_Toc96609153"/>
      <w:r w:rsidRPr="00C377C8">
        <w:rPr>
          <w:rStyle w:val="selectable"/>
          <w:szCs w:val="32"/>
        </w:rPr>
        <w:t>Appendices</w:t>
      </w:r>
      <w:bookmarkStart w:id="260" w:name="_Toc75796868"/>
      <w:bookmarkStart w:id="261" w:name="_Toc76374575"/>
      <w:bookmarkStart w:id="262" w:name="_Toc83667042"/>
      <w:bookmarkEnd w:id="258"/>
      <w:bookmarkEnd w:id="259"/>
      <w:r w:rsidRPr="00C377C8">
        <w:rPr>
          <w:rFonts w:eastAsia="Times New Roman"/>
          <w:lang w:eastAsia="en-GB"/>
        </w:rPr>
        <w:t xml:space="preserve"> </w:t>
      </w:r>
    </w:p>
    <w:p w14:paraId="01773320" w14:textId="502622DE" w:rsidR="00011AFA" w:rsidRPr="00C377C8" w:rsidRDefault="00011AFA" w:rsidP="00461178">
      <w:pPr>
        <w:pStyle w:val="Heading2"/>
        <w:numPr>
          <w:ilvl w:val="0"/>
          <w:numId w:val="0"/>
        </w:numPr>
        <w:ind w:left="2851" w:hanging="576"/>
        <w:rPr>
          <w:rFonts w:eastAsia="Times New Roman"/>
          <w:lang w:eastAsia="en-GB"/>
        </w:rPr>
      </w:pPr>
      <w:bookmarkStart w:id="263" w:name="_Toc96609154"/>
      <w:r w:rsidRPr="00C377C8">
        <w:rPr>
          <w:rFonts w:eastAsia="Times New Roman"/>
          <w:lang w:eastAsia="en-GB"/>
        </w:rPr>
        <w:t>Appendix 1</w:t>
      </w:r>
      <w:bookmarkEnd w:id="260"/>
      <w:r w:rsidRPr="00C377C8">
        <w:rPr>
          <w:rFonts w:eastAsia="Times New Roman"/>
          <w:lang w:eastAsia="en-GB"/>
        </w:rPr>
        <w:t>: Information Sheet</w:t>
      </w:r>
      <w:bookmarkEnd w:id="261"/>
      <w:bookmarkEnd w:id="262"/>
      <w:bookmarkEnd w:id="263"/>
      <w:r w:rsidRPr="00C377C8">
        <w:rPr>
          <w:rFonts w:eastAsia="Times New Roman"/>
          <w:lang w:eastAsia="en-GB"/>
        </w:rPr>
        <w:t xml:space="preserve"> </w:t>
      </w:r>
    </w:p>
    <w:p w14:paraId="33B2B741" w14:textId="2290D82B" w:rsidR="00011AFA" w:rsidRPr="00C377C8" w:rsidRDefault="00011AFA" w:rsidP="00461178">
      <w:pPr>
        <w:spacing w:after="120" w:line="360" w:lineRule="auto"/>
        <w:ind w:left="2275"/>
        <w:jc w:val="both"/>
        <w:rPr>
          <w:rFonts w:ascii="Arial" w:hAnsi="Arial" w:cs="Arial"/>
          <w:b/>
          <w:color w:val="000000" w:themeColor="text1"/>
          <w:sz w:val="24"/>
          <w:szCs w:val="24"/>
        </w:rPr>
      </w:pPr>
      <w:r w:rsidRPr="00C377C8">
        <w:rPr>
          <w:rFonts w:ascii="Arial" w:hAnsi="Arial" w:cs="Arial"/>
          <w:b/>
          <w:color w:val="000000" w:themeColor="text1"/>
          <w:sz w:val="24"/>
          <w:szCs w:val="24"/>
        </w:rPr>
        <w:t xml:space="preserve">Title of Research Project </w:t>
      </w:r>
    </w:p>
    <w:p w14:paraId="6A2D1393" w14:textId="77777777" w:rsidR="00011AFA" w:rsidRPr="00C377C8" w:rsidRDefault="00011AFA" w:rsidP="00461178">
      <w:pPr>
        <w:spacing w:line="360" w:lineRule="auto"/>
        <w:ind w:left="2275"/>
        <w:jc w:val="both"/>
        <w:rPr>
          <w:rFonts w:ascii="Arial" w:hAnsi="Arial" w:cs="Arial"/>
          <w:color w:val="000000" w:themeColor="text1"/>
          <w:sz w:val="24"/>
          <w:szCs w:val="24"/>
        </w:rPr>
      </w:pPr>
      <w:r w:rsidRPr="00C377C8">
        <w:rPr>
          <w:rFonts w:ascii="Arial" w:hAnsi="Arial" w:cs="Arial"/>
          <w:color w:val="000000" w:themeColor="text1"/>
          <w:sz w:val="24"/>
          <w:szCs w:val="24"/>
        </w:rPr>
        <w:t>Exploring teachers’ and students’ perspectives on the effective teaching of the critical interpretation of the Quran in multilingual classrooms</w:t>
      </w:r>
    </w:p>
    <w:p w14:paraId="5E54DBDF" w14:textId="77777777" w:rsidR="00011AFA" w:rsidRPr="00C377C8" w:rsidRDefault="00011AFA" w:rsidP="00461178">
      <w:pPr>
        <w:spacing w:after="120" w:line="360" w:lineRule="auto"/>
        <w:ind w:left="2275"/>
        <w:jc w:val="both"/>
        <w:rPr>
          <w:rFonts w:ascii="Arial" w:hAnsi="Arial" w:cs="Arial"/>
          <w:b/>
          <w:color w:val="000000" w:themeColor="text1"/>
          <w:sz w:val="24"/>
          <w:szCs w:val="24"/>
        </w:rPr>
      </w:pPr>
      <w:r w:rsidRPr="00C377C8">
        <w:rPr>
          <w:rFonts w:ascii="Arial" w:hAnsi="Arial" w:cs="Arial"/>
          <w:b/>
          <w:color w:val="000000" w:themeColor="text1"/>
          <w:sz w:val="24"/>
          <w:szCs w:val="24"/>
        </w:rPr>
        <w:t>What is the research about?</w:t>
      </w:r>
    </w:p>
    <w:p w14:paraId="7883E24F" w14:textId="77777777" w:rsidR="00011AFA" w:rsidRPr="00C377C8" w:rsidRDefault="00011AFA" w:rsidP="00461178">
      <w:pPr>
        <w:spacing w:after="120" w:line="360" w:lineRule="auto"/>
        <w:ind w:left="2275"/>
        <w:jc w:val="both"/>
        <w:rPr>
          <w:rFonts w:ascii="Arial" w:hAnsi="Arial" w:cs="Arial"/>
          <w:color w:val="000000" w:themeColor="text1"/>
          <w:sz w:val="24"/>
          <w:szCs w:val="24"/>
        </w:rPr>
      </w:pPr>
      <w:r w:rsidRPr="00C377C8">
        <w:rPr>
          <w:rFonts w:ascii="Arial" w:hAnsi="Arial" w:cs="Arial"/>
          <w:color w:val="000000" w:themeColor="text1"/>
          <w:sz w:val="24"/>
          <w:szCs w:val="24"/>
        </w:rPr>
        <w:t xml:space="preserve">The research aims at exploring teachers and students’ perspectives on effective teaching of the critical interpretation of the Quran in multilingual classrooms to fill the gap between the interpretation of the Quran and the pedagogy. It has been identified that Muslim scholars have focussed more on writing the interpretations of the Quran than the teaching of the critical interpretation of the Quran. Therefore, it is hoped that research participants will produce data that can help me to understand different aspects of effective teaching and develop a framework for effective teaching of the critical interpretation of the Quran. Documents study, non-participatory observation, and in-depth semi-structured interviews will be used to gather data that will be analysed following interpretive phenomenological analysis. </w:t>
      </w:r>
    </w:p>
    <w:p w14:paraId="768DEAE7" w14:textId="77777777" w:rsidR="00011AFA" w:rsidRPr="00C377C8" w:rsidRDefault="00011AFA" w:rsidP="00461178">
      <w:pPr>
        <w:spacing w:after="120" w:line="360" w:lineRule="auto"/>
        <w:ind w:left="2275"/>
        <w:jc w:val="both"/>
        <w:rPr>
          <w:rFonts w:ascii="Arial" w:hAnsi="Arial" w:cs="Arial"/>
          <w:b/>
          <w:color w:val="000000" w:themeColor="text1"/>
          <w:sz w:val="24"/>
          <w:szCs w:val="24"/>
        </w:rPr>
      </w:pPr>
      <w:r w:rsidRPr="00C377C8">
        <w:rPr>
          <w:rFonts w:ascii="Arial" w:hAnsi="Arial" w:cs="Arial"/>
          <w:b/>
          <w:color w:val="000000" w:themeColor="text1"/>
          <w:sz w:val="24"/>
          <w:szCs w:val="24"/>
        </w:rPr>
        <w:t>Why have I been chosen?</w:t>
      </w:r>
    </w:p>
    <w:p w14:paraId="3D79AA03" w14:textId="77777777" w:rsidR="00011AFA" w:rsidRPr="00C377C8" w:rsidRDefault="00011AFA" w:rsidP="00461178">
      <w:pPr>
        <w:spacing w:after="120" w:line="360" w:lineRule="auto"/>
        <w:ind w:left="2275"/>
        <w:jc w:val="both"/>
        <w:rPr>
          <w:rFonts w:ascii="Arial" w:hAnsi="Arial" w:cs="Arial"/>
          <w:color w:val="000000" w:themeColor="text1"/>
          <w:sz w:val="24"/>
          <w:szCs w:val="24"/>
        </w:rPr>
      </w:pPr>
      <w:r w:rsidRPr="00C377C8">
        <w:rPr>
          <w:rFonts w:ascii="Arial" w:hAnsi="Arial" w:cs="Arial"/>
          <w:color w:val="000000" w:themeColor="text1"/>
          <w:sz w:val="24"/>
          <w:szCs w:val="24"/>
        </w:rPr>
        <w:t>You have been chosen to participate, as you have been teaching/learning critically interpretation of the sacred text (the Quran) as a foreign language teacher/learning in the United Kingdom. By participating, you will help us to build up the data for the analysis.</w:t>
      </w:r>
    </w:p>
    <w:p w14:paraId="7F7C05EF" w14:textId="77777777" w:rsidR="00011AFA" w:rsidRPr="00C377C8" w:rsidRDefault="00011AFA" w:rsidP="00461178">
      <w:pPr>
        <w:spacing w:after="120" w:line="360" w:lineRule="auto"/>
        <w:ind w:left="2275"/>
        <w:jc w:val="both"/>
        <w:rPr>
          <w:rFonts w:ascii="Arial" w:hAnsi="Arial" w:cs="Arial"/>
          <w:color w:val="000000" w:themeColor="text1"/>
          <w:sz w:val="24"/>
          <w:szCs w:val="24"/>
        </w:rPr>
      </w:pPr>
      <w:r w:rsidRPr="00C377C8">
        <w:rPr>
          <w:rFonts w:ascii="Arial" w:hAnsi="Arial" w:cs="Arial"/>
          <w:color w:val="000000" w:themeColor="text1"/>
          <w:sz w:val="24"/>
          <w:szCs w:val="24"/>
        </w:rPr>
        <w:t xml:space="preserve">You do not have to take part but if you do decide to take part, you keep this sheet and will be asked to sign a consent form. By signing the consent form, you would be confirming your willingness to take part. </w:t>
      </w:r>
    </w:p>
    <w:p w14:paraId="53FCA1A7" w14:textId="77777777" w:rsidR="00011AFA" w:rsidRPr="00C377C8" w:rsidRDefault="00011AFA" w:rsidP="00461178">
      <w:pPr>
        <w:spacing w:line="360" w:lineRule="auto"/>
        <w:ind w:left="2275"/>
        <w:jc w:val="both"/>
        <w:rPr>
          <w:color w:val="000000" w:themeColor="text1"/>
          <w:sz w:val="24"/>
          <w:szCs w:val="24"/>
        </w:rPr>
      </w:pPr>
      <w:r w:rsidRPr="00C377C8">
        <w:rPr>
          <w:color w:val="000000" w:themeColor="text1"/>
          <w:sz w:val="24"/>
          <w:szCs w:val="24"/>
        </w:rPr>
        <w:t>What does it involve?</w:t>
      </w:r>
    </w:p>
    <w:p w14:paraId="1DD25904" w14:textId="77777777" w:rsidR="00011AFA" w:rsidRPr="00C377C8" w:rsidRDefault="00011AFA" w:rsidP="00461178">
      <w:pPr>
        <w:spacing w:line="360" w:lineRule="auto"/>
        <w:ind w:left="2275"/>
        <w:jc w:val="both"/>
        <w:rPr>
          <w:color w:val="000000" w:themeColor="text1"/>
          <w:sz w:val="24"/>
          <w:szCs w:val="24"/>
        </w:rPr>
      </w:pPr>
      <w:r w:rsidRPr="00C377C8">
        <w:rPr>
          <w:color w:val="000000" w:themeColor="text1"/>
          <w:sz w:val="24"/>
          <w:szCs w:val="24"/>
        </w:rPr>
        <w:t>Taking part would involve you to provide me lesson plan if you have any, grant me permission to observe one of your classes. The interview will take approximately an hour to complete and would take place at a time and location that is convenient for you.</w:t>
      </w:r>
    </w:p>
    <w:p w14:paraId="29AD9DA9" w14:textId="77777777" w:rsidR="00011AFA" w:rsidRPr="00C377C8" w:rsidRDefault="00011AFA" w:rsidP="00461178">
      <w:pPr>
        <w:spacing w:line="360" w:lineRule="auto"/>
        <w:ind w:left="2275"/>
        <w:jc w:val="both"/>
        <w:rPr>
          <w:color w:val="000000" w:themeColor="text1"/>
          <w:sz w:val="24"/>
          <w:szCs w:val="24"/>
        </w:rPr>
      </w:pPr>
      <w:r w:rsidRPr="00C377C8">
        <w:rPr>
          <w:color w:val="000000" w:themeColor="text1"/>
          <w:sz w:val="24"/>
          <w:szCs w:val="24"/>
        </w:rPr>
        <w:t>Are there any risks or benefits?</w:t>
      </w:r>
    </w:p>
    <w:p w14:paraId="04862082" w14:textId="77777777" w:rsidR="00011AFA" w:rsidRPr="00C377C8" w:rsidRDefault="00011AFA" w:rsidP="00461178">
      <w:pPr>
        <w:spacing w:line="360" w:lineRule="auto"/>
        <w:ind w:left="2275"/>
        <w:jc w:val="both"/>
        <w:rPr>
          <w:color w:val="000000" w:themeColor="text1"/>
          <w:sz w:val="24"/>
          <w:szCs w:val="24"/>
        </w:rPr>
      </w:pPr>
      <w:r w:rsidRPr="00C377C8">
        <w:rPr>
          <w:color w:val="000000" w:themeColor="text1"/>
          <w:sz w:val="24"/>
          <w:szCs w:val="24"/>
        </w:rPr>
        <w:t xml:space="preserve">Although there is no financial benefit for your participation in the study, but the information you provide may result in changes in teaching the critical interpretation of the Quran and help teachers to teach Quran effectively in multilingual classes.  </w:t>
      </w:r>
    </w:p>
    <w:p w14:paraId="2899D2FA" w14:textId="77777777" w:rsidR="00011AFA" w:rsidRPr="00C377C8" w:rsidRDefault="00011AFA" w:rsidP="00461178">
      <w:pPr>
        <w:spacing w:line="360" w:lineRule="auto"/>
        <w:ind w:left="2275"/>
        <w:jc w:val="both"/>
        <w:rPr>
          <w:color w:val="000000" w:themeColor="text1"/>
          <w:sz w:val="24"/>
          <w:szCs w:val="24"/>
        </w:rPr>
      </w:pPr>
      <w:r w:rsidRPr="00C377C8">
        <w:rPr>
          <w:color w:val="000000" w:themeColor="text1"/>
          <w:sz w:val="24"/>
          <w:szCs w:val="24"/>
        </w:rPr>
        <w:t xml:space="preserve">There is no apparent risk associated with the research, but if any information divulged by you as a research participant which may give rise to an obligation of disclosure under prevent strategy. I will have to follow mosque’s normal safeguarding procedures including discussing the concern with the mosque’s designated safeguarding lead, and where deemed necessary, with children’s social care or local Prevent Coordinator if the learners are under sixteen. It is also important to note that the participation may cause emotional distress and anxiety, if you indicate that you are experiencing any level of stress or emotional distress, I will stop the interview and offer immediate support by contacting health professional. If you feel safe and relieved after conversation and want to resume the interview, it will be resumed. If you are unable to carry on, you will be encouraged to contact local GP or Anxiety UK will be contacted on 08444775774 for further advice and follow you as a courtesy call. </w:t>
      </w:r>
    </w:p>
    <w:p w14:paraId="303F79B1" w14:textId="77777777" w:rsidR="00011AFA" w:rsidRPr="00C377C8" w:rsidRDefault="00011AFA" w:rsidP="00461178">
      <w:pPr>
        <w:spacing w:line="360" w:lineRule="auto"/>
        <w:ind w:left="2275"/>
        <w:jc w:val="both"/>
        <w:rPr>
          <w:color w:val="000000" w:themeColor="text1"/>
          <w:sz w:val="24"/>
          <w:szCs w:val="24"/>
        </w:rPr>
      </w:pPr>
      <w:r w:rsidRPr="00C377C8">
        <w:rPr>
          <w:color w:val="000000" w:themeColor="text1"/>
          <w:sz w:val="24"/>
          <w:szCs w:val="24"/>
        </w:rPr>
        <w:t>If you agree to participate in research, you will be asked to sign a consent form to make sure that you fully understand what you are agreeing to. The research has been approved by the Faculty Ethics Committee at Staffordshire University.</w:t>
      </w:r>
    </w:p>
    <w:p w14:paraId="0E2C4FF9" w14:textId="77777777" w:rsidR="00011AFA" w:rsidRPr="00C377C8" w:rsidRDefault="00011AFA" w:rsidP="00461178">
      <w:pPr>
        <w:spacing w:line="360" w:lineRule="auto"/>
        <w:ind w:left="2275"/>
        <w:jc w:val="both"/>
        <w:rPr>
          <w:color w:val="000000" w:themeColor="text1"/>
          <w:sz w:val="24"/>
          <w:szCs w:val="24"/>
        </w:rPr>
      </w:pPr>
      <w:r w:rsidRPr="00C377C8">
        <w:rPr>
          <w:color w:val="000000" w:themeColor="text1"/>
          <w:sz w:val="24"/>
          <w:szCs w:val="24"/>
        </w:rPr>
        <w:t xml:space="preserve">Your participation is voluntary. If you change your mind at any point, you can withdraw before the data is aggregated and you do not have to give reason for doing so. If there are any questions in the interview that you would prefer not to answer, you do not have to answer them. </w:t>
      </w:r>
    </w:p>
    <w:p w14:paraId="5504C0AC" w14:textId="77777777" w:rsidR="00011AFA" w:rsidRPr="00C377C8" w:rsidRDefault="00011AFA" w:rsidP="00461178">
      <w:pPr>
        <w:spacing w:line="360" w:lineRule="auto"/>
        <w:ind w:left="2275"/>
        <w:jc w:val="both"/>
        <w:rPr>
          <w:color w:val="000000" w:themeColor="text1"/>
          <w:sz w:val="24"/>
          <w:szCs w:val="24"/>
        </w:rPr>
      </w:pPr>
      <w:r w:rsidRPr="00C377C8">
        <w:rPr>
          <w:color w:val="000000" w:themeColor="text1"/>
          <w:sz w:val="24"/>
          <w:szCs w:val="24"/>
        </w:rPr>
        <w:t>Will I be identified in the report?</w:t>
      </w:r>
    </w:p>
    <w:p w14:paraId="32606FAF" w14:textId="77777777" w:rsidR="00011AFA" w:rsidRPr="00C377C8" w:rsidRDefault="00011AFA" w:rsidP="00461178">
      <w:pPr>
        <w:spacing w:line="360" w:lineRule="auto"/>
        <w:ind w:left="2275"/>
        <w:jc w:val="both"/>
        <w:rPr>
          <w:color w:val="000000" w:themeColor="text1"/>
          <w:sz w:val="24"/>
          <w:szCs w:val="24"/>
        </w:rPr>
      </w:pPr>
      <w:r w:rsidRPr="00C377C8">
        <w:rPr>
          <w:color w:val="000000" w:themeColor="text1"/>
          <w:sz w:val="24"/>
          <w:szCs w:val="24"/>
        </w:rPr>
        <w:t xml:space="preserve">I intend to ensure anonymity of the information you provide. They will not be attributed directly to you in the final report. There are around twenty-three hundred mosques, Islamic centres and faith schools within the United Kingdom, but I am selecting only four institutes for this project.  Therefore, possibly none will be able to identify you or the other research participants I interview from the same mosque. </w:t>
      </w:r>
    </w:p>
    <w:p w14:paraId="38A96750" w14:textId="77777777" w:rsidR="00011AFA" w:rsidRPr="00C377C8" w:rsidRDefault="00011AFA" w:rsidP="00461178">
      <w:pPr>
        <w:spacing w:line="360" w:lineRule="auto"/>
        <w:ind w:left="2275"/>
        <w:jc w:val="both"/>
        <w:rPr>
          <w:color w:val="000000" w:themeColor="text1"/>
          <w:sz w:val="24"/>
          <w:szCs w:val="24"/>
        </w:rPr>
      </w:pPr>
      <w:r w:rsidRPr="00C377C8">
        <w:rPr>
          <w:color w:val="000000" w:themeColor="text1"/>
          <w:sz w:val="24"/>
          <w:szCs w:val="24"/>
        </w:rPr>
        <w:t>Any personal information that you provide will be confidential and accessed only by the researcher or supervisory team. Transcripts of the interviews will be stored securely whilst the research is being undertaken, and will be destroyed in accordance with University and Faculty procedures that are in force when the project is completed.</w:t>
      </w:r>
    </w:p>
    <w:p w14:paraId="55ED40A0" w14:textId="77777777" w:rsidR="00011AFA" w:rsidRPr="00C377C8" w:rsidRDefault="00011AFA" w:rsidP="00461178">
      <w:pPr>
        <w:spacing w:line="360" w:lineRule="auto"/>
        <w:ind w:left="2275"/>
        <w:jc w:val="both"/>
        <w:rPr>
          <w:rFonts w:eastAsia="Times New Roman"/>
          <w:color w:val="000000" w:themeColor="text1"/>
          <w:sz w:val="24"/>
          <w:szCs w:val="24"/>
        </w:rPr>
      </w:pPr>
      <w:r w:rsidRPr="00C377C8">
        <w:rPr>
          <w:rFonts w:ascii="Segoe UI" w:eastAsia="Times New Roman" w:hAnsi="Segoe UI" w:cs="Segoe UI"/>
          <w:bCs/>
          <w:color w:val="000000" w:themeColor="text1"/>
          <w:sz w:val="24"/>
          <w:szCs w:val="24"/>
        </w:rPr>
        <w:t xml:space="preserve"> </w:t>
      </w:r>
      <w:r w:rsidRPr="00C377C8">
        <w:rPr>
          <w:rFonts w:eastAsia="Times New Roman"/>
          <w:bCs/>
          <w:color w:val="000000" w:themeColor="text1"/>
          <w:sz w:val="24"/>
          <w:szCs w:val="24"/>
        </w:rPr>
        <w:t>General Data Protection Regulation 2018(GDPR).</w:t>
      </w:r>
    </w:p>
    <w:p w14:paraId="5270CE1A" w14:textId="4D438E4C" w:rsidR="00011AFA" w:rsidRPr="00C377C8" w:rsidRDefault="00011AFA" w:rsidP="00461178">
      <w:pPr>
        <w:spacing w:line="360" w:lineRule="auto"/>
        <w:ind w:left="2275"/>
        <w:jc w:val="both"/>
        <w:rPr>
          <w:rFonts w:eastAsia="Times New Roman"/>
          <w:color w:val="000000" w:themeColor="text1"/>
          <w:sz w:val="24"/>
          <w:szCs w:val="24"/>
        </w:rPr>
      </w:pPr>
      <w:r w:rsidRPr="00C377C8">
        <w:rPr>
          <w:rFonts w:eastAsia="Times New Roman"/>
          <w:color w:val="000000" w:themeColor="text1"/>
          <w:sz w:val="24"/>
          <w:szCs w:val="24"/>
        </w:rPr>
        <w:t>Your data will be processed in accordance with the General Data Protection Regulation 2018 (GDPR). The data controller for this project will be Staffordshire University. The University will process your personal data for the purpose of the research outlined in this information sheet. The legal basis for processing your personal data for research purposes under GDPR is a ‘task in the public interest’. You can provide your consent for the use of your personal data in this study by completing the consent form that has been provided to you. You have the right to access information held about you. Your right of access can be exercised in accordance with the GDPR. You also have other rights including rights of correction, erasure, objection, and data portability. Questions, comments and requests about your personal data can also be sent to the Staffordshire University Data Protection Officer. If you wish to lodge a complaint with the Information Commissioner’s Office, please visit </w:t>
      </w:r>
      <w:hyperlink r:id="rId25" w:tgtFrame="_blank" w:history="1">
        <w:r w:rsidRPr="00C377C8">
          <w:rPr>
            <w:rStyle w:val="Hyperlink"/>
            <w:rFonts w:ascii="Arial" w:eastAsia="Times New Roman" w:hAnsi="Arial" w:cs="Arial"/>
            <w:color w:val="000000" w:themeColor="text1"/>
            <w:sz w:val="24"/>
            <w:szCs w:val="24"/>
            <w:bdr w:val="none" w:sz="0" w:space="0" w:color="auto" w:frame="1"/>
          </w:rPr>
          <w:t>www.ico.org.uk</w:t>
        </w:r>
      </w:hyperlink>
    </w:p>
    <w:p w14:paraId="4C9FA9AA" w14:textId="77777777" w:rsidR="00011AFA" w:rsidRPr="00C377C8" w:rsidRDefault="00011AFA" w:rsidP="00461178">
      <w:pPr>
        <w:spacing w:line="360" w:lineRule="auto"/>
        <w:ind w:left="2275"/>
        <w:jc w:val="both"/>
        <w:rPr>
          <w:color w:val="000000" w:themeColor="text1"/>
          <w:sz w:val="24"/>
          <w:szCs w:val="24"/>
        </w:rPr>
      </w:pPr>
      <w:r w:rsidRPr="00C377C8">
        <w:rPr>
          <w:color w:val="000000" w:themeColor="text1"/>
          <w:sz w:val="24"/>
          <w:szCs w:val="24"/>
        </w:rPr>
        <w:t>FOR FURTHER INFORMATION</w:t>
      </w:r>
    </w:p>
    <w:p w14:paraId="499F2A73" w14:textId="0695E311" w:rsidR="00011AFA" w:rsidRPr="00C377C8" w:rsidRDefault="00011AFA" w:rsidP="00461178">
      <w:pPr>
        <w:spacing w:line="360" w:lineRule="auto"/>
        <w:ind w:left="2275"/>
        <w:jc w:val="both"/>
        <w:rPr>
          <w:color w:val="000000" w:themeColor="text1"/>
          <w:sz w:val="24"/>
          <w:szCs w:val="24"/>
        </w:rPr>
      </w:pPr>
      <w:r w:rsidRPr="00C377C8">
        <w:rPr>
          <w:color w:val="000000" w:themeColor="text1"/>
          <w:sz w:val="24"/>
          <w:szCs w:val="24"/>
        </w:rPr>
        <w:t xml:space="preserve">This research is being undertaken for the purpose of getting the degree of professional Doctorate in Education at Staffordshire University. If you have any queries or questions related to this research, please contact me by email at a022453g@staffs.co.uk if you have any concerns about this research, please feel free to contact my module tutor, Dr. Gill Forrester. Her email address is </w:t>
      </w:r>
      <w:hyperlink r:id="rId26" w:history="1">
        <w:r w:rsidRPr="00C377C8">
          <w:rPr>
            <w:rStyle w:val="Hyperlink"/>
            <w:rFonts w:ascii="Arial" w:eastAsia="Times New Roman" w:hAnsi="Arial" w:cs="Arial"/>
            <w:color w:val="000000" w:themeColor="text1"/>
            <w:sz w:val="24"/>
            <w:szCs w:val="24"/>
            <w:bdr w:val="none" w:sz="0" w:space="0" w:color="auto" w:frame="1"/>
            <w:shd w:val="clear" w:color="auto" w:fill="FFFFFF"/>
          </w:rPr>
          <w:t>gillian.forrester@staffs.ac.uk</w:t>
        </w:r>
      </w:hyperlink>
    </w:p>
    <w:p w14:paraId="7A2C652D" w14:textId="77777777" w:rsidR="00011AFA" w:rsidRPr="00C377C8" w:rsidRDefault="00011AFA" w:rsidP="00461178">
      <w:pPr>
        <w:spacing w:line="360" w:lineRule="auto"/>
        <w:ind w:left="2275"/>
        <w:jc w:val="both"/>
        <w:rPr>
          <w:color w:val="000000" w:themeColor="text1"/>
          <w:sz w:val="24"/>
          <w:szCs w:val="24"/>
        </w:rPr>
      </w:pPr>
      <w:r w:rsidRPr="00C377C8">
        <w:rPr>
          <w:color w:val="000000" w:themeColor="text1"/>
          <w:sz w:val="24"/>
          <w:szCs w:val="24"/>
        </w:rPr>
        <w:t xml:space="preserve">Thank you for taking the time to read this information sheet. </w:t>
      </w:r>
    </w:p>
    <w:p w14:paraId="4580DC9F" w14:textId="77777777" w:rsidR="00E202E4" w:rsidRPr="00C377C8" w:rsidRDefault="00E202E4" w:rsidP="00461178">
      <w:pPr>
        <w:spacing w:line="360" w:lineRule="auto"/>
        <w:ind w:left="2275"/>
        <w:jc w:val="both"/>
        <w:rPr>
          <w:color w:val="000000" w:themeColor="text1"/>
          <w:sz w:val="24"/>
          <w:szCs w:val="24"/>
        </w:rPr>
      </w:pPr>
    </w:p>
    <w:p w14:paraId="2AA44F73" w14:textId="77777777" w:rsidR="00E202E4" w:rsidRPr="00C377C8" w:rsidRDefault="00E202E4" w:rsidP="00C33388">
      <w:pPr>
        <w:pStyle w:val="Heading2"/>
        <w:numPr>
          <w:ilvl w:val="0"/>
          <w:numId w:val="0"/>
        </w:numPr>
        <w:spacing w:line="360" w:lineRule="auto"/>
        <w:ind w:left="2286" w:hanging="576"/>
      </w:pPr>
      <w:bookmarkStart w:id="264" w:name="_Toc76374576"/>
      <w:bookmarkStart w:id="265" w:name="_Toc83667043"/>
      <w:bookmarkStart w:id="266" w:name="_Toc96609155"/>
      <w:r w:rsidRPr="00C377C8">
        <w:t>Appendix 2: Consent form</w:t>
      </w:r>
      <w:bookmarkEnd w:id="264"/>
      <w:bookmarkEnd w:id="265"/>
      <w:bookmarkEnd w:id="266"/>
      <w:r w:rsidRPr="00C377C8">
        <w:t xml:space="preserve"> </w:t>
      </w:r>
    </w:p>
    <w:p w14:paraId="7C88C458" w14:textId="77777777" w:rsidR="00E202E4" w:rsidRPr="00C377C8" w:rsidRDefault="00E202E4" w:rsidP="00461178">
      <w:pPr>
        <w:spacing w:line="360" w:lineRule="auto"/>
        <w:ind w:left="2268"/>
        <w:rPr>
          <w:rFonts w:ascii="Tahoma" w:hAnsi="Tahoma" w:cs="Tahoma"/>
          <w:b/>
          <w:color w:val="000000" w:themeColor="text1"/>
        </w:rPr>
      </w:pPr>
      <w:r w:rsidRPr="00C377C8">
        <w:rPr>
          <w:noProof/>
          <w:color w:val="000000" w:themeColor="text1"/>
          <w:lang w:val="en-US"/>
        </w:rPr>
        <w:drawing>
          <wp:inline distT="0" distB="0" distL="0" distR="0" wp14:anchorId="54CDCBA3" wp14:editId="760A0813">
            <wp:extent cx="971550" cy="630877"/>
            <wp:effectExtent l="0" t="0" r="0" b="0"/>
            <wp:docPr id="2" name="Picture 2" descr="Staffs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ffs logo ne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3600" cy="638702"/>
                    </a:xfrm>
                    <a:prstGeom prst="rect">
                      <a:avLst/>
                    </a:prstGeom>
                    <a:noFill/>
                    <a:ln>
                      <a:noFill/>
                    </a:ln>
                  </pic:spPr>
                </pic:pic>
              </a:graphicData>
            </a:graphic>
          </wp:inline>
        </w:drawing>
      </w:r>
      <w:r w:rsidRPr="00C377C8">
        <w:rPr>
          <w:rFonts w:ascii="Tahoma" w:hAnsi="Tahoma" w:cs="Tahoma"/>
          <w:b/>
          <w:color w:val="000000" w:themeColor="text1"/>
        </w:rPr>
        <w:tab/>
      </w:r>
      <w:r w:rsidRPr="00C377C8">
        <w:rPr>
          <w:rFonts w:ascii="Tahoma" w:hAnsi="Tahoma" w:cs="Tahoma"/>
          <w:b/>
          <w:color w:val="000000" w:themeColor="text1"/>
        </w:rPr>
        <w:tab/>
        <w:t>Participant Consent Form</w:t>
      </w:r>
    </w:p>
    <w:p w14:paraId="25E14E72" w14:textId="77777777" w:rsidR="00E202E4" w:rsidRPr="00C377C8" w:rsidRDefault="00E202E4" w:rsidP="00461178">
      <w:pPr>
        <w:spacing w:line="360" w:lineRule="auto"/>
        <w:ind w:left="2268"/>
        <w:jc w:val="both"/>
        <w:rPr>
          <w:rFonts w:ascii="Arial" w:hAnsi="Arial" w:cs="Arial"/>
          <w:color w:val="000000" w:themeColor="text1"/>
        </w:rPr>
      </w:pPr>
      <w:r w:rsidRPr="00C377C8">
        <w:rPr>
          <w:rFonts w:ascii="Tahoma" w:hAnsi="Tahoma" w:cs="Tahoma"/>
          <w:b/>
          <w:color w:val="000000" w:themeColor="text1"/>
        </w:rPr>
        <w:t>Project Title</w:t>
      </w:r>
      <w:r w:rsidRPr="00C377C8">
        <w:rPr>
          <w:rFonts w:ascii="Tahoma" w:hAnsi="Tahoma" w:cs="Tahoma"/>
          <w:color w:val="000000" w:themeColor="text1"/>
        </w:rPr>
        <w:t xml:space="preserve">: </w:t>
      </w:r>
      <w:r w:rsidRPr="00C377C8">
        <w:rPr>
          <w:rFonts w:ascii="Arial" w:hAnsi="Arial" w:cs="Arial"/>
          <w:b/>
          <w:color w:val="000000" w:themeColor="text1"/>
          <w:sz w:val="20"/>
        </w:rPr>
        <w:t>Exploring teachers’ and students’ perspectives on the effective teaching of the critical interpretation of the Quran in Multilingual classrooms</w:t>
      </w:r>
    </w:p>
    <w:p w14:paraId="4F8B233C" w14:textId="77777777" w:rsidR="00E202E4" w:rsidRPr="00C377C8" w:rsidRDefault="00E202E4" w:rsidP="00461178">
      <w:pPr>
        <w:spacing w:line="360" w:lineRule="auto"/>
        <w:ind w:left="2268"/>
        <w:jc w:val="both"/>
        <w:rPr>
          <w:rFonts w:ascii="Arial" w:hAnsi="Arial" w:cs="Arial"/>
          <w:color w:val="000000" w:themeColor="text1"/>
        </w:rPr>
      </w:pPr>
    </w:p>
    <w:p w14:paraId="27D39B00" w14:textId="77777777" w:rsidR="00E202E4" w:rsidRPr="00C377C8" w:rsidRDefault="00E202E4" w:rsidP="00461178">
      <w:pPr>
        <w:spacing w:line="360" w:lineRule="auto"/>
        <w:ind w:left="2268"/>
        <w:jc w:val="both"/>
        <w:rPr>
          <w:rFonts w:ascii="Arial" w:hAnsi="Arial" w:cs="Arial"/>
          <w:color w:val="000000" w:themeColor="text1"/>
        </w:rPr>
      </w:pPr>
      <w:r w:rsidRPr="00C377C8">
        <w:rPr>
          <w:rFonts w:ascii="Tahoma" w:hAnsi="Tahoma" w:cs="Tahoma"/>
          <w:color w:val="000000" w:themeColor="text1"/>
        </w:rPr>
        <w:t>Please read each statement, and tick the box next to it to indicate that you are in agreement with the statements</w:t>
      </w:r>
    </w:p>
    <w:tbl>
      <w:tblPr>
        <w:tblStyle w:val="TableGrid"/>
        <w:tblW w:w="7502" w:type="dxa"/>
        <w:tblInd w:w="2245" w:type="dxa"/>
        <w:tblLook w:val="04A0" w:firstRow="1" w:lastRow="0" w:firstColumn="1" w:lastColumn="0" w:noHBand="0" w:noVBand="1"/>
      </w:tblPr>
      <w:tblGrid>
        <w:gridCol w:w="4728"/>
        <w:gridCol w:w="2774"/>
      </w:tblGrid>
      <w:tr w:rsidR="00C377C8" w:rsidRPr="00C377C8" w14:paraId="39470E64" w14:textId="77777777" w:rsidTr="00C75FDD">
        <w:tc>
          <w:tcPr>
            <w:tcW w:w="4728" w:type="dxa"/>
          </w:tcPr>
          <w:p w14:paraId="7BEE1F8B" w14:textId="77777777" w:rsidR="00E202E4" w:rsidRPr="00C377C8" w:rsidRDefault="00E202E4" w:rsidP="00461178">
            <w:pPr>
              <w:spacing w:line="360" w:lineRule="auto"/>
              <w:ind w:left="2268"/>
              <w:contextualSpacing/>
              <w:jc w:val="both"/>
              <w:rPr>
                <w:rFonts w:ascii="Tahoma" w:hAnsi="Tahoma" w:cs="Tahoma"/>
                <w:color w:val="000000" w:themeColor="text1"/>
              </w:rPr>
            </w:pPr>
            <w:r w:rsidRPr="00C377C8">
              <w:rPr>
                <w:rFonts w:ascii="Tahoma" w:hAnsi="Tahoma" w:cs="Tahoma"/>
                <w:color w:val="000000" w:themeColor="text1"/>
              </w:rPr>
              <w:t>I have read the participant information sheet and the nature and purpose of this research has been explained to me.</w:t>
            </w:r>
          </w:p>
        </w:tc>
        <w:tc>
          <w:tcPr>
            <w:tcW w:w="2774" w:type="dxa"/>
          </w:tcPr>
          <w:p w14:paraId="793D21D0" w14:textId="77777777" w:rsidR="00E202E4" w:rsidRPr="00C377C8" w:rsidRDefault="00E202E4" w:rsidP="00461178">
            <w:pPr>
              <w:spacing w:line="360" w:lineRule="auto"/>
              <w:ind w:left="2268"/>
              <w:contextualSpacing/>
              <w:jc w:val="both"/>
              <w:rPr>
                <w:rFonts w:ascii="Tahoma" w:hAnsi="Tahoma" w:cs="Tahoma"/>
                <w:color w:val="000000" w:themeColor="text1"/>
                <w:sz w:val="48"/>
                <w:szCs w:val="48"/>
              </w:rPr>
            </w:pPr>
            <w:r w:rsidRPr="00C377C8">
              <w:rPr>
                <w:rFonts w:ascii="Tahoma" w:hAnsi="Tahoma" w:cs="Tahoma"/>
                <w:color w:val="000000" w:themeColor="text1"/>
                <w:sz w:val="48"/>
                <w:szCs w:val="48"/>
              </w:rPr>
              <w:t xml:space="preserve"> □</w:t>
            </w:r>
          </w:p>
        </w:tc>
      </w:tr>
      <w:tr w:rsidR="00C377C8" w:rsidRPr="00C377C8" w14:paraId="3B4E4A18" w14:textId="77777777" w:rsidTr="00C75FDD">
        <w:tc>
          <w:tcPr>
            <w:tcW w:w="4728" w:type="dxa"/>
          </w:tcPr>
          <w:p w14:paraId="75FFE678" w14:textId="77777777" w:rsidR="00E202E4" w:rsidRPr="00C377C8" w:rsidRDefault="00E202E4" w:rsidP="00461178">
            <w:pPr>
              <w:spacing w:line="360" w:lineRule="auto"/>
              <w:ind w:left="2268"/>
              <w:contextualSpacing/>
              <w:jc w:val="both"/>
              <w:rPr>
                <w:rFonts w:ascii="Tahoma" w:hAnsi="Tahoma" w:cs="Tahoma"/>
                <w:color w:val="000000" w:themeColor="text1"/>
              </w:rPr>
            </w:pPr>
            <w:r w:rsidRPr="00C377C8">
              <w:rPr>
                <w:rFonts w:ascii="Tahoma" w:hAnsi="Tahoma" w:cs="Tahoma"/>
                <w:color w:val="000000" w:themeColor="text1"/>
              </w:rPr>
              <w:t>I understand that my participation in this project is voluntary, and that if I change my mind, I can withdraw up until the data has been transcribed for analysis and I can do this without prejudice and without giving a reason.</w:t>
            </w:r>
          </w:p>
        </w:tc>
        <w:tc>
          <w:tcPr>
            <w:tcW w:w="2774" w:type="dxa"/>
          </w:tcPr>
          <w:p w14:paraId="7539891E" w14:textId="77777777" w:rsidR="00E202E4" w:rsidRPr="00C377C8" w:rsidRDefault="00E202E4" w:rsidP="00461178">
            <w:pPr>
              <w:spacing w:line="360" w:lineRule="auto"/>
              <w:ind w:left="2268"/>
              <w:contextualSpacing/>
              <w:jc w:val="both"/>
              <w:rPr>
                <w:rFonts w:ascii="Tahoma" w:hAnsi="Tahoma" w:cs="Tahoma"/>
                <w:color w:val="000000" w:themeColor="text1"/>
                <w:sz w:val="48"/>
                <w:szCs w:val="48"/>
              </w:rPr>
            </w:pPr>
            <w:r w:rsidRPr="00C377C8">
              <w:rPr>
                <w:rFonts w:ascii="Tahoma" w:hAnsi="Tahoma" w:cs="Tahoma"/>
                <w:color w:val="000000" w:themeColor="text1"/>
                <w:sz w:val="48"/>
                <w:szCs w:val="48"/>
              </w:rPr>
              <w:t xml:space="preserve"> □</w:t>
            </w:r>
          </w:p>
        </w:tc>
      </w:tr>
      <w:tr w:rsidR="00C377C8" w:rsidRPr="00C377C8" w14:paraId="73765A38" w14:textId="77777777" w:rsidTr="00C75FDD">
        <w:tc>
          <w:tcPr>
            <w:tcW w:w="4728" w:type="dxa"/>
          </w:tcPr>
          <w:p w14:paraId="457D60D9" w14:textId="77777777" w:rsidR="00E202E4" w:rsidRPr="00C377C8" w:rsidRDefault="00E202E4" w:rsidP="00461178">
            <w:pPr>
              <w:spacing w:line="360" w:lineRule="auto"/>
              <w:ind w:left="2268"/>
              <w:contextualSpacing/>
              <w:jc w:val="both"/>
              <w:rPr>
                <w:rFonts w:ascii="Tahoma" w:hAnsi="Tahoma" w:cs="Tahoma"/>
                <w:color w:val="000000" w:themeColor="text1"/>
              </w:rPr>
            </w:pPr>
            <w:r w:rsidRPr="00C377C8">
              <w:rPr>
                <w:rFonts w:ascii="Tahoma" w:hAnsi="Tahoma" w:cs="Tahoma"/>
                <w:color w:val="000000" w:themeColor="text1"/>
              </w:rPr>
              <w:t>I understand that I do not have to answer every question if I do not wish to and I don’t have to give any explanation.</w:t>
            </w:r>
          </w:p>
        </w:tc>
        <w:tc>
          <w:tcPr>
            <w:tcW w:w="2774" w:type="dxa"/>
          </w:tcPr>
          <w:p w14:paraId="75F92E69" w14:textId="77777777" w:rsidR="00E202E4" w:rsidRPr="00C377C8" w:rsidRDefault="00E202E4" w:rsidP="00461178">
            <w:pPr>
              <w:spacing w:line="360" w:lineRule="auto"/>
              <w:ind w:left="2268"/>
              <w:contextualSpacing/>
              <w:jc w:val="both"/>
              <w:rPr>
                <w:rFonts w:ascii="Tahoma" w:hAnsi="Tahoma" w:cs="Tahoma"/>
                <w:color w:val="000000" w:themeColor="text1"/>
                <w:sz w:val="48"/>
                <w:szCs w:val="48"/>
              </w:rPr>
            </w:pPr>
            <w:r w:rsidRPr="00C377C8">
              <w:rPr>
                <w:rFonts w:ascii="Tahoma" w:hAnsi="Tahoma" w:cs="Tahoma"/>
                <w:color w:val="000000" w:themeColor="text1"/>
                <w:sz w:val="48"/>
                <w:szCs w:val="48"/>
              </w:rPr>
              <w:t xml:space="preserve"> □</w:t>
            </w:r>
          </w:p>
        </w:tc>
      </w:tr>
      <w:tr w:rsidR="00C377C8" w:rsidRPr="00C377C8" w14:paraId="547A67CF" w14:textId="77777777" w:rsidTr="00C75FDD">
        <w:tc>
          <w:tcPr>
            <w:tcW w:w="4728" w:type="dxa"/>
          </w:tcPr>
          <w:p w14:paraId="1E6FFBB9" w14:textId="77777777" w:rsidR="00E202E4" w:rsidRPr="00C377C8" w:rsidRDefault="00E202E4" w:rsidP="00461178">
            <w:pPr>
              <w:spacing w:line="360" w:lineRule="auto"/>
              <w:ind w:left="2268"/>
              <w:contextualSpacing/>
              <w:jc w:val="both"/>
              <w:rPr>
                <w:rFonts w:ascii="Arial" w:hAnsi="Arial" w:cs="Arial"/>
                <w:color w:val="000000" w:themeColor="text1"/>
              </w:rPr>
            </w:pPr>
            <w:r w:rsidRPr="00C377C8">
              <w:rPr>
                <w:rFonts w:ascii="Arial" w:eastAsia="Times New Roman" w:hAnsi="Arial" w:cs="Arial"/>
                <w:color w:val="000000" w:themeColor="text1"/>
              </w:rPr>
              <w:t>I have read the information sheet regarding the General Data Protection Regulation 2018 (GDPR) and I give my consent for my data to be processed in accordance with the GDPR.</w:t>
            </w:r>
          </w:p>
        </w:tc>
        <w:tc>
          <w:tcPr>
            <w:tcW w:w="2774" w:type="dxa"/>
          </w:tcPr>
          <w:p w14:paraId="4918B8E8" w14:textId="77777777" w:rsidR="00E202E4" w:rsidRPr="00C377C8" w:rsidRDefault="00E202E4" w:rsidP="00461178">
            <w:pPr>
              <w:spacing w:line="360" w:lineRule="auto"/>
              <w:ind w:left="2268"/>
              <w:contextualSpacing/>
              <w:jc w:val="both"/>
              <w:rPr>
                <w:rFonts w:ascii="Tahoma" w:hAnsi="Tahoma" w:cs="Tahoma"/>
                <w:color w:val="000000" w:themeColor="text1"/>
                <w:sz w:val="48"/>
                <w:szCs w:val="48"/>
              </w:rPr>
            </w:pPr>
            <w:r w:rsidRPr="00C377C8">
              <w:rPr>
                <w:rFonts w:ascii="Tahoma" w:hAnsi="Tahoma" w:cs="Tahoma"/>
                <w:color w:val="000000" w:themeColor="text1"/>
                <w:sz w:val="48"/>
                <w:szCs w:val="48"/>
              </w:rPr>
              <w:t>□</w:t>
            </w:r>
          </w:p>
        </w:tc>
      </w:tr>
      <w:tr w:rsidR="00C377C8" w:rsidRPr="00C377C8" w14:paraId="0276EBA2" w14:textId="77777777" w:rsidTr="00C75FDD">
        <w:tc>
          <w:tcPr>
            <w:tcW w:w="4728" w:type="dxa"/>
          </w:tcPr>
          <w:p w14:paraId="76ED4DA2" w14:textId="77777777" w:rsidR="00E202E4" w:rsidRPr="00C377C8" w:rsidRDefault="00E202E4" w:rsidP="00461178">
            <w:pPr>
              <w:spacing w:line="360" w:lineRule="auto"/>
              <w:ind w:left="2268"/>
              <w:contextualSpacing/>
              <w:jc w:val="both"/>
              <w:rPr>
                <w:rFonts w:ascii="Tahoma" w:hAnsi="Tahoma" w:cs="Tahoma"/>
                <w:color w:val="000000" w:themeColor="text1"/>
              </w:rPr>
            </w:pPr>
            <w:r w:rsidRPr="00C377C8">
              <w:rPr>
                <w:rFonts w:ascii="Tahoma" w:hAnsi="Tahoma" w:cs="Tahoma"/>
                <w:color w:val="000000" w:themeColor="text1"/>
              </w:rPr>
              <w:t>I understand that confidentiality will be maintained throughout this project, and that I will not be identified in the final report.</w:t>
            </w:r>
          </w:p>
        </w:tc>
        <w:tc>
          <w:tcPr>
            <w:tcW w:w="2774" w:type="dxa"/>
          </w:tcPr>
          <w:p w14:paraId="08C82D1A" w14:textId="77777777" w:rsidR="00E202E4" w:rsidRPr="00C377C8" w:rsidRDefault="00E202E4" w:rsidP="00461178">
            <w:pPr>
              <w:spacing w:line="360" w:lineRule="auto"/>
              <w:ind w:left="2268"/>
              <w:contextualSpacing/>
              <w:jc w:val="both"/>
              <w:rPr>
                <w:rFonts w:ascii="Tahoma" w:hAnsi="Tahoma" w:cs="Tahoma"/>
                <w:color w:val="000000" w:themeColor="text1"/>
                <w:sz w:val="48"/>
                <w:szCs w:val="48"/>
              </w:rPr>
            </w:pPr>
            <w:r w:rsidRPr="00C377C8">
              <w:rPr>
                <w:rFonts w:ascii="Tahoma" w:hAnsi="Tahoma" w:cs="Tahoma"/>
                <w:color w:val="000000" w:themeColor="text1"/>
                <w:sz w:val="48"/>
                <w:szCs w:val="48"/>
              </w:rPr>
              <w:t xml:space="preserve"> □</w:t>
            </w:r>
          </w:p>
        </w:tc>
      </w:tr>
      <w:tr w:rsidR="00C377C8" w:rsidRPr="00C377C8" w14:paraId="2FFA1B2E" w14:textId="77777777" w:rsidTr="00C75FDD">
        <w:tc>
          <w:tcPr>
            <w:tcW w:w="4728" w:type="dxa"/>
          </w:tcPr>
          <w:p w14:paraId="273A4745" w14:textId="77777777" w:rsidR="00E202E4" w:rsidRPr="00C377C8" w:rsidRDefault="00E202E4" w:rsidP="00461178">
            <w:pPr>
              <w:spacing w:line="360" w:lineRule="auto"/>
              <w:ind w:left="2268"/>
              <w:contextualSpacing/>
              <w:jc w:val="both"/>
              <w:rPr>
                <w:rFonts w:ascii="Tahoma" w:hAnsi="Tahoma" w:cs="Tahoma"/>
                <w:color w:val="000000" w:themeColor="text1"/>
              </w:rPr>
            </w:pPr>
            <w:r w:rsidRPr="00C377C8">
              <w:rPr>
                <w:rFonts w:ascii="Tahoma" w:hAnsi="Tahoma" w:cs="Tahoma"/>
                <w:color w:val="000000" w:themeColor="text1"/>
              </w:rPr>
              <w:t>I confirm that quotations may be used in the report, provided that the quotations are anonymised and do not reveal my identity.</w:t>
            </w:r>
          </w:p>
        </w:tc>
        <w:tc>
          <w:tcPr>
            <w:tcW w:w="2774" w:type="dxa"/>
          </w:tcPr>
          <w:p w14:paraId="01CCFC5D" w14:textId="77777777" w:rsidR="00E202E4" w:rsidRPr="00C377C8" w:rsidRDefault="00E202E4" w:rsidP="00461178">
            <w:pPr>
              <w:spacing w:line="360" w:lineRule="auto"/>
              <w:ind w:left="2268"/>
              <w:contextualSpacing/>
              <w:jc w:val="both"/>
              <w:rPr>
                <w:rFonts w:ascii="Tahoma" w:hAnsi="Tahoma" w:cs="Tahoma"/>
                <w:color w:val="000000" w:themeColor="text1"/>
                <w:sz w:val="48"/>
                <w:szCs w:val="48"/>
              </w:rPr>
            </w:pPr>
            <w:r w:rsidRPr="00C377C8">
              <w:rPr>
                <w:rFonts w:ascii="Tahoma" w:hAnsi="Tahoma" w:cs="Tahoma"/>
                <w:color w:val="000000" w:themeColor="text1"/>
                <w:sz w:val="48"/>
                <w:szCs w:val="48"/>
              </w:rPr>
              <w:t xml:space="preserve"> □</w:t>
            </w:r>
          </w:p>
        </w:tc>
      </w:tr>
      <w:tr w:rsidR="00C377C8" w:rsidRPr="00C377C8" w14:paraId="62C401DD" w14:textId="77777777" w:rsidTr="00C75FDD">
        <w:trPr>
          <w:trHeight w:val="611"/>
        </w:trPr>
        <w:tc>
          <w:tcPr>
            <w:tcW w:w="4728" w:type="dxa"/>
          </w:tcPr>
          <w:p w14:paraId="28F191AD" w14:textId="77777777" w:rsidR="00E202E4" w:rsidRPr="00C377C8" w:rsidRDefault="00E202E4" w:rsidP="00461178">
            <w:pPr>
              <w:spacing w:line="360" w:lineRule="auto"/>
              <w:ind w:left="2268"/>
              <w:contextualSpacing/>
              <w:jc w:val="both"/>
              <w:rPr>
                <w:rFonts w:ascii="Tahoma" w:hAnsi="Tahoma" w:cs="Tahoma"/>
                <w:color w:val="000000" w:themeColor="text1"/>
              </w:rPr>
            </w:pPr>
            <w:r w:rsidRPr="00C377C8">
              <w:rPr>
                <w:rFonts w:ascii="Tahoma" w:hAnsi="Tahoma" w:cs="Tahoma"/>
                <w:color w:val="000000" w:themeColor="text1"/>
              </w:rPr>
              <w:t>I confirm I have been given the opportunity to ask questions about the project and my participation in it.</w:t>
            </w:r>
          </w:p>
        </w:tc>
        <w:tc>
          <w:tcPr>
            <w:tcW w:w="2774" w:type="dxa"/>
          </w:tcPr>
          <w:p w14:paraId="566E5BC9" w14:textId="77777777" w:rsidR="00E202E4" w:rsidRPr="00C377C8" w:rsidRDefault="00E202E4" w:rsidP="00461178">
            <w:pPr>
              <w:spacing w:line="360" w:lineRule="auto"/>
              <w:ind w:left="2268"/>
              <w:contextualSpacing/>
              <w:jc w:val="both"/>
              <w:rPr>
                <w:rFonts w:ascii="Tahoma" w:hAnsi="Tahoma" w:cs="Tahoma"/>
                <w:color w:val="000000" w:themeColor="text1"/>
                <w:sz w:val="48"/>
                <w:szCs w:val="48"/>
              </w:rPr>
            </w:pPr>
            <w:r w:rsidRPr="00C377C8">
              <w:rPr>
                <w:rFonts w:ascii="Tahoma" w:hAnsi="Tahoma" w:cs="Tahoma"/>
                <w:color w:val="000000" w:themeColor="text1"/>
                <w:sz w:val="48"/>
                <w:szCs w:val="48"/>
              </w:rPr>
              <w:t xml:space="preserve"> □</w:t>
            </w:r>
          </w:p>
        </w:tc>
      </w:tr>
      <w:tr w:rsidR="00C377C8" w:rsidRPr="00C377C8" w14:paraId="2CA032AD" w14:textId="77777777" w:rsidTr="00C75FDD">
        <w:tc>
          <w:tcPr>
            <w:tcW w:w="4728" w:type="dxa"/>
          </w:tcPr>
          <w:p w14:paraId="14885EF1" w14:textId="77777777" w:rsidR="00E202E4" w:rsidRPr="00C377C8" w:rsidRDefault="00E202E4" w:rsidP="00461178">
            <w:pPr>
              <w:spacing w:line="360" w:lineRule="auto"/>
              <w:ind w:left="2268"/>
              <w:contextualSpacing/>
              <w:jc w:val="both"/>
              <w:rPr>
                <w:rFonts w:ascii="Tahoma" w:hAnsi="Tahoma" w:cs="Tahoma"/>
                <w:color w:val="000000" w:themeColor="text1"/>
              </w:rPr>
            </w:pPr>
            <w:r w:rsidRPr="00C377C8">
              <w:rPr>
                <w:rFonts w:ascii="Tahoma" w:hAnsi="Tahoma" w:cs="Tahoma"/>
                <w:color w:val="000000" w:themeColor="text1"/>
              </w:rPr>
              <w:t>I understand that my data will be securely stored in accordance with Staffordshire University protocols and current data protection guidelines.</w:t>
            </w:r>
          </w:p>
        </w:tc>
        <w:tc>
          <w:tcPr>
            <w:tcW w:w="2774" w:type="dxa"/>
          </w:tcPr>
          <w:p w14:paraId="4EAF0D5B" w14:textId="77777777" w:rsidR="00E202E4" w:rsidRPr="00C377C8" w:rsidRDefault="00E202E4" w:rsidP="00461178">
            <w:pPr>
              <w:spacing w:line="360" w:lineRule="auto"/>
              <w:ind w:left="2268"/>
              <w:contextualSpacing/>
              <w:jc w:val="both"/>
              <w:rPr>
                <w:rFonts w:ascii="Tahoma" w:hAnsi="Tahoma" w:cs="Tahoma"/>
                <w:color w:val="000000" w:themeColor="text1"/>
                <w:sz w:val="48"/>
                <w:szCs w:val="48"/>
              </w:rPr>
            </w:pPr>
            <w:r w:rsidRPr="00C377C8">
              <w:rPr>
                <w:rFonts w:ascii="Tahoma" w:hAnsi="Tahoma" w:cs="Tahoma"/>
                <w:color w:val="000000" w:themeColor="text1"/>
                <w:sz w:val="48"/>
                <w:szCs w:val="48"/>
              </w:rPr>
              <w:t xml:space="preserve"> □</w:t>
            </w:r>
          </w:p>
        </w:tc>
      </w:tr>
      <w:tr w:rsidR="00C377C8" w:rsidRPr="00C377C8" w14:paraId="062A8061" w14:textId="77777777" w:rsidTr="00C75FDD">
        <w:tc>
          <w:tcPr>
            <w:tcW w:w="4728" w:type="dxa"/>
          </w:tcPr>
          <w:p w14:paraId="18C4EFCA" w14:textId="77777777" w:rsidR="00E202E4" w:rsidRPr="00C377C8" w:rsidRDefault="00E202E4" w:rsidP="00461178">
            <w:pPr>
              <w:spacing w:line="360" w:lineRule="auto"/>
              <w:ind w:left="2268"/>
              <w:contextualSpacing/>
              <w:jc w:val="both"/>
              <w:rPr>
                <w:rFonts w:ascii="Tahoma" w:hAnsi="Tahoma" w:cs="Tahoma"/>
                <w:color w:val="000000" w:themeColor="text1"/>
              </w:rPr>
            </w:pPr>
            <w:r w:rsidRPr="00C377C8">
              <w:rPr>
                <w:rFonts w:ascii="Tahoma" w:hAnsi="Tahoma" w:cs="Tahoma"/>
                <w:color w:val="000000" w:themeColor="text1"/>
              </w:rPr>
              <w:t>I confirm that I agree to take part in this research project.</w:t>
            </w:r>
          </w:p>
        </w:tc>
        <w:tc>
          <w:tcPr>
            <w:tcW w:w="2774" w:type="dxa"/>
          </w:tcPr>
          <w:p w14:paraId="562FE329" w14:textId="77777777" w:rsidR="00E202E4" w:rsidRPr="00C377C8" w:rsidRDefault="00E202E4" w:rsidP="00461178">
            <w:pPr>
              <w:spacing w:line="360" w:lineRule="auto"/>
              <w:ind w:left="2268"/>
              <w:contextualSpacing/>
              <w:jc w:val="both"/>
              <w:rPr>
                <w:rFonts w:ascii="Tahoma" w:hAnsi="Tahoma" w:cs="Tahoma"/>
                <w:color w:val="000000" w:themeColor="text1"/>
                <w:sz w:val="48"/>
                <w:szCs w:val="48"/>
              </w:rPr>
            </w:pPr>
            <w:r w:rsidRPr="00C377C8">
              <w:rPr>
                <w:rFonts w:ascii="Tahoma" w:hAnsi="Tahoma" w:cs="Tahoma"/>
                <w:color w:val="000000" w:themeColor="text1"/>
                <w:sz w:val="48"/>
                <w:szCs w:val="48"/>
              </w:rPr>
              <w:t xml:space="preserve"> □</w:t>
            </w:r>
          </w:p>
        </w:tc>
      </w:tr>
      <w:tr w:rsidR="00E202E4" w:rsidRPr="00C377C8" w14:paraId="4F44E510" w14:textId="77777777" w:rsidTr="00C75FDD">
        <w:tc>
          <w:tcPr>
            <w:tcW w:w="4728" w:type="dxa"/>
          </w:tcPr>
          <w:p w14:paraId="278BAC9B" w14:textId="77777777" w:rsidR="00E202E4" w:rsidRPr="00C377C8" w:rsidRDefault="00E202E4" w:rsidP="00461178">
            <w:pPr>
              <w:spacing w:line="360" w:lineRule="auto"/>
              <w:ind w:left="2268"/>
              <w:contextualSpacing/>
              <w:jc w:val="both"/>
              <w:rPr>
                <w:rFonts w:ascii="Tahoma" w:hAnsi="Tahoma" w:cs="Tahoma"/>
                <w:color w:val="000000" w:themeColor="text1"/>
              </w:rPr>
            </w:pPr>
            <w:r w:rsidRPr="00C377C8">
              <w:rPr>
                <w:rFonts w:ascii="Tahoma" w:hAnsi="Tahoma" w:cs="Tahoma"/>
                <w:color w:val="000000" w:themeColor="text1"/>
              </w:rPr>
              <w:t>I agree that any interview that I take part in may be audio recorded</w:t>
            </w:r>
          </w:p>
        </w:tc>
        <w:tc>
          <w:tcPr>
            <w:tcW w:w="2774" w:type="dxa"/>
          </w:tcPr>
          <w:p w14:paraId="346985F5" w14:textId="77777777" w:rsidR="00E202E4" w:rsidRPr="00C377C8" w:rsidRDefault="00E202E4" w:rsidP="00461178">
            <w:pPr>
              <w:spacing w:line="360" w:lineRule="auto"/>
              <w:ind w:left="2268"/>
              <w:contextualSpacing/>
              <w:jc w:val="both"/>
              <w:rPr>
                <w:rFonts w:ascii="Tahoma" w:hAnsi="Tahoma" w:cs="Tahoma"/>
                <w:color w:val="000000" w:themeColor="text1"/>
                <w:sz w:val="48"/>
                <w:szCs w:val="48"/>
              </w:rPr>
            </w:pPr>
            <w:r w:rsidRPr="00C377C8">
              <w:rPr>
                <w:rFonts w:ascii="Tahoma" w:hAnsi="Tahoma" w:cs="Tahoma"/>
                <w:color w:val="000000" w:themeColor="text1"/>
                <w:sz w:val="48"/>
                <w:szCs w:val="48"/>
              </w:rPr>
              <w:t>□</w:t>
            </w:r>
          </w:p>
        </w:tc>
      </w:tr>
    </w:tbl>
    <w:p w14:paraId="21148795" w14:textId="77777777" w:rsidR="00E202E4" w:rsidRPr="00C377C8" w:rsidRDefault="00E202E4" w:rsidP="00461178">
      <w:pPr>
        <w:spacing w:line="360" w:lineRule="auto"/>
        <w:ind w:left="2268"/>
        <w:contextualSpacing/>
        <w:jc w:val="both"/>
        <w:rPr>
          <w:rFonts w:ascii="Tahoma" w:hAnsi="Tahoma" w:cs="Tahoma"/>
          <w:color w:val="000000" w:themeColor="text1"/>
        </w:rPr>
      </w:pPr>
    </w:p>
    <w:tbl>
      <w:tblPr>
        <w:tblStyle w:val="TableGrid"/>
        <w:tblW w:w="7502" w:type="dxa"/>
        <w:tblInd w:w="2245" w:type="dxa"/>
        <w:tblLook w:val="04A0" w:firstRow="1" w:lastRow="0" w:firstColumn="1" w:lastColumn="0" w:noHBand="0" w:noVBand="1"/>
      </w:tblPr>
      <w:tblGrid>
        <w:gridCol w:w="3842"/>
        <w:gridCol w:w="3660"/>
      </w:tblGrid>
      <w:tr w:rsidR="00C377C8" w:rsidRPr="00C377C8" w14:paraId="05CFDD8B" w14:textId="77777777" w:rsidTr="00C75FDD">
        <w:tc>
          <w:tcPr>
            <w:tcW w:w="7502" w:type="dxa"/>
            <w:gridSpan w:val="2"/>
          </w:tcPr>
          <w:p w14:paraId="2BA220C5" w14:textId="77777777" w:rsidR="00E202E4" w:rsidRPr="00C377C8" w:rsidRDefault="00E202E4" w:rsidP="00461178">
            <w:pPr>
              <w:spacing w:line="360" w:lineRule="auto"/>
              <w:ind w:left="2268"/>
              <w:contextualSpacing/>
              <w:jc w:val="both"/>
              <w:rPr>
                <w:rFonts w:ascii="Tahoma" w:hAnsi="Tahoma" w:cs="Tahoma"/>
                <w:color w:val="000000" w:themeColor="text1"/>
              </w:rPr>
            </w:pPr>
            <w:r w:rsidRPr="00C377C8">
              <w:rPr>
                <w:rFonts w:ascii="Tahoma" w:hAnsi="Tahoma" w:cs="Tahoma"/>
                <w:color w:val="000000" w:themeColor="text1"/>
              </w:rPr>
              <w:t>Should I wish to receive a copy of a summary of the study findings I will provide my contact email in the address box below</w:t>
            </w:r>
          </w:p>
        </w:tc>
      </w:tr>
      <w:tr w:rsidR="00C377C8" w:rsidRPr="00C377C8" w14:paraId="3BEA67D2" w14:textId="77777777" w:rsidTr="00C75FDD">
        <w:tc>
          <w:tcPr>
            <w:tcW w:w="3842" w:type="dxa"/>
          </w:tcPr>
          <w:p w14:paraId="1272C4E9" w14:textId="77777777" w:rsidR="00E202E4" w:rsidRPr="00C377C8" w:rsidRDefault="00E202E4" w:rsidP="00461178">
            <w:pPr>
              <w:spacing w:line="360" w:lineRule="auto"/>
              <w:ind w:left="2268"/>
              <w:contextualSpacing/>
              <w:jc w:val="both"/>
              <w:rPr>
                <w:rFonts w:ascii="Tahoma" w:hAnsi="Tahoma" w:cs="Tahoma"/>
                <w:color w:val="000000" w:themeColor="text1"/>
              </w:rPr>
            </w:pPr>
            <w:r w:rsidRPr="00C377C8">
              <w:rPr>
                <w:rFonts w:ascii="Tahoma" w:hAnsi="Tahoma" w:cs="Tahoma"/>
                <w:b/>
                <w:color w:val="000000" w:themeColor="text1"/>
              </w:rPr>
              <w:t xml:space="preserve">Participant Name </w:t>
            </w:r>
            <w:r w:rsidRPr="00C377C8">
              <w:rPr>
                <w:rFonts w:ascii="Tahoma" w:hAnsi="Tahoma" w:cs="Tahoma"/>
                <w:color w:val="000000" w:themeColor="text1"/>
              </w:rPr>
              <w:t>(please print)</w:t>
            </w:r>
          </w:p>
          <w:p w14:paraId="57F8E6F3" w14:textId="77777777" w:rsidR="00E202E4" w:rsidRPr="00C377C8" w:rsidRDefault="00E202E4" w:rsidP="00461178">
            <w:pPr>
              <w:spacing w:line="360" w:lineRule="auto"/>
              <w:ind w:left="2268"/>
              <w:contextualSpacing/>
              <w:jc w:val="both"/>
              <w:rPr>
                <w:rFonts w:ascii="Tahoma" w:hAnsi="Tahoma" w:cs="Tahoma"/>
                <w:b/>
                <w:color w:val="000000" w:themeColor="text1"/>
              </w:rPr>
            </w:pPr>
          </w:p>
        </w:tc>
        <w:tc>
          <w:tcPr>
            <w:tcW w:w="3660" w:type="dxa"/>
          </w:tcPr>
          <w:p w14:paraId="02C0DCFC" w14:textId="77777777" w:rsidR="00E202E4" w:rsidRPr="00C377C8" w:rsidRDefault="00E202E4" w:rsidP="00461178">
            <w:pPr>
              <w:spacing w:line="360" w:lineRule="auto"/>
              <w:ind w:left="2268"/>
              <w:contextualSpacing/>
              <w:jc w:val="both"/>
              <w:rPr>
                <w:rFonts w:ascii="Tahoma" w:hAnsi="Tahoma" w:cs="Tahoma"/>
                <w:b/>
                <w:color w:val="000000" w:themeColor="text1"/>
                <w:sz w:val="20"/>
                <w:szCs w:val="20"/>
              </w:rPr>
            </w:pPr>
          </w:p>
        </w:tc>
      </w:tr>
      <w:tr w:rsidR="00C377C8" w:rsidRPr="00C377C8" w14:paraId="32ED64B9" w14:textId="77777777" w:rsidTr="00C75FDD">
        <w:tc>
          <w:tcPr>
            <w:tcW w:w="3842" w:type="dxa"/>
          </w:tcPr>
          <w:p w14:paraId="2A9DA694" w14:textId="77777777" w:rsidR="00E202E4" w:rsidRPr="00C377C8" w:rsidRDefault="00E202E4" w:rsidP="00461178">
            <w:pPr>
              <w:spacing w:line="360" w:lineRule="auto"/>
              <w:ind w:left="2268"/>
              <w:contextualSpacing/>
              <w:jc w:val="both"/>
              <w:rPr>
                <w:rFonts w:ascii="Tahoma" w:hAnsi="Tahoma" w:cs="Tahoma"/>
                <w:b/>
                <w:color w:val="000000" w:themeColor="text1"/>
              </w:rPr>
            </w:pPr>
            <w:r w:rsidRPr="00C377C8">
              <w:rPr>
                <w:rFonts w:ascii="Tahoma" w:hAnsi="Tahoma" w:cs="Tahoma"/>
                <w:b/>
                <w:color w:val="000000" w:themeColor="text1"/>
              </w:rPr>
              <w:t>Signature</w:t>
            </w:r>
          </w:p>
          <w:p w14:paraId="7D0C4A96" w14:textId="77777777" w:rsidR="00E202E4" w:rsidRPr="00C377C8" w:rsidRDefault="00E202E4" w:rsidP="00461178">
            <w:pPr>
              <w:spacing w:line="360" w:lineRule="auto"/>
              <w:ind w:left="2268"/>
              <w:contextualSpacing/>
              <w:jc w:val="both"/>
              <w:rPr>
                <w:rFonts w:ascii="Tahoma" w:hAnsi="Tahoma" w:cs="Tahoma"/>
                <w:b/>
                <w:color w:val="000000" w:themeColor="text1"/>
              </w:rPr>
            </w:pPr>
          </w:p>
        </w:tc>
        <w:tc>
          <w:tcPr>
            <w:tcW w:w="3660" w:type="dxa"/>
          </w:tcPr>
          <w:p w14:paraId="5B965FFD" w14:textId="77777777" w:rsidR="00E202E4" w:rsidRPr="00C377C8" w:rsidRDefault="00E202E4" w:rsidP="00461178">
            <w:pPr>
              <w:spacing w:line="360" w:lineRule="auto"/>
              <w:ind w:left="2268"/>
              <w:contextualSpacing/>
              <w:jc w:val="both"/>
              <w:rPr>
                <w:rFonts w:ascii="Tahoma" w:hAnsi="Tahoma" w:cs="Tahoma"/>
                <w:color w:val="000000" w:themeColor="text1"/>
                <w:sz w:val="20"/>
                <w:szCs w:val="20"/>
              </w:rPr>
            </w:pPr>
          </w:p>
        </w:tc>
      </w:tr>
      <w:tr w:rsidR="00C377C8" w:rsidRPr="00C377C8" w14:paraId="3ED2D50C" w14:textId="77777777" w:rsidTr="00C75FDD">
        <w:tc>
          <w:tcPr>
            <w:tcW w:w="3842" w:type="dxa"/>
          </w:tcPr>
          <w:p w14:paraId="583DD1B1" w14:textId="77777777" w:rsidR="00E202E4" w:rsidRPr="00C377C8" w:rsidRDefault="00E202E4" w:rsidP="00461178">
            <w:pPr>
              <w:spacing w:line="360" w:lineRule="auto"/>
              <w:ind w:left="2268"/>
              <w:contextualSpacing/>
              <w:jc w:val="both"/>
              <w:rPr>
                <w:rFonts w:ascii="Tahoma" w:hAnsi="Tahoma" w:cs="Tahoma"/>
                <w:b/>
                <w:color w:val="000000" w:themeColor="text1"/>
              </w:rPr>
            </w:pPr>
            <w:r w:rsidRPr="00C377C8">
              <w:rPr>
                <w:rFonts w:ascii="Tahoma" w:hAnsi="Tahoma" w:cs="Tahoma"/>
                <w:b/>
                <w:color w:val="000000" w:themeColor="text1"/>
              </w:rPr>
              <w:t>Date</w:t>
            </w:r>
          </w:p>
          <w:p w14:paraId="56A24DE3" w14:textId="77777777" w:rsidR="00E202E4" w:rsidRPr="00C377C8" w:rsidRDefault="00E202E4" w:rsidP="00461178">
            <w:pPr>
              <w:spacing w:line="360" w:lineRule="auto"/>
              <w:ind w:left="2268"/>
              <w:contextualSpacing/>
              <w:jc w:val="both"/>
              <w:rPr>
                <w:rFonts w:ascii="Tahoma" w:hAnsi="Tahoma" w:cs="Tahoma"/>
                <w:b/>
                <w:color w:val="000000" w:themeColor="text1"/>
              </w:rPr>
            </w:pPr>
          </w:p>
        </w:tc>
        <w:tc>
          <w:tcPr>
            <w:tcW w:w="3660" w:type="dxa"/>
          </w:tcPr>
          <w:p w14:paraId="2B92EE75" w14:textId="77777777" w:rsidR="00E202E4" w:rsidRPr="00C377C8" w:rsidRDefault="00E202E4" w:rsidP="00461178">
            <w:pPr>
              <w:spacing w:line="360" w:lineRule="auto"/>
              <w:ind w:left="2268"/>
              <w:contextualSpacing/>
              <w:jc w:val="both"/>
              <w:rPr>
                <w:rFonts w:ascii="Tahoma" w:hAnsi="Tahoma" w:cs="Tahoma"/>
                <w:color w:val="000000" w:themeColor="text1"/>
                <w:sz w:val="20"/>
                <w:szCs w:val="20"/>
              </w:rPr>
            </w:pPr>
          </w:p>
        </w:tc>
      </w:tr>
      <w:tr w:rsidR="00C377C8" w:rsidRPr="00C377C8" w14:paraId="12DD524F" w14:textId="77777777" w:rsidTr="00C75FDD">
        <w:tc>
          <w:tcPr>
            <w:tcW w:w="3842" w:type="dxa"/>
          </w:tcPr>
          <w:p w14:paraId="3943FF55" w14:textId="77777777" w:rsidR="00E202E4" w:rsidRPr="00C377C8" w:rsidRDefault="00E202E4" w:rsidP="00461178">
            <w:pPr>
              <w:spacing w:line="360" w:lineRule="auto"/>
              <w:ind w:left="2268"/>
              <w:contextualSpacing/>
              <w:jc w:val="both"/>
              <w:rPr>
                <w:rFonts w:ascii="Tahoma" w:hAnsi="Tahoma" w:cs="Tahoma"/>
                <w:b/>
                <w:color w:val="000000" w:themeColor="text1"/>
              </w:rPr>
            </w:pPr>
            <w:r w:rsidRPr="00C377C8">
              <w:rPr>
                <w:rFonts w:ascii="Tahoma" w:hAnsi="Tahoma" w:cs="Tahoma"/>
                <w:b/>
                <w:color w:val="000000" w:themeColor="text1"/>
              </w:rPr>
              <w:t>Researcher  Name</w:t>
            </w:r>
          </w:p>
          <w:p w14:paraId="00A72EC8" w14:textId="77777777" w:rsidR="00E202E4" w:rsidRPr="00C377C8" w:rsidRDefault="00E202E4" w:rsidP="00461178">
            <w:pPr>
              <w:spacing w:line="360" w:lineRule="auto"/>
              <w:ind w:left="2268"/>
              <w:contextualSpacing/>
              <w:jc w:val="both"/>
              <w:rPr>
                <w:rFonts w:ascii="Tahoma" w:hAnsi="Tahoma" w:cs="Tahoma"/>
                <w:color w:val="000000" w:themeColor="text1"/>
              </w:rPr>
            </w:pPr>
          </w:p>
        </w:tc>
        <w:tc>
          <w:tcPr>
            <w:tcW w:w="3660" w:type="dxa"/>
          </w:tcPr>
          <w:p w14:paraId="28BA6C66" w14:textId="77777777" w:rsidR="00E202E4" w:rsidRPr="00C377C8" w:rsidRDefault="00E202E4" w:rsidP="00461178">
            <w:pPr>
              <w:spacing w:line="360" w:lineRule="auto"/>
              <w:ind w:left="2268"/>
              <w:contextualSpacing/>
              <w:jc w:val="both"/>
              <w:rPr>
                <w:rFonts w:ascii="Tahoma" w:hAnsi="Tahoma" w:cs="Tahoma"/>
                <w:color w:val="000000" w:themeColor="text1"/>
                <w:sz w:val="20"/>
                <w:szCs w:val="20"/>
              </w:rPr>
            </w:pPr>
            <w:r w:rsidRPr="00C377C8">
              <w:rPr>
                <w:rFonts w:ascii="Tahoma" w:hAnsi="Tahoma" w:cs="Tahoma"/>
                <w:color w:val="000000" w:themeColor="text1"/>
                <w:sz w:val="20"/>
                <w:szCs w:val="20"/>
              </w:rPr>
              <w:t xml:space="preserve">A Ali </w:t>
            </w:r>
          </w:p>
        </w:tc>
      </w:tr>
      <w:tr w:rsidR="00E202E4" w:rsidRPr="00C377C8" w14:paraId="40131BE0" w14:textId="77777777" w:rsidTr="00C75FDD">
        <w:tc>
          <w:tcPr>
            <w:tcW w:w="3842" w:type="dxa"/>
          </w:tcPr>
          <w:p w14:paraId="4FAB6A17" w14:textId="77777777" w:rsidR="00E202E4" w:rsidRPr="00C377C8" w:rsidRDefault="00E202E4" w:rsidP="00461178">
            <w:pPr>
              <w:spacing w:line="360" w:lineRule="auto"/>
              <w:ind w:left="2268"/>
              <w:contextualSpacing/>
              <w:rPr>
                <w:rFonts w:ascii="Tahoma" w:hAnsi="Tahoma" w:cs="Tahoma"/>
                <w:b/>
                <w:color w:val="000000" w:themeColor="text1"/>
              </w:rPr>
            </w:pPr>
            <w:r w:rsidRPr="00C377C8">
              <w:rPr>
                <w:rFonts w:ascii="Tahoma" w:hAnsi="Tahoma" w:cs="Tahoma"/>
                <w:b/>
                <w:color w:val="000000" w:themeColor="text1"/>
              </w:rPr>
              <w:t>Participant Email Address * optional</w:t>
            </w:r>
          </w:p>
          <w:p w14:paraId="7E11DE30" w14:textId="77777777" w:rsidR="00E202E4" w:rsidRPr="00C377C8" w:rsidRDefault="00E202E4" w:rsidP="00461178">
            <w:pPr>
              <w:spacing w:line="360" w:lineRule="auto"/>
              <w:ind w:left="2268"/>
              <w:contextualSpacing/>
              <w:jc w:val="both"/>
              <w:rPr>
                <w:rFonts w:ascii="Tahoma" w:hAnsi="Tahoma" w:cs="Tahoma"/>
                <w:b/>
                <w:color w:val="000000" w:themeColor="text1"/>
              </w:rPr>
            </w:pPr>
          </w:p>
        </w:tc>
        <w:tc>
          <w:tcPr>
            <w:tcW w:w="3660" w:type="dxa"/>
          </w:tcPr>
          <w:p w14:paraId="0E85DA44" w14:textId="77777777" w:rsidR="00E202E4" w:rsidRPr="00C377C8" w:rsidRDefault="00E202E4" w:rsidP="00461178">
            <w:pPr>
              <w:spacing w:line="360" w:lineRule="auto"/>
              <w:ind w:left="2268"/>
              <w:contextualSpacing/>
              <w:jc w:val="both"/>
              <w:rPr>
                <w:rFonts w:ascii="Tahoma" w:hAnsi="Tahoma" w:cs="Tahoma"/>
                <w:color w:val="000000" w:themeColor="text1"/>
                <w:sz w:val="20"/>
                <w:szCs w:val="20"/>
              </w:rPr>
            </w:pPr>
          </w:p>
        </w:tc>
      </w:tr>
    </w:tbl>
    <w:p w14:paraId="6B6A5CAE" w14:textId="77777777" w:rsidR="00E202E4" w:rsidRPr="00C377C8" w:rsidRDefault="00E202E4" w:rsidP="00C33388">
      <w:pPr>
        <w:spacing w:line="360" w:lineRule="auto"/>
        <w:rPr>
          <w:color w:val="000000" w:themeColor="text1"/>
        </w:rPr>
      </w:pPr>
    </w:p>
    <w:p w14:paraId="6A7269E8" w14:textId="77777777" w:rsidR="00E202E4" w:rsidRPr="00C377C8" w:rsidRDefault="00E202E4" w:rsidP="00C33388">
      <w:pPr>
        <w:pStyle w:val="Heading2"/>
        <w:numPr>
          <w:ilvl w:val="0"/>
          <w:numId w:val="0"/>
        </w:numPr>
        <w:spacing w:line="360" w:lineRule="auto"/>
        <w:ind w:left="2286" w:hanging="576"/>
      </w:pPr>
      <w:bookmarkStart w:id="267" w:name="_Toc76374578"/>
      <w:bookmarkStart w:id="268" w:name="_Toc83667044"/>
      <w:bookmarkStart w:id="269" w:name="_Toc96609156"/>
      <w:r w:rsidRPr="00C377C8">
        <w:t>Appendix 3: Questions for teachers</w:t>
      </w:r>
      <w:bookmarkEnd w:id="267"/>
      <w:bookmarkEnd w:id="268"/>
      <w:bookmarkEnd w:id="269"/>
      <w:r w:rsidRPr="00C377C8">
        <w:t xml:space="preserve"> </w:t>
      </w:r>
    </w:p>
    <w:p w14:paraId="4255DC4C" w14:textId="77777777" w:rsidR="00E202E4" w:rsidRPr="00C377C8" w:rsidRDefault="00E202E4" w:rsidP="00461178">
      <w:pPr>
        <w:spacing w:line="360" w:lineRule="auto"/>
        <w:ind w:left="2268"/>
        <w:rPr>
          <w:rFonts w:ascii="Times New Roman" w:hAnsi="Times New Roman" w:cs="Times New Roman"/>
          <w:b/>
          <w:bCs/>
          <w:color w:val="000000" w:themeColor="text1"/>
          <w:sz w:val="24"/>
          <w:szCs w:val="24"/>
        </w:rPr>
      </w:pPr>
      <w:r w:rsidRPr="00C377C8">
        <w:rPr>
          <w:rFonts w:ascii="Times New Roman" w:hAnsi="Times New Roman" w:cs="Times New Roman"/>
          <w:b/>
          <w:bCs/>
          <w:color w:val="000000" w:themeColor="text1"/>
          <w:sz w:val="24"/>
          <w:szCs w:val="24"/>
        </w:rPr>
        <w:t>Setting the scene</w:t>
      </w:r>
    </w:p>
    <w:p w14:paraId="72F1227A" w14:textId="77777777" w:rsidR="00E202E4" w:rsidRPr="00C377C8" w:rsidRDefault="00E202E4" w:rsidP="00461178">
      <w:pPr>
        <w:spacing w:line="360" w:lineRule="auto"/>
        <w:ind w:left="2268"/>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researcher will explain about the aims and objectives of research briefly and speak about his role in research </w:t>
      </w:r>
    </w:p>
    <w:p w14:paraId="27C49E7A" w14:textId="77777777" w:rsidR="00E202E4" w:rsidRPr="00C377C8" w:rsidRDefault="00E202E4" w:rsidP="00461178">
      <w:pPr>
        <w:spacing w:line="360" w:lineRule="auto"/>
        <w:ind w:left="2268"/>
        <w:rPr>
          <w:rFonts w:ascii="Times New Roman" w:hAnsi="Times New Roman" w:cs="Times New Roman"/>
          <w:b/>
          <w:color w:val="000000" w:themeColor="text1"/>
          <w:sz w:val="24"/>
          <w:szCs w:val="24"/>
        </w:rPr>
      </w:pPr>
      <w:r w:rsidRPr="00C377C8">
        <w:rPr>
          <w:rFonts w:ascii="Times New Roman" w:hAnsi="Times New Roman" w:cs="Times New Roman"/>
          <w:b/>
          <w:color w:val="000000" w:themeColor="text1"/>
          <w:sz w:val="24"/>
          <w:szCs w:val="24"/>
        </w:rPr>
        <w:t>Demographical questions</w:t>
      </w:r>
    </w:p>
    <w:p w14:paraId="3D008769" w14:textId="77777777" w:rsidR="00E202E4" w:rsidRPr="00C377C8" w:rsidRDefault="00E202E4" w:rsidP="00461178">
      <w:pPr>
        <w:pStyle w:val="ListParagraph"/>
        <w:numPr>
          <w:ilvl w:val="0"/>
          <w:numId w:val="10"/>
        </w:numPr>
        <w:suppressAutoHyphens/>
        <w:autoSpaceDN w:val="0"/>
        <w:spacing w:line="360" w:lineRule="auto"/>
        <w:ind w:left="2268"/>
        <w:contextualSpacing w:val="0"/>
        <w:jc w:val="both"/>
        <w:textAlignment w:val="baseline"/>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What gender do you identify as?</w:t>
      </w:r>
    </w:p>
    <w:p w14:paraId="58579FDC" w14:textId="77777777" w:rsidR="00E202E4" w:rsidRPr="00C377C8" w:rsidRDefault="00E202E4" w:rsidP="00461178">
      <w:pPr>
        <w:pStyle w:val="ListParagraph"/>
        <w:numPr>
          <w:ilvl w:val="0"/>
          <w:numId w:val="10"/>
        </w:numPr>
        <w:suppressAutoHyphens/>
        <w:autoSpaceDN w:val="0"/>
        <w:spacing w:line="360" w:lineRule="auto"/>
        <w:ind w:left="2268"/>
        <w:contextualSpacing w:val="0"/>
        <w:jc w:val="both"/>
        <w:textAlignment w:val="baseline"/>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what is your age</w:t>
      </w:r>
    </w:p>
    <w:p w14:paraId="349C9729" w14:textId="77777777" w:rsidR="00E202E4" w:rsidRPr="00C377C8" w:rsidRDefault="00E202E4" w:rsidP="00461178">
      <w:pPr>
        <w:pStyle w:val="ListParagraph"/>
        <w:numPr>
          <w:ilvl w:val="0"/>
          <w:numId w:val="10"/>
        </w:numPr>
        <w:suppressAutoHyphens/>
        <w:autoSpaceDN w:val="0"/>
        <w:spacing w:line="360" w:lineRule="auto"/>
        <w:ind w:left="2268"/>
        <w:contextualSpacing w:val="0"/>
        <w:jc w:val="both"/>
        <w:textAlignment w:val="baseline"/>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 Please specify your ethnicity</w:t>
      </w:r>
    </w:p>
    <w:p w14:paraId="765FCA5F" w14:textId="77777777" w:rsidR="00E202E4" w:rsidRPr="00C377C8" w:rsidRDefault="00E202E4" w:rsidP="00461178">
      <w:pPr>
        <w:pStyle w:val="ListParagraph"/>
        <w:numPr>
          <w:ilvl w:val="0"/>
          <w:numId w:val="10"/>
        </w:numPr>
        <w:suppressAutoHyphens/>
        <w:autoSpaceDN w:val="0"/>
        <w:spacing w:line="360" w:lineRule="auto"/>
        <w:ind w:left="2268"/>
        <w:contextualSpacing w:val="0"/>
        <w:jc w:val="both"/>
        <w:textAlignment w:val="baseline"/>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What is the highest degree or level of education you have completed?</w:t>
      </w:r>
    </w:p>
    <w:p w14:paraId="53E38D7B" w14:textId="77777777" w:rsidR="00E202E4" w:rsidRPr="00C377C8" w:rsidRDefault="00E202E4" w:rsidP="00461178">
      <w:pPr>
        <w:pStyle w:val="ListParagraph"/>
        <w:numPr>
          <w:ilvl w:val="0"/>
          <w:numId w:val="10"/>
        </w:numPr>
        <w:suppressAutoHyphens/>
        <w:autoSpaceDN w:val="0"/>
        <w:spacing w:line="360" w:lineRule="auto"/>
        <w:ind w:left="2268"/>
        <w:contextualSpacing w:val="0"/>
        <w:jc w:val="both"/>
        <w:textAlignment w:val="baseline"/>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 Do you have any teaching qualification? </w:t>
      </w:r>
    </w:p>
    <w:p w14:paraId="5BB781F9" w14:textId="77777777" w:rsidR="00E202E4" w:rsidRPr="00C377C8" w:rsidRDefault="00E202E4" w:rsidP="00461178">
      <w:pPr>
        <w:pStyle w:val="ListParagraph"/>
        <w:numPr>
          <w:ilvl w:val="0"/>
          <w:numId w:val="10"/>
        </w:numPr>
        <w:suppressAutoHyphens/>
        <w:autoSpaceDN w:val="0"/>
        <w:spacing w:line="360" w:lineRule="auto"/>
        <w:ind w:left="2268"/>
        <w:contextualSpacing w:val="0"/>
        <w:jc w:val="both"/>
        <w:textAlignment w:val="baseline"/>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 what is your current employment status?</w:t>
      </w:r>
    </w:p>
    <w:p w14:paraId="2A020294" w14:textId="77777777" w:rsidR="00E202E4" w:rsidRPr="00C377C8" w:rsidRDefault="00E202E4" w:rsidP="00461178">
      <w:pPr>
        <w:pStyle w:val="ListParagraph"/>
        <w:numPr>
          <w:ilvl w:val="0"/>
          <w:numId w:val="10"/>
        </w:numPr>
        <w:suppressAutoHyphens/>
        <w:autoSpaceDN w:val="0"/>
        <w:spacing w:line="360" w:lineRule="auto"/>
        <w:ind w:left="2268"/>
        <w:contextualSpacing w:val="0"/>
        <w:jc w:val="both"/>
        <w:textAlignment w:val="baseline"/>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What do you teach?</w:t>
      </w:r>
    </w:p>
    <w:p w14:paraId="2A29A86E" w14:textId="77777777" w:rsidR="00E202E4" w:rsidRPr="00C377C8" w:rsidRDefault="00E202E4" w:rsidP="00461178">
      <w:pPr>
        <w:pStyle w:val="ListParagraph"/>
        <w:numPr>
          <w:ilvl w:val="0"/>
          <w:numId w:val="10"/>
        </w:numPr>
        <w:suppressAutoHyphens/>
        <w:autoSpaceDN w:val="0"/>
        <w:spacing w:line="360" w:lineRule="auto"/>
        <w:ind w:left="2268"/>
        <w:contextualSpacing w:val="0"/>
        <w:jc w:val="both"/>
        <w:textAlignment w:val="baseline"/>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Which languages are you capable of speaking fluently?</w:t>
      </w:r>
    </w:p>
    <w:p w14:paraId="1B2F5470" w14:textId="77777777" w:rsidR="00E202E4" w:rsidRPr="00C377C8" w:rsidRDefault="00E202E4" w:rsidP="00461178">
      <w:pPr>
        <w:pStyle w:val="ListParagraph"/>
        <w:numPr>
          <w:ilvl w:val="0"/>
          <w:numId w:val="10"/>
        </w:numPr>
        <w:suppressAutoHyphens/>
        <w:autoSpaceDN w:val="0"/>
        <w:spacing w:line="360" w:lineRule="auto"/>
        <w:ind w:left="2268"/>
        <w:contextualSpacing w:val="0"/>
        <w:jc w:val="both"/>
        <w:textAlignment w:val="baseline"/>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Where were you born</w:t>
      </w:r>
    </w:p>
    <w:p w14:paraId="01C70350" w14:textId="77777777" w:rsidR="00E202E4" w:rsidRPr="00C377C8" w:rsidRDefault="00E202E4" w:rsidP="00461178">
      <w:pPr>
        <w:spacing w:line="360" w:lineRule="auto"/>
        <w:ind w:left="2268"/>
        <w:rPr>
          <w:rFonts w:ascii="Times New Roman" w:hAnsi="Times New Roman" w:cs="Times New Roman"/>
          <w:color w:val="000000" w:themeColor="text1"/>
          <w:sz w:val="24"/>
          <w:szCs w:val="24"/>
        </w:rPr>
      </w:pPr>
    </w:p>
    <w:p w14:paraId="4AD6D77F" w14:textId="77777777" w:rsidR="00E202E4" w:rsidRPr="00C377C8" w:rsidRDefault="00E202E4" w:rsidP="00461178">
      <w:pPr>
        <w:spacing w:line="360" w:lineRule="auto"/>
        <w:ind w:left="2268"/>
        <w:rPr>
          <w:rFonts w:ascii="Times New Roman" w:hAnsi="Times New Roman" w:cs="Times New Roman"/>
          <w:b/>
          <w:color w:val="000000" w:themeColor="text1"/>
          <w:sz w:val="24"/>
          <w:szCs w:val="24"/>
        </w:rPr>
      </w:pPr>
      <w:r w:rsidRPr="00C377C8">
        <w:rPr>
          <w:rFonts w:ascii="Times New Roman" w:hAnsi="Times New Roman" w:cs="Times New Roman"/>
          <w:b/>
          <w:color w:val="000000" w:themeColor="text1"/>
          <w:sz w:val="24"/>
          <w:szCs w:val="24"/>
        </w:rPr>
        <w:t xml:space="preserve">Initial questions </w:t>
      </w:r>
    </w:p>
    <w:p w14:paraId="2F160F43" w14:textId="77777777" w:rsidR="00E202E4" w:rsidRPr="00C377C8" w:rsidRDefault="00E202E4" w:rsidP="00461178">
      <w:pPr>
        <w:pStyle w:val="ListParagraph"/>
        <w:numPr>
          <w:ilvl w:val="0"/>
          <w:numId w:val="11"/>
        </w:numPr>
        <w:suppressAutoHyphens/>
        <w:autoSpaceDN w:val="0"/>
        <w:spacing w:line="360" w:lineRule="auto"/>
        <w:ind w:left="2268"/>
        <w:contextualSpacing w:val="0"/>
        <w:textAlignment w:val="baseline"/>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Please could you tell me about how you came to join teaching in the United Kingdom?</w:t>
      </w:r>
    </w:p>
    <w:p w14:paraId="7C544BF0" w14:textId="77777777" w:rsidR="00E202E4" w:rsidRPr="00C377C8" w:rsidRDefault="00E202E4" w:rsidP="00461178">
      <w:pPr>
        <w:pStyle w:val="ListParagraph"/>
        <w:numPr>
          <w:ilvl w:val="0"/>
          <w:numId w:val="11"/>
        </w:numPr>
        <w:suppressAutoHyphens/>
        <w:autoSpaceDN w:val="0"/>
        <w:spacing w:line="360" w:lineRule="auto"/>
        <w:ind w:left="2268"/>
        <w:contextualSpacing w:val="0"/>
        <w:textAlignment w:val="baseline"/>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Can you tell me what you did before?  </w:t>
      </w:r>
    </w:p>
    <w:p w14:paraId="48F224C8" w14:textId="77777777" w:rsidR="00E202E4" w:rsidRPr="00C377C8" w:rsidRDefault="00E202E4" w:rsidP="00461178">
      <w:pPr>
        <w:pStyle w:val="ListParagraph"/>
        <w:numPr>
          <w:ilvl w:val="0"/>
          <w:numId w:val="11"/>
        </w:numPr>
        <w:suppressAutoHyphens/>
        <w:autoSpaceDN w:val="0"/>
        <w:spacing w:line="360" w:lineRule="auto"/>
        <w:ind w:left="2268"/>
        <w:contextualSpacing w:val="0"/>
        <w:textAlignment w:val="baseline"/>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How long have you been teaching critical interpretation of the Quran? </w:t>
      </w:r>
    </w:p>
    <w:p w14:paraId="0C79EA65" w14:textId="77777777" w:rsidR="00E202E4" w:rsidRPr="00C377C8" w:rsidRDefault="00E202E4" w:rsidP="00461178">
      <w:pPr>
        <w:pStyle w:val="ListParagraph"/>
        <w:numPr>
          <w:ilvl w:val="0"/>
          <w:numId w:val="11"/>
        </w:numPr>
        <w:suppressAutoHyphens/>
        <w:autoSpaceDN w:val="0"/>
        <w:spacing w:line="360" w:lineRule="auto"/>
        <w:ind w:left="2268"/>
        <w:contextualSpacing w:val="0"/>
        <w:textAlignment w:val="baseline"/>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How many languages are used in your interpretation studies class?</w:t>
      </w:r>
    </w:p>
    <w:p w14:paraId="3C21E116" w14:textId="77777777" w:rsidR="00E202E4" w:rsidRPr="00C377C8" w:rsidRDefault="00E202E4" w:rsidP="00461178">
      <w:pPr>
        <w:pStyle w:val="ListParagraph"/>
        <w:spacing w:line="360" w:lineRule="auto"/>
        <w:ind w:left="2268"/>
        <w:rPr>
          <w:rFonts w:ascii="Times New Roman" w:hAnsi="Times New Roman" w:cs="Times New Roman"/>
          <w:color w:val="000000" w:themeColor="text1"/>
          <w:sz w:val="24"/>
          <w:szCs w:val="24"/>
        </w:rPr>
      </w:pPr>
    </w:p>
    <w:p w14:paraId="7AC4CBE6" w14:textId="77777777" w:rsidR="00E202E4" w:rsidRPr="00C377C8" w:rsidRDefault="00E202E4" w:rsidP="00461178">
      <w:pPr>
        <w:pStyle w:val="ListParagraph"/>
        <w:spacing w:line="360" w:lineRule="auto"/>
        <w:ind w:left="2268"/>
        <w:rPr>
          <w:rFonts w:ascii="Times New Roman" w:hAnsi="Times New Roman" w:cs="Times New Roman"/>
          <w:b/>
          <w:color w:val="000000" w:themeColor="text1"/>
          <w:sz w:val="24"/>
          <w:szCs w:val="24"/>
        </w:rPr>
      </w:pPr>
      <w:r w:rsidRPr="00C377C8">
        <w:rPr>
          <w:rFonts w:ascii="Times New Roman" w:hAnsi="Times New Roman" w:cs="Times New Roman"/>
          <w:b/>
          <w:color w:val="000000" w:themeColor="text1"/>
          <w:sz w:val="24"/>
          <w:szCs w:val="24"/>
        </w:rPr>
        <w:t>Main Research Questions</w:t>
      </w:r>
    </w:p>
    <w:p w14:paraId="6ACF3E9F" w14:textId="77777777" w:rsidR="00E202E4" w:rsidRPr="00C377C8" w:rsidRDefault="00E202E4" w:rsidP="00461178">
      <w:pPr>
        <w:numPr>
          <w:ilvl w:val="0"/>
          <w:numId w:val="11"/>
        </w:numPr>
        <w:suppressAutoHyphens/>
        <w:autoSpaceDN w:val="0"/>
        <w:spacing w:line="360" w:lineRule="auto"/>
        <w:ind w:left="2268"/>
        <w:textAlignment w:val="baseline"/>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Could you explain what teaching interpretation of sacred text involve in multilingual classrooms?</w:t>
      </w:r>
    </w:p>
    <w:p w14:paraId="2BA25492" w14:textId="77777777" w:rsidR="00E202E4" w:rsidRPr="00C377C8" w:rsidRDefault="00E202E4" w:rsidP="00461178">
      <w:pPr>
        <w:numPr>
          <w:ilvl w:val="0"/>
          <w:numId w:val="11"/>
        </w:numPr>
        <w:suppressAutoHyphens/>
        <w:autoSpaceDN w:val="0"/>
        <w:spacing w:after="0" w:line="360" w:lineRule="auto"/>
        <w:ind w:left="2268"/>
        <w:textAlignment w:val="baseline"/>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How would you define critical interpretation of Quran? </w:t>
      </w:r>
    </w:p>
    <w:p w14:paraId="0D9333CB" w14:textId="77777777" w:rsidR="00E202E4" w:rsidRPr="00C377C8" w:rsidRDefault="00E202E4" w:rsidP="00461178">
      <w:pPr>
        <w:numPr>
          <w:ilvl w:val="0"/>
          <w:numId w:val="11"/>
        </w:numPr>
        <w:suppressAutoHyphens/>
        <w:autoSpaceDN w:val="0"/>
        <w:spacing w:after="0" w:line="360" w:lineRule="auto"/>
        <w:ind w:left="2268"/>
        <w:textAlignment w:val="baseline"/>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What makes teaching critical interpretation of sacred text in multilingual class unique and singularly different from everyday teaching?</w:t>
      </w:r>
    </w:p>
    <w:p w14:paraId="6336A28C" w14:textId="77777777" w:rsidR="00E202E4" w:rsidRPr="00C377C8" w:rsidRDefault="00E202E4" w:rsidP="00461178">
      <w:pPr>
        <w:numPr>
          <w:ilvl w:val="0"/>
          <w:numId w:val="11"/>
        </w:numPr>
        <w:suppressAutoHyphens/>
        <w:autoSpaceDN w:val="0"/>
        <w:spacing w:after="0" w:line="360" w:lineRule="auto"/>
        <w:ind w:left="2268"/>
        <w:textAlignment w:val="baseline"/>
        <w:rPr>
          <w:rFonts w:ascii="Times New Roman" w:hAnsi="Times New Roman" w:cs="Times New Roman"/>
          <w:color w:val="000000" w:themeColor="text1"/>
          <w:sz w:val="24"/>
          <w:szCs w:val="24"/>
        </w:rPr>
      </w:pPr>
    </w:p>
    <w:p w14:paraId="4206D0B7" w14:textId="77777777" w:rsidR="00E202E4" w:rsidRPr="00C377C8" w:rsidRDefault="00E202E4" w:rsidP="00461178">
      <w:pPr>
        <w:numPr>
          <w:ilvl w:val="0"/>
          <w:numId w:val="11"/>
        </w:numPr>
        <w:suppressAutoHyphens/>
        <w:autoSpaceDN w:val="0"/>
        <w:spacing w:after="0" w:line="360" w:lineRule="auto"/>
        <w:ind w:left="2268"/>
        <w:textAlignment w:val="baseline"/>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Could you explain the level of the knowledge students should have before studying interpretation of critical interpretation of Quran? </w:t>
      </w:r>
    </w:p>
    <w:p w14:paraId="1A81DFFD" w14:textId="77777777" w:rsidR="00E202E4" w:rsidRPr="00C377C8" w:rsidRDefault="00E202E4" w:rsidP="00461178">
      <w:pPr>
        <w:numPr>
          <w:ilvl w:val="0"/>
          <w:numId w:val="11"/>
        </w:numPr>
        <w:suppressAutoHyphens/>
        <w:autoSpaceDN w:val="0"/>
        <w:spacing w:after="0" w:line="360" w:lineRule="auto"/>
        <w:ind w:left="2268"/>
        <w:textAlignment w:val="baseline"/>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Please could you explain some of the strategies do you use for teaching critical thinking skills? [ Prompt: working independently, group work, learning resources, feedback] </w:t>
      </w:r>
    </w:p>
    <w:p w14:paraId="037AA8C8" w14:textId="77777777" w:rsidR="00E202E4" w:rsidRPr="00C377C8" w:rsidRDefault="00E202E4" w:rsidP="00461178">
      <w:pPr>
        <w:numPr>
          <w:ilvl w:val="0"/>
          <w:numId w:val="11"/>
        </w:numPr>
        <w:suppressAutoHyphens/>
        <w:autoSpaceDN w:val="0"/>
        <w:spacing w:after="0" w:line="360" w:lineRule="auto"/>
        <w:ind w:left="2268"/>
        <w:textAlignment w:val="baseline"/>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How do you feel about these teaching strategies in multilingual class?</w:t>
      </w:r>
    </w:p>
    <w:p w14:paraId="13A9B928" w14:textId="77777777" w:rsidR="00E202E4" w:rsidRPr="00C377C8" w:rsidRDefault="00E202E4" w:rsidP="00461178">
      <w:pPr>
        <w:numPr>
          <w:ilvl w:val="0"/>
          <w:numId w:val="11"/>
        </w:numPr>
        <w:suppressAutoHyphens/>
        <w:autoSpaceDN w:val="0"/>
        <w:spacing w:after="0" w:line="360" w:lineRule="auto"/>
        <w:ind w:left="2268"/>
        <w:textAlignment w:val="baseline"/>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Do your students challenge you about your views, and if yes how? </w:t>
      </w:r>
    </w:p>
    <w:p w14:paraId="7130E55B" w14:textId="77777777" w:rsidR="00E202E4" w:rsidRPr="00C377C8" w:rsidRDefault="00E202E4" w:rsidP="00461178">
      <w:pPr>
        <w:numPr>
          <w:ilvl w:val="0"/>
          <w:numId w:val="11"/>
        </w:numPr>
        <w:suppressAutoHyphens/>
        <w:autoSpaceDN w:val="0"/>
        <w:spacing w:after="0" w:line="360" w:lineRule="auto"/>
        <w:ind w:left="2268"/>
        <w:textAlignment w:val="baseline"/>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How do you feel when you are challenged in the classroom? </w:t>
      </w:r>
    </w:p>
    <w:p w14:paraId="7BDBCC3E" w14:textId="77777777" w:rsidR="00E202E4" w:rsidRPr="00C377C8" w:rsidRDefault="00E202E4" w:rsidP="00461178">
      <w:pPr>
        <w:numPr>
          <w:ilvl w:val="0"/>
          <w:numId w:val="11"/>
        </w:numPr>
        <w:suppressAutoHyphens/>
        <w:autoSpaceDN w:val="0"/>
        <w:spacing w:after="0" w:line="360" w:lineRule="auto"/>
        <w:ind w:left="2268"/>
        <w:textAlignment w:val="baseline"/>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Could you tell me about your best teaching experience in multilingual class?</w:t>
      </w:r>
    </w:p>
    <w:p w14:paraId="3A374DDA" w14:textId="77777777" w:rsidR="00E202E4" w:rsidRPr="00C377C8" w:rsidRDefault="00E202E4" w:rsidP="00461178">
      <w:pPr>
        <w:numPr>
          <w:ilvl w:val="0"/>
          <w:numId w:val="11"/>
        </w:numPr>
        <w:suppressAutoHyphens/>
        <w:autoSpaceDN w:val="0"/>
        <w:spacing w:after="0" w:line="360" w:lineRule="auto"/>
        <w:ind w:left="2268"/>
        <w:textAlignment w:val="baseline"/>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Does switching from one language to other causes any problem in teaching or learning and if yes how? </w:t>
      </w:r>
    </w:p>
    <w:p w14:paraId="76B26A40" w14:textId="77777777" w:rsidR="00E202E4" w:rsidRPr="00C377C8" w:rsidRDefault="00E202E4" w:rsidP="00461178">
      <w:pPr>
        <w:numPr>
          <w:ilvl w:val="0"/>
          <w:numId w:val="11"/>
        </w:numPr>
        <w:suppressAutoHyphens/>
        <w:autoSpaceDN w:val="0"/>
        <w:spacing w:after="0" w:line="360" w:lineRule="auto"/>
        <w:ind w:left="2268"/>
        <w:textAlignment w:val="baseline"/>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How do you overcome this problem? </w:t>
      </w:r>
    </w:p>
    <w:p w14:paraId="35A31316" w14:textId="77777777" w:rsidR="00E202E4" w:rsidRPr="00C377C8" w:rsidRDefault="00E202E4" w:rsidP="00461178">
      <w:pPr>
        <w:numPr>
          <w:ilvl w:val="0"/>
          <w:numId w:val="11"/>
        </w:numPr>
        <w:suppressAutoHyphens/>
        <w:autoSpaceDN w:val="0"/>
        <w:spacing w:line="360" w:lineRule="auto"/>
        <w:ind w:left="2268"/>
        <w:textAlignment w:val="baseline"/>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How do you give feedback to your students?</w:t>
      </w:r>
    </w:p>
    <w:p w14:paraId="4C1FF3F4" w14:textId="77777777" w:rsidR="00E202E4" w:rsidRPr="00C377C8" w:rsidRDefault="00E202E4" w:rsidP="00461178">
      <w:pPr>
        <w:numPr>
          <w:ilvl w:val="0"/>
          <w:numId w:val="11"/>
        </w:numPr>
        <w:suppressAutoHyphens/>
        <w:autoSpaceDN w:val="0"/>
        <w:spacing w:after="0" w:line="360" w:lineRule="auto"/>
        <w:ind w:left="2268"/>
        <w:textAlignment w:val="baseline"/>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What do you expect teaching interpretation of the sacred text to be like in multilingual class? [ Prompt interpretation pattern, thinking out of the box, ideas exploration and evaluation] </w:t>
      </w:r>
    </w:p>
    <w:p w14:paraId="00DEC3FE" w14:textId="77777777" w:rsidR="00E202E4" w:rsidRPr="00C377C8" w:rsidRDefault="00E202E4" w:rsidP="00461178">
      <w:pPr>
        <w:numPr>
          <w:ilvl w:val="0"/>
          <w:numId w:val="11"/>
        </w:numPr>
        <w:suppressAutoHyphens/>
        <w:autoSpaceDN w:val="0"/>
        <w:spacing w:after="0" w:line="360" w:lineRule="auto"/>
        <w:ind w:left="2268"/>
        <w:textAlignment w:val="baseline"/>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What skills or knowledge a teacher should have to teach critical interpretation of the Quran more effectively?</w:t>
      </w:r>
    </w:p>
    <w:p w14:paraId="7D118D69" w14:textId="77777777" w:rsidR="00E202E4" w:rsidRPr="00C377C8" w:rsidRDefault="00E202E4" w:rsidP="00461178">
      <w:pPr>
        <w:numPr>
          <w:ilvl w:val="0"/>
          <w:numId w:val="11"/>
        </w:numPr>
        <w:suppressAutoHyphens/>
        <w:autoSpaceDN w:val="0"/>
        <w:spacing w:line="360" w:lineRule="auto"/>
        <w:ind w:left="2268"/>
        <w:textAlignment w:val="baseline"/>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Could you explain the support you think the teachers should have in place to improve teaching the critical interpretation of Quran ?</w:t>
      </w:r>
    </w:p>
    <w:p w14:paraId="103138A1" w14:textId="269766C2" w:rsidR="00E202E4" w:rsidRPr="00C377C8" w:rsidRDefault="00E202E4" w:rsidP="00C33388">
      <w:pPr>
        <w:pStyle w:val="Heading2"/>
        <w:numPr>
          <w:ilvl w:val="0"/>
          <w:numId w:val="0"/>
        </w:numPr>
        <w:spacing w:line="360" w:lineRule="auto"/>
        <w:ind w:left="2286" w:hanging="576"/>
      </w:pPr>
      <w:bookmarkStart w:id="270" w:name="_Toc76374579"/>
      <w:bookmarkStart w:id="271" w:name="_Toc83667045"/>
      <w:bookmarkStart w:id="272" w:name="_Toc96609157"/>
      <w:r w:rsidRPr="00C377C8">
        <w:t>Appendix 4: Interview Questions for Students</w:t>
      </w:r>
      <w:bookmarkEnd w:id="270"/>
      <w:bookmarkEnd w:id="271"/>
      <w:bookmarkEnd w:id="272"/>
      <w:r w:rsidRPr="00C377C8">
        <w:t xml:space="preserve"> </w:t>
      </w:r>
    </w:p>
    <w:p w14:paraId="4B562957" w14:textId="77777777" w:rsidR="00E202E4" w:rsidRPr="00C377C8" w:rsidRDefault="00E202E4" w:rsidP="00461178">
      <w:pPr>
        <w:spacing w:line="360" w:lineRule="auto"/>
        <w:ind w:left="2268"/>
        <w:rPr>
          <w:color w:val="000000" w:themeColor="text1"/>
        </w:rPr>
      </w:pPr>
      <w:r w:rsidRPr="00C377C8">
        <w:rPr>
          <w:rFonts w:ascii="Times" w:hAnsi="Times" w:cs="Times"/>
          <w:b/>
          <w:color w:val="000000" w:themeColor="text1"/>
        </w:rPr>
        <w:t>Setting the scene</w:t>
      </w:r>
    </w:p>
    <w:p w14:paraId="437CD8EE" w14:textId="77777777" w:rsidR="00E202E4" w:rsidRPr="00C377C8" w:rsidRDefault="00E202E4" w:rsidP="00461178">
      <w:pPr>
        <w:spacing w:line="360" w:lineRule="auto"/>
        <w:ind w:left="2268"/>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researcher will explain about the aims and objectives of research briefly and speak about his role in research </w:t>
      </w:r>
    </w:p>
    <w:p w14:paraId="279AF2A3"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What gender do you identify as?</w:t>
      </w:r>
    </w:p>
    <w:p w14:paraId="7E5B1853"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what is your age</w:t>
      </w:r>
    </w:p>
    <w:p w14:paraId="07C12270"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Please specify your ethnicity</w:t>
      </w:r>
    </w:p>
    <w:p w14:paraId="1752E6F3"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What is the highest degree or level of education you have completed?</w:t>
      </w:r>
    </w:p>
    <w:p w14:paraId="6272BDF5"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Do you have any teaching qualification? </w:t>
      </w:r>
    </w:p>
    <w:p w14:paraId="66EE5D5B"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Is your study full time or part time?</w:t>
      </w:r>
    </w:p>
    <w:p w14:paraId="618067D7"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Which languages are you capable of speaking fluently?</w:t>
      </w:r>
    </w:p>
    <w:p w14:paraId="161C7FA5"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Where were you born</w:t>
      </w:r>
    </w:p>
    <w:p w14:paraId="5E599CEE" w14:textId="77777777" w:rsidR="00E202E4" w:rsidRPr="00C377C8" w:rsidRDefault="00E202E4" w:rsidP="00461178">
      <w:pPr>
        <w:spacing w:line="360" w:lineRule="auto"/>
        <w:ind w:left="2268"/>
        <w:rPr>
          <w:rFonts w:cstheme="minorHAnsi"/>
          <w:color w:val="000000" w:themeColor="text1"/>
        </w:rPr>
      </w:pPr>
    </w:p>
    <w:p w14:paraId="2EE634F2" w14:textId="77777777" w:rsidR="00E202E4" w:rsidRPr="00C377C8" w:rsidRDefault="00E202E4" w:rsidP="00461178">
      <w:pPr>
        <w:spacing w:line="360" w:lineRule="auto"/>
        <w:ind w:left="2268"/>
        <w:rPr>
          <w:rFonts w:ascii="Times New Roman" w:hAnsi="Times New Roman" w:cs="Times New Roman"/>
          <w:b/>
          <w:color w:val="000000" w:themeColor="text1"/>
          <w:sz w:val="24"/>
          <w:szCs w:val="24"/>
        </w:rPr>
      </w:pPr>
      <w:r w:rsidRPr="00C377C8">
        <w:rPr>
          <w:rFonts w:ascii="Times New Roman" w:hAnsi="Times New Roman" w:cs="Times New Roman"/>
          <w:b/>
          <w:color w:val="000000" w:themeColor="text1"/>
          <w:sz w:val="24"/>
          <w:szCs w:val="24"/>
        </w:rPr>
        <w:t xml:space="preserve">Initial questions </w:t>
      </w:r>
    </w:p>
    <w:p w14:paraId="508A03A0" w14:textId="77777777" w:rsidR="00E202E4" w:rsidRPr="00C377C8" w:rsidRDefault="00E202E4" w:rsidP="00461178">
      <w:pPr>
        <w:spacing w:line="360" w:lineRule="auto"/>
        <w:ind w:left="2268"/>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Please could you tell me about what are you studying?</w:t>
      </w:r>
    </w:p>
    <w:p w14:paraId="59B9F78D" w14:textId="77777777" w:rsidR="00E202E4" w:rsidRPr="00C377C8" w:rsidRDefault="00E202E4" w:rsidP="00461178">
      <w:pPr>
        <w:spacing w:line="360" w:lineRule="auto"/>
        <w:ind w:left="2268"/>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Could you explain some of your expectations from the course?</w:t>
      </w:r>
    </w:p>
    <w:p w14:paraId="4E5AC1AD" w14:textId="77777777" w:rsidR="00E202E4" w:rsidRPr="00C377C8" w:rsidRDefault="00E202E4" w:rsidP="00461178">
      <w:pPr>
        <w:spacing w:line="360" w:lineRule="auto"/>
        <w:ind w:left="2268"/>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Can you tell me what you did before?  </w:t>
      </w:r>
    </w:p>
    <w:p w14:paraId="0AC4E171" w14:textId="77777777" w:rsidR="00E202E4" w:rsidRPr="00C377C8" w:rsidRDefault="00E202E4" w:rsidP="00461178">
      <w:pPr>
        <w:spacing w:line="360" w:lineRule="auto"/>
        <w:ind w:left="2268"/>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How long have you been learning critical interpretation of the Quran? </w:t>
      </w:r>
    </w:p>
    <w:p w14:paraId="3E096C7D" w14:textId="77777777" w:rsidR="00E202E4" w:rsidRPr="00C377C8" w:rsidRDefault="00E202E4" w:rsidP="00461178">
      <w:pPr>
        <w:spacing w:line="360" w:lineRule="auto"/>
        <w:ind w:left="2268"/>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How many languages do you speak?</w:t>
      </w:r>
    </w:p>
    <w:p w14:paraId="0A93D958" w14:textId="77777777" w:rsidR="00E202E4" w:rsidRPr="00C377C8" w:rsidRDefault="00E202E4" w:rsidP="00461178">
      <w:pPr>
        <w:spacing w:line="360" w:lineRule="auto"/>
        <w:ind w:left="2268"/>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How many languages are used in your interpretation studies class?</w:t>
      </w:r>
    </w:p>
    <w:p w14:paraId="6505C7F4" w14:textId="77777777" w:rsidR="00E202E4" w:rsidRPr="00C377C8" w:rsidRDefault="00E202E4" w:rsidP="00461178">
      <w:pPr>
        <w:spacing w:line="360" w:lineRule="auto"/>
        <w:ind w:left="2268"/>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Could you explain what learning interpretation of the Quran involve in multilingual classrooms?</w:t>
      </w:r>
    </w:p>
    <w:p w14:paraId="29D4C451" w14:textId="77777777" w:rsidR="00E202E4" w:rsidRPr="00C377C8" w:rsidRDefault="00E202E4" w:rsidP="00461178">
      <w:pPr>
        <w:spacing w:line="360" w:lineRule="auto"/>
        <w:ind w:left="2268"/>
        <w:rPr>
          <w:rFonts w:ascii="Times New Roman" w:hAnsi="Times New Roman" w:cs="Times New Roman"/>
          <w:color w:val="000000" w:themeColor="text1"/>
          <w:sz w:val="24"/>
          <w:szCs w:val="24"/>
        </w:rPr>
      </w:pPr>
    </w:p>
    <w:p w14:paraId="627C27BF" w14:textId="77777777" w:rsidR="00E202E4" w:rsidRPr="00C377C8" w:rsidRDefault="00E202E4" w:rsidP="00461178">
      <w:pPr>
        <w:spacing w:line="360" w:lineRule="auto"/>
        <w:ind w:left="2268"/>
        <w:rPr>
          <w:rFonts w:ascii="Times New Roman" w:hAnsi="Times New Roman" w:cs="Times New Roman"/>
          <w:b/>
          <w:color w:val="000000" w:themeColor="text1"/>
          <w:sz w:val="24"/>
          <w:szCs w:val="24"/>
        </w:rPr>
      </w:pPr>
      <w:r w:rsidRPr="00C377C8">
        <w:rPr>
          <w:rFonts w:ascii="Times New Roman" w:hAnsi="Times New Roman" w:cs="Times New Roman"/>
          <w:b/>
          <w:color w:val="000000" w:themeColor="text1"/>
          <w:sz w:val="24"/>
          <w:szCs w:val="24"/>
        </w:rPr>
        <w:t>Main Questions</w:t>
      </w:r>
    </w:p>
    <w:p w14:paraId="500DBFCC" w14:textId="77777777" w:rsidR="00E202E4" w:rsidRPr="00C377C8" w:rsidRDefault="00E202E4" w:rsidP="00461178">
      <w:pPr>
        <w:spacing w:line="360" w:lineRule="auto"/>
        <w:ind w:left="2268"/>
        <w:rPr>
          <w:rFonts w:ascii="Times New Roman" w:hAnsi="Times New Roman" w:cs="Times New Roman"/>
          <w:color w:val="000000" w:themeColor="text1"/>
          <w:sz w:val="24"/>
          <w:szCs w:val="24"/>
        </w:rPr>
      </w:pPr>
    </w:p>
    <w:p w14:paraId="3A83E727" w14:textId="77777777" w:rsidR="00E202E4" w:rsidRPr="00C377C8" w:rsidRDefault="00E202E4" w:rsidP="00461178">
      <w:pPr>
        <w:pStyle w:val="ListParagraph"/>
        <w:numPr>
          <w:ilvl w:val="0"/>
          <w:numId w:val="12"/>
        </w:numPr>
        <w:spacing w:after="0" w:line="360" w:lineRule="auto"/>
        <w:ind w:left="2268"/>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How would you define critical interpretation of Quran? </w:t>
      </w:r>
    </w:p>
    <w:p w14:paraId="7147882D" w14:textId="77777777" w:rsidR="00E202E4" w:rsidRPr="00C377C8" w:rsidRDefault="00E202E4" w:rsidP="00461178">
      <w:pPr>
        <w:pStyle w:val="ListParagraph"/>
        <w:numPr>
          <w:ilvl w:val="0"/>
          <w:numId w:val="12"/>
        </w:numPr>
        <w:spacing w:line="360" w:lineRule="auto"/>
        <w:ind w:left="2268"/>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What makes the critical interpretation of the Quran in multilingual class unique and singularly different from everyday the interpretation of the Quran</w:t>
      </w:r>
    </w:p>
    <w:p w14:paraId="60400B59" w14:textId="77777777" w:rsidR="00E202E4" w:rsidRPr="00C377C8" w:rsidRDefault="00E202E4" w:rsidP="00461178">
      <w:pPr>
        <w:pStyle w:val="ListParagraph"/>
        <w:numPr>
          <w:ilvl w:val="0"/>
          <w:numId w:val="12"/>
        </w:numPr>
        <w:spacing w:after="0" w:line="360" w:lineRule="auto"/>
        <w:ind w:left="2268"/>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Could you explain the level of the knowledge do you have before studying interpretation of critical interpretation of Quran? </w:t>
      </w:r>
    </w:p>
    <w:p w14:paraId="14004FD8" w14:textId="77777777" w:rsidR="00E202E4" w:rsidRPr="00C377C8" w:rsidRDefault="00E202E4" w:rsidP="00461178">
      <w:pPr>
        <w:pStyle w:val="ListParagraph"/>
        <w:numPr>
          <w:ilvl w:val="0"/>
          <w:numId w:val="12"/>
        </w:numPr>
        <w:spacing w:after="0" w:line="360" w:lineRule="auto"/>
        <w:ind w:left="2268"/>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Please could you explain some of the strategies does your teacher use for teaching critical thinking skills? [ Prompt: working independently, group work, learning resources, feedback] </w:t>
      </w:r>
    </w:p>
    <w:p w14:paraId="6B03C445" w14:textId="77777777" w:rsidR="00E202E4" w:rsidRPr="00C377C8" w:rsidRDefault="00E202E4" w:rsidP="00461178">
      <w:pPr>
        <w:pStyle w:val="ListParagraph"/>
        <w:numPr>
          <w:ilvl w:val="0"/>
          <w:numId w:val="12"/>
        </w:numPr>
        <w:spacing w:after="0" w:line="360" w:lineRule="auto"/>
        <w:ind w:left="2268"/>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How do you feel about these teaching strategies in multilingual class?</w:t>
      </w:r>
    </w:p>
    <w:p w14:paraId="0A8D6AC1" w14:textId="77777777" w:rsidR="00E202E4" w:rsidRPr="00C377C8" w:rsidRDefault="00E202E4" w:rsidP="00461178">
      <w:pPr>
        <w:pStyle w:val="ListParagraph"/>
        <w:numPr>
          <w:ilvl w:val="0"/>
          <w:numId w:val="12"/>
        </w:numPr>
        <w:spacing w:after="0" w:line="360" w:lineRule="auto"/>
        <w:ind w:left="2268"/>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Do you challenge your teachers and other classmates about their views, and if yes how? </w:t>
      </w:r>
    </w:p>
    <w:p w14:paraId="6E451FF0" w14:textId="77777777" w:rsidR="00E202E4" w:rsidRPr="00C377C8" w:rsidRDefault="00E202E4" w:rsidP="00461178">
      <w:pPr>
        <w:pStyle w:val="ListParagraph"/>
        <w:numPr>
          <w:ilvl w:val="0"/>
          <w:numId w:val="12"/>
        </w:numPr>
        <w:spacing w:after="0" w:line="360" w:lineRule="auto"/>
        <w:ind w:left="2268"/>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How do you feel when you are challenged in the classroom? </w:t>
      </w:r>
    </w:p>
    <w:p w14:paraId="6CE7325F" w14:textId="77777777" w:rsidR="00E202E4" w:rsidRPr="00C377C8" w:rsidRDefault="00E202E4" w:rsidP="00461178">
      <w:pPr>
        <w:pStyle w:val="ListParagraph"/>
        <w:numPr>
          <w:ilvl w:val="0"/>
          <w:numId w:val="12"/>
        </w:numPr>
        <w:spacing w:after="0" w:line="360" w:lineRule="auto"/>
        <w:ind w:left="2268"/>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Could you tell me about your best learning experience in multilingual class?</w:t>
      </w:r>
    </w:p>
    <w:p w14:paraId="7C844DD6" w14:textId="77777777" w:rsidR="00E202E4" w:rsidRPr="00C377C8" w:rsidRDefault="00E202E4" w:rsidP="00461178">
      <w:pPr>
        <w:pStyle w:val="ListParagraph"/>
        <w:numPr>
          <w:ilvl w:val="0"/>
          <w:numId w:val="12"/>
        </w:numPr>
        <w:spacing w:line="360" w:lineRule="auto"/>
        <w:ind w:left="2268"/>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How do you receive feedback from your teacher?</w:t>
      </w:r>
    </w:p>
    <w:p w14:paraId="7AAAF729" w14:textId="77777777" w:rsidR="00E202E4" w:rsidRPr="00C377C8" w:rsidRDefault="00E202E4" w:rsidP="00461178">
      <w:pPr>
        <w:pStyle w:val="ListParagraph"/>
        <w:numPr>
          <w:ilvl w:val="0"/>
          <w:numId w:val="12"/>
        </w:numPr>
        <w:spacing w:line="360" w:lineRule="auto"/>
        <w:ind w:left="2268"/>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What do you expect teaching interpretation of the sacred text to be like in multilingual class? [ Prompt interpretation pattern, thinking out of the box, ideas exploration and evaluation] What skills or knowledge a teacher should have to teach critical interpretation of the Quran more effectively?</w:t>
      </w:r>
    </w:p>
    <w:p w14:paraId="19287BB2" w14:textId="61B115E3" w:rsidR="00E202E4" w:rsidRPr="00C377C8" w:rsidRDefault="00E202E4" w:rsidP="00C33388">
      <w:pPr>
        <w:pStyle w:val="ListParagraph"/>
        <w:numPr>
          <w:ilvl w:val="0"/>
          <w:numId w:val="12"/>
        </w:numPr>
        <w:spacing w:line="360" w:lineRule="auto"/>
        <w:ind w:left="2268"/>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Could you explain the support you think the teachers should have in pace to improve teaching critical interpretation? </w:t>
      </w:r>
    </w:p>
    <w:p w14:paraId="411E168F" w14:textId="77777777" w:rsidR="00E202E4" w:rsidRPr="00C377C8" w:rsidRDefault="00E202E4" w:rsidP="00461178">
      <w:pPr>
        <w:pStyle w:val="Heading2"/>
        <w:numPr>
          <w:ilvl w:val="0"/>
          <w:numId w:val="0"/>
        </w:numPr>
        <w:spacing w:line="360" w:lineRule="auto"/>
        <w:ind w:firstLine="720"/>
      </w:pPr>
      <w:bookmarkStart w:id="273" w:name="_Toc83667046"/>
      <w:bookmarkStart w:id="274" w:name="_Toc96609158"/>
      <w:r w:rsidRPr="00C377C8">
        <w:t>Appendix 5: Transcription of data 1</w:t>
      </w:r>
      <w:bookmarkEnd w:id="273"/>
      <w:bookmarkEnd w:id="274"/>
    </w:p>
    <w:p w14:paraId="3A543CF3" w14:textId="77777777" w:rsidR="00E202E4" w:rsidRPr="00C377C8" w:rsidRDefault="00E202E4" w:rsidP="00461178">
      <w:pPr>
        <w:spacing w:line="360" w:lineRule="auto"/>
        <w:ind w:left="2268"/>
        <w:jc w:val="both"/>
        <w:rPr>
          <w:rFonts w:ascii="Times New Roman" w:hAnsi="Times New Roman" w:cs="Times New Roman"/>
          <w:b/>
          <w:bCs/>
          <w:color w:val="000000" w:themeColor="text1"/>
          <w:sz w:val="24"/>
          <w:szCs w:val="24"/>
        </w:rPr>
      </w:pPr>
      <w:r w:rsidRPr="00C377C8">
        <w:rPr>
          <w:rFonts w:ascii="Times New Roman" w:hAnsi="Times New Roman" w:cs="Times New Roman"/>
          <w:color w:val="000000" w:themeColor="text1"/>
          <w:sz w:val="24"/>
          <w:szCs w:val="24"/>
        </w:rPr>
        <w:t xml:space="preserve">Assalam o </w:t>
      </w:r>
      <w:r w:rsidRPr="00C377C8">
        <w:rPr>
          <w:rFonts w:ascii="Times New Roman" w:hAnsi="Times New Roman" w:cs="Times New Roman"/>
          <w:b/>
          <w:bCs/>
          <w:color w:val="000000" w:themeColor="text1"/>
          <w:sz w:val="24"/>
          <w:szCs w:val="24"/>
        </w:rPr>
        <w:t xml:space="preserve">alaikum </w:t>
      </w:r>
      <w:r w:rsidRPr="00C377C8">
        <w:rPr>
          <w:rFonts w:ascii="Times New Roman" w:hAnsi="Times New Roman" w:cs="Times New Roman"/>
          <w:color w:val="000000" w:themeColor="text1"/>
          <w:sz w:val="24"/>
          <w:szCs w:val="24"/>
        </w:rPr>
        <w:t xml:space="preserve">. My name is Ali Akbar, and I am a doctoral student at the university of Staffordshire. </w:t>
      </w:r>
    </w:p>
    <w:p w14:paraId="4CB2F751"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Thank you very much for your time for the interview. Jazak Allah Khair (may Allah reward you for this)</w:t>
      </w:r>
    </w:p>
    <w:p w14:paraId="08C6AB61"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T1: you are welcome. Pleasure </w:t>
      </w:r>
    </w:p>
    <w:p w14:paraId="48A9709E"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Researcher: Thank you. As you know, I have spoken to you about it already, that  I am exploring foreign language teachers and students’ perspectives of effective teaching of the critical interpretation of the Quran in multilingual classrooms. </w:t>
      </w:r>
    </w:p>
    <w:p w14:paraId="27524912"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And the aims of the study is that by building on this research, foreign language teachers may use teaching approaches, which may enhance learners’ skills to interpret, analyse, evaluate, and explain hidden meanings of the text.  Furthermore, they may ensure that the new teachers receive the necessary support to plan and deliver inclusive teaching meeting their learners’ multilingual needs.</w:t>
      </w:r>
    </w:p>
    <w:p w14:paraId="1ACA120E"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Researcher: Do you understand the general aim of the research? </w:t>
      </w:r>
    </w:p>
    <w:p w14:paraId="552366BF"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T1: yes, I do understand. It seems interesting subject. </w:t>
      </w:r>
    </w:p>
    <w:p w14:paraId="4A29880D"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Researcher: Thank you. Yes, it is.  Do dua I may be able to complete this as soon as possible. I would also like to ensure you that there is no apparent risk associated with the research, but if any information divulged by you as a research participant which may give rise to an obligation of disclosure under prevent strategy. I will have to follow mosque’s normal safeguarding procedures including discussing the concern with the institute’s designated safeguarding lead, and where deemed necessary with local Prevent Coordinator. </w:t>
      </w:r>
    </w:p>
    <w:p w14:paraId="36552C52"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T1: for example? </w:t>
      </w:r>
    </w:p>
    <w:p w14:paraId="7C921835"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Researcher: Mostly they are linked with terrorism or promoting ideas which are against the British values. </w:t>
      </w:r>
    </w:p>
    <w:p w14:paraId="0BB7A1F8"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T1: OK. They do not even forgive researcher hahahah</w:t>
      </w:r>
    </w:p>
    <w:p w14:paraId="1ECD4C30"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Researcher: yes hahahha but It is also important to note that the participation may cause emotional distress and anxiety, if you indicate that you are experiencing any level of stress or emotional distress, I will stop the interview and offer immediate support by helping you to  contact health professional. If you feel safe and relieved after conversation and want to resume the interview, it will be resumed. If you are unable to carry on, you will be encouraged to contact local GP or Anxiety UK will be contacted on 08444775774 for further advice and follow you as a courtesy call. </w:t>
      </w:r>
    </w:p>
    <w:p w14:paraId="44F07D8B"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Important thing is you can also quit the interview without giving any reason or you can opt out at later stage before analysis of the data. </w:t>
      </w:r>
    </w:p>
    <w:p w14:paraId="590D0880"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Your data will be processed in accordance with the General Data Protection Regulation 2018 (GDPR).</w:t>
      </w:r>
    </w:p>
    <w:p w14:paraId="640BE985"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You have the right to access information held about you. Your right of access can be exercised in accordance with the GDPR</w:t>
      </w:r>
    </w:p>
    <w:p w14:paraId="380A770C"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T1: ok </w:t>
      </w:r>
      <w:r w:rsidRPr="00C377C8">
        <w:rPr>
          <w:rFonts w:ascii="Times New Roman" w:hAnsi="Times New Roman" w:cs="Times New Roman"/>
          <w:color w:val="000000" w:themeColor="text1"/>
          <w:sz w:val="24"/>
          <w:szCs w:val="24"/>
        </w:rPr>
        <w:tab/>
      </w:r>
    </w:p>
    <w:p w14:paraId="0485D823"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Researcher:  Do you have any question about the project</w:t>
      </w:r>
    </w:p>
    <w:p w14:paraId="1DC162DA"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T1: Who is your sponsor for this research or you are paying fee yourself?</w:t>
      </w:r>
    </w:p>
    <w:p w14:paraId="1EF9F826"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Researcher: I do not have any sponsor. I am part time students and paying fee myself so there is no external body who can influence me at any stage. </w:t>
      </w:r>
    </w:p>
    <w:p w14:paraId="76B1910F"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   T1:Ok that is good. </w:t>
      </w:r>
    </w:p>
    <w:p w14:paraId="1516E2B0"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   Researcher: Can we start the interview? </w:t>
      </w:r>
    </w:p>
    <w:p w14:paraId="2A0345B1"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T1: Yes please </w:t>
      </w:r>
    </w:p>
    <w:p w14:paraId="5A956347"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Do you need water or anything?</w:t>
      </w:r>
    </w:p>
    <w:p w14:paraId="300E7BAD"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T1: No</w:t>
      </w:r>
    </w:p>
    <w:p w14:paraId="36AB705E"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Researcher: are you comfortable? </w:t>
      </w:r>
    </w:p>
    <w:p w14:paraId="6A029BCA"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T1: yes, I am fine. Alhamdulillah. </w:t>
      </w:r>
    </w:p>
    <w:p w14:paraId="011F85D4"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Researcher: there are some demographic questions to collect basic information about you and your background </w:t>
      </w:r>
    </w:p>
    <w:p w14:paraId="315DC9A4"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T1: ok </w:t>
      </w:r>
    </w:p>
    <w:p w14:paraId="760D782F"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Researcher: What gender do you identify as?</w:t>
      </w:r>
    </w:p>
    <w:p w14:paraId="7DC8A615"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T1: What do you think hahahhah …Male.</w:t>
      </w:r>
    </w:p>
    <w:p w14:paraId="159877BB"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Researcher: what is your age</w:t>
      </w:r>
    </w:p>
    <w:p w14:paraId="1535FD67"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T1:I am almost 40, I am going to be forty-one soon.</w:t>
      </w:r>
    </w:p>
    <w:p w14:paraId="5347224C"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Researcher: Please specify your ethnicity</w:t>
      </w:r>
    </w:p>
    <w:p w14:paraId="6AFB9B31"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T1: Pakistani-British</w:t>
      </w:r>
    </w:p>
    <w:p w14:paraId="517DA1FB"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Researcher: What is the highest degree or level of education you have completed?</w:t>
      </w:r>
    </w:p>
    <w:p w14:paraId="5BBC0BB3"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T1: I did M.A in Islamic Studies and Dar-e-Nizami </w:t>
      </w:r>
    </w:p>
    <w:p w14:paraId="5819B2FC"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Researcher: Do you have any teaching qualification? </w:t>
      </w:r>
    </w:p>
    <w:p w14:paraId="6CF44908"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T1: No I do not have teaching qualification. </w:t>
      </w:r>
    </w:p>
    <w:p w14:paraId="72A2AFCA"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Researcher: What is your current employment status?</w:t>
      </w:r>
    </w:p>
    <w:p w14:paraId="663ECA32"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T1: I am working full time. </w:t>
      </w:r>
    </w:p>
    <w:p w14:paraId="11DFDD13"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Researcher: what is your role</w:t>
      </w:r>
    </w:p>
    <w:p w14:paraId="5430CD82"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T1: I teach number of subjects Quran, hadith and language but have some administrative responsibilities as well. I am leading on this programme Dars e nizami. </w:t>
      </w:r>
    </w:p>
    <w:p w14:paraId="6F48E97D"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Researcher: Which languages are you capable of speaking fluently?</w:t>
      </w:r>
    </w:p>
    <w:p w14:paraId="5B324483"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T1: I speak couple of languages including Urdu, Punjabi, English and Arabic</w:t>
      </w:r>
    </w:p>
    <w:p w14:paraId="327B4935"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Researcher: where were you born?</w:t>
      </w:r>
    </w:p>
    <w:p w14:paraId="3EB43425"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T1: Karachi Pakistan</w:t>
      </w:r>
    </w:p>
    <w:p w14:paraId="22414AA2"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Researcher: your religion?</w:t>
      </w:r>
    </w:p>
    <w:p w14:paraId="3DD8DE80"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T1: Islam</w:t>
      </w:r>
    </w:p>
    <w:p w14:paraId="43DCB070"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Thank you it’s helpful</w:t>
      </w:r>
    </w:p>
    <w:p w14:paraId="04698DA9"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Researcher: Please could you tell me about how you came to join teaching in the United Kingdom?</w:t>
      </w:r>
    </w:p>
    <w:p w14:paraId="606C3F1F"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T1: It is a very long story. I did graduation from Pakistan in 2000 yes I think in 2000 and was working as a teacher for Minhaj ul Quran. They have Islamic centres here in the UK in many cities. They needed an Imam, I applied and got the position. It was very competitive. Many people applied but as I was fluent in English, and was already working with them so they offered me. I started working as an Imam but later, I was appointed as a teacher of Islamic studies in 2014. </w:t>
      </w:r>
    </w:p>
    <w:p w14:paraId="33BE60FA"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Researcher: What do you teach?</w:t>
      </w:r>
    </w:p>
    <w:p w14:paraId="299B330F"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T1: I teacher number of subjects I teach Quranic studies, Hadith and some language subjects such as Sarf and Nahv</w:t>
      </w:r>
    </w:p>
    <w:p w14:paraId="420290EE"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Researcher: How long have you been teaching critical interpretation of Quran?</w:t>
      </w:r>
    </w:p>
    <w:p w14:paraId="777EC310"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T1: This is 3</w:t>
      </w:r>
      <w:r w:rsidRPr="00C377C8">
        <w:rPr>
          <w:rFonts w:ascii="Times New Roman" w:hAnsi="Times New Roman" w:cs="Times New Roman"/>
          <w:color w:val="000000" w:themeColor="text1"/>
          <w:sz w:val="24"/>
          <w:szCs w:val="24"/>
          <w:vertAlign w:val="superscript"/>
        </w:rPr>
        <w:t>rd</w:t>
      </w:r>
      <w:r w:rsidRPr="00C377C8">
        <w:rPr>
          <w:rFonts w:ascii="Times New Roman" w:hAnsi="Times New Roman" w:cs="Times New Roman"/>
          <w:color w:val="000000" w:themeColor="text1"/>
          <w:sz w:val="24"/>
          <w:szCs w:val="24"/>
        </w:rPr>
        <w:t xml:space="preserve"> year. I have taught two years, and now this my third year but even before when I was working as Imam, I have been teaching Islamic studies but not at higher level. It was basic Islamic studies but overall just teaching now it is around seventeen eighteen years now. </w:t>
      </w:r>
    </w:p>
    <w:p w14:paraId="550E3D63"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Researcher: As you know that the context of my research is multilingual classrooms, a classroom where more than one languages is used, How many languages are used in your classrooms?</w:t>
      </w:r>
    </w:p>
    <w:p w14:paraId="1E55F37B"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T1: We use English Arabic and sometimes students or myself switch to other languages including Urdu or Mirpuri?</w:t>
      </w:r>
    </w:p>
    <w:p w14:paraId="626A7A77"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Researcher: Why do you use other languages besides English and Arabic</w:t>
      </w:r>
    </w:p>
    <w:p w14:paraId="29E91DB2"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T1: Couple of reasons may be sometimes for fun, sometimes to elaborate things to students giving an example from other languages etc. sometimes when we use a video , it is in urdu, which I later translate into English but I have to do it because many scholars in Quran and hadith, they come from other countries such as Arab or Pakistan and India. </w:t>
      </w:r>
    </w:p>
    <w:p w14:paraId="6F24EFCE"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Researcher: Could you explain what teaching the interpretation of Quran involve?</w:t>
      </w:r>
    </w:p>
    <w:p w14:paraId="7710B03D"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T1: Teaching interpretation of Quran involves couple of things it includes basically the text of Quran, which is in the Arabic language and the language of Quran is different than everyday language, it is not spoken nowadays but it is a special dialect used by the people of Quraish in times of the Holy Prophet. So it involves understanding that dialect is at the heart. Once the students know the language its morphology and syntax, familiar with the principles of semantics and pragmatics and recognize the different components of ayah I mean the verse of Quran such as whether it is Ism, Fihl or harf and then different phrases such as adjective phrases or possessive phrases. They make sense of it through literal meanings but some words in the holy Quran are abstract and have many meanings, so it involves choosing the right meaning. It also involves forming different ideas and analyzing them using different perspectives. It also involves studies of hadith literature because if any of the verse Rasool ul Allah himself interpreted, we see it. We also looked at classical books how they interpreted and then present day and age …. it’s very broad subject. If the ayah is Muhkam mean definite, we also determine the hukm of that verse see its application. </w:t>
      </w:r>
    </w:p>
    <w:p w14:paraId="5645FE7B"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Researcher: as you indicated that interpretation of Quran involves comparing ideas and choosing the right meanings, do you become critical of those ideas</w:t>
      </w:r>
    </w:p>
    <w:p w14:paraId="5640AB4B"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T1: Yes. We become critical in the classrooms because this is what I want to teach to my students. They should not accept everything as it comes but they should accept it after analysis. because if they do so and accept everything as they see or presented to them, their approach will be very limited and they will not be able to present Islam well in multi-faith society. Their vision will become very narrow.  As a critical interpreter, interpreter we attempt to understand the intentions and desires of actors. The major actors in the Holy Quran are God and His prophet, who produced the text and that is what Quran for, to guide people it is a book of guidance. Huddalillmutaqeen guidance for those who are pious but we also look at different interpreters , who interpreted Quran in different times and ages. The way they interpreted was with consideration to their time and age, and that interpretation might not fit into current situations. These readers come across from different background and lived in different times and spaces. So it is difficult to know the intention and desires factor so it involves being critical. I give you an example for example if an interpreter of the quran was from sub-continent, he/she does not have or have very little understanding of international law, political movements, and many others. I mean policies and practices, so if we use those interpretation here might be problematic. Similarly, if the interpreters had been very revolutionary, he might be banned here like the interpretation of Qutb an Egyptian scholar is banned in UK,  so there is a lot what we analyse and discuss. Secondly, in critical interpretation the interpreter tries to understand these actors from his own point of view. So generating these big ideas around understanding the intention and desires of actors is at the heart of interpretation of Quran. </w:t>
      </w:r>
    </w:p>
    <w:p w14:paraId="09F84AB2"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Researcher: Based on this, the reader or interpreter in your class also come from different backgrounds or they are from same backgrounds. </w:t>
      </w:r>
    </w:p>
    <w:p w14:paraId="1556381A"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T1: You might have observed. The class is quite diverse. Students are though ethnically Pakistani and Bangladeshi but when it comes to theological issues, they are very different. They are sunni bralvi and sunni Deobandi but at the same time few Shia students are there. Though they follow Islam but still there is a diversity in terms of culture, in terms of fiqh understanding and in terms of Aqeedah or creed. </w:t>
      </w:r>
    </w:p>
    <w:p w14:paraId="27B30215"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Researcher: How do you engage every students with this diversity.</w:t>
      </w:r>
    </w:p>
    <w:p w14:paraId="1963A1CB"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T1: As students have particular background, and they have been living and studying Quran through the lens of their own school of thoughts. So I encourage them to share their views on that particular verse. So, when they share people from other school of thoughts are encouraged to listen and reflect. So it is an opportunity for everyone. </w:t>
      </w:r>
    </w:p>
    <w:p w14:paraId="1E42AB23"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Researcher: What makes teaching or learning the critical interpretation of Quran unique and different from everyday teaching and learning?</w:t>
      </w:r>
    </w:p>
    <w:p w14:paraId="7EAC0EA4"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T1: In every day teaching, the teachers and students learn simply interpretation which does not go beyond the literal or dictionary meaning and most of the focus is making sense of words and phrases but in critical interpretation students and teachers are engaged in creating big ideas around faith, culture and politics  and see them using different lens. </w:t>
      </w:r>
    </w:p>
    <w:p w14:paraId="29BA9ADF"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It is unique because they have to work with different languages at the same time. For example, the text is in Arabic, the target language is English because many of the students are those who use English as their mother tongue and mode of communication but some students who moved from Europe they speak Urdu better due to their origin, so sometimes I have to give them examples into urdu, so it is quite unique and different. </w:t>
      </w:r>
    </w:p>
    <w:p w14:paraId="76D42910"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It is also unique and different because when you are generating ideas or analyzing ideas critically, you look at language, culture, politics, laws and regulations, divine intention, perception of people so it is very unique I think and complex but interesting at the same times. </w:t>
      </w:r>
    </w:p>
    <w:p w14:paraId="443832AA"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It is also unique because it makes the classroom environment more challenging, in math or English, you will not see any sensitivity or very little sensitivity, but here a teacher needs to be more vigilant and active in creating an environment which is safer for everybody space where they can share ideas and discuss with openness without any fear of harassment. The students come from different school of thoughts and beliefs systems but interestingly, they are used to listening to each other </w:t>
      </w:r>
    </w:p>
    <w:p w14:paraId="3AFC744E"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Besides they test the ideas, as in interpretation load has been written and said, so they can test the ideas against the other verse of Quran or hadith or athar so it is really unique and different. </w:t>
      </w:r>
    </w:p>
    <w:p w14:paraId="0206B84B"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And finally, they also consider other texts </w:t>
      </w:r>
    </w:p>
    <w:p w14:paraId="56D8D48F"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Would you explain further? What do you mean by other texts and times?</w:t>
      </w:r>
    </w:p>
    <w:p w14:paraId="575F5E72"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T1: sure. It means there are many books written in different times and have significant impact on faith communities. So if an expert within the field may be with gender studies or social studies, if they have addressed that issues they also look into it and try to understand their perspectives, which broaden their vision and understanding of the world. It is really helpful when they locate ideas within the text or identify how the evidence support they claims they have come up with. </w:t>
      </w:r>
    </w:p>
    <w:p w14:paraId="00B72CDC"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Researcher: Could you explain the level of knowledge students should have before studying critical interpretation of the Quran?</w:t>
      </w:r>
    </w:p>
    <w:p w14:paraId="0E40A78D"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T1: The first two years within our schools, the students focused on Arabic language Sarf Nahv, fiqh, history, spiritualism and tassawuf, and many other subjects and tarjam tul quran I mean the translation of Quran. Once they pass and clear two years then we think they are able to study critical interpretation of Quran. Before they are taught critical interpretation of Quran, they also learn some usool (principles) of hadith, tafsir and fiqh. They also study the history of Islam and and the seerah of the prophet. </w:t>
      </w:r>
    </w:p>
    <w:p w14:paraId="61688578"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Especially the essential knowledge is the knowledge of Arabic language and balagha to satisfactory level, because if they do not have basic knowledge of Arabic language, they will not be able to generate ideas. And further analyse them.</w:t>
      </w:r>
    </w:p>
    <w:p w14:paraId="01D5293F"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Researcher: What is Balaghah</w:t>
      </w:r>
    </w:p>
    <w:p w14:paraId="699C0D2E"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It is the subject which deals with metaphorical, persuasive and rhetorical use of language. Quranic language is metaphorical as the verses of Quran divided into two types concrete Muhkam and Muttashbih -ambiguous or verse with layers of meanings so students should be able to understand the play between literal and connotative use of words. </w:t>
      </w:r>
    </w:p>
    <w:p w14:paraId="22B29FDE"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Researcher: Could you explain what are some of the strategies do you use when teaching critical interpretation of Quran?</w:t>
      </w:r>
    </w:p>
    <w:p w14:paraId="39ABBF52"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T1: I use number of strategies depending the verses I am teaching but one thing I always do is not jump in and help every time students asks me. While it may seem or be an easiest solution for the student when I jump in to help, but I do understand if I do so, I am not helping a student. What I am doing teaching them that they do not have to think themselves and that they can just ask the teacher. Instead of answering them I often ask them “what do you think?” or “what is the best way to find the answer?” then I assist them figuring out the best possible interpretation. So questioning is used as strategy to form ideas or when they determining the strength of evidence, if it is from quran or hadith, what type of hadith, whether is it sahih or ghair sahih if it is muttawatir or ghareeb etc. </w:t>
      </w:r>
    </w:p>
    <w:p w14:paraId="0CD7850F"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Secondly, in my experience of teaching critical interpretation, asking students to make connections and looking for some patterns is a good way to practice critical thinking skills. Once the student identifies a pattern, I encourage him or her to relate to a real-life situation. It can be a social, political or economic as Quran gives us a complete way of life. So its essence is to understand and practice, so relating it with the real life issues and then its pros and cons is another great activity student enjoy and engage most. </w:t>
      </w:r>
    </w:p>
    <w:p w14:paraId="431842E0"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Thirdly, indeed you have observed during the class that I more focus on group work in the classroom. It exposes students to other thoughts and ideas. As the students come from different theological and linguistic background, so broaden their views. It is a perfect way to get students thinking when students work with their peers, they are being to the thought process and ideas of their classmates, they understand how other people think and why they think that way. It also promotes tolerance and diversity. </w:t>
      </w:r>
    </w:p>
    <w:p w14:paraId="14CA6E95"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 also use videos from other scholars, though sometimes they are in Urdu but I do play because many of the students , thought they cannot speak but they do understand Urdu. So I use videos in Urdu, Arabic and English again depending on the nature of the verse. It is also engaging. </w:t>
      </w:r>
    </w:p>
    <w:p w14:paraId="3501107D"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Yes, I do sometimes give them independent work to see , on their own if they are able to generate ideas and are able to identify evidences from Quran and Sunnah to support their claims and if they are able to determine the strength of that evidence because in critical interpretation , they need to find out if there is any other evidence from the Quran or  hadith, and even from other texts. </w:t>
      </w:r>
    </w:p>
    <w:p w14:paraId="04E25465"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Researcher: Do these strategies work well in multilingual classrooms?</w:t>
      </w:r>
    </w:p>
    <w:p w14:paraId="79CC5704"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T1: yes, indeed, I think so as each language contain unique knowledge, so when students have the ability to use different languages within the class, it opens many doors to them, door into a culture, a door into values etc. but the strategies I mentioned such as group work, relating with the real-life and asking students to find the answer are great and students are often engaged and become more critical in their process of learning. </w:t>
      </w:r>
    </w:p>
    <w:p w14:paraId="2F333ABA"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Another thing why I use these strategies when teaching critical interpretation, it makes practice inclusive. When they work independently or work with their peers, it means I recognize that each student is different from other in many ways, and therefore should not feel excluded, if I rely on lecturing. These strategies enable all of students to take part and achieve their learning goals by the end of the lesson</w:t>
      </w:r>
    </w:p>
    <w:p w14:paraId="5B60B83A"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When we are living in the United kingdom, we want our graduates should understand equality, diversity and rights and this is what they have been doing at school or college because all the institutes emphasize on being inclusive through equality and diversity  that is why I often ask them to relate to their life as the culture they are encountering text is different to the context in which it was revealed. when I involve everyone it adds value to my teaching by recognizing the many differences my students have and I do try to incorporate their diverse experiences into my teaching sessions. </w:t>
      </w:r>
    </w:p>
    <w:p w14:paraId="28886DED"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Researcher: How do you maintain equality?</w:t>
      </w:r>
    </w:p>
    <w:p w14:paraId="14EDE34F"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T1: While students are working in groups, I observe and assess them and see who is participating in discussion and who is not, if any students being passive, I encourage him through questions. I also ensure that no one is dominating the discussion and everyone within the group does have an opportunity to discuss and share their views and being heard and listened. </w:t>
      </w:r>
    </w:p>
    <w:p w14:paraId="053608BF"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Researcher: As you indicated that you want to produce graduate with some good understanding of equality, diversity and human rights, while discussing these ideas or any other theological issues, do your students challenge you or one another or challenge each other’s views?</w:t>
      </w:r>
    </w:p>
    <w:p w14:paraId="04FA3FF6"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T1: Understanding each other through challenging is at the heart of critical interpretation of Quran, I as a teacher ensure that each students participate and does only share knowledge and experiences and the rest assure him through listening but they can challenge too while grappling with multiple ideas. </w:t>
      </w:r>
    </w:p>
    <w:p w14:paraId="0F74792B"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It is also important that when they challenge the idea not the person, and do it with due respect and that respect is maintained when in order to refuste or accept an idea they will have to bring an evidence from different texts including Quran Sunnah or other tafsir work. </w:t>
      </w:r>
    </w:p>
    <w:p w14:paraId="02590DF6"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Researcher: Could you explain why both the girls and boys working separately and what impact it has on their learning?</w:t>
      </w:r>
    </w:p>
    <w:p w14:paraId="2D7957B5"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TI: it is a traditional practice within Islam, that male and female are taught separately though they work together in the schools but in mosques we do not do it number of reasons including cultural and traditional. </w:t>
      </w:r>
    </w:p>
    <w:p w14:paraId="23267D38"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We ask them to work first within their own group but later when each group shares their learning both male and female can look at each other understanding and then reflect on it. So, in my views it is not a barrier but it is working where they feel more comfortable. </w:t>
      </w:r>
    </w:p>
    <w:p w14:paraId="169E9C3F"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When they share the ideas with each other openly, they are participating but seating is separate that is for number of reasons but I do believe they can work better when they are comfortable. </w:t>
      </w:r>
    </w:p>
    <w:p w14:paraId="5DDCDAA0"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Researcher: Could you tell me about your best teaching experience in multilingual classrooms?</w:t>
      </w:r>
    </w:p>
    <w:p w14:paraId="7CBC1FBC"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T1: it is hard to say one or the other, but I believe every day is a new day and if I do not enjoy each session or class, there is something wrong with me. I came into this profession with a choice and choice is I deliver something new creative and interesting every day. Students go with learning something new every day as somebody said, it is not how much teaching is taking place but what matters most is how much learning is taking place.  This is what I love about my practice, but I can mention one. One of my students joined us, his English was not very good, but his Arabic was really good, and he used Urdu as a first language. He moved from Italy two three years ago. </w:t>
      </w:r>
    </w:p>
    <w:p w14:paraId="581A79EA"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 felt he was not very engaged in the class due to language barrier, but I started using both English and Urdu translation in slides, where he can read Urdu and make sense and participate in the class. he felt encouraged, and now he is quite engaged in the class. </w:t>
      </w:r>
    </w:p>
    <w:p w14:paraId="0AC3E159"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Researcher: How do you give feedback? </w:t>
      </w:r>
    </w:p>
    <w:p w14:paraId="17A8D6EC"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T1: I use all three types of assessment initial, formative and summative but during the lesson, whether they are working independently or working with their peers , they are given regular feedback but when I am assessing them I make sure that they are suited to their level and ability but these are informal during the lesson. </w:t>
      </w:r>
    </w:p>
    <w:p w14:paraId="4349C911"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Discussion itself is the best activity not only to assess student but also to give feedback. The students when they share their ideas with each other and test their ideas against the framework they use to validate their ideas is a way to receive feedback both from the teacher and peers. I also question their ideas and sometimes give them certain verses for practical activities but during my feedback I make sure that feedback is boosting their confidence , encouraging them, motivating them and more than that I would say reassuring them because students need to know how they are making progress and what they have achieved so far. I use oral and written feedback but during the class more feedback is oral.</w:t>
      </w:r>
    </w:p>
    <w:p w14:paraId="00B366E6"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 also do one to one session when I feel necessary if I feel there is an issue with any student. One to one discussion is also a great way to encourage and boast the morale of students. </w:t>
      </w:r>
    </w:p>
    <w:p w14:paraId="7D7F313C"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p>
    <w:p w14:paraId="1390C708"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Researcher: What do you expect teaching interpretation should be like in multilingual classes?</w:t>
      </w:r>
    </w:p>
    <w:p w14:paraId="34304311"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T1: it is very broad question, a lot can be said about it in many different ways but I think the first thing the teachers need to consider are their teaching and learning goals based on students need and both the teachers and students should take ownership of those goals and they should assist each other to achieve that. Personally speaking, for me the major goal is equipping students with different critical lens so that they are able to make sense and these goals should be set not only through the subject matter but relating those goals with real-life. In the UK, students face issues around culture, language, inclusion and hate. So, through understanding of the text, they should be able to live their life with their identity and I think the teacher should record these goals earlier may be during the induction.</w:t>
      </w:r>
    </w:p>
    <w:p w14:paraId="3A89AFC1"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It should be around equity. The teacher and students should be fair and impartial to all ideas and views as they come from different backgrounds so the teacher should make sure that all students have an opportunity to share what they want to share.</w:t>
      </w:r>
    </w:p>
    <w:p w14:paraId="4F284B04"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Then when a teacher is planning his lesson or learning, he should write down very clearly the objectives, what he/she wants to achieve? He should also be considerate to the context, in which the text was revealed and the real-life then and the time and space where you are interpreting this text. He should have be constructivist in his approach.  He or she should understand that learning critical interpretation is being an active process and especially in multilingual context, the learners bring with them their own experiences and cultural factors to a current situation and each individual has how ways to look at the things. </w:t>
      </w:r>
    </w:p>
    <w:p w14:paraId="57D2B25E"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 teacher should also be well-equipped with different approaches, and he should know his role as his understanding and knowledge may be wider than the students. So, he should share that understanding or knowledge with his students when they are involved in constructing knowledge. </w:t>
      </w:r>
    </w:p>
    <w:p w14:paraId="491198CA"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Then there can be much said about what should be happening within the class. three things are important to consider that teacher and students should understand their role. The teacher should be passionate, and he should engage, enthuse and motivate students. It is all about the way teacher delivers. His teaching method or facilitation can make a real difference. A teacher should involve students and build their self-esteem and give them appropriate feedback. </w:t>
      </w:r>
    </w:p>
    <w:p w14:paraId="431F52A7"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Especially as critical thinking is about being challenging to yourself, to your peers. So, when he or she is challenging or being challenged, he or she should never loose temper or embarrass his learners in front of others and especially you want to promote tolerance and openness, it’s a must thing to do. Students should feel good even if they are asking silly questions, as there is no silly questions. </w:t>
      </w:r>
    </w:p>
    <w:p w14:paraId="23B29F45"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He should be flexible and open to students’ suggestions and build his teaching around learners’ choice and personalization.</w:t>
      </w:r>
    </w:p>
    <w:p w14:paraId="1694E24D"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Teacher should be utilising informative and interesting resources as there is much on the internet, so he can use variety of resources to support and guide students. More can be said but hope that is sufficient hahaha</w:t>
      </w:r>
    </w:p>
    <w:p w14:paraId="68BA5B58"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Researcher: Thank you it makes a sense as we are moving to the final questions, what skills knowledge a teacher should have in order to teach effectively. </w:t>
      </w:r>
    </w:p>
    <w:p w14:paraId="504F21B9"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T1: when it comes to knowledge, teachers have suggested that an interpreter of Quran should have at least knowledge of twenty three or more subjects</w:t>
      </w:r>
    </w:p>
    <w:p w14:paraId="06CD9F7C"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Researcher: twenty-three?</w:t>
      </w:r>
    </w:p>
    <w:p w14:paraId="196C1365"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T1: yes twenty three or even more. You must know Quran is a sea or a universe in itself but at least the teacher should have strong linguistic knowledge, that is essential, you cannot do without it. Besides language, he should have good understanding of culture, politics, and sciences. He should have understanding of history of islam world and especially the life of the prophet and comapnions and their struggle to establish the state of Madina. Vast knowledge of hadith literature from first to fourth degree of hadith. </w:t>
      </w:r>
    </w:p>
    <w:p w14:paraId="6230B7C5"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Researcher: sciences? </w:t>
      </w:r>
    </w:p>
    <w:p w14:paraId="0206F59C"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T1: yes science as there are some verses in the Holy Quran , which discuss scientific phenomenon especially embryology astronomy and some natural phenomenon about weathers etc so he should be good at scientific knowledge and its important as with the west some people think that both science and religion cannot be in the same boat, but in my opinion they have not encountered qur’anic text if they read the text of Quran it inspires its reads to ponder over different signs etc</w:t>
      </w:r>
    </w:p>
    <w:p w14:paraId="60090A82"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Researcher: what about the skills?</w:t>
      </w:r>
    </w:p>
    <w:p w14:paraId="55E4F6D8"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T1: some of the skills a teacher should have to teach critical interpretation effectively, are questioning, listening, prioritising, use of technology and facilitating discussion. May be few more conflict resolution and this is important when students have different views and ideas and become more assertive.  </w:t>
      </w:r>
    </w:p>
    <w:p w14:paraId="4BDE903D"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Researcher: Could you explain the support you think the teachers should have in place to improve their practice?</w:t>
      </w:r>
    </w:p>
    <w:p w14:paraId="345050D9"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T1: the faith-based institutions need to understand that teaching has changed, it is not traditional anymore as it has been 20 or thirty years back or still going in some of the institutions. In traditional teaching, the teachers were relying on lecturing. Now when the teaching has turn into facilitation, so teachers need help and support not only with learning new skills and developing their knowledge but also with resources as well. </w:t>
      </w:r>
    </w:p>
    <w:p w14:paraId="083A62C3"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If the teacher does not have access to internet or printer , he or she will not be able to create engaging classroom resources and if they struggle with finance sometimes they will not be able to invite people and use them as a resource person within the class. </w:t>
      </w:r>
    </w:p>
    <w:p w14:paraId="42EB82B8"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They should have good collection of books and especially within Tafsir they should have classical as well as some modern tafasir work. They should have journals, magazines and newspaper.</w:t>
      </w:r>
    </w:p>
    <w:p w14:paraId="6002A94E"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There is a long way to go, some institutions are spending or investing into education but others are not and this make a huge difference. </w:t>
      </w:r>
    </w:p>
    <w:p w14:paraId="6125F4B8"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Researcher: anything you would like to say, which you think we have not covered but you think is essential to teaching critical interpretation of Quran </w:t>
      </w:r>
    </w:p>
    <w:p w14:paraId="082A1974"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T1: I think we have covered a lot pretty well. </w:t>
      </w:r>
    </w:p>
    <w:p w14:paraId="521F2C1D"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Researcher: anything you want to say again, if you think you have not been clear with anything</w:t>
      </w:r>
    </w:p>
    <w:p w14:paraId="10EC3E7D"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T1: No I think I have been pretty clear ..</w:t>
      </w:r>
    </w:p>
    <w:p w14:paraId="5225EEBE"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Researcher yes you have been. </w:t>
      </w:r>
    </w:p>
    <w:p w14:paraId="1444C4BF" w14:textId="77777777" w:rsidR="00E202E4" w:rsidRPr="00C377C8" w:rsidRDefault="00E202E4" w:rsidP="00461178">
      <w:pPr>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Researcher Thank you for your time and information you have shared with us </w:t>
      </w:r>
    </w:p>
    <w:p w14:paraId="2D3C7F12" w14:textId="77777777" w:rsidR="00E202E4" w:rsidRPr="00C377C8" w:rsidRDefault="00E202E4" w:rsidP="00461178">
      <w:pPr>
        <w:widowControl w:val="0"/>
        <w:autoSpaceDE w:val="0"/>
        <w:autoSpaceDN w:val="0"/>
        <w:adjustRightInd w:val="0"/>
        <w:spacing w:line="360" w:lineRule="auto"/>
        <w:ind w:left="2268"/>
        <w:jc w:val="both"/>
        <w:rPr>
          <w:rFonts w:ascii="Times New Roman" w:hAnsi="Times New Roman" w:cs="Times New Roman"/>
          <w:color w:val="000000" w:themeColor="text1"/>
          <w:sz w:val="24"/>
          <w:szCs w:val="24"/>
        </w:rPr>
      </w:pPr>
      <w:r w:rsidRPr="00C377C8">
        <w:rPr>
          <w:rFonts w:ascii="Times New Roman" w:hAnsi="Times New Roman" w:cs="Times New Roman"/>
          <w:color w:val="000000" w:themeColor="text1"/>
          <w:sz w:val="24"/>
          <w:szCs w:val="24"/>
        </w:rPr>
        <w:t xml:space="preserve">T1: My pleasure </w:t>
      </w:r>
    </w:p>
    <w:p w14:paraId="04E3AB69" w14:textId="77777777" w:rsidR="00E202E4" w:rsidRPr="00C377C8" w:rsidRDefault="00E202E4" w:rsidP="00461178">
      <w:pPr>
        <w:pStyle w:val="Heading2"/>
        <w:numPr>
          <w:ilvl w:val="0"/>
          <w:numId w:val="0"/>
        </w:numPr>
        <w:spacing w:line="360" w:lineRule="auto"/>
        <w:ind w:left="2286" w:hanging="126"/>
      </w:pPr>
      <w:bookmarkStart w:id="275" w:name="_Toc76374580"/>
      <w:bookmarkStart w:id="276" w:name="_Toc83667047"/>
      <w:bookmarkStart w:id="277" w:name="_Toc96609159"/>
      <w:r w:rsidRPr="00C377C8">
        <w:t>Appendix 7: Notes from classroom observation</w:t>
      </w:r>
      <w:bookmarkEnd w:id="275"/>
      <w:bookmarkEnd w:id="276"/>
      <w:bookmarkEnd w:id="277"/>
    </w:p>
    <w:p w14:paraId="2D3394C4" w14:textId="77777777" w:rsidR="00E202E4" w:rsidRPr="00C377C8" w:rsidRDefault="00E202E4" w:rsidP="00461178">
      <w:pPr>
        <w:spacing w:line="360" w:lineRule="auto"/>
        <w:ind w:left="2268"/>
        <w:jc w:val="both"/>
        <w:rPr>
          <w:color w:val="000000" w:themeColor="text1"/>
        </w:rPr>
      </w:pPr>
      <w:r w:rsidRPr="00C377C8">
        <w:rPr>
          <w:color w:val="000000" w:themeColor="text1"/>
        </w:rPr>
        <w:t>Male Teacher 2</w:t>
      </w:r>
    </w:p>
    <w:p w14:paraId="2EDEF0D5" w14:textId="77777777" w:rsidR="00E202E4" w:rsidRPr="00C377C8" w:rsidRDefault="00E202E4" w:rsidP="00461178">
      <w:pPr>
        <w:spacing w:line="360" w:lineRule="auto"/>
        <w:ind w:left="2268"/>
        <w:jc w:val="both"/>
        <w:rPr>
          <w:color w:val="000000" w:themeColor="text1"/>
        </w:rPr>
      </w:pPr>
      <w:r w:rsidRPr="00C377C8">
        <w:rPr>
          <w:color w:val="000000" w:themeColor="text1"/>
        </w:rPr>
        <w:t xml:space="preserve">Teacher did his formal Dars e Nizami from Pakistan and LLM from UK. He was wearing Arabic dress with hat. </w:t>
      </w:r>
    </w:p>
    <w:p w14:paraId="39C9D5C0" w14:textId="77777777" w:rsidR="00E202E4" w:rsidRPr="00C377C8" w:rsidRDefault="00E202E4" w:rsidP="00461178">
      <w:pPr>
        <w:spacing w:line="360" w:lineRule="auto"/>
        <w:ind w:left="2268"/>
        <w:jc w:val="both"/>
        <w:rPr>
          <w:color w:val="000000" w:themeColor="text1"/>
        </w:rPr>
      </w:pPr>
      <w:r w:rsidRPr="00C377C8">
        <w:rPr>
          <w:color w:val="000000" w:themeColor="text1"/>
        </w:rPr>
        <w:t xml:space="preserve">Students were also mixed. Both males and females with dividers between them. The majority of students were wearing the same sort of dress. Female with headscarf and face covering. The teacher entered the classroom and greeted students in a traditional Islamic way. Assalam-o-Alaikum. Students’ response was wa Alaikum salam. </w:t>
      </w:r>
    </w:p>
    <w:p w14:paraId="0F19ED56" w14:textId="77777777" w:rsidR="00E202E4" w:rsidRPr="00C377C8" w:rsidRDefault="00E202E4" w:rsidP="00461178">
      <w:pPr>
        <w:spacing w:line="360" w:lineRule="auto"/>
        <w:ind w:left="2268"/>
        <w:jc w:val="both"/>
        <w:rPr>
          <w:color w:val="000000" w:themeColor="text1"/>
        </w:rPr>
      </w:pPr>
      <w:r w:rsidRPr="00C377C8">
        <w:rPr>
          <w:color w:val="000000" w:themeColor="text1"/>
        </w:rPr>
        <w:t xml:space="preserve">The teacher informed the class why I am there. They waved hands to me and smiled. He told students that I will be taking some notes about teaching and learning. </w:t>
      </w:r>
    </w:p>
    <w:p w14:paraId="70B2B3C3" w14:textId="77777777" w:rsidR="00E202E4" w:rsidRPr="00C377C8" w:rsidRDefault="00E202E4" w:rsidP="00461178">
      <w:pPr>
        <w:spacing w:line="360" w:lineRule="auto"/>
        <w:ind w:left="2268"/>
        <w:jc w:val="both"/>
        <w:rPr>
          <w:color w:val="000000" w:themeColor="text1"/>
        </w:rPr>
      </w:pPr>
      <w:r w:rsidRPr="00C377C8">
        <w:rPr>
          <w:color w:val="000000" w:themeColor="text1"/>
        </w:rPr>
        <w:t xml:space="preserve">The teacher shared slides and explained that they will study 4:34. The verse was displayed on the wall through a projector. The teacher asked some questions about their last lesson, which was about inheritance. </w:t>
      </w:r>
    </w:p>
    <w:p w14:paraId="12A73089" w14:textId="77777777" w:rsidR="00E202E4" w:rsidRPr="00C377C8" w:rsidRDefault="00E202E4" w:rsidP="00461178">
      <w:pPr>
        <w:spacing w:line="360" w:lineRule="auto"/>
        <w:ind w:left="2268"/>
        <w:jc w:val="both"/>
        <w:rPr>
          <w:color w:val="000000" w:themeColor="text1"/>
        </w:rPr>
      </w:pPr>
      <w:r w:rsidRPr="00C377C8">
        <w:rPr>
          <w:color w:val="000000" w:themeColor="text1"/>
        </w:rPr>
        <w:t>The teacher told students to translate the verse into English, identifying different words and phrases. Students were engaged in writing. At the end of the activity, teacher asked students to share their translations with the class. He also asked questions about different words and phrases such as verbs, nouns and different types.</w:t>
      </w:r>
    </w:p>
    <w:p w14:paraId="32FDB271" w14:textId="77777777" w:rsidR="00E202E4" w:rsidRPr="00C377C8" w:rsidRDefault="00E202E4" w:rsidP="00461178">
      <w:pPr>
        <w:spacing w:line="360" w:lineRule="auto"/>
        <w:ind w:left="2268"/>
        <w:jc w:val="both"/>
        <w:rPr>
          <w:color w:val="000000" w:themeColor="text1"/>
        </w:rPr>
      </w:pPr>
      <w:r w:rsidRPr="00C377C8">
        <w:rPr>
          <w:color w:val="000000" w:themeColor="text1"/>
        </w:rPr>
        <w:t xml:space="preserve">Then, a teacher shared another slide with four different interpretations of the Quran, divided them into groups, and asked them to discuss the similarities and differences. The teacher moved to the girls' section and was listening to them. There was a lot of noise in the class. Male students were laughing. </w:t>
      </w:r>
    </w:p>
    <w:p w14:paraId="49B35525" w14:textId="77777777" w:rsidR="00E202E4" w:rsidRPr="00C377C8" w:rsidRDefault="00E202E4" w:rsidP="00461178">
      <w:pPr>
        <w:spacing w:line="360" w:lineRule="auto"/>
        <w:ind w:left="2268"/>
        <w:jc w:val="both"/>
        <w:rPr>
          <w:color w:val="000000" w:themeColor="text1"/>
        </w:rPr>
      </w:pPr>
      <w:r w:rsidRPr="00C377C8">
        <w:rPr>
          <w:color w:val="000000" w:themeColor="text1"/>
        </w:rPr>
        <w:t xml:space="preserve">Teachers kept on encouraging them to write down similarities and differences. Finally, the teacher went to the front of the class and asked students to share what they found. Students have identified the difference. </w:t>
      </w:r>
    </w:p>
    <w:p w14:paraId="7FD639D7" w14:textId="77777777" w:rsidR="00E202E4" w:rsidRPr="00C377C8" w:rsidRDefault="00E202E4" w:rsidP="00461178">
      <w:pPr>
        <w:spacing w:line="360" w:lineRule="auto"/>
        <w:ind w:left="2268"/>
        <w:jc w:val="both"/>
        <w:rPr>
          <w:color w:val="000000" w:themeColor="text1"/>
        </w:rPr>
      </w:pPr>
      <w:r w:rsidRPr="00C377C8">
        <w:rPr>
          <w:color w:val="000000" w:themeColor="text1"/>
        </w:rPr>
        <w:t>Some of the interpreters translated the word "Fadribuhunna" as hit them when the author two authors translated as "strike a temporary separation". There was a lot of argument between male and female students who were not able to see each other due to dividers. It seemed as if they were two groups arguing for their rights.</w:t>
      </w:r>
    </w:p>
    <w:p w14:paraId="5875DF4C" w14:textId="77777777" w:rsidR="00E202E4" w:rsidRPr="00C377C8" w:rsidRDefault="00E202E4" w:rsidP="00461178">
      <w:pPr>
        <w:spacing w:line="360" w:lineRule="auto"/>
        <w:ind w:left="2268"/>
        <w:jc w:val="both"/>
        <w:rPr>
          <w:color w:val="000000" w:themeColor="text1"/>
        </w:rPr>
      </w:pPr>
      <w:r w:rsidRPr="00C377C8">
        <w:rPr>
          <w:color w:val="000000" w:themeColor="text1"/>
        </w:rPr>
        <w:t xml:space="preserve">The teacher then started giving his comments and pointed out that two of the scholars are from south Asia, while the other two are western, and one of them is female. He kept on explaining how social and cultural values impact authors' choices of interpretation. The teacher did well in engaging students in comparing interpretations. Throughout the class, students had a lot of opportunities to participate in classroom activities. The teacher asked students to choose one of the interpretations and explain why you have done so. Some students were silent, but many chose the interpretation to strike a temporary separation and gave the reason that it is against the law to hit a woman in the UK.  The teachers also explained how the law and societies can impact authors' choices. </w:t>
      </w:r>
    </w:p>
    <w:p w14:paraId="3D04398E" w14:textId="77777777" w:rsidR="00E202E4" w:rsidRPr="00C377C8" w:rsidRDefault="00E202E4" w:rsidP="00461178">
      <w:pPr>
        <w:spacing w:line="360" w:lineRule="auto"/>
        <w:ind w:left="2268"/>
        <w:jc w:val="both"/>
        <w:rPr>
          <w:color w:val="000000" w:themeColor="text1"/>
        </w:rPr>
      </w:pPr>
      <w:r w:rsidRPr="00C377C8">
        <w:rPr>
          <w:color w:val="000000" w:themeColor="text1"/>
        </w:rPr>
        <w:t>Then the teacher shared a document about domestic violence and abuse to study. Some of the students were reading, and the others were just sitting. At the end the teacher asked students to identify if abuse happens to anyone, what option they have and what support they can provide to the victim. It was an excellent exercise to link the text with local culture and context and prepare students for future roles.</w:t>
      </w:r>
      <w:bookmarkStart w:id="278" w:name="_Toc76374581"/>
    </w:p>
    <w:p w14:paraId="6620D958" w14:textId="77777777" w:rsidR="00E202E4" w:rsidRPr="00C377C8" w:rsidRDefault="00E202E4" w:rsidP="00461178">
      <w:pPr>
        <w:pStyle w:val="Heading2"/>
        <w:numPr>
          <w:ilvl w:val="0"/>
          <w:numId w:val="0"/>
        </w:numPr>
        <w:spacing w:line="360" w:lineRule="auto"/>
        <w:ind w:left="2286" w:hanging="126"/>
      </w:pPr>
      <w:bookmarkStart w:id="279" w:name="_Toc83667048"/>
      <w:bookmarkStart w:id="280" w:name="_Toc96609160"/>
      <w:r w:rsidRPr="00C377C8">
        <w:t>Appendix 8: Classroom presentation</w:t>
      </w:r>
      <w:bookmarkEnd w:id="278"/>
      <w:bookmarkEnd w:id="279"/>
      <w:bookmarkEnd w:id="280"/>
    </w:p>
    <w:p w14:paraId="153F003B" w14:textId="77777777" w:rsidR="00E202E4" w:rsidRPr="00C377C8" w:rsidRDefault="00E202E4" w:rsidP="00461178">
      <w:pPr>
        <w:spacing w:line="360" w:lineRule="auto"/>
        <w:ind w:left="2268"/>
        <w:rPr>
          <w:rFonts w:eastAsia="Times New Roman"/>
          <w:color w:val="000000" w:themeColor="text1"/>
          <w:lang w:val="en-US"/>
        </w:rPr>
      </w:pPr>
    </w:p>
    <w:p w14:paraId="2CF88331" w14:textId="77777777" w:rsidR="00E202E4" w:rsidRPr="00C377C8" w:rsidRDefault="00E202E4" w:rsidP="00461178">
      <w:pPr>
        <w:spacing w:line="360" w:lineRule="auto"/>
        <w:ind w:left="2268"/>
        <w:rPr>
          <w:b/>
          <w:color w:val="000000" w:themeColor="text1"/>
        </w:rPr>
      </w:pPr>
      <w:r w:rsidRPr="00C377C8">
        <w:rPr>
          <w:b/>
          <w:noProof/>
          <w:color w:val="000000" w:themeColor="text1"/>
          <w:lang w:val="en-US"/>
        </w:rPr>
        <w:drawing>
          <wp:inline distT="0" distB="0" distL="0" distR="0" wp14:anchorId="79E4B543" wp14:editId="560ACEFD">
            <wp:extent cx="3915051" cy="32219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27557" cy="3232282"/>
                    </a:xfrm>
                    <a:prstGeom prst="rect">
                      <a:avLst/>
                    </a:prstGeom>
                  </pic:spPr>
                </pic:pic>
              </a:graphicData>
            </a:graphic>
          </wp:inline>
        </w:drawing>
      </w:r>
      <w:r w:rsidRPr="00C377C8">
        <w:rPr>
          <w:noProof/>
          <w:color w:val="000000" w:themeColor="text1"/>
          <w:lang w:val="en-US"/>
        </w:rPr>
        <w:t xml:space="preserve"> </w:t>
      </w:r>
      <w:r w:rsidRPr="00C377C8">
        <w:rPr>
          <w:b/>
          <w:noProof/>
          <w:color w:val="000000" w:themeColor="text1"/>
          <w:lang w:val="en-US"/>
        </w:rPr>
        <w:drawing>
          <wp:inline distT="0" distB="0" distL="0" distR="0" wp14:anchorId="77B39F4A" wp14:editId="40F2E2DA">
            <wp:extent cx="3800751" cy="3221990"/>
            <wp:effectExtent l="0" t="0" r="952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05102" cy="3225679"/>
                    </a:xfrm>
                    <a:prstGeom prst="rect">
                      <a:avLst/>
                    </a:prstGeom>
                  </pic:spPr>
                </pic:pic>
              </a:graphicData>
            </a:graphic>
          </wp:inline>
        </w:drawing>
      </w:r>
      <w:r w:rsidRPr="00C377C8">
        <w:rPr>
          <w:noProof/>
          <w:color w:val="000000" w:themeColor="text1"/>
          <w:lang w:val="en-US"/>
        </w:rPr>
        <w:t xml:space="preserve"> </w:t>
      </w:r>
      <w:r w:rsidRPr="00C377C8">
        <w:rPr>
          <w:b/>
          <w:noProof/>
          <w:color w:val="000000" w:themeColor="text1"/>
          <w:lang w:val="en-US"/>
        </w:rPr>
        <w:drawing>
          <wp:inline distT="0" distB="0" distL="0" distR="0" wp14:anchorId="40F5A088" wp14:editId="2A1C6B5B">
            <wp:extent cx="4143651" cy="32219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55537" cy="3231232"/>
                    </a:xfrm>
                    <a:prstGeom prst="rect">
                      <a:avLst/>
                    </a:prstGeom>
                  </pic:spPr>
                </pic:pic>
              </a:graphicData>
            </a:graphic>
          </wp:inline>
        </w:drawing>
      </w:r>
      <w:r w:rsidRPr="00C377C8">
        <w:rPr>
          <w:noProof/>
          <w:color w:val="000000" w:themeColor="text1"/>
          <w:lang w:val="en-US"/>
        </w:rPr>
        <w:t xml:space="preserve"> </w:t>
      </w:r>
      <w:r w:rsidRPr="00C377C8">
        <w:rPr>
          <w:b/>
          <w:noProof/>
          <w:color w:val="000000" w:themeColor="text1"/>
          <w:lang w:val="en-US"/>
        </w:rPr>
        <w:drawing>
          <wp:inline distT="0" distB="0" distL="0" distR="0" wp14:anchorId="1F4F55C1" wp14:editId="4199A2D5">
            <wp:extent cx="4143651" cy="32219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53618" cy="3229740"/>
                    </a:xfrm>
                    <a:prstGeom prst="rect">
                      <a:avLst/>
                    </a:prstGeom>
                  </pic:spPr>
                </pic:pic>
              </a:graphicData>
            </a:graphic>
          </wp:inline>
        </w:drawing>
      </w:r>
      <w:r w:rsidRPr="00C377C8">
        <w:rPr>
          <w:noProof/>
          <w:color w:val="000000" w:themeColor="text1"/>
          <w:lang w:val="en-US"/>
        </w:rPr>
        <w:t xml:space="preserve"> </w:t>
      </w:r>
      <w:r w:rsidRPr="00C377C8">
        <w:rPr>
          <w:b/>
          <w:noProof/>
          <w:color w:val="000000" w:themeColor="text1"/>
          <w:lang w:val="en-US"/>
        </w:rPr>
        <w:drawing>
          <wp:inline distT="0" distB="0" distL="0" distR="0" wp14:anchorId="3E08976D" wp14:editId="6AA60677">
            <wp:extent cx="3343551" cy="3221990"/>
            <wp:effectExtent l="0" t="0" r="952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47330" cy="3225632"/>
                    </a:xfrm>
                    <a:prstGeom prst="rect">
                      <a:avLst/>
                    </a:prstGeom>
                  </pic:spPr>
                </pic:pic>
              </a:graphicData>
            </a:graphic>
          </wp:inline>
        </w:drawing>
      </w:r>
    </w:p>
    <w:p w14:paraId="143262AA" w14:textId="77777777" w:rsidR="00011AFA" w:rsidRPr="00C377C8" w:rsidRDefault="00011AFA" w:rsidP="00461178">
      <w:pPr>
        <w:pStyle w:val="Heading1"/>
        <w:numPr>
          <w:ilvl w:val="0"/>
          <w:numId w:val="0"/>
        </w:numPr>
        <w:ind w:left="2275" w:right="0"/>
        <w:rPr>
          <w:rStyle w:val="selectable"/>
          <w:szCs w:val="32"/>
        </w:rPr>
      </w:pPr>
    </w:p>
    <w:p w14:paraId="6BFFDC36" w14:textId="77777777" w:rsidR="00011AFA" w:rsidRPr="00C377C8" w:rsidRDefault="00011AFA" w:rsidP="00461178">
      <w:pPr>
        <w:rPr>
          <w:color w:val="000000" w:themeColor="text1"/>
        </w:rPr>
      </w:pPr>
    </w:p>
    <w:p w14:paraId="51AFF642" w14:textId="77777777" w:rsidR="00011AFA" w:rsidRPr="00C377C8" w:rsidRDefault="00011AFA" w:rsidP="00461178">
      <w:pPr>
        <w:spacing w:line="360" w:lineRule="auto"/>
        <w:ind w:left="2268"/>
        <w:jc w:val="both"/>
        <w:rPr>
          <w:rFonts w:ascii="Times New Roman" w:hAnsi="Times New Roman" w:cs="Times New Roman"/>
          <w:color w:val="000000" w:themeColor="text1"/>
          <w:sz w:val="24"/>
          <w:szCs w:val="24"/>
        </w:rPr>
      </w:pPr>
    </w:p>
    <w:p w14:paraId="66871884" w14:textId="77777777" w:rsidR="001069D0" w:rsidRPr="00C377C8" w:rsidRDefault="001069D0" w:rsidP="00461178">
      <w:pPr>
        <w:tabs>
          <w:tab w:val="left" w:pos="4123"/>
        </w:tabs>
        <w:rPr>
          <w:rFonts w:ascii="Times New Roman" w:hAnsi="Times New Roman" w:cs="Times New Roman"/>
          <w:color w:val="000000" w:themeColor="text1"/>
          <w:sz w:val="24"/>
          <w:szCs w:val="24"/>
        </w:rPr>
      </w:pPr>
    </w:p>
    <w:sectPr w:rsidR="001069D0" w:rsidRPr="00C377C8" w:rsidSect="00C75FDD">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FC4D5" w14:textId="77777777" w:rsidR="008A1449" w:rsidRDefault="008A1449" w:rsidP="00116D66">
      <w:pPr>
        <w:spacing w:after="0" w:line="240" w:lineRule="auto"/>
      </w:pPr>
      <w:r>
        <w:separator/>
      </w:r>
    </w:p>
  </w:endnote>
  <w:endnote w:type="continuationSeparator" w:id="0">
    <w:p w14:paraId="02970F8C" w14:textId="77777777" w:rsidR="008A1449" w:rsidRDefault="008A1449" w:rsidP="00116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B8D8" w14:textId="77777777" w:rsidR="000C407D" w:rsidRDefault="000C407D" w:rsidP="00C75FD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F93A251" w14:textId="77777777" w:rsidR="000C407D" w:rsidRDefault="000C40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15D9A" w14:textId="209AEB6F" w:rsidR="000C407D" w:rsidRDefault="00D93781" w:rsidP="00C75FDD">
    <w:pPr>
      <w:pStyle w:val="Footer"/>
      <w:framePr w:wrap="none" w:vAnchor="text" w:hAnchor="margin" w:xAlign="center" w:y="1"/>
      <w:rPr>
        <w:rStyle w:val="PageNumber"/>
      </w:rPr>
    </w:pPr>
    <w:r>
      <w:rPr>
        <w:noProof/>
      </w:rPr>
      <mc:AlternateContent>
        <mc:Choice Requires="wps">
          <w:drawing>
            <wp:anchor distT="0" distB="0" distL="114300" distR="114300" simplePos="0" relativeHeight="251659264" behindDoc="0" locked="0" layoutInCell="0" allowOverlap="1" wp14:anchorId="7246B6F8" wp14:editId="25A565BB">
              <wp:simplePos x="0" y="0"/>
              <wp:positionH relativeFrom="page">
                <wp:posOffset>0</wp:posOffset>
              </wp:positionH>
              <wp:positionV relativeFrom="page">
                <wp:posOffset>10234930</wp:posOffset>
              </wp:positionV>
              <wp:extent cx="7560310" cy="266700"/>
              <wp:effectExtent l="0" t="0" r="0" b="0"/>
              <wp:wrapNone/>
              <wp:docPr id="5" name="MSIPCM876842c98faae1e160335d07" descr="{&quot;HashCode&quot;:-1329982996,&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6B34A7" w14:textId="4C1C4297" w:rsidR="00D93781" w:rsidRPr="00352AA2" w:rsidRDefault="00352AA2" w:rsidP="00352AA2">
                          <w:pPr>
                            <w:spacing w:after="0"/>
                            <w:rPr>
                              <w:rFonts w:ascii="Calibri" w:hAnsi="Calibri" w:cs="Calibri"/>
                              <w:color w:val="000000"/>
                              <w:sz w:val="24"/>
                            </w:rPr>
                          </w:pPr>
                          <w:r w:rsidRPr="00352AA2">
                            <w:rPr>
                              <w:rFonts w:ascii="Calibri" w:hAnsi="Calibri" w:cs="Calibri"/>
                              <w:color w:val="000000"/>
                              <w:sz w:val="24"/>
                            </w:rPr>
                            <w:t>Sensitivity: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246B6F8" id="_x0000_t202" coordsize="21600,21600" o:spt="202" path="m,l,21600r21600,l21600,xe">
              <v:stroke joinstyle="miter"/>
              <v:path gradientshapeok="t" o:connecttype="rect"/>
            </v:shapetype>
            <v:shape id="MSIPCM876842c98faae1e160335d07" o:spid="_x0000_s1026" type="#_x0000_t202" alt="{&quot;HashCode&quot;:-1329982996,&quot;Height&quot;:841.0,&quot;Width&quot;:595.0,&quot;Placement&quot;:&quot;Footer&quot;,&quot;Index&quot;:&quot;Primary&quot;,&quot;Section&quot;:1,&quot;Top&quot;:0.0,&quot;Left&quot;:0.0}" style="position:absolute;margin-left:0;margin-top:805.9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5GA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" o:allowincell="f" filled="f" stroked="f" strokeweight=".5pt">
              <v:textbox inset="20pt,0,,0">
                <w:txbxContent>
                  <w:p w14:paraId="456B34A7" w14:textId="4C1C4297" w:rsidR="00D93781" w:rsidRPr="00352AA2" w:rsidRDefault="00352AA2" w:rsidP="00352AA2">
                    <w:pPr>
                      <w:spacing w:after="0"/>
                      <w:rPr>
                        <w:rFonts w:ascii="Calibri" w:hAnsi="Calibri" w:cs="Calibri"/>
                        <w:color w:val="000000"/>
                        <w:sz w:val="24"/>
                      </w:rPr>
                    </w:pPr>
                    <w:r w:rsidRPr="00352AA2">
                      <w:rPr>
                        <w:rFonts w:ascii="Calibri" w:hAnsi="Calibri" w:cs="Calibri"/>
                        <w:color w:val="000000"/>
                        <w:sz w:val="24"/>
                      </w:rPr>
                      <w:t>Sensitivity: Confidential</w:t>
                    </w:r>
                  </w:p>
                </w:txbxContent>
              </v:textbox>
              <w10:wrap anchorx="page" anchory="page"/>
            </v:shape>
          </w:pict>
        </mc:Fallback>
      </mc:AlternateContent>
    </w:r>
    <w:r w:rsidR="000C407D">
      <w:rPr>
        <w:rStyle w:val="PageNumber"/>
      </w:rPr>
      <w:fldChar w:fldCharType="begin"/>
    </w:r>
    <w:r w:rsidR="000C407D">
      <w:rPr>
        <w:rStyle w:val="PageNumber"/>
      </w:rPr>
      <w:instrText xml:space="preserve">PAGE  </w:instrText>
    </w:r>
    <w:r w:rsidR="000C407D">
      <w:rPr>
        <w:rStyle w:val="PageNumber"/>
      </w:rPr>
      <w:fldChar w:fldCharType="separate"/>
    </w:r>
    <w:r w:rsidR="00997CF9">
      <w:rPr>
        <w:rStyle w:val="PageNumber"/>
        <w:noProof/>
      </w:rPr>
      <w:t>viii</w:t>
    </w:r>
    <w:r w:rsidR="000C407D">
      <w:rPr>
        <w:rStyle w:val="PageNumber"/>
      </w:rPr>
      <w:fldChar w:fldCharType="end"/>
    </w:r>
  </w:p>
  <w:p w14:paraId="1FF0D5A8" w14:textId="77777777" w:rsidR="000C407D" w:rsidRDefault="000C40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B9C61" w14:textId="77777777" w:rsidR="00FC58A4" w:rsidRDefault="00FC58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A665B" w14:textId="77777777" w:rsidR="008A1449" w:rsidRDefault="008A1449" w:rsidP="00116D66">
      <w:pPr>
        <w:spacing w:after="0" w:line="240" w:lineRule="auto"/>
      </w:pPr>
      <w:r>
        <w:separator/>
      </w:r>
    </w:p>
  </w:footnote>
  <w:footnote w:type="continuationSeparator" w:id="0">
    <w:p w14:paraId="446F9E39" w14:textId="77777777" w:rsidR="008A1449" w:rsidRDefault="008A1449" w:rsidP="00116D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A5E34" w14:textId="77777777" w:rsidR="00FC58A4" w:rsidRDefault="00FC58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6C266" w14:textId="77777777" w:rsidR="00FC58A4" w:rsidRDefault="00FC58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AFB8A" w14:textId="77777777" w:rsidR="00FC58A4" w:rsidRDefault="00FC58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A3A8E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175177"/>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54B4112"/>
    <w:multiLevelType w:val="multilevel"/>
    <w:tmpl w:val="148CA732"/>
    <w:lvl w:ilvl="0">
      <w:start w:val="3"/>
      <w:numFmt w:val="decimal"/>
      <w:lvlText w:val="%1"/>
      <w:lvlJc w:val="left"/>
      <w:pPr>
        <w:ind w:left="500" w:hanging="500"/>
      </w:pPr>
      <w:rPr>
        <w:rFonts w:hint="default"/>
      </w:rPr>
    </w:lvl>
    <w:lvl w:ilvl="1">
      <w:start w:val="11"/>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5F404C7"/>
    <w:multiLevelType w:val="hybridMultilevel"/>
    <w:tmpl w:val="D5280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215031"/>
    <w:multiLevelType w:val="hybridMultilevel"/>
    <w:tmpl w:val="5742D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4E0DE8"/>
    <w:multiLevelType w:val="hybridMultilevel"/>
    <w:tmpl w:val="723CC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8B68A5"/>
    <w:multiLevelType w:val="multilevel"/>
    <w:tmpl w:val="D1BA5098"/>
    <w:lvl w:ilvl="0">
      <w:start w:val="6"/>
      <w:numFmt w:val="decimal"/>
      <w:lvlText w:val="%1"/>
      <w:lvlJc w:val="left"/>
      <w:pPr>
        <w:ind w:left="560" w:hanging="560"/>
      </w:pPr>
      <w:rPr>
        <w:rFonts w:hint="default"/>
      </w:rPr>
    </w:lvl>
    <w:lvl w:ilvl="1">
      <w:start w:val="4"/>
      <w:numFmt w:val="decimal"/>
      <w:lvlText w:val="%1.%2"/>
      <w:lvlJc w:val="left"/>
      <w:pPr>
        <w:ind w:left="560" w:hanging="5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90F410B"/>
    <w:multiLevelType w:val="multilevel"/>
    <w:tmpl w:val="C9DEFB0A"/>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0A7272EB"/>
    <w:multiLevelType w:val="hybridMultilevel"/>
    <w:tmpl w:val="F40E5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A33E65"/>
    <w:multiLevelType w:val="multilevel"/>
    <w:tmpl w:val="EC6C70FC"/>
    <w:lvl w:ilvl="0">
      <w:start w:val="4"/>
      <w:numFmt w:val="decimal"/>
      <w:lvlText w:val="%1"/>
      <w:lvlJc w:val="left"/>
      <w:pPr>
        <w:ind w:left="560" w:hanging="560"/>
      </w:pPr>
      <w:rPr>
        <w:rFonts w:hint="default"/>
      </w:rPr>
    </w:lvl>
    <w:lvl w:ilvl="1">
      <w:start w:val="3"/>
      <w:numFmt w:val="decimal"/>
      <w:lvlText w:val="%1.%2"/>
      <w:lvlJc w:val="left"/>
      <w:pPr>
        <w:ind w:left="560" w:hanging="5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0D7A383B"/>
    <w:multiLevelType w:val="hybridMultilevel"/>
    <w:tmpl w:val="ED5A1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7C3EC9"/>
    <w:multiLevelType w:val="multilevel"/>
    <w:tmpl w:val="AAF2829A"/>
    <w:lvl w:ilvl="0">
      <w:start w:val="2"/>
      <w:numFmt w:val="decimal"/>
      <w:lvlText w:val="%1"/>
      <w:lvlJc w:val="left"/>
      <w:pPr>
        <w:ind w:left="560" w:hanging="560"/>
      </w:pPr>
      <w:rPr>
        <w:rFonts w:hint="default"/>
      </w:rPr>
    </w:lvl>
    <w:lvl w:ilvl="1">
      <w:start w:val="6"/>
      <w:numFmt w:val="decimal"/>
      <w:lvlText w:val="%1.%2"/>
      <w:lvlJc w:val="left"/>
      <w:pPr>
        <w:ind w:left="560" w:hanging="5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5CF4CD4"/>
    <w:multiLevelType w:val="multilevel"/>
    <w:tmpl w:val="04BC1A2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7640B7F"/>
    <w:multiLevelType w:val="multilevel"/>
    <w:tmpl w:val="803AA00E"/>
    <w:lvl w:ilvl="0">
      <w:start w:val="4"/>
      <w:numFmt w:val="decimal"/>
      <w:lvlText w:val="%1"/>
      <w:lvlJc w:val="left"/>
      <w:pPr>
        <w:ind w:left="560" w:hanging="560"/>
      </w:pPr>
      <w:rPr>
        <w:rFonts w:hint="default"/>
      </w:rPr>
    </w:lvl>
    <w:lvl w:ilvl="1">
      <w:start w:val="5"/>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B33362A"/>
    <w:multiLevelType w:val="hybridMultilevel"/>
    <w:tmpl w:val="5DE6A3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390C60"/>
    <w:multiLevelType w:val="multilevel"/>
    <w:tmpl w:val="5428E57C"/>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31937CC"/>
    <w:multiLevelType w:val="multilevel"/>
    <w:tmpl w:val="10D6501C"/>
    <w:lvl w:ilvl="0">
      <w:start w:val="1"/>
      <w:numFmt w:val="decimal"/>
      <w:lvlText w:val="%1."/>
      <w:lvlJc w:val="left"/>
      <w:pPr>
        <w:ind w:left="2635" w:hanging="360"/>
      </w:pPr>
      <w:rPr>
        <w:rFonts w:hint="default"/>
      </w:rPr>
    </w:lvl>
    <w:lvl w:ilvl="1">
      <w:start w:val="4"/>
      <w:numFmt w:val="decimal"/>
      <w:isLgl/>
      <w:lvlText w:val="%1.%2"/>
      <w:lvlJc w:val="left"/>
      <w:pPr>
        <w:ind w:left="2835" w:hanging="560"/>
      </w:pPr>
      <w:rPr>
        <w:rFonts w:eastAsiaTheme="majorEastAsia" w:hint="default"/>
      </w:rPr>
    </w:lvl>
    <w:lvl w:ilvl="2">
      <w:start w:val="1"/>
      <w:numFmt w:val="decimal"/>
      <w:isLgl/>
      <w:lvlText w:val="%1.%2.%3"/>
      <w:lvlJc w:val="left"/>
      <w:pPr>
        <w:ind w:left="2995" w:hanging="720"/>
      </w:pPr>
      <w:rPr>
        <w:rFonts w:eastAsiaTheme="majorEastAsia" w:hint="default"/>
      </w:rPr>
    </w:lvl>
    <w:lvl w:ilvl="3">
      <w:start w:val="1"/>
      <w:numFmt w:val="decimal"/>
      <w:isLgl/>
      <w:lvlText w:val="%1.%2.%3.%4"/>
      <w:lvlJc w:val="left"/>
      <w:pPr>
        <w:ind w:left="3355" w:hanging="1080"/>
      </w:pPr>
      <w:rPr>
        <w:rFonts w:eastAsiaTheme="majorEastAsia" w:hint="default"/>
      </w:rPr>
    </w:lvl>
    <w:lvl w:ilvl="4">
      <w:start w:val="1"/>
      <w:numFmt w:val="decimal"/>
      <w:isLgl/>
      <w:lvlText w:val="%1.%2.%3.%4.%5"/>
      <w:lvlJc w:val="left"/>
      <w:pPr>
        <w:ind w:left="3355" w:hanging="1080"/>
      </w:pPr>
      <w:rPr>
        <w:rFonts w:eastAsiaTheme="majorEastAsia" w:hint="default"/>
      </w:rPr>
    </w:lvl>
    <w:lvl w:ilvl="5">
      <w:start w:val="1"/>
      <w:numFmt w:val="decimal"/>
      <w:isLgl/>
      <w:lvlText w:val="%1.%2.%3.%4.%5.%6"/>
      <w:lvlJc w:val="left"/>
      <w:pPr>
        <w:ind w:left="3715" w:hanging="1440"/>
      </w:pPr>
      <w:rPr>
        <w:rFonts w:eastAsiaTheme="majorEastAsia" w:hint="default"/>
      </w:rPr>
    </w:lvl>
    <w:lvl w:ilvl="6">
      <w:start w:val="1"/>
      <w:numFmt w:val="decimal"/>
      <w:isLgl/>
      <w:lvlText w:val="%1.%2.%3.%4.%5.%6.%7"/>
      <w:lvlJc w:val="left"/>
      <w:pPr>
        <w:ind w:left="3715" w:hanging="1440"/>
      </w:pPr>
      <w:rPr>
        <w:rFonts w:eastAsiaTheme="majorEastAsia" w:hint="default"/>
      </w:rPr>
    </w:lvl>
    <w:lvl w:ilvl="7">
      <w:start w:val="1"/>
      <w:numFmt w:val="decimal"/>
      <w:isLgl/>
      <w:lvlText w:val="%1.%2.%3.%4.%5.%6.%7.%8"/>
      <w:lvlJc w:val="left"/>
      <w:pPr>
        <w:ind w:left="4075" w:hanging="1800"/>
      </w:pPr>
      <w:rPr>
        <w:rFonts w:eastAsiaTheme="majorEastAsia" w:hint="default"/>
      </w:rPr>
    </w:lvl>
    <w:lvl w:ilvl="8">
      <w:start w:val="1"/>
      <w:numFmt w:val="decimal"/>
      <w:isLgl/>
      <w:lvlText w:val="%1.%2.%3.%4.%5.%6.%7.%8.%9"/>
      <w:lvlJc w:val="left"/>
      <w:pPr>
        <w:ind w:left="4435" w:hanging="2160"/>
      </w:pPr>
      <w:rPr>
        <w:rFonts w:eastAsiaTheme="majorEastAsia" w:hint="default"/>
      </w:rPr>
    </w:lvl>
  </w:abstractNum>
  <w:abstractNum w:abstractNumId="17" w15:restartNumberingAfterBreak="0">
    <w:nsid w:val="2899313B"/>
    <w:multiLevelType w:val="multilevel"/>
    <w:tmpl w:val="C8027A86"/>
    <w:lvl w:ilvl="0">
      <w:start w:val="6"/>
      <w:numFmt w:val="decimal"/>
      <w:lvlText w:val="%1"/>
      <w:lvlJc w:val="left"/>
      <w:pPr>
        <w:ind w:left="560" w:hanging="560"/>
      </w:pPr>
      <w:rPr>
        <w:rFonts w:hint="default"/>
      </w:rPr>
    </w:lvl>
    <w:lvl w:ilvl="1">
      <w:start w:val="2"/>
      <w:numFmt w:val="decimal"/>
      <w:lvlText w:val="%1.%2"/>
      <w:lvlJc w:val="left"/>
      <w:pPr>
        <w:ind w:left="1697" w:hanging="560"/>
      </w:pPr>
      <w:rPr>
        <w:rFonts w:hint="default"/>
      </w:rPr>
    </w:lvl>
    <w:lvl w:ilvl="2">
      <w:start w:val="1"/>
      <w:numFmt w:val="decimal"/>
      <w:lvlText w:val="%1.%2.%3"/>
      <w:lvlJc w:val="left"/>
      <w:pPr>
        <w:ind w:left="2994" w:hanging="720"/>
      </w:pPr>
      <w:rPr>
        <w:rFonts w:hint="default"/>
      </w:rPr>
    </w:lvl>
    <w:lvl w:ilvl="3">
      <w:start w:val="1"/>
      <w:numFmt w:val="decimal"/>
      <w:lvlText w:val="%1.%2.%3.%4"/>
      <w:lvlJc w:val="left"/>
      <w:pPr>
        <w:ind w:left="4491" w:hanging="1080"/>
      </w:pPr>
      <w:rPr>
        <w:rFonts w:hint="default"/>
      </w:rPr>
    </w:lvl>
    <w:lvl w:ilvl="4">
      <w:start w:val="1"/>
      <w:numFmt w:val="decimal"/>
      <w:lvlText w:val="%1.%2.%3.%4.%5"/>
      <w:lvlJc w:val="left"/>
      <w:pPr>
        <w:ind w:left="5628" w:hanging="1080"/>
      </w:pPr>
      <w:rPr>
        <w:rFonts w:hint="default"/>
      </w:rPr>
    </w:lvl>
    <w:lvl w:ilvl="5">
      <w:start w:val="1"/>
      <w:numFmt w:val="decimal"/>
      <w:lvlText w:val="%1.%2.%3.%4.%5.%6"/>
      <w:lvlJc w:val="left"/>
      <w:pPr>
        <w:ind w:left="7125" w:hanging="1440"/>
      </w:pPr>
      <w:rPr>
        <w:rFonts w:hint="default"/>
      </w:rPr>
    </w:lvl>
    <w:lvl w:ilvl="6">
      <w:start w:val="1"/>
      <w:numFmt w:val="decimal"/>
      <w:lvlText w:val="%1.%2.%3.%4.%5.%6.%7"/>
      <w:lvlJc w:val="left"/>
      <w:pPr>
        <w:ind w:left="8262" w:hanging="1440"/>
      </w:pPr>
      <w:rPr>
        <w:rFonts w:hint="default"/>
      </w:rPr>
    </w:lvl>
    <w:lvl w:ilvl="7">
      <w:start w:val="1"/>
      <w:numFmt w:val="decimal"/>
      <w:lvlText w:val="%1.%2.%3.%4.%5.%6.%7.%8"/>
      <w:lvlJc w:val="left"/>
      <w:pPr>
        <w:ind w:left="9759" w:hanging="1800"/>
      </w:pPr>
      <w:rPr>
        <w:rFonts w:hint="default"/>
      </w:rPr>
    </w:lvl>
    <w:lvl w:ilvl="8">
      <w:start w:val="1"/>
      <w:numFmt w:val="decimal"/>
      <w:lvlText w:val="%1.%2.%3.%4.%5.%6.%7.%8.%9"/>
      <w:lvlJc w:val="left"/>
      <w:pPr>
        <w:ind w:left="11256" w:hanging="2160"/>
      </w:pPr>
      <w:rPr>
        <w:rFonts w:hint="default"/>
      </w:rPr>
    </w:lvl>
  </w:abstractNum>
  <w:abstractNum w:abstractNumId="18" w15:restartNumberingAfterBreak="0">
    <w:nsid w:val="2CEA3B3A"/>
    <w:multiLevelType w:val="multilevel"/>
    <w:tmpl w:val="884A20A4"/>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2D14253E"/>
    <w:multiLevelType w:val="multilevel"/>
    <w:tmpl w:val="D54EB1F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F417F0E"/>
    <w:multiLevelType w:val="multilevel"/>
    <w:tmpl w:val="2EF009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30392A2B"/>
    <w:multiLevelType w:val="multilevel"/>
    <w:tmpl w:val="FA702C52"/>
    <w:lvl w:ilvl="0">
      <w:start w:val="4"/>
      <w:numFmt w:val="decimal"/>
      <w:lvlText w:val="%1"/>
      <w:lvlJc w:val="left"/>
      <w:pPr>
        <w:ind w:left="560" w:hanging="560"/>
      </w:pPr>
      <w:rPr>
        <w:rFonts w:hint="default"/>
      </w:rPr>
    </w:lvl>
    <w:lvl w:ilvl="1">
      <w:start w:val="4"/>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5430D2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90C31E0"/>
    <w:multiLevelType w:val="hybridMultilevel"/>
    <w:tmpl w:val="1952C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A2396C"/>
    <w:multiLevelType w:val="multilevel"/>
    <w:tmpl w:val="5308E3CA"/>
    <w:lvl w:ilvl="0">
      <w:start w:val="2"/>
      <w:numFmt w:val="decimal"/>
      <w:lvlText w:val="%1"/>
      <w:lvlJc w:val="left"/>
      <w:pPr>
        <w:ind w:left="500" w:hanging="500"/>
      </w:pPr>
      <w:rPr>
        <w:rFonts w:hint="default"/>
      </w:rPr>
    </w:lvl>
    <w:lvl w:ilvl="1">
      <w:start w:val="10"/>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A3835BD"/>
    <w:multiLevelType w:val="hybridMultilevel"/>
    <w:tmpl w:val="A51E0CC4"/>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26" w15:restartNumberingAfterBreak="0">
    <w:nsid w:val="43CE6C7A"/>
    <w:multiLevelType w:val="multilevel"/>
    <w:tmpl w:val="B7BE71EC"/>
    <w:lvl w:ilvl="0">
      <w:numFmt w:val="bullet"/>
      <w:lvlText w:val=""/>
      <w:lvlJc w:val="left"/>
      <w:pPr>
        <w:ind w:left="1130" w:hanging="360"/>
      </w:pPr>
      <w:rPr>
        <w:rFonts w:ascii="Symbol" w:hAnsi="Symbol"/>
      </w:rPr>
    </w:lvl>
    <w:lvl w:ilvl="1">
      <w:numFmt w:val="bullet"/>
      <w:lvlText w:val="o"/>
      <w:lvlJc w:val="left"/>
      <w:pPr>
        <w:ind w:left="1850" w:hanging="360"/>
      </w:pPr>
      <w:rPr>
        <w:rFonts w:ascii="Courier New" w:hAnsi="Courier New" w:cs="Courier New"/>
      </w:rPr>
    </w:lvl>
    <w:lvl w:ilvl="2">
      <w:numFmt w:val="bullet"/>
      <w:lvlText w:val=""/>
      <w:lvlJc w:val="left"/>
      <w:pPr>
        <w:ind w:left="2570" w:hanging="360"/>
      </w:pPr>
      <w:rPr>
        <w:rFonts w:ascii="Wingdings" w:hAnsi="Wingdings"/>
      </w:rPr>
    </w:lvl>
    <w:lvl w:ilvl="3">
      <w:numFmt w:val="bullet"/>
      <w:lvlText w:val=""/>
      <w:lvlJc w:val="left"/>
      <w:pPr>
        <w:ind w:left="3290" w:hanging="360"/>
      </w:pPr>
      <w:rPr>
        <w:rFonts w:ascii="Symbol" w:hAnsi="Symbol"/>
      </w:rPr>
    </w:lvl>
    <w:lvl w:ilvl="4">
      <w:numFmt w:val="bullet"/>
      <w:lvlText w:val="o"/>
      <w:lvlJc w:val="left"/>
      <w:pPr>
        <w:ind w:left="4010" w:hanging="360"/>
      </w:pPr>
      <w:rPr>
        <w:rFonts w:ascii="Courier New" w:hAnsi="Courier New" w:cs="Courier New"/>
      </w:rPr>
    </w:lvl>
    <w:lvl w:ilvl="5">
      <w:numFmt w:val="bullet"/>
      <w:lvlText w:val=""/>
      <w:lvlJc w:val="left"/>
      <w:pPr>
        <w:ind w:left="4730" w:hanging="360"/>
      </w:pPr>
      <w:rPr>
        <w:rFonts w:ascii="Wingdings" w:hAnsi="Wingdings"/>
      </w:rPr>
    </w:lvl>
    <w:lvl w:ilvl="6">
      <w:numFmt w:val="bullet"/>
      <w:lvlText w:val=""/>
      <w:lvlJc w:val="left"/>
      <w:pPr>
        <w:ind w:left="5450" w:hanging="360"/>
      </w:pPr>
      <w:rPr>
        <w:rFonts w:ascii="Symbol" w:hAnsi="Symbol"/>
      </w:rPr>
    </w:lvl>
    <w:lvl w:ilvl="7">
      <w:numFmt w:val="bullet"/>
      <w:lvlText w:val="o"/>
      <w:lvlJc w:val="left"/>
      <w:pPr>
        <w:ind w:left="6170" w:hanging="360"/>
      </w:pPr>
      <w:rPr>
        <w:rFonts w:ascii="Courier New" w:hAnsi="Courier New" w:cs="Courier New"/>
      </w:rPr>
    </w:lvl>
    <w:lvl w:ilvl="8">
      <w:numFmt w:val="bullet"/>
      <w:lvlText w:val=""/>
      <w:lvlJc w:val="left"/>
      <w:pPr>
        <w:ind w:left="6890" w:hanging="360"/>
      </w:pPr>
      <w:rPr>
        <w:rFonts w:ascii="Wingdings" w:hAnsi="Wingdings"/>
      </w:rPr>
    </w:lvl>
  </w:abstractNum>
  <w:abstractNum w:abstractNumId="27" w15:restartNumberingAfterBreak="0">
    <w:nsid w:val="4462267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64458A2"/>
    <w:multiLevelType w:val="multilevel"/>
    <w:tmpl w:val="F0B27C40"/>
    <w:lvl w:ilvl="0">
      <w:start w:val="3"/>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4"/>
      <w:numFmt w:val="decimal"/>
      <w:lvlText w:val="%1.%2.%3"/>
      <w:lvlJc w:val="left"/>
      <w:pPr>
        <w:ind w:left="297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92319DC"/>
    <w:multiLevelType w:val="multilevel"/>
    <w:tmpl w:val="62248948"/>
    <w:lvl w:ilvl="0">
      <w:start w:val="4"/>
      <w:numFmt w:val="decimal"/>
      <w:lvlText w:val="%1"/>
      <w:lvlJc w:val="left"/>
      <w:pPr>
        <w:ind w:left="560" w:hanging="560"/>
      </w:pPr>
      <w:rPr>
        <w:rFonts w:hint="default"/>
      </w:rPr>
    </w:lvl>
    <w:lvl w:ilvl="1">
      <w:start w:val="5"/>
      <w:numFmt w:val="decimal"/>
      <w:lvlText w:val="%1.%2"/>
      <w:lvlJc w:val="left"/>
      <w:pPr>
        <w:ind w:left="560" w:hanging="5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0BD33BB"/>
    <w:multiLevelType w:val="hybridMultilevel"/>
    <w:tmpl w:val="7C9E2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B6755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77313C2"/>
    <w:multiLevelType w:val="multilevel"/>
    <w:tmpl w:val="633A1256"/>
    <w:lvl w:ilvl="0">
      <w:start w:val="3"/>
      <w:numFmt w:val="decimal"/>
      <w:lvlText w:val="%1"/>
      <w:lvlJc w:val="left"/>
      <w:pPr>
        <w:ind w:left="560" w:hanging="560"/>
      </w:pPr>
      <w:rPr>
        <w:rFonts w:hint="default"/>
      </w:rPr>
    </w:lvl>
    <w:lvl w:ilvl="1">
      <w:start w:val="6"/>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AFB143E"/>
    <w:multiLevelType w:val="multilevel"/>
    <w:tmpl w:val="93E648A4"/>
    <w:lvl w:ilvl="0">
      <w:start w:val="4"/>
      <w:numFmt w:val="decimal"/>
      <w:lvlText w:val="%1"/>
      <w:lvlJc w:val="left"/>
      <w:pPr>
        <w:ind w:left="560" w:hanging="560"/>
      </w:pPr>
      <w:rPr>
        <w:rFonts w:hint="default"/>
      </w:rPr>
    </w:lvl>
    <w:lvl w:ilvl="1">
      <w:start w:val="3"/>
      <w:numFmt w:val="decimal"/>
      <w:lvlText w:val="%1.%2"/>
      <w:lvlJc w:val="left"/>
      <w:pPr>
        <w:ind w:left="1694" w:hanging="560"/>
      </w:pPr>
      <w:rPr>
        <w:rFonts w:hint="default"/>
      </w:rPr>
    </w:lvl>
    <w:lvl w:ilvl="2">
      <w:start w:val="4"/>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34" w15:restartNumberingAfterBreak="0">
    <w:nsid w:val="639750F5"/>
    <w:multiLevelType w:val="multilevel"/>
    <w:tmpl w:val="6ACEB8EC"/>
    <w:lvl w:ilvl="0">
      <w:start w:val="1"/>
      <w:numFmt w:val="decimal"/>
      <w:lvlText w:val="%1"/>
      <w:lvlJc w:val="left"/>
      <w:pPr>
        <w:ind w:left="360" w:hanging="360"/>
      </w:pPr>
      <w:rPr>
        <w:rFonts w:eastAsiaTheme="majorEastAsia" w:hint="default"/>
      </w:rPr>
    </w:lvl>
    <w:lvl w:ilvl="1">
      <w:start w:val="4"/>
      <w:numFmt w:val="decimal"/>
      <w:lvlText w:val="%1.%2"/>
      <w:lvlJc w:val="left"/>
      <w:pPr>
        <w:ind w:left="720" w:hanging="360"/>
      </w:pPr>
      <w:rPr>
        <w:rFonts w:eastAsiaTheme="majorEastAsia" w:hint="default"/>
      </w:rPr>
    </w:lvl>
    <w:lvl w:ilvl="2">
      <w:start w:val="1"/>
      <w:numFmt w:val="decimal"/>
      <w:lvlText w:val="%1.%2.%3"/>
      <w:lvlJc w:val="left"/>
      <w:pPr>
        <w:ind w:left="1440" w:hanging="720"/>
      </w:pPr>
      <w:rPr>
        <w:rFonts w:eastAsiaTheme="majorEastAsia" w:hint="default"/>
      </w:rPr>
    </w:lvl>
    <w:lvl w:ilvl="3">
      <w:start w:val="1"/>
      <w:numFmt w:val="decimal"/>
      <w:lvlText w:val="%1.%2.%3.%4"/>
      <w:lvlJc w:val="left"/>
      <w:pPr>
        <w:ind w:left="2160" w:hanging="1080"/>
      </w:pPr>
      <w:rPr>
        <w:rFonts w:eastAsiaTheme="majorEastAsia" w:hint="default"/>
      </w:rPr>
    </w:lvl>
    <w:lvl w:ilvl="4">
      <w:start w:val="1"/>
      <w:numFmt w:val="decimal"/>
      <w:lvlText w:val="%1.%2.%3.%4.%5"/>
      <w:lvlJc w:val="left"/>
      <w:pPr>
        <w:ind w:left="2520" w:hanging="1080"/>
      </w:pPr>
      <w:rPr>
        <w:rFonts w:eastAsiaTheme="majorEastAsia" w:hint="default"/>
      </w:rPr>
    </w:lvl>
    <w:lvl w:ilvl="5">
      <w:start w:val="1"/>
      <w:numFmt w:val="decimal"/>
      <w:lvlText w:val="%1.%2.%3.%4.%5.%6"/>
      <w:lvlJc w:val="left"/>
      <w:pPr>
        <w:ind w:left="3240" w:hanging="1440"/>
      </w:pPr>
      <w:rPr>
        <w:rFonts w:eastAsiaTheme="majorEastAsia" w:hint="default"/>
      </w:rPr>
    </w:lvl>
    <w:lvl w:ilvl="6">
      <w:start w:val="1"/>
      <w:numFmt w:val="decimal"/>
      <w:lvlText w:val="%1.%2.%3.%4.%5.%6.%7"/>
      <w:lvlJc w:val="left"/>
      <w:pPr>
        <w:ind w:left="3600" w:hanging="1440"/>
      </w:pPr>
      <w:rPr>
        <w:rFonts w:eastAsiaTheme="majorEastAsia" w:hint="default"/>
      </w:rPr>
    </w:lvl>
    <w:lvl w:ilvl="7">
      <w:start w:val="1"/>
      <w:numFmt w:val="decimal"/>
      <w:lvlText w:val="%1.%2.%3.%4.%5.%6.%7.%8"/>
      <w:lvlJc w:val="left"/>
      <w:pPr>
        <w:ind w:left="4320" w:hanging="1800"/>
      </w:pPr>
      <w:rPr>
        <w:rFonts w:eastAsiaTheme="majorEastAsia" w:hint="default"/>
      </w:rPr>
    </w:lvl>
    <w:lvl w:ilvl="8">
      <w:start w:val="1"/>
      <w:numFmt w:val="decimal"/>
      <w:lvlText w:val="%1.%2.%3.%4.%5.%6.%7.%8.%9"/>
      <w:lvlJc w:val="left"/>
      <w:pPr>
        <w:ind w:left="5040" w:hanging="2160"/>
      </w:pPr>
      <w:rPr>
        <w:rFonts w:eastAsiaTheme="majorEastAsia" w:hint="default"/>
      </w:rPr>
    </w:lvl>
  </w:abstractNum>
  <w:abstractNum w:abstractNumId="35" w15:restartNumberingAfterBreak="0">
    <w:nsid w:val="689C0140"/>
    <w:multiLevelType w:val="multilevel"/>
    <w:tmpl w:val="FDD2EC76"/>
    <w:lvl w:ilvl="0">
      <w:start w:val="2"/>
      <w:numFmt w:val="decimal"/>
      <w:lvlText w:val="%1"/>
      <w:lvlJc w:val="left"/>
      <w:pPr>
        <w:ind w:left="560" w:hanging="560"/>
      </w:pPr>
      <w:rPr>
        <w:rFonts w:hint="default"/>
      </w:rPr>
    </w:lvl>
    <w:lvl w:ilvl="1">
      <w:start w:val="4"/>
      <w:numFmt w:val="decimal"/>
      <w:lvlText w:val="%1.%2"/>
      <w:lvlJc w:val="left"/>
      <w:pPr>
        <w:ind w:left="740" w:hanging="56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6" w15:restartNumberingAfterBreak="0">
    <w:nsid w:val="6AE51F87"/>
    <w:multiLevelType w:val="multilevel"/>
    <w:tmpl w:val="677EE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0440B5"/>
    <w:multiLevelType w:val="multilevel"/>
    <w:tmpl w:val="9AD0C0AC"/>
    <w:lvl w:ilvl="0">
      <w:start w:val="3"/>
      <w:numFmt w:val="decimal"/>
      <w:lvlText w:val="%1."/>
      <w:lvlJc w:val="left"/>
      <w:pPr>
        <w:ind w:left="45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6D6E7447"/>
    <w:multiLevelType w:val="hybridMultilevel"/>
    <w:tmpl w:val="D45C5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4639BD"/>
    <w:multiLevelType w:val="hybridMultilevel"/>
    <w:tmpl w:val="7CCE5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F1517F"/>
    <w:multiLevelType w:val="multilevel"/>
    <w:tmpl w:val="179E601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228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7471692F"/>
    <w:multiLevelType w:val="multilevel"/>
    <w:tmpl w:val="08062104"/>
    <w:lvl w:ilvl="0">
      <w:start w:val="6"/>
      <w:numFmt w:val="decimal"/>
      <w:lvlText w:val="%1"/>
      <w:lvlJc w:val="left"/>
      <w:pPr>
        <w:ind w:left="560" w:hanging="560"/>
      </w:pPr>
      <w:rPr>
        <w:rFonts w:hint="default"/>
      </w:rPr>
    </w:lvl>
    <w:lvl w:ilvl="1">
      <w:start w:val="4"/>
      <w:numFmt w:val="decimal"/>
      <w:lvlText w:val="%1.%2"/>
      <w:lvlJc w:val="left"/>
      <w:pPr>
        <w:ind w:left="560" w:hanging="560"/>
      </w:pPr>
      <w:rPr>
        <w:rFonts w:hint="default"/>
      </w:rPr>
    </w:lvl>
    <w:lvl w:ilvl="2">
      <w:start w:val="2"/>
      <w:numFmt w:val="decimal"/>
      <w:lvlText w:val="%1.%2.%3"/>
      <w:lvlJc w:val="left"/>
      <w:pPr>
        <w:ind w:left="297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4A07E1F"/>
    <w:multiLevelType w:val="multilevel"/>
    <w:tmpl w:val="9A10C03E"/>
    <w:lvl w:ilvl="0">
      <w:start w:val="1"/>
      <w:numFmt w:val="decimal"/>
      <w:lvlText w:val="%1"/>
      <w:lvlJc w:val="left"/>
      <w:pPr>
        <w:ind w:left="360" w:hanging="360"/>
      </w:pPr>
      <w:rPr>
        <w:rFonts w:eastAsiaTheme="majorEastAsia" w:hint="default"/>
      </w:rPr>
    </w:lvl>
    <w:lvl w:ilvl="1">
      <w:start w:val="4"/>
      <w:numFmt w:val="decimal"/>
      <w:lvlText w:val="%1.%2"/>
      <w:lvlJc w:val="left"/>
      <w:pPr>
        <w:ind w:left="720" w:hanging="360"/>
      </w:pPr>
      <w:rPr>
        <w:rFonts w:eastAsiaTheme="majorEastAsia" w:hint="default"/>
      </w:rPr>
    </w:lvl>
    <w:lvl w:ilvl="2">
      <w:start w:val="1"/>
      <w:numFmt w:val="decimal"/>
      <w:lvlText w:val="%1.%2.%3"/>
      <w:lvlJc w:val="left"/>
      <w:pPr>
        <w:ind w:left="1440" w:hanging="720"/>
      </w:pPr>
      <w:rPr>
        <w:rFonts w:eastAsiaTheme="majorEastAsia" w:hint="default"/>
      </w:rPr>
    </w:lvl>
    <w:lvl w:ilvl="3">
      <w:start w:val="1"/>
      <w:numFmt w:val="decimal"/>
      <w:lvlText w:val="%1.%2.%3.%4"/>
      <w:lvlJc w:val="left"/>
      <w:pPr>
        <w:ind w:left="2160" w:hanging="1080"/>
      </w:pPr>
      <w:rPr>
        <w:rFonts w:eastAsiaTheme="majorEastAsia" w:hint="default"/>
      </w:rPr>
    </w:lvl>
    <w:lvl w:ilvl="4">
      <w:start w:val="1"/>
      <w:numFmt w:val="decimal"/>
      <w:lvlText w:val="%1.%2.%3.%4.%5"/>
      <w:lvlJc w:val="left"/>
      <w:pPr>
        <w:ind w:left="2520" w:hanging="1080"/>
      </w:pPr>
      <w:rPr>
        <w:rFonts w:eastAsiaTheme="majorEastAsia" w:hint="default"/>
      </w:rPr>
    </w:lvl>
    <w:lvl w:ilvl="5">
      <w:start w:val="1"/>
      <w:numFmt w:val="decimal"/>
      <w:lvlText w:val="%1.%2.%3.%4.%5.%6"/>
      <w:lvlJc w:val="left"/>
      <w:pPr>
        <w:ind w:left="3240" w:hanging="1440"/>
      </w:pPr>
      <w:rPr>
        <w:rFonts w:eastAsiaTheme="majorEastAsia" w:hint="default"/>
      </w:rPr>
    </w:lvl>
    <w:lvl w:ilvl="6">
      <w:start w:val="1"/>
      <w:numFmt w:val="decimal"/>
      <w:lvlText w:val="%1.%2.%3.%4.%5.%6.%7"/>
      <w:lvlJc w:val="left"/>
      <w:pPr>
        <w:ind w:left="3600" w:hanging="1440"/>
      </w:pPr>
      <w:rPr>
        <w:rFonts w:eastAsiaTheme="majorEastAsia" w:hint="default"/>
      </w:rPr>
    </w:lvl>
    <w:lvl w:ilvl="7">
      <w:start w:val="1"/>
      <w:numFmt w:val="decimal"/>
      <w:lvlText w:val="%1.%2.%3.%4.%5.%6.%7.%8"/>
      <w:lvlJc w:val="left"/>
      <w:pPr>
        <w:ind w:left="4320" w:hanging="1800"/>
      </w:pPr>
      <w:rPr>
        <w:rFonts w:eastAsiaTheme="majorEastAsia" w:hint="default"/>
      </w:rPr>
    </w:lvl>
    <w:lvl w:ilvl="8">
      <w:start w:val="1"/>
      <w:numFmt w:val="decimal"/>
      <w:lvlText w:val="%1.%2.%3.%4.%5.%6.%7.%8.%9"/>
      <w:lvlJc w:val="left"/>
      <w:pPr>
        <w:ind w:left="5040" w:hanging="2160"/>
      </w:pPr>
      <w:rPr>
        <w:rFonts w:eastAsiaTheme="majorEastAsia" w:hint="default"/>
      </w:rPr>
    </w:lvl>
  </w:abstractNum>
  <w:abstractNum w:abstractNumId="43" w15:restartNumberingAfterBreak="0">
    <w:nsid w:val="7D1B4A79"/>
    <w:multiLevelType w:val="multilevel"/>
    <w:tmpl w:val="0DE6796E"/>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543907173">
    <w:abstractNumId w:val="40"/>
  </w:num>
  <w:num w:numId="2" w16cid:durableId="1851292942">
    <w:abstractNumId w:val="40"/>
  </w:num>
  <w:num w:numId="3" w16cid:durableId="2032294555">
    <w:abstractNumId w:val="40"/>
  </w:num>
  <w:num w:numId="4" w16cid:durableId="1349063137">
    <w:abstractNumId w:val="25"/>
  </w:num>
  <w:num w:numId="5" w16cid:durableId="1492060145">
    <w:abstractNumId w:val="36"/>
  </w:num>
  <w:num w:numId="6" w16cid:durableId="1543009185">
    <w:abstractNumId w:val="30"/>
  </w:num>
  <w:num w:numId="7" w16cid:durableId="238175123">
    <w:abstractNumId w:val="4"/>
  </w:num>
  <w:num w:numId="8" w16cid:durableId="681317127">
    <w:abstractNumId w:val="8"/>
  </w:num>
  <w:num w:numId="9" w16cid:durableId="2052460397">
    <w:abstractNumId w:val="10"/>
  </w:num>
  <w:num w:numId="10" w16cid:durableId="2039043502">
    <w:abstractNumId w:val="26"/>
  </w:num>
  <w:num w:numId="11" w16cid:durableId="1584949984">
    <w:abstractNumId w:val="20"/>
  </w:num>
  <w:num w:numId="12" w16cid:durableId="1533028543">
    <w:abstractNumId w:val="14"/>
  </w:num>
  <w:num w:numId="13" w16cid:durableId="1220894480">
    <w:abstractNumId w:val="1"/>
  </w:num>
  <w:num w:numId="14" w16cid:durableId="58015308">
    <w:abstractNumId w:val="3"/>
  </w:num>
  <w:num w:numId="15" w16cid:durableId="1045371002">
    <w:abstractNumId w:val="5"/>
  </w:num>
  <w:num w:numId="16" w16cid:durableId="247884938">
    <w:abstractNumId w:val="34"/>
  </w:num>
  <w:num w:numId="17" w16cid:durableId="303124257">
    <w:abstractNumId w:val="37"/>
  </w:num>
  <w:num w:numId="18" w16cid:durableId="140584051">
    <w:abstractNumId w:val="7"/>
  </w:num>
  <w:num w:numId="19" w16cid:durableId="2047486130">
    <w:abstractNumId w:val="15"/>
  </w:num>
  <w:num w:numId="20" w16cid:durableId="445733386">
    <w:abstractNumId w:val="42"/>
  </w:num>
  <w:num w:numId="21" w16cid:durableId="1531065829">
    <w:abstractNumId w:val="24"/>
  </w:num>
  <w:num w:numId="22" w16cid:durableId="859782934">
    <w:abstractNumId w:val="35"/>
    <w:lvlOverride w:ilvl="0">
      <w:startOverride w:val="2"/>
    </w:lvlOverride>
    <w:lvlOverride w:ilvl="1">
      <w:startOverride w:val="4"/>
    </w:lvlOverride>
    <w:lvlOverride w:ilvl="2">
      <w:startOverride w:val="2"/>
    </w:lvlOverride>
  </w:num>
  <w:num w:numId="23" w16cid:durableId="671032733">
    <w:abstractNumId w:val="11"/>
  </w:num>
  <w:num w:numId="24" w16cid:durableId="1239053353">
    <w:abstractNumId w:val="32"/>
  </w:num>
  <w:num w:numId="25" w16cid:durableId="1941794969">
    <w:abstractNumId w:val="2"/>
  </w:num>
  <w:num w:numId="26" w16cid:durableId="432628221">
    <w:abstractNumId w:val="28"/>
  </w:num>
  <w:num w:numId="27" w16cid:durableId="450630995">
    <w:abstractNumId w:val="19"/>
  </w:num>
  <w:num w:numId="28" w16cid:durableId="1911234894">
    <w:abstractNumId w:val="21"/>
  </w:num>
  <w:num w:numId="29" w16cid:durableId="1260024173">
    <w:abstractNumId w:val="9"/>
  </w:num>
  <w:num w:numId="30" w16cid:durableId="180245882">
    <w:abstractNumId w:val="13"/>
  </w:num>
  <w:num w:numId="31" w16cid:durableId="947547774">
    <w:abstractNumId w:val="29"/>
  </w:num>
  <w:num w:numId="32" w16cid:durableId="300615641">
    <w:abstractNumId w:val="43"/>
  </w:num>
  <w:num w:numId="33" w16cid:durableId="521357132">
    <w:abstractNumId w:val="41"/>
  </w:num>
  <w:num w:numId="34" w16cid:durableId="295336113">
    <w:abstractNumId w:val="6"/>
  </w:num>
  <w:num w:numId="35" w16cid:durableId="250704364">
    <w:abstractNumId w:val="23"/>
  </w:num>
  <w:num w:numId="36" w16cid:durableId="1167407423">
    <w:abstractNumId w:val="38"/>
  </w:num>
  <w:num w:numId="37" w16cid:durableId="633095302">
    <w:abstractNumId w:val="39"/>
  </w:num>
  <w:num w:numId="38" w16cid:durableId="489752355">
    <w:abstractNumId w:val="33"/>
  </w:num>
  <w:num w:numId="39" w16cid:durableId="1236941486">
    <w:abstractNumId w:val="17"/>
  </w:num>
  <w:num w:numId="40" w16cid:durableId="1935626484">
    <w:abstractNumId w:val="16"/>
  </w:num>
  <w:num w:numId="41" w16cid:durableId="646202925">
    <w:abstractNumId w:val="0"/>
  </w:num>
  <w:num w:numId="42" w16cid:durableId="2136288734">
    <w:abstractNumId w:val="27"/>
  </w:num>
  <w:num w:numId="43" w16cid:durableId="1585264768">
    <w:abstractNumId w:val="31"/>
  </w:num>
  <w:num w:numId="44" w16cid:durableId="1446655409">
    <w:abstractNumId w:val="18"/>
  </w:num>
  <w:num w:numId="45" w16cid:durableId="305360723">
    <w:abstractNumId w:val="18"/>
    <w:lvlOverride w:ilvl="0">
      <w:startOverride w:val="1"/>
    </w:lvlOverride>
    <w:lvlOverride w:ilvl="1">
      <w:startOverride w:val="5"/>
    </w:lvlOverride>
  </w:num>
  <w:num w:numId="46" w16cid:durableId="1408842345">
    <w:abstractNumId w:val="18"/>
    <w:lvlOverride w:ilvl="0">
      <w:startOverride w:val="1"/>
    </w:lvlOverride>
    <w:lvlOverride w:ilvl="1">
      <w:startOverride w:val="5"/>
    </w:lvlOverride>
  </w:num>
  <w:num w:numId="47" w16cid:durableId="1284075275">
    <w:abstractNumId w:val="22"/>
  </w:num>
  <w:num w:numId="48" w16cid:durableId="122745499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B6F"/>
    <w:rsid w:val="00011AFA"/>
    <w:rsid w:val="0002510F"/>
    <w:rsid w:val="00046B88"/>
    <w:rsid w:val="000869D1"/>
    <w:rsid w:val="000A366F"/>
    <w:rsid w:val="000A528C"/>
    <w:rsid w:val="000C407D"/>
    <w:rsid w:val="000D784E"/>
    <w:rsid w:val="001069D0"/>
    <w:rsid w:val="00107B6B"/>
    <w:rsid w:val="00116D66"/>
    <w:rsid w:val="00167122"/>
    <w:rsid w:val="001A13EC"/>
    <w:rsid w:val="00214C1B"/>
    <w:rsid w:val="00232E6E"/>
    <w:rsid w:val="00250DD9"/>
    <w:rsid w:val="0027610B"/>
    <w:rsid w:val="002E6A08"/>
    <w:rsid w:val="00352AA2"/>
    <w:rsid w:val="003710C3"/>
    <w:rsid w:val="00373426"/>
    <w:rsid w:val="003C473C"/>
    <w:rsid w:val="003E5B47"/>
    <w:rsid w:val="00413004"/>
    <w:rsid w:val="00461178"/>
    <w:rsid w:val="004C2000"/>
    <w:rsid w:val="004E600B"/>
    <w:rsid w:val="004F42A9"/>
    <w:rsid w:val="005003D8"/>
    <w:rsid w:val="00506729"/>
    <w:rsid w:val="00511C2C"/>
    <w:rsid w:val="00517D2D"/>
    <w:rsid w:val="005B5ECE"/>
    <w:rsid w:val="005E71FF"/>
    <w:rsid w:val="006135C9"/>
    <w:rsid w:val="006267A8"/>
    <w:rsid w:val="00631837"/>
    <w:rsid w:val="0064233A"/>
    <w:rsid w:val="006477BD"/>
    <w:rsid w:val="006552F9"/>
    <w:rsid w:val="00664358"/>
    <w:rsid w:val="00683ACD"/>
    <w:rsid w:val="006846A5"/>
    <w:rsid w:val="0069347B"/>
    <w:rsid w:val="006A1B6F"/>
    <w:rsid w:val="006A25B2"/>
    <w:rsid w:val="006F2E24"/>
    <w:rsid w:val="00734A2C"/>
    <w:rsid w:val="00754981"/>
    <w:rsid w:val="007B5370"/>
    <w:rsid w:val="007D0B9D"/>
    <w:rsid w:val="007D60AA"/>
    <w:rsid w:val="007E4061"/>
    <w:rsid w:val="008200DD"/>
    <w:rsid w:val="00845130"/>
    <w:rsid w:val="0085481A"/>
    <w:rsid w:val="0086267E"/>
    <w:rsid w:val="008627E1"/>
    <w:rsid w:val="008708EB"/>
    <w:rsid w:val="008817CC"/>
    <w:rsid w:val="008A1449"/>
    <w:rsid w:val="008F0989"/>
    <w:rsid w:val="008F1B56"/>
    <w:rsid w:val="00902BDB"/>
    <w:rsid w:val="00912EAB"/>
    <w:rsid w:val="00951DC5"/>
    <w:rsid w:val="00953FD1"/>
    <w:rsid w:val="009719B8"/>
    <w:rsid w:val="009760B5"/>
    <w:rsid w:val="0098341B"/>
    <w:rsid w:val="00997CF9"/>
    <w:rsid w:val="009A3468"/>
    <w:rsid w:val="009C3932"/>
    <w:rsid w:val="00A0291F"/>
    <w:rsid w:val="00A03160"/>
    <w:rsid w:val="00A03DB3"/>
    <w:rsid w:val="00A43A72"/>
    <w:rsid w:val="00A56E2B"/>
    <w:rsid w:val="00A647D5"/>
    <w:rsid w:val="00A93F64"/>
    <w:rsid w:val="00AA0DBF"/>
    <w:rsid w:val="00AA756B"/>
    <w:rsid w:val="00AD4DC6"/>
    <w:rsid w:val="00B23AE3"/>
    <w:rsid w:val="00B2575E"/>
    <w:rsid w:val="00B3288E"/>
    <w:rsid w:val="00B32FEE"/>
    <w:rsid w:val="00B908E6"/>
    <w:rsid w:val="00BD26CC"/>
    <w:rsid w:val="00BE5278"/>
    <w:rsid w:val="00C06838"/>
    <w:rsid w:val="00C33388"/>
    <w:rsid w:val="00C377C8"/>
    <w:rsid w:val="00C67BA4"/>
    <w:rsid w:val="00C75FDD"/>
    <w:rsid w:val="00C80777"/>
    <w:rsid w:val="00C85079"/>
    <w:rsid w:val="00D06B7C"/>
    <w:rsid w:val="00D256CB"/>
    <w:rsid w:val="00D5444F"/>
    <w:rsid w:val="00D77DE8"/>
    <w:rsid w:val="00D87938"/>
    <w:rsid w:val="00D905A4"/>
    <w:rsid w:val="00D93781"/>
    <w:rsid w:val="00DC0130"/>
    <w:rsid w:val="00DD7D0A"/>
    <w:rsid w:val="00DF3B58"/>
    <w:rsid w:val="00E11C72"/>
    <w:rsid w:val="00E202E4"/>
    <w:rsid w:val="00E230DF"/>
    <w:rsid w:val="00E37192"/>
    <w:rsid w:val="00E54AB6"/>
    <w:rsid w:val="00E56BC7"/>
    <w:rsid w:val="00E61523"/>
    <w:rsid w:val="00E62A88"/>
    <w:rsid w:val="00E94604"/>
    <w:rsid w:val="00EA1793"/>
    <w:rsid w:val="00F07714"/>
    <w:rsid w:val="00F1408E"/>
    <w:rsid w:val="00F30956"/>
    <w:rsid w:val="00F577F0"/>
    <w:rsid w:val="00F8544C"/>
    <w:rsid w:val="00F8610A"/>
    <w:rsid w:val="00FA3F85"/>
    <w:rsid w:val="00FB6B91"/>
    <w:rsid w:val="00FC2D0A"/>
    <w:rsid w:val="00FC58A4"/>
    <w:rsid w:val="00FF60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280F5"/>
  <w15:chartTrackingRefBased/>
  <w15:docId w15:val="{048B4306-F19C-4DCA-BA3F-11866CF0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06729"/>
    <w:pPr>
      <w:keepNext/>
      <w:keepLines/>
      <w:numPr>
        <w:numId w:val="3"/>
      </w:numPr>
      <w:spacing w:after="0" w:line="480" w:lineRule="auto"/>
      <w:ind w:left="2268" w:right="850"/>
      <w:outlineLvl w:val="0"/>
    </w:pPr>
    <w:rPr>
      <w:rFonts w:ascii="Times New Roman" w:hAnsi="Times New Roman" w:cs="Times New Roman"/>
      <w:b/>
      <w:color w:val="000000" w:themeColor="text1"/>
      <w:sz w:val="36"/>
      <w:szCs w:val="28"/>
    </w:rPr>
  </w:style>
  <w:style w:type="paragraph" w:styleId="Heading2">
    <w:name w:val="heading 2"/>
    <w:basedOn w:val="Normal"/>
    <w:next w:val="Normal"/>
    <w:link w:val="Heading2Char"/>
    <w:uiPriority w:val="9"/>
    <w:unhideWhenUsed/>
    <w:qFormat/>
    <w:rsid w:val="006846A5"/>
    <w:pPr>
      <w:keepNext/>
      <w:keepLines/>
      <w:numPr>
        <w:ilvl w:val="1"/>
        <w:numId w:val="3"/>
      </w:numPr>
      <w:spacing w:before="40" w:after="0" w:line="480" w:lineRule="auto"/>
      <w:jc w:val="both"/>
      <w:outlineLvl w:val="1"/>
    </w:pPr>
    <w:rPr>
      <w:rFonts w:ascii="Times New Roman" w:eastAsiaTheme="majorEastAsia" w:hAnsi="Times New Roman" w:cs="Times New Roman"/>
      <w:b/>
      <w:i/>
      <w:color w:val="000000" w:themeColor="text1"/>
      <w:sz w:val="32"/>
      <w:szCs w:val="28"/>
      <w:bdr w:val="none" w:sz="0" w:space="0" w:color="auto" w:frame="1"/>
    </w:rPr>
  </w:style>
  <w:style w:type="paragraph" w:styleId="Heading3">
    <w:name w:val="heading 3"/>
    <w:basedOn w:val="Normal"/>
    <w:next w:val="Normal"/>
    <w:link w:val="Heading3Char"/>
    <w:uiPriority w:val="9"/>
    <w:unhideWhenUsed/>
    <w:qFormat/>
    <w:rsid w:val="006846A5"/>
    <w:pPr>
      <w:keepNext/>
      <w:keepLines/>
      <w:spacing w:before="40" w:after="0"/>
      <w:outlineLvl w:val="2"/>
    </w:pPr>
    <w:rPr>
      <w:rFonts w:asciiTheme="majorHAnsi" w:eastAsiaTheme="majorEastAsia" w:hAnsiTheme="majorHAnsi" w:cstheme="majorBidi"/>
      <w:b/>
      <w:color w:val="000000" w:themeColor="text1"/>
      <w:sz w:val="28"/>
      <w:szCs w:val="24"/>
    </w:rPr>
  </w:style>
  <w:style w:type="paragraph" w:styleId="Heading4">
    <w:name w:val="heading 4"/>
    <w:basedOn w:val="Normal"/>
    <w:link w:val="Heading4Char"/>
    <w:uiPriority w:val="9"/>
    <w:qFormat/>
    <w:rsid w:val="00011AFA"/>
    <w:pPr>
      <w:numPr>
        <w:ilvl w:val="3"/>
        <w:numId w:val="13"/>
      </w:numPr>
      <w:spacing w:before="100" w:beforeAutospacing="1" w:after="100" w:afterAutospacing="1" w:line="240" w:lineRule="auto"/>
      <w:outlineLvl w:val="3"/>
    </w:pPr>
    <w:rPr>
      <w:rFonts w:ascii="Times New Roman" w:hAnsi="Times New Roman" w:cs="Times New Roman"/>
      <w:b/>
      <w:bCs/>
      <w:sz w:val="24"/>
      <w:szCs w:val="24"/>
    </w:rPr>
  </w:style>
  <w:style w:type="paragraph" w:styleId="Heading5">
    <w:name w:val="heading 5"/>
    <w:basedOn w:val="Normal"/>
    <w:next w:val="Normal"/>
    <w:link w:val="Heading5Char"/>
    <w:uiPriority w:val="9"/>
    <w:unhideWhenUsed/>
    <w:qFormat/>
    <w:rsid w:val="00011AFA"/>
    <w:pPr>
      <w:keepNext/>
      <w:keepLines/>
      <w:numPr>
        <w:ilvl w:val="4"/>
        <w:numId w:val="13"/>
      </w:numPr>
      <w:spacing w:before="40" w:after="0" w:line="240" w:lineRule="auto"/>
      <w:outlineLvl w:val="4"/>
    </w:pPr>
    <w:rPr>
      <w:rFonts w:asciiTheme="majorHAnsi" w:eastAsiaTheme="majorEastAsia" w:hAnsiTheme="majorHAnsi" w:cstheme="majorBidi"/>
      <w:color w:val="2E74B5" w:themeColor="accent1" w:themeShade="BF"/>
      <w:sz w:val="24"/>
      <w:szCs w:val="24"/>
    </w:rPr>
  </w:style>
  <w:style w:type="paragraph" w:styleId="Heading6">
    <w:name w:val="heading 6"/>
    <w:basedOn w:val="Normal"/>
    <w:next w:val="Normal"/>
    <w:link w:val="Heading6Char"/>
    <w:uiPriority w:val="9"/>
    <w:semiHidden/>
    <w:unhideWhenUsed/>
    <w:qFormat/>
    <w:rsid w:val="00011AFA"/>
    <w:pPr>
      <w:keepNext/>
      <w:keepLines/>
      <w:numPr>
        <w:ilvl w:val="5"/>
        <w:numId w:val="13"/>
      </w:numPr>
      <w:spacing w:before="40" w:after="0" w:line="240" w:lineRule="auto"/>
      <w:outlineLvl w:val="5"/>
    </w:pPr>
    <w:rPr>
      <w:rFonts w:asciiTheme="majorHAnsi" w:eastAsiaTheme="majorEastAsia" w:hAnsiTheme="majorHAnsi" w:cstheme="majorBidi"/>
      <w:color w:val="1F4D78" w:themeColor="accent1" w:themeShade="7F"/>
      <w:sz w:val="24"/>
      <w:szCs w:val="24"/>
    </w:rPr>
  </w:style>
  <w:style w:type="paragraph" w:styleId="Heading7">
    <w:name w:val="heading 7"/>
    <w:basedOn w:val="Normal"/>
    <w:next w:val="Normal"/>
    <w:link w:val="Heading7Char"/>
    <w:uiPriority w:val="9"/>
    <w:semiHidden/>
    <w:unhideWhenUsed/>
    <w:qFormat/>
    <w:rsid w:val="00011AFA"/>
    <w:pPr>
      <w:keepNext/>
      <w:keepLines/>
      <w:numPr>
        <w:ilvl w:val="6"/>
        <w:numId w:val="13"/>
      </w:numPr>
      <w:spacing w:before="40" w:after="0" w:line="240" w:lineRule="auto"/>
      <w:outlineLvl w:val="6"/>
    </w:pPr>
    <w:rPr>
      <w:rFonts w:asciiTheme="majorHAnsi" w:eastAsiaTheme="majorEastAsia" w:hAnsiTheme="majorHAnsi" w:cstheme="majorBidi"/>
      <w:i/>
      <w:iCs/>
      <w:color w:val="1F4D78" w:themeColor="accent1" w:themeShade="7F"/>
      <w:sz w:val="24"/>
      <w:szCs w:val="24"/>
    </w:rPr>
  </w:style>
  <w:style w:type="paragraph" w:styleId="Heading8">
    <w:name w:val="heading 8"/>
    <w:basedOn w:val="Normal"/>
    <w:next w:val="Normal"/>
    <w:link w:val="Heading8Char"/>
    <w:uiPriority w:val="9"/>
    <w:semiHidden/>
    <w:unhideWhenUsed/>
    <w:qFormat/>
    <w:rsid w:val="00011AFA"/>
    <w:pPr>
      <w:keepNext/>
      <w:keepLines/>
      <w:numPr>
        <w:ilvl w:val="7"/>
        <w:numId w:val="13"/>
      </w:numPr>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11AFA"/>
    <w:pPr>
      <w:keepNext/>
      <w:keepLines/>
      <w:numPr>
        <w:ilvl w:val="8"/>
        <w:numId w:val="13"/>
      </w:numPr>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729"/>
    <w:rPr>
      <w:rFonts w:ascii="Times New Roman" w:hAnsi="Times New Roman" w:cs="Times New Roman"/>
      <w:b/>
      <w:color w:val="000000" w:themeColor="text1"/>
      <w:sz w:val="36"/>
      <w:szCs w:val="28"/>
    </w:rPr>
  </w:style>
  <w:style w:type="character" w:customStyle="1" w:styleId="Heading2Char">
    <w:name w:val="Heading 2 Char"/>
    <w:basedOn w:val="DefaultParagraphFont"/>
    <w:link w:val="Heading2"/>
    <w:uiPriority w:val="9"/>
    <w:rsid w:val="006846A5"/>
    <w:rPr>
      <w:rFonts w:ascii="Times New Roman" w:eastAsiaTheme="majorEastAsia" w:hAnsi="Times New Roman" w:cs="Times New Roman"/>
      <w:b/>
      <w:i/>
      <w:color w:val="000000" w:themeColor="text1"/>
      <w:sz w:val="32"/>
      <w:szCs w:val="28"/>
      <w:bdr w:val="none" w:sz="0" w:space="0" w:color="auto" w:frame="1"/>
    </w:rPr>
  </w:style>
  <w:style w:type="character" w:customStyle="1" w:styleId="Heading3Char">
    <w:name w:val="Heading 3 Char"/>
    <w:basedOn w:val="DefaultParagraphFont"/>
    <w:link w:val="Heading3"/>
    <w:uiPriority w:val="9"/>
    <w:rsid w:val="006846A5"/>
    <w:rPr>
      <w:rFonts w:asciiTheme="majorHAnsi" w:eastAsiaTheme="majorEastAsia" w:hAnsiTheme="majorHAnsi" w:cstheme="majorBidi"/>
      <w:b/>
      <w:color w:val="000000" w:themeColor="text1"/>
      <w:sz w:val="28"/>
      <w:szCs w:val="24"/>
    </w:rPr>
  </w:style>
  <w:style w:type="table" w:customStyle="1" w:styleId="TableGrid1">
    <w:name w:val="Table Grid1"/>
    <w:basedOn w:val="TableNormal"/>
    <w:next w:val="TableGrid"/>
    <w:uiPriority w:val="39"/>
    <w:rsid w:val="009719B8"/>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71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719B8"/>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06B7C"/>
    <w:pPr>
      <w:numPr>
        <w:numId w:val="0"/>
      </w:numPr>
      <w:spacing w:before="240" w:line="259" w:lineRule="auto"/>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D06B7C"/>
    <w:pPr>
      <w:spacing w:after="100"/>
    </w:pPr>
  </w:style>
  <w:style w:type="paragraph" w:styleId="TOC2">
    <w:name w:val="toc 2"/>
    <w:basedOn w:val="Normal"/>
    <w:next w:val="Normal"/>
    <w:autoRedefine/>
    <w:uiPriority w:val="39"/>
    <w:unhideWhenUsed/>
    <w:rsid w:val="00D06B7C"/>
    <w:pPr>
      <w:spacing w:after="100"/>
      <w:ind w:left="220"/>
    </w:pPr>
  </w:style>
  <w:style w:type="paragraph" w:styleId="TOC3">
    <w:name w:val="toc 3"/>
    <w:basedOn w:val="Normal"/>
    <w:next w:val="Normal"/>
    <w:autoRedefine/>
    <w:uiPriority w:val="39"/>
    <w:unhideWhenUsed/>
    <w:rsid w:val="00D06B7C"/>
    <w:pPr>
      <w:spacing w:after="100"/>
      <w:ind w:left="440"/>
    </w:pPr>
  </w:style>
  <w:style w:type="paragraph" w:styleId="TOC4">
    <w:name w:val="toc 4"/>
    <w:basedOn w:val="Normal"/>
    <w:next w:val="Normal"/>
    <w:autoRedefine/>
    <w:uiPriority w:val="39"/>
    <w:unhideWhenUsed/>
    <w:rsid w:val="00D06B7C"/>
    <w:pPr>
      <w:spacing w:after="100"/>
      <w:ind w:left="660"/>
    </w:pPr>
    <w:rPr>
      <w:rFonts w:eastAsiaTheme="minorEastAsia"/>
      <w:lang w:eastAsia="en-GB"/>
    </w:rPr>
  </w:style>
  <w:style w:type="paragraph" w:styleId="TOC5">
    <w:name w:val="toc 5"/>
    <w:basedOn w:val="Normal"/>
    <w:next w:val="Normal"/>
    <w:autoRedefine/>
    <w:uiPriority w:val="39"/>
    <w:unhideWhenUsed/>
    <w:rsid w:val="00D06B7C"/>
    <w:pPr>
      <w:spacing w:after="100"/>
      <w:ind w:left="880"/>
    </w:pPr>
    <w:rPr>
      <w:rFonts w:eastAsiaTheme="minorEastAsia"/>
      <w:lang w:eastAsia="en-GB"/>
    </w:rPr>
  </w:style>
  <w:style w:type="paragraph" w:styleId="TOC6">
    <w:name w:val="toc 6"/>
    <w:basedOn w:val="Normal"/>
    <w:next w:val="Normal"/>
    <w:autoRedefine/>
    <w:uiPriority w:val="39"/>
    <w:unhideWhenUsed/>
    <w:rsid w:val="00D06B7C"/>
    <w:pPr>
      <w:spacing w:after="100"/>
      <w:ind w:left="1100"/>
    </w:pPr>
    <w:rPr>
      <w:rFonts w:eastAsiaTheme="minorEastAsia"/>
      <w:lang w:eastAsia="en-GB"/>
    </w:rPr>
  </w:style>
  <w:style w:type="paragraph" w:styleId="TOC7">
    <w:name w:val="toc 7"/>
    <w:basedOn w:val="Normal"/>
    <w:next w:val="Normal"/>
    <w:autoRedefine/>
    <w:uiPriority w:val="39"/>
    <w:unhideWhenUsed/>
    <w:rsid w:val="00D06B7C"/>
    <w:pPr>
      <w:spacing w:after="100"/>
      <w:ind w:left="1320"/>
    </w:pPr>
    <w:rPr>
      <w:rFonts w:eastAsiaTheme="minorEastAsia"/>
      <w:lang w:eastAsia="en-GB"/>
    </w:rPr>
  </w:style>
  <w:style w:type="paragraph" w:styleId="TOC8">
    <w:name w:val="toc 8"/>
    <w:basedOn w:val="Normal"/>
    <w:next w:val="Normal"/>
    <w:autoRedefine/>
    <w:uiPriority w:val="39"/>
    <w:unhideWhenUsed/>
    <w:rsid w:val="00D06B7C"/>
    <w:pPr>
      <w:spacing w:after="100"/>
      <w:ind w:left="1540"/>
    </w:pPr>
    <w:rPr>
      <w:rFonts w:eastAsiaTheme="minorEastAsia"/>
      <w:lang w:eastAsia="en-GB"/>
    </w:rPr>
  </w:style>
  <w:style w:type="paragraph" w:styleId="TOC9">
    <w:name w:val="toc 9"/>
    <w:basedOn w:val="Normal"/>
    <w:next w:val="Normal"/>
    <w:autoRedefine/>
    <w:uiPriority w:val="39"/>
    <w:unhideWhenUsed/>
    <w:rsid w:val="00D06B7C"/>
    <w:pPr>
      <w:spacing w:after="100"/>
      <w:ind w:left="1760"/>
    </w:pPr>
    <w:rPr>
      <w:rFonts w:eastAsiaTheme="minorEastAsia"/>
      <w:lang w:eastAsia="en-GB"/>
    </w:rPr>
  </w:style>
  <w:style w:type="character" w:styleId="Hyperlink">
    <w:name w:val="Hyperlink"/>
    <w:basedOn w:val="DefaultParagraphFont"/>
    <w:uiPriority w:val="99"/>
    <w:unhideWhenUsed/>
    <w:rsid w:val="00D06B7C"/>
    <w:rPr>
      <w:color w:val="0563C1" w:themeColor="hyperlink"/>
      <w:u w:val="single"/>
    </w:rPr>
  </w:style>
  <w:style w:type="paragraph" w:styleId="ListParagraph">
    <w:name w:val="List Paragraph"/>
    <w:basedOn w:val="Normal"/>
    <w:uiPriority w:val="34"/>
    <w:qFormat/>
    <w:rsid w:val="008708EB"/>
    <w:pPr>
      <w:ind w:left="720"/>
      <w:contextualSpacing/>
    </w:pPr>
  </w:style>
  <w:style w:type="character" w:customStyle="1" w:styleId="Heading4Char">
    <w:name w:val="Heading 4 Char"/>
    <w:basedOn w:val="DefaultParagraphFont"/>
    <w:link w:val="Heading4"/>
    <w:uiPriority w:val="9"/>
    <w:rsid w:val="00011AFA"/>
    <w:rPr>
      <w:rFonts w:ascii="Times New Roman" w:hAnsi="Times New Roman" w:cs="Times New Roman"/>
      <w:b/>
      <w:bCs/>
      <w:sz w:val="24"/>
      <w:szCs w:val="24"/>
    </w:rPr>
  </w:style>
  <w:style w:type="character" w:customStyle="1" w:styleId="Heading5Char">
    <w:name w:val="Heading 5 Char"/>
    <w:basedOn w:val="DefaultParagraphFont"/>
    <w:link w:val="Heading5"/>
    <w:uiPriority w:val="9"/>
    <w:rsid w:val="00011AFA"/>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011AFA"/>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uiPriority w:val="9"/>
    <w:semiHidden/>
    <w:rsid w:val="00011AFA"/>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semiHidden/>
    <w:rsid w:val="00011AF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11AFA"/>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011AFA"/>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011AFA"/>
    <w:rPr>
      <w:b/>
      <w:bCs/>
    </w:rPr>
  </w:style>
  <w:style w:type="character" w:customStyle="1" w:styleId="selectable">
    <w:name w:val="selectable"/>
    <w:basedOn w:val="DefaultParagraphFont"/>
    <w:rsid w:val="00011AFA"/>
  </w:style>
  <w:style w:type="paragraph" w:styleId="Header">
    <w:name w:val="header"/>
    <w:basedOn w:val="Normal"/>
    <w:link w:val="HeaderChar"/>
    <w:uiPriority w:val="99"/>
    <w:unhideWhenUsed/>
    <w:rsid w:val="00011AFA"/>
    <w:pPr>
      <w:tabs>
        <w:tab w:val="center" w:pos="4513"/>
        <w:tab w:val="right" w:pos="9026"/>
      </w:tabs>
      <w:spacing w:after="0" w:line="240" w:lineRule="auto"/>
    </w:pPr>
    <w:rPr>
      <w:sz w:val="24"/>
      <w:szCs w:val="24"/>
    </w:rPr>
  </w:style>
  <w:style w:type="character" w:customStyle="1" w:styleId="HeaderChar">
    <w:name w:val="Header Char"/>
    <w:basedOn w:val="DefaultParagraphFont"/>
    <w:link w:val="Header"/>
    <w:uiPriority w:val="99"/>
    <w:rsid w:val="00011AFA"/>
    <w:rPr>
      <w:sz w:val="24"/>
      <w:szCs w:val="24"/>
    </w:rPr>
  </w:style>
  <w:style w:type="paragraph" w:styleId="Footer">
    <w:name w:val="footer"/>
    <w:basedOn w:val="Normal"/>
    <w:link w:val="FooterChar"/>
    <w:uiPriority w:val="99"/>
    <w:unhideWhenUsed/>
    <w:rsid w:val="00011AFA"/>
    <w:pPr>
      <w:tabs>
        <w:tab w:val="center" w:pos="4513"/>
        <w:tab w:val="right" w:pos="9026"/>
      </w:tabs>
      <w:spacing w:after="0" w:line="240" w:lineRule="auto"/>
    </w:pPr>
    <w:rPr>
      <w:sz w:val="24"/>
      <w:szCs w:val="24"/>
    </w:rPr>
  </w:style>
  <w:style w:type="character" w:customStyle="1" w:styleId="FooterChar">
    <w:name w:val="Footer Char"/>
    <w:basedOn w:val="DefaultParagraphFont"/>
    <w:link w:val="Footer"/>
    <w:uiPriority w:val="99"/>
    <w:rsid w:val="00011AFA"/>
    <w:rPr>
      <w:sz w:val="24"/>
      <w:szCs w:val="24"/>
    </w:rPr>
  </w:style>
  <w:style w:type="paragraph" w:styleId="DocumentMap">
    <w:name w:val="Document Map"/>
    <w:basedOn w:val="Normal"/>
    <w:link w:val="DocumentMapChar"/>
    <w:uiPriority w:val="99"/>
    <w:semiHidden/>
    <w:unhideWhenUsed/>
    <w:rsid w:val="00011AFA"/>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011AFA"/>
    <w:rPr>
      <w:rFonts w:ascii="Times New Roman" w:hAnsi="Times New Roman" w:cs="Times New Roman"/>
      <w:sz w:val="24"/>
      <w:szCs w:val="24"/>
    </w:rPr>
  </w:style>
  <w:style w:type="paragraph" w:styleId="NoSpacing">
    <w:name w:val="No Spacing"/>
    <w:uiPriority w:val="1"/>
    <w:qFormat/>
    <w:rsid w:val="00011AFA"/>
    <w:pPr>
      <w:spacing w:after="0" w:line="240" w:lineRule="auto"/>
    </w:pPr>
    <w:rPr>
      <w:rFonts w:ascii="Times New Roman" w:hAnsi="Times New Roman" w:cs="Times New Roman"/>
      <w:sz w:val="24"/>
      <w:szCs w:val="24"/>
    </w:rPr>
  </w:style>
  <w:style w:type="character" w:styleId="Emphasis">
    <w:name w:val="Emphasis"/>
    <w:basedOn w:val="DefaultParagraphFont"/>
    <w:uiPriority w:val="20"/>
    <w:qFormat/>
    <w:rsid w:val="00011AFA"/>
    <w:rPr>
      <w:i/>
      <w:iCs/>
    </w:rPr>
  </w:style>
  <w:style w:type="character" w:customStyle="1" w:styleId="xs1">
    <w:name w:val="x_s1"/>
    <w:basedOn w:val="DefaultParagraphFont"/>
    <w:rsid w:val="00011AFA"/>
  </w:style>
  <w:style w:type="character" w:styleId="CommentReference">
    <w:name w:val="annotation reference"/>
    <w:basedOn w:val="DefaultParagraphFont"/>
    <w:uiPriority w:val="99"/>
    <w:semiHidden/>
    <w:unhideWhenUsed/>
    <w:rsid w:val="00011AFA"/>
    <w:rPr>
      <w:sz w:val="16"/>
      <w:szCs w:val="16"/>
    </w:rPr>
  </w:style>
  <w:style w:type="paragraph" w:styleId="CommentText">
    <w:name w:val="annotation text"/>
    <w:basedOn w:val="Normal"/>
    <w:link w:val="CommentTextChar"/>
    <w:uiPriority w:val="99"/>
    <w:unhideWhenUsed/>
    <w:rsid w:val="00011AFA"/>
    <w:pPr>
      <w:spacing w:line="240" w:lineRule="auto"/>
    </w:pPr>
    <w:rPr>
      <w:sz w:val="20"/>
      <w:szCs w:val="20"/>
    </w:rPr>
  </w:style>
  <w:style w:type="character" w:customStyle="1" w:styleId="CommentTextChar">
    <w:name w:val="Comment Text Char"/>
    <w:basedOn w:val="DefaultParagraphFont"/>
    <w:link w:val="CommentText"/>
    <w:uiPriority w:val="99"/>
    <w:rsid w:val="00011AFA"/>
    <w:rPr>
      <w:sz w:val="20"/>
      <w:szCs w:val="20"/>
    </w:rPr>
  </w:style>
  <w:style w:type="paragraph" w:styleId="CommentSubject">
    <w:name w:val="annotation subject"/>
    <w:basedOn w:val="CommentText"/>
    <w:next w:val="CommentText"/>
    <w:link w:val="CommentSubjectChar"/>
    <w:uiPriority w:val="99"/>
    <w:semiHidden/>
    <w:unhideWhenUsed/>
    <w:rsid w:val="00011AFA"/>
    <w:rPr>
      <w:b/>
      <w:bCs/>
    </w:rPr>
  </w:style>
  <w:style w:type="character" w:customStyle="1" w:styleId="CommentSubjectChar">
    <w:name w:val="Comment Subject Char"/>
    <w:basedOn w:val="CommentTextChar"/>
    <w:link w:val="CommentSubject"/>
    <w:uiPriority w:val="99"/>
    <w:semiHidden/>
    <w:rsid w:val="00011AFA"/>
    <w:rPr>
      <w:b/>
      <w:bCs/>
      <w:sz w:val="20"/>
      <w:szCs w:val="20"/>
    </w:rPr>
  </w:style>
  <w:style w:type="paragraph" w:styleId="BalloonText">
    <w:name w:val="Balloon Text"/>
    <w:basedOn w:val="Normal"/>
    <w:link w:val="BalloonTextChar"/>
    <w:uiPriority w:val="99"/>
    <w:semiHidden/>
    <w:unhideWhenUsed/>
    <w:rsid w:val="00011A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1AFA"/>
    <w:rPr>
      <w:rFonts w:ascii="Segoe UI" w:hAnsi="Segoe UI" w:cs="Segoe UI"/>
      <w:sz w:val="18"/>
      <w:szCs w:val="18"/>
    </w:rPr>
  </w:style>
  <w:style w:type="paragraph" w:customStyle="1" w:styleId="xp2">
    <w:name w:val="x_p2"/>
    <w:basedOn w:val="Normal"/>
    <w:rsid w:val="00011AFA"/>
    <w:pPr>
      <w:spacing w:before="100" w:beforeAutospacing="1" w:after="100" w:afterAutospacing="1" w:line="240" w:lineRule="auto"/>
    </w:pPr>
    <w:rPr>
      <w:rFonts w:ascii="Times New Roman" w:hAnsi="Times New Roman" w:cs="Times New Roman"/>
      <w:sz w:val="24"/>
      <w:szCs w:val="24"/>
    </w:rPr>
  </w:style>
  <w:style w:type="paragraph" w:customStyle="1" w:styleId="xp1">
    <w:name w:val="x_p1"/>
    <w:basedOn w:val="Normal"/>
    <w:rsid w:val="00011AFA"/>
    <w:pPr>
      <w:spacing w:before="100" w:beforeAutospacing="1" w:after="100" w:afterAutospacing="1" w:line="240" w:lineRule="auto"/>
    </w:pPr>
    <w:rPr>
      <w:rFonts w:ascii="Times New Roman" w:hAnsi="Times New Roman" w:cs="Times New Roman"/>
      <w:sz w:val="24"/>
      <w:szCs w:val="24"/>
    </w:rPr>
  </w:style>
  <w:style w:type="character" w:customStyle="1" w:styleId="nlmyear">
    <w:name w:val="nlm_year"/>
    <w:basedOn w:val="DefaultParagraphFont"/>
    <w:rsid w:val="00011AFA"/>
  </w:style>
  <w:style w:type="character" w:customStyle="1" w:styleId="nlmarticle-title">
    <w:name w:val="nlm_article-title"/>
    <w:basedOn w:val="DefaultParagraphFont"/>
    <w:rsid w:val="00011AFA"/>
  </w:style>
  <w:style w:type="character" w:customStyle="1" w:styleId="nlmfpage">
    <w:name w:val="nlm_fpage"/>
    <w:basedOn w:val="DefaultParagraphFont"/>
    <w:rsid w:val="00011AFA"/>
  </w:style>
  <w:style w:type="character" w:customStyle="1" w:styleId="nlmlpage">
    <w:name w:val="nlm_lpage"/>
    <w:basedOn w:val="DefaultParagraphFont"/>
    <w:rsid w:val="00011AFA"/>
  </w:style>
  <w:style w:type="character" w:customStyle="1" w:styleId="nlmpublisher-loc">
    <w:name w:val="nlm_publisher-loc"/>
    <w:basedOn w:val="DefaultParagraphFont"/>
    <w:rsid w:val="00011AFA"/>
  </w:style>
  <w:style w:type="character" w:customStyle="1" w:styleId="nlmpublisher-name">
    <w:name w:val="nlm_publisher-name"/>
    <w:basedOn w:val="DefaultParagraphFont"/>
    <w:rsid w:val="00011AFA"/>
  </w:style>
  <w:style w:type="paragraph" w:customStyle="1" w:styleId="p">
    <w:name w:val="p"/>
    <w:basedOn w:val="Normal"/>
    <w:rsid w:val="00011A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Subtitle">
    <w:name w:val="Subtitle"/>
    <w:basedOn w:val="Normal"/>
    <w:next w:val="Normal"/>
    <w:link w:val="SubtitleChar"/>
    <w:uiPriority w:val="11"/>
    <w:qFormat/>
    <w:rsid w:val="00011AFA"/>
    <w:pPr>
      <w:numPr>
        <w:ilvl w:val="1"/>
      </w:numPr>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11AFA"/>
    <w:rPr>
      <w:rFonts w:eastAsiaTheme="minorEastAsia"/>
      <w:color w:val="5A5A5A" w:themeColor="text1" w:themeTint="A5"/>
      <w:spacing w:val="15"/>
    </w:rPr>
  </w:style>
  <w:style w:type="character" w:styleId="PlaceholderText">
    <w:name w:val="Placeholder Text"/>
    <w:basedOn w:val="DefaultParagraphFont"/>
    <w:uiPriority w:val="99"/>
    <w:semiHidden/>
    <w:rsid w:val="00011AFA"/>
    <w:rPr>
      <w:color w:val="808080"/>
    </w:rPr>
  </w:style>
  <w:style w:type="character" w:customStyle="1" w:styleId="word">
    <w:name w:val="word"/>
    <w:basedOn w:val="DefaultParagraphFont"/>
    <w:rsid w:val="00011AFA"/>
  </w:style>
  <w:style w:type="character" w:customStyle="1" w:styleId="pause">
    <w:name w:val="pause"/>
    <w:basedOn w:val="DefaultParagraphFont"/>
    <w:rsid w:val="00011AFA"/>
  </w:style>
  <w:style w:type="character" w:customStyle="1" w:styleId="end">
    <w:name w:val="end"/>
    <w:basedOn w:val="DefaultParagraphFont"/>
    <w:rsid w:val="00011AFA"/>
  </w:style>
  <w:style w:type="character" w:customStyle="1" w:styleId="selqnc">
    <w:name w:val="selqnc"/>
    <w:basedOn w:val="DefaultParagraphFont"/>
    <w:rsid w:val="00011AFA"/>
  </w:style>
  <w:style w:type="character" w:customStyle="1" w:styleId="acmyv">
    <w:name w:val="acmyv"/>
    <w:basedOn w:val="DefaultParagraphFont"/>
    <w:rsid w:val="00011AFA"/>
  </w:style>
  <w:style w:type="paragraph" w:styleId="TableofFigures">
    <w:name w:val="table of figures"/>
    <w:basedOn w:val="Normal"/>
    <w:next w:val="Normal"/>
    <w:uiPriority w:val="99"/>
    <w:unhideWhenUsed/>
    <w:rsid w:val="00011AFA"/>
    <w:pPr>
      <w:spacing w:after="0" w:line="240" w:lineRule="auto"/>
      <w:ind w:left="480" w:hanging="480"/>
    </w:pPr>
    <w:rPr>
      <w:rFonts w:ascii="Times New Roman" w:hAnsi="Times New Roman" w:cs="Times New Roman"/>
      <w:sz w:val="24"/>
      <w:szCs w:val="24"/>
    </w:rPr>
  </w:style>
  <w:style w:type="character" w:customStyle="1" w:styleId="apple-converted-space">
    <w:name w:val="apple-converted-space"/>
    <w:basedOn w:val="DefaultParagraphFont"/>
    <w:rsid w:val="00011AFA"/>
  </w:style>
  <w:style w:type="paragraph" w:styleId="Revision">
    <w:name w:val="Revision"/>
    <w:hidden/>
    <w:uiPriority w:val="99"/>
    <w:semiHidden/>
    <w:rsid w:val="00011AFA"/>
    <w:pPr>
      <w:spacing w:after="0" w:line="240" w:lineRule="auto"/>
    </w:pPr>
    <w:rPr>
      <w:rFonts w:ascii="Times New Roman" w:hAnsi="Times New Roman" w:cs="Times New Roman"/>
      <w:sz w:val="24"/>
      <w:szCs w:val="24"/>
    </w:rPr>
  </w:style>
  <w:style w:type="paragraph" w:styleId="Title">
    <w:name w:val="Title"/>
    <w:basedOn w:val="Normal"/>
    <w:next w:val="Normal"/>
    <w:link w:val="TitleChar"/>
    <w:uiPriority w:val="10"/>
    <w:qFormat/>
    <w:rsid w:val="00011A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1AFA"/>
    <w:rPr>
      <w:rFonts w:asciiTheme="majorHAnsi" w:eastAsiaTheme="majorEastAsia" w:hAnsiTheme="majorHAnsi" w:cstheme="majorBidi"/>
      <w:spacing w:val="-10"/>
      <w:kern w:val="28"/>
      <w:sz w:val="56"/>
      <w:szCs w:val="56"/>
    </w:rPr>
  </w:style>
  <w:style w:type="character" w:customStyle="1" w:styleId="hostpublication">
    <w:name w:val="hostpublication"/>
    <w:basedOn w:val="DefaultParagraphFont"/>
    <w:rsid w:val="00011AFA"/>
  </w:style>
  <w:style w:type="character" w:styleId="FollowedHyperlink">
    <w:name w:val="FollowedHyperlink"/>
    <w:basedOn w:val="DefaultParagraphFont"/>
    <w:uiPriority w:val="99"/>
    <w:semiHidden/>
    <w:unhideWhenUsed/>
    <w:rsid w:val="00011AFA"/>
    <w:rPr>
      <w:color w:val="954F72" w:themeColor="followedHyperlink"/>
      <w:u w:val="single"/>
    </w:rPr>
  </w:style>
  <w:style w:type="character" w:styleId="PageNumber">
    <w:name w:val="page number"/>
    <w:basedOn w:val="DefaultParagraphFont"/>
    <w:uiPriority w:val="99"/>
    <w:semiHidden/>
    <w:unhideWhenUsed/>
    <w:rsid w:val="00011AFA"/>
  </w:style>
  <w:style w:type="character" w:styleId="UnresolvedMention">
    <w:name w:val="Unresolved Mention"/>
    <w:basedOn w:val="DefaultParagraphFont"/>
    <w:uiPriority w:val="99"/>
    <w:unhideWhenUsed/>
    <w:rsid w:val="00D937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1294">
      <w:bodyDiv w:val="1"/>
      <w:marLeft w:val="0"/>
      <w:marRight w:val="0"/>
      <w:marTop w:val="0"/>
      <w:marBottom w:val="0"/>
      <w:divBdr>
        <w:top w:val="none" w:sz="0" w:space="0" w:color="auto"/>
        <w:left w:val="none" w:sz="0" w:space="0" w:color="auto"/>
        <w:bottom w:val="none" w:sz="0" w:space="0" w:color="auto"/>
        <w:right w:val="none" w:sz="0" w:space="0" w:color="auto"/>
      </w:divBdr>
    </w:div>
    <w:div w:id="524364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mailto:gillian.forrester@staffs.ac.uk" TargetMode="External"/><Relationship Id="rId3" Type="http://schemas.openxmlformats.org/officeDocument/2006/relationships/styles" Target="styles.xml"/><Relationship Id="rId21" Type="http://schemas.openxmlformats.org/officeDocument/2006/relationships/image" Target="media/image8.sv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svg"/><Relationship Id="rId25" Type="http://schemas.openxmlformats.org/officeDocument/2006/relationships/hyperlink" Target="http://www.ico.org.u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2.pd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researchgate.net/post/What-is-the-difference-between-constructivism-critical-realism-and-phenomenlogy/59fa26a7f7b67e48c1092c2f/citation/download" TargetMode="External"/><Relationship Id="rId32" Type="http://schemas.openxmlformats.org/officeDocument/2006/relationships/image" Target="media/image15.pdf"/><Relationship Id="rId5" Type="http://schemas.openxmlformats.org/officeDocument/2006/relationships/webSettings" Target="webSettings.xml"/><Relationship Id="rId15" Type="http://schemas.openxmlformats.org/officeDocument/2006/relationships/image" Target="media/image2.svg"/><Relationship Id="rId23" Type="http://schemas.openxmlformats.org/officeDocument/2006/relationships/hyperlink" Target="https://archive.org/details/Translation" TargetMode="External"/><Relationship Id="rId28" Type="http://schemas.openxmlformats.org/officeDocument/2006/relationships/image" Target="media/image11.pdf"/><Relationship Id="rId10" Type="http://schemas.openxmlformats.org/officeDocument/2006/relationships/footer" Target="footer1.xml"/><Relationship Id="rId19" Type="http://schemas.openxmlformats.org/officeDocument/2006/relationships/image" Target="media/image6.svg"/><Relationship Id="rId31" Type="http://schemas.openxmlformats.org/officeDocument/2006/relationships/image" Target="media/image14.pd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0.png"/><Relationship Id="rId30" Type="http://schemas.openxmlformats.org/officeDocument/2006/relationships/image" Target="media/image13.pdf"/><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0FA22-2721-9045-BBE3-9DABBF3A0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76671</Words>
  <Characters>440863</Characters>
  <Application>Microsoft Office Word</Application>
  <DocSecurity>4</DocSecurity>
  <Lines>7347</Lines>
  <Paragraphs>2259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Adeel Aijaz</dc:creator>
  <cp:keywords/>
  <dc:description/>
  <cp:lastModifiedBy>HOLBROOK Julia</cp:lastModifiedBy>
  <cp:revision>2</cp:revision>
  <dcterms:created xsi:type="dcterms:W3CDTF">2022-05-31T08:44:00Z</dcterms:created>
  <dcterms:modified xsi:type="dcterms:W3CDTF">2022-05-31T08:44:00Z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cce011e-d309-437c-a722-c4244916837d_Enabled">
    <vt:lpwstr>True</vt:lpwstr>
  </property>
  <property fmtid="{D5CDD505-2E9C-101B-9397-08002B2CF9AE}" pid="3" name="MSIP_Label_bcce011e-d309-437c-a722-c4244916837d_SiteId">
    <vt:lpwstr>98f1bb3a-5efa-4782-88ba-bd897db60e62</vt:lpwstr>
  </property>
  <property fmtid="{D5CDD505-2E9C-101B-9397-08002B2CF9AE}" pid="4" name="MSIP_Label_bcce011e-d309-437c-a722-c4244916837d_Owner">
    <vt:lpwstr>786507@derby.ac.uk</vt:lpwstr>
  </property>
  <property fmtid="{D5CDD505-2E9C-101B-9397-08002B2CF9AE}" pid="5" name="MSIP_Label_bcce011e-d309-437c-a722-c4244916837d_SetDate">
    <vt:lpwstr>2021-10-06T09:11:51.2097229Z</vt:lpwstr>
  </property>
  <property fmtid="{D5CDD505-2E9C-101B-9397-08002B2CF9AE}" pid="6" name="MSIP_Label_bcce011e-d309-437c-a722-c4244916837d_Name">
    <vt:lpwstr>Confidential</vt:lpwstr>
  </property>
  <property fmtid="{D5CDD505-2E9C-101B-9397-08002B2CF9AE}" pid="7" name="MSIP_Label_bcce011e-d309-437c-a722-c4244916837d_Application">
    <vt:lpwstr>Microsoft Azure Information Protection</vt:lpwstr>
  </property>
  <property fmtid="{D5CDD505-2E9C-101B-9397-08002B2CF9AE}" pid="8" name="MSIP_Label_bcce011e-d309-437c-a722-c4244916837d_Extended_MSFT_Method">
    <vt:lpwstr>Manual</vt:lpwstr>
  </property>
  <property fmtid="{D5CDD505-2E9C-101B-9397-08002B2CF9AE}" pid="9" name="Sensitivity">
    <vt:lpwstr>Confidential</vt:lpwstr>
  </property>
</Properties>
</file>